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D7EC7">
      <w:pPr>
        <w:tabs>
          <w:tab w:val="left" w:pos="7897"/>
        </w:tabs>
        <w:spacing w:before="120" w:beforeLines="50" w:line="360" w:lineRule="auto"/>
        <w:jc w:val="left"/>
        <w:rPr>
          <w:rFonts w:hint="eastAsia" w:ascii="宋体" w:hAnsi="宋体" w:eastAsia="宋体" w:cs="宋体"/>
          <w:color w:val="auto"/>
          <w:sz w:val="52"/>
          <w:szCs w:val="52"/>
          <w:highlight w:val="none"/>
          <w:lang w:val="en-US" w:eastAsia="zh-CN"/>
        </w:rPr>
      </w:pPr>
    </w:p>
    <w:p w14:paraId="0F50C949">
      <w:pPr>
        <w:tabs>
          <w:tab w:val="left" w:pos="7897"/>
        </w:tabs>
        <w:spacing w:before="120" w:beforeLines="50" w:line="360" w:lineRule="auto"/>
        <w:jc w:val="left"/>
        <w:rPr>
          <w:rFonts w:hint="eastAsia" w:ascii="宋体" w:hAnsi="宋体" w:eastAsia="宋体" w:cs="宋体"/>
          <w:color w:val="auto"/>
          <w:sz w:val="52"/>
          <w:szCs w:val="52"/>
          <w:highlight w:val="none"/>
          <w:lang w:eastAsia="zh-CN"/>
        </w:rPr>
      </w:pPr>
      <w:r>
        <w:rPr>
          <w:rFonts w:hint="eastAsia" w:ascii="宋体" w:hAnsi="宋体" w:eastAsia="宋体" w:cs="宋体"/>
          <w:color w:val="auto"/>
          <w:sz w:val="52"/>
          <w:szCs w:val="52"/>
          <w:highlight w:val="none"/>
          <w:lang w:val="en-US" w:eastAsia="zh-CN"/>
        </w:rPr>
        <w:tab/>
      </w:r>
      <w:r>
        <w:rPr>
          <w:rFonts w:hint="eastAsia" w:ascii="宋体" w:hAnsi="宋体" w:eastAsia="宋体" w:cs="宋体"/>
          <w:color w:val="auto"/>
          <w:sz w:val="52"/>
          <w:szCs w:val="52"/>
          <w:highlight w:val="none"/>
          <w:lang w:val="en-US" w:eastAsia="zh-CN"/>
        </w:rPr>
        <w:tab/>
      </w:r>
      <w:r>
        <w:rPr>
          <w:rFonts w:hint="eastAsia" w:ascii="宋体" w:hAnsi="宋体" w:eastAsia="宋体" w:cs="宋体"/>
          <w:color w:val="auto"/>
          <w:sz w:val="52"/>
          <w:szCs w:val="52"/>
          <w:highlight w:val="none"/>
          <w:lang w:eastAsia="zh-CN"/>
        </w:rPr>
        <w:tab/>
      </w:r>
    </w:p>
    <w:p w14:paraId="31A95E5B">
      <w:pPr>
        <w:spacing w:before="120"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38E60CA0">
      <w:pPr>
        <w:spacing w:before="120" w:beforeLines="50" w:line="360" w:lineRule="auto"/>
        <w:jc w:val="center"/>
        <w:rPr>
          <w:rFonts w:hint="eastAsia" w:ascii="宋体" w:hAnsi="宋体" w:eastAsia="宋体" w:cs="宋体"/>
          <w:color w:val="auto"/>
          <w:sz w:val="36"/>
          <w:szCs w:val="36"/>
          <w:highlight w:val="none"/>
        </w:rPr>
      </w:pPr>
    </w:p>
    <w:p w14:paraId="29DBA090">
      <w:pPr>
        <w:snapToGrid w:val="0"/>
        <w:spacing w:before="120" w:beforeLines="50" w:line="36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72"/>
          <w:szCs w:val="72"/>
          <w:highlight w:val="none"/>
        </w:rPr>
        <w:t>竞争性磋商文件</w:t>
      </w:r>
    </w:p>
    <w:p w14:paraId="7A54B789">
      <w:pPr>
        <w:spacing w:before="240" w:beforeLines="100" w:after="120" w:afterLines="50"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（全流程电子化评标）</w:t>
      </w:r>
    </w:p>
    <w:p w14:paraId="09BB3504">
      <w:pPr>
        <w:spacing w:line="360" w:lineRule="auto"/>
        <w:rPr>
          <w:rFonts w:hint="eastAsia" w:ascii="宋体" w:hAnsi="宋体" w:eastAsia="宋体" w:cs="宋体"/>
          <w:b/>
          <w:color w:val="auto"/>
          <w:sz w:val="32"/>
          <w:szCs w:val="32"/>
          <w:highlight w:val="none"/>
        </w:rPr>
      </w:pPr>
    </w:p>
    <w:p w14:paraId="7DCA5D6B">
      <w:pPr>
        <w:spacing w:line="360" w:lineRule="auto"/>
        <w:jc w:val="center"/>
        <w:rPr>
          <w:rFonts w:hint="eastAsia" w:ascii="宋体" w:hAnsi="宋体" w:eastAsia="宋体" w:cs="宋体"/>
          <w:b/>
          <w:color w:val="auto"/>
          <w:sz w:val="32"/>
          <w:szCs w:val="32"/>
          <w:highlight w:val="none"/>
        </w:rPr>
      </w:pPr>
    </w:p>
    <w:p w14:paraId="225751C7">
      <w:pPr>
        <w:snapToGrid w:val="0"/>
        <w:spacing w:before="50" w:after="120" w:line="360" w:lineRule="auto"/>
        <w:ind w:firstLine="1684" w:firstLineChars="559"/>
        <w:rPr>
          <w:rFonts w:hint="eastAsia" w:ascii="宋体" w:hAnsi="宋体" w:eastAsia="宋体" w:cs="宋体"/>
          <w:b/>
          <w:bCs/>
          <w:color w:val="auto"/>
          <w:kern w:val="0"/>
          <w:sz w:val="30"/>
          <w:szCs w:val="30"/>
          <w:highlight w:val="none"/>
        </w:rPr>
      </w:pPr>
    </w:p>
    <w:p w14:paraId="76D93077">
      <w:pPr>
        <w:snapToGrid w:val="0"/>
        <w:spacing w:before="50" w:after="120" w:line="360" w:lineRule="auto"/>
        <w:ind w:left="2742" w:leftChars="600" w:hanging="1482" w:hangingChars="492"/>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w:t>
      </w:r>
      <w:r>
        <w:rPr>
          <w:rFonts w:hint="eastAsia" w:ascii="宋体" w:hAnsi="宋体" w:eastAsia="宋体" w:cs="宋体"/>
          <w:b/>
          <w:bCs/>
          <w:color w:val="auto"/>
          <w:w w:val="95"/>
          <w:kern w:val="0"/>
          <w:sz w:val="30"/>
          <w:szCs w:val="30"/>
          <w:highlight w:val="none"/>
        </w:rPr>
        <w:t>名称</w:t>
      </w:r>
      <w:r>
        <w:rPr>
          <w:rFonts w:hint="eastAsia" w:ascii="宋体" w:hAnsi="宋体" w:eastAsia="宋体" w:cs="宋体"/>
          <w:b/>
          <w:bCs/>
          <w:color w:val="auto"/>
          <w:kern w:val="0"/>
          <w:sz w:val="30"/>
          <w:szCs w:val="30"/>
          <w:highlight w:val="none"/>
        </w:rPr>
        <w:t>：</w:t>
      </w:r>
      <w:bookmarkStart w:id="0" w:name="OLE_LINK1"/>
      <w:r>
        <w:rPr>
          <w:rFonts w:hint="eastAsia" w:ascii="宋体" w:hAnsi="宋体" w:cs="宋体"/>
          <w:b/>
          <w:bCs/>
          <w:color w:val="auto"/>
          <w:kern w:val="0"/>
          <w:sz w:val="30"/>
          <w:szCs w:val="30"/>
          <w:highlight w:val="none"/>
          <w:lang w:eastAsia="zh-CN"/>
        </w:rPr>
        <w:t>南宁市第三幼儿园教学楼维修工程</w:t>
      </w:r>
    </w:p>
    <w:bookmarkEnd w:id="0"/>
    <w:p w14:paraId="62CCEC39">
      <w:pPr>
        <w:snapToGrid w:val="0"/>
        <w:spacing w:before="50" w:after="120" w:line="360" w:lineRule="auto"/>
        <w:ind w:left="2742" w:leftChars="600" w:hanging="1482" w:hangingChars="492"/>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w:t>
      </w:r>
      <w:r>
        <w:rPr>
          <w:rFonts w:hint="eastAsia" w:ascii="宋体" w:hAnsi="宋体" w:eastAsia="宋体" w:cs="宋体"/>
          <w:b/>
          <w:bCs/>
          <w:color w:val="auto"/>
          <w:kern w:val="0"/>
          <w:sz w:val="30"/>
          <w:szCs w:val="30"/>
          <w:highlight w:val="none"/>
          <w:lang w:eastAsia="zh-CN"/>
        </w:rPr>
        <w:t>编号：</w:t>
      </w:r>
      <w:r>
        <w:rPr>
          <w:rFonts w:hint="eastAsia" w:ascii="宋体" w:hAnsi="宋体" w:cs="宋体"/>
          <w:b/>
          <w:bCs/>
          <w:color w:val="auto"/>
          <w:kern w:val="0"/>
          <w:sz w:val="30"/>
          <w:szCs w:val="30"/>
          <w:highlight w:val="none"/>
          <w:lang w:eastAsia="zh-CN"/>
        </w:rPr>
        <w:t>NNZC2026-C2-070037-GXGG</w:t>
      </w:r>
    </w:p>
    <w:p w14:paraId="5B934EF5">
      <w:pPr>
        <w:snapToGrid w:val="0"/>
        <w:spacing w:before="50" w:after="120" w:line="360" w:lineRule="auto"/>
        <w:ind w:left="2742" w:leftChars="600" w:hanging="1482" w:hangingChars="492"/>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lang w:eastAsia="zh-CN"/>
        </w:rPr>
        <w:t>所属行政区划：南宁市西乡塘区</w:t>
      </w:r>
    </w:p>
    <w:p w14:paraId="31FEE9D7">
      <w:pPr>
        <w:snapToGrid w:val="0"/>
        <w:spacing w:before="50" w:after="120" w:line="360" w:lineRule="auto"/>
        <w:ind w:left="2742" w:leftChars="600" w:hanging="1482" w:hangingChars="492"/>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lang w:eastAsia="zh-CN"/>
        </w:rPr>
        <w:t>采购人：</w:t>
      </w:r>
      <w:r>
        <w:rPr>
          <w:rFonts w:hint="eastAsia" w:ascii="宋体" w:hAnsi="宋体" w:cs="宋体"/>
          <w:b/>
          <w:bCs/>
          <w:color w:val="auto"/>
          <w:kern w:val="0"/>
          <w:sz w:val="30"/>
          <w:szCs w:val="30"/>
          <w:highlight w:val="none"/>
          <w:lang w:eastAsia="zh-CN"/>
        </w:rPr>
        <w:t>南宁市第三幼儿园</w:t>
      </w:r>
    </w:p>
    <w:p w14:paraId="2E3A3366">
      <w:pPr>
        <w:snapToGrid w:val="0"/>
        <w:spacing w:before="50" w:after="120" w:line="360" w:lineRule="auto"/>
        <w:ind w:left="2742" w:leftChars="600" w:hanging="1482" w:hangingChars="492"/>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lang w:eastAsia="zh-CN"/>
        </w:rPr>
        <w:t>采购代理机构：广西桂工建设管理咨询有限公司</w:t>
      </w:r>
    </w:p>
    <w:p w14:paraId="4CC3C09E">
      <w:pPr>
        <w:snapToGrid w:val="0"/>
        <w:spacing w:before="50" w:after="120" w:line="360" w:lineRule="auto"/>
        <w:jc w:val="center"/>
        <w:rPr>
          <w:rFonts w:hint="eastAsia" w:ascii="宋体" w:hAnsi="宋体" w:eastAsia="宋体" w:cs="宋体"/>
          <w:b/>
          <w:bCs/>
          <w:color w:val="auto"/>
          <w:w w:val="95"/>
          <w:kern w:val="0"/>
          <w:sz w:val="30"/>
          <w:szCs w:val="30"/>
          <w:highlight w:val="none"/>
          <w:lang w:eastAsia="zh-CN"/>
        </w:rPr>
      </w:pPr>
    </w:p>
    <w:p w14:paraId="2A74AEB5">
      <w:pPr>
        <w:snapToGrid w:val="0"/>
        <w:spacing w:before="50" w:after="120" w:line="360" w:lineRule="auto"/>
        <w:jc w:val="center"/>
        <w:rPr>
          <w:rFonts w:hint="eastAsia" w:ascii="宋体" w:hAnsi="宋体" w:eastAsia="宋体" w:cs="宋体"/>
          <w:b/>
          <w:bCs/>
          <w:color w:val="auto"/>
          <w:w w:val="95"/>
          <w:kern w:val="0"/>
          <w:sz w:val="30"/>
          <w:szCs w:val="30"/>
          <w:highlight w:val="none"/>
        </w:rPr>
      </w:pPr>
      <w:r>
        <w:rPr>
          <w:rFonts w:hint="eastAsia" w:ascii="宋体" w:hAnsi="宋体" w:eastAsia="宋体" w:cs="宋体"/>
          <w:b/>
          <w:bCs/>
          <w:color w:val="auto"/>
          <w:w w:val="95"/>
          <w:kern w:val="0"/>
          <w:sz w:val="30"/>
          <w:szCs w:val="30"/>
          <w:highlight w:val="none"/>
          <w:lang w:eastAsia="zh-CN"/>
        </w:rPr>
        <w:t>202</w:t>
      </w:r>
      <w:r>
        <w:rPr>
          <w:rFonts w:hint="eastAsia" w:ascii="宋体" w:hAnsi="宋体" w:eastAsia="宋体" w:cs="宋体"/>
          <w:b/>
          <w:bCs/>
          <w:color w:val="auto"/>
          <w:w w:val="95"/>
          <w:kern w:val="0"/>
          <w:sz w:val="30"/>
          <w:szCs w:val="30"/>
          <w:highlight w:val="none"/>
          <w:lang w:val="en-US" w:eastAsia="zh-CN"/>
        </w:rPr>
        <w:t>6</w:t>
      </w:r>
      <w:r>
        <w:rPr>
          <w:rFonts w:hint="eastAsia" w:ascii="宋体" w:hAnsi="宋体" w:eastAsia="宋体" w:cs="宋体"/>
          <w:b/>
          <w:bCs/>
          <w:color w:val="auto"/>
          <w:w w:val="95"/>
          <w:kern w:val="0"/>
          <w:sz w:val="30"/>
          <w:szCs w:val="30"/>
          <w:highlight w:val="none"/>
          <w:lang w:eastAsia="zh-CN"/>
        </w:rPr>
        <w:t>年</w:t>
      </w:r>
      <w:r>
        <w:rPr>
          <w:rFonts w:hint="eastAsia" w:ascii="宋体" w:hAnsi="宋体" w:cs="宋体"/>
          <w:b/>
          <w:bCs/>
          <w:color w:val="auto"/>
          <w:w w:val="95"/>
          <w:kern w:val="0"/>
          <w:sz w:val="30"/>
          <w:szCs w:val="30"/>
          <w:highlight w:val="none"/>
          <w:lang w:val="en-US" w:eastAsia="zh-CN"/>
        </w:rPr>
        <w:t>08</w:t>
      </w:r>
      <w:r>
        <w:rPr>
          <w:rFonts w:hint="eastAsia" w:ascii="宋体" w:hAnsi="宋体" w:eastAsia="宋体" w:cs="宋体"/>
          <w:b/>
          <w:bCs/>
          <w:color w:val="auto"/>
          <w:w w:val="95"/>
          <w:kern w:val="0"/>
          <w:sz w:val="30"/>
          <w:szCs w:val="30"/>
          <w:highlight w:val="none"/>
          <w:lang w:eastAsia="zh-CN"/>
        </w:rPr>
        <w:t>月</w:t>
      </w:r>
      <w:r>
        <w:rPr>
          <w:rFonts w:hint="eastAsia" w:ascii="宋体" w:hAnsi="宋体" w:cs="宋体"/>
          <w:b/>
          <w:bCs/>
          <w:color w:val="auto"/>
          <w:w w:val="95"/>
          <w:kern w:val="0"/>
          <w:sz w:val="30"/>
          <w:szCs w:val="30"/>
          <w:highlight w:val="none"/>
          <w:lang w:val="en-US" w:eastAsia="zh-CN"/>
        </w:rPr>
        <w:t>03</w:t>
      </w:r>
      <w:r>
        <w:rPr>
          <w:rFonts w:hint="eastAsia" w:ascii="宋体" w:hAnsi="宋体" w:eastAsia="宋体" w:cs="宋体"/>
          <w:b/>
          <w:bCs/>
          <w:color w:val="auto"/>
          <w:w w:val="95"/>
          <w:kern w:val="0"/>
          <w:sz w:val="30"/>
          <w:szCs w:val="30"/>
          <w:highlight w:val="none"/>
          <w:lang w:eastAsia="zh-CN"/>
        </w:rPr>
        <w:t>日</w:t>
      </w:r>
    </w:p>
    <w:p w14:paraId="1D15A4AE">
      <w:pPr>
        <w:pStyle w:val="11"/>
        <w:ind w:firstLine="803"/>
        <w:jc w:val="center"/>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11" w:h="16838"/>
          <w:pgMar w:top="1134" w:right="1134" w:bottom="1134" w:left="1134" w:header="720" w:footer="720" w:gutter="0"/>
          <w:pgBorders>
            <w:top w:val="none" w:sz="0" w:space="0"/>
            <w:left w:val="none" w:sz="0" w:space="0"/>
            <w:bottom w:val="none" w:sz="0" w:space="0"/>
            <w:right w:val="none" w:sz="0" w:space="0"/>
          </w:pgBorders>
          <w:pgNumType w:start="1"/>
          <w:cols w:space="0" w:num="1"/>
          <w:rtlGutter w:val="0"/>
          <w:docGrid w:linePitch="331" w:charSpace="0"/>
        </w:sectPr>
      </w:pPr>
    </w:p>
    <w:p w14:paraId="43ED7C0A">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497AB91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z w:val="28"/>
          <w:szCs w:val="28"/>
          <w:highlight w:val="none"/>
        </w:rPr>
      </w:pPr>
    </w:p>
    <w:p w14:paraId="312C46F5">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TOC \o "1-1" \h \u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_Toc10019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color w:val="auto"/>
          <w:sz w:val="28"/>
          <w:szCs w:val="28"/>
          <w:highlight w:val="none"/>
        </w:rPr>
        <w:t>第一章</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竞争性磋商公告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_Toc10019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18B856C">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_Toc22255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val="0"/>
          <w:color w:val="auto"/>
          <w:sz w:val="28"/>
          <w:szCs w:val="28"/>
          <w:highlight w:val="none"/>
        </w:rPr>
        <w:t xml:space="preserve">第二章 </w:t>
      </w:r>
      <w:r>
        <w:rPr>
          <w:rFonts w:hint="eastAsia" w:ascii="宋体" w:hAnsi="宋体" w:eastAsia="宋体" w:cs="宋体"/>
          <w:bCs w:val="0"/>
          <w:color w:val="auto"/>
          <w:sz w:val="28"/>
          <w:szCs w:val="28"/>
          <w:highlight w:val="none"/>
          <w:lang w:val="en-US" w:eastAsia="zh-CN"/>
        </w:rPr>
        <w:t xml:space="preserve"> </w:t>
      </w:r>
      <w:r>
        <w:rPr>
          <w:rFonts w:hint="eastAsia" w:ascii="宋体" w:hAnsi="宋体" w:eastAsia="宋体" w:cs="宋体"/>
          <w:bCs w:val="0"/>
          <w:color w:val="auto"/>
          <w:sz w:val="28"/>
          <w:szCs w:val="28"/>
          <w:highlight w:val="none"/>
        </w:rPr>
        <w:t>采购需求</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_Toc22255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5</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F4457E8">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_Toc9332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val="0"/>
          <w:color w:val="auto"/>
          <w:sz w:val="28"/>
          <w:szCs w:val="28"/>
          <w:highlight w:val="none"/>
        </w:rPr>
        <w:t xml:space="preserve">第三章 </w:t>
      </w:r>
      <w:r>
        <w:rPr>
          <w:rFonts w:hint="eastAsia" w:ascii="宋体" w:hAnsi="宋体" w:eastAsia="宋体" w:cs="宋体"/>
          <w:bCs w:val="0"/>
          <w:color w:val="auto"/>
          <w:sz w:val="28"/>
          <w:szCs w:val="28"/>
          <w:highlight w:val="none"/>
          <w:lang w:val="en-US" w:eastAsia="zh-CN"/>
        </w:rPr>
        <w:t xml:space="preserve"> </w:t>
      </w:r>
      <w:r>
        <w:rPr>
          <w:rFonts w:hint="eastAsia" w:ascii="宋体" w:hAnsi="宋体" w:eastAsia="宋体" w:cs="宋体"/>
          <w:bCs w:val="0"/>
          <w:color w:val="auto"/>
          <w:sz w:val="28"/>
          <w:szCs w:val="28"/>
          <w:highlight w:val="none"/>
        </w:rPr>
        <w:t>供应商须知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_Toc9332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12</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5C44D933">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_Toc21081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color w:val="auto"/>
          <w:sz w:val="28"/>
          <w:szCs w:val="28"/>
          <w:highlight w:val="none"/>
        </w:rPr>
        <w:t>第四章  评审程序、评审方法和评审标准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_Toc21081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31</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A4FDAF0">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_Toc15809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color w:val="auto"/>
          <w:sz w:val="28"/>
          <w:szCs w:val="28"/>
          <w:highlight w:val="none"/>
        </w:rPr>
        <w:t xml:space="preserve">第五章 </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响应文件格式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_Toc15809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41</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3D215DC7">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_Toc13046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val="0"/>
          <w:color w:val="auto"/>
          <w:sz w:val="28"/>
          <w:szCs w:val="28"/>
          <w:highlight w:val="none"/>
        </w:rPr>
        <w:t xml:space="preserve">第六章 </w:t>
      </w:r>
      <w:r>
        <w:rPr>
          <w:rFonts w:hint="eastAsia" w:ascii="宋体" w:hAnsi="宋体" w:eastAsia="宋体" w:cs="宋体"/>
          <w:bCs w:val="0"/>
          <w:color w:val="auto"/>
          <w:sz w:val="28"/>
          <w:szCs w:val="28"/>
          <w:highlight w:val="none"/>
          <w:lang w:val="en-US" w:eastAsia="zh-CN"/>
        </w:rPr>
        <w:t xml:space="preserve"> </w:t>
      </w:r>
      <w:r>
        <w:rPr>
          <w:rFonts w:hint="eastAsia" w:ascii="宋体" w:hAnsi="宋体" w:eastAsia="宋体" w:cs="宋体"/>
          <w:bCs w:val="0"/>
          <w:color w:val="auto"/>
          <w:sz w:val="28"/>
          <w:szCs w:val="28"/>
          <w:highlight w:val="none"/>
        </w:rPr>
        <w:t>合同文本</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_Toc13046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72</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60C49E67">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_Toc10491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val="0"/>
          <w:color w:val="auto"/>
          <w:sz w:val="28"/>
          <w:szCs w:val="28"/>
          <w:highlight w:val="none"/>
        </w:rPr>
        <w:t xml:space="preserve">第七章 </w:t>
      </w:r>
      <w:r>
        <w:rPr>
          <w:rFonts w:hint="eastAsia" w:ascii="宋体" w:hAnsi="宋体" w:eastAsia="宋体" w:cs="宋体"/>
          <w:bCs w:val="0"/>
          <w:color w:val="auto"/>
          <w:sz w:val="28"/>
          <w:szCs w:val="28"/>
          <w:highlight w:val="none"/>
          <w:lang w:val="en-US" w:eastAsia="zh-CN"/>
        </w:rPr>
        <w:t xml:space="preserve"> </w:t>
      </w:r>
      <w:r>
        <w:rPr>
          <w:rFonts w:hint="eastAsia" w:ascii="宋体" w:hAnsi="宋体" w:eastAsia="宋体" w:cs="宋体"/>
          <w:bCs w:val="0"/>
          <w:color w:val="auto"/>
          <w:sz w:val="28"/>
          <w:szCs w:val="28"/>
          <w:highlight w:val="none"/>
        </w:rPr>
        <w:t>工程量清单、图纸</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_Toc10491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77</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4C1700E5">
      <w:pPr>
        <w:pStyle w:val="23"/>
        <w:keepNext w:val="0"/>
        <w:keepLines w:val="0"/>
        <w:pageBreakBefore w:val="0"/>
        <w:widowControl w:val="0"/>
        <w:tabs>
          <w:tab w:val="right" w:leader="dot" w:pos="9643"/>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_Toc4654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color w:val="auto"/>
          <w:sz w:val="28"/>
          <w:szCs w:val="28"/>
          <w:highlight w:val="none"/>
        </w:rPr>
        <w:t xml:space="preserve">第八章 </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质疑、投诉材料格式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_Toc4654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78</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89FDB7B">
      <w:pPr>
        <w:pStyle w:val="26"/>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highlight w:val="none"/>
        </w:rPr>
      </w:pPr>
      <w:r>
        <w:rPr>
          <w:rFonts w:hint="eastAsia" w:ascii="宋体" w:hAnsi="宋体" w:eastAsia="宋体" w:cs="宋体"/>
          <w:bCs/>
          <w:color w:val="auto"/>
          <w:sz w:val="28"/>
          <w:szCs w:val="28"/>
          <w:highlight w:val="none"/>
        </w:rPr>
        <w:fldChar w:fldCharType="end"/>
      </w:r>
    </w:p>
    <w:p w14:paraId="5BE5B2F1">
      <w:pPr>
        <w:spacing w:line="400" w:lineRule="exact"/>
        <w:jc w:val="left"/>
        <w:rPr>
          <w:rFonts w:hint="eastAsia" w:ascii="宋体" w:hAnsi="宋体" w:eastAsia="宋体" w:cs="宋体"/>
          <w:b/>
          <w:color w:val="auto"/>
          <w:sz w:val="32"/>
          <w:szCs w:val="32"/>
          <w:highlight w:val="none"/>
        </w:rPr>
      </w:pPr>
    </w:p>
    <w:p w14:paraId="3A70DD02">
      <w:pPr>
        <w:spacing w:line="400" w:lineRule="exact"/>
        <w:jc w:val="center"/>
        <w:rPr>
          <w:rFonts w:hint="eastAsia" w:ascii="宋体" w:hAnsi="宋体" w:eastAsia="宋体" w:cs="宋体"/>
          <w:b/>
          <w:color w:val="auto"/>
          <w:sz w:val="32"/>
          <w:szCs w:val="32"/>
          <w:highlight w:val="none"/>
        </w:rPr>
      </w:pPr>
    </w:p>
    <w:p w14:paraId="454480BF">
      <w:pPr>
        <w:spacing w:line="400" w:lineRule="exact"/>
        <w:jc w:val="center"/>
        <w:rPr>
          <w:rFonts w:hint="eastAsia" w:ascii="宋体" w:hAnsi="宋体" w:eastAsia="宋体" w:cs="宋体"/>
          <w:b/>
          <w:color w:val="auto"/>
          <w:sz w:val="32"/>
          <w:szCs w:val="32"/>
          <w:highlight w:val="none"/>
        </w:rPr>
      </w:pPr>
    </w:p>
    <w:p w14:paraId="601F2B34">
      <w:pPr>
        <w:spacing w:line="400" w:lineRule="exact"/>
        <w:jc w:val="center"/>
        <w:rPr>
          <w:rFonts w:hint="eastAsia" w:ascii="宋体" w:hAnsi="宋体" w:eastAsia="宋体" w:cs="宋体"/>
          <w:b/>
          <w:color w:val="auto"/>
          <w:sz w:val="32"/>
          <w:szCs w:val="32"/>
          <w:highlight w:val="none"/>
        </w:rPr>
      </w:pPr>
    </w:p>
    <w:p w14:paraId="6FCDB5B5">
      <w:pPr>
        <w:spacing w:line="400" w:lineRule="exact"/>
        <w:jc w:val="center"/>
        <w:rPr>
          <w:rFonts w:hint="eastAsia" w:ascii="宋体" w:hAnsi="宋体" w:eastAsia="宋体" w:cs="宋体"/>
          <w:b/>
          <w:color w:val="auto"/>
          <w:sz w:val="32"/>
          <w:szCs w:val="32"/>
          <w:highlight w:val="none"/>
        </w:rPr>
      </w:pPr>
    </w:p>
    <w:p w14:paraId="14111F99">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11" w:h="16838"/>
          <w:pgMar w:top="1134" w:right="1134" w:bottom="1134" w:left="1134" w:header="720" w:footer="720" w:gutter="0"/>
          <w:pgBorders>
            <w:top w:val="none" w:sz="0" w:space="0"/>
            <w:left w:val="none" w:sz="0" w:space="0"/>
            <w:bottom w:val="none" w:sz="0" w:space="0"/>
            <w:right w:val="none" w:sz="0" w:space="0"/>
          </w:pgBorders>
          <w:pgNumType w:start="1"/>
          <w:cols w:space="0" w:num="1"/>
          <w:rtlGutter w:val="0"/>
          <w:docGrid w:linePitch="312" w:charSpace="0"/>
        </w:sectPr>
      </w:pPr>
    </w:p>
    <w:p w14:paraId="4DD55FBE">
      <w:pPr>
        <w:pStyle w:val="2"/>
        <w:spacing w:before="0" w:after="0" w:line="240" w:lineRule="auto"/>
        <w:jc w:val="center"/>
        <w:rPr>
          <w:rFonts w:hint="eastAsia" w:ascii="宋体" w:hAnsi="宋体" w:eastAsia="宋体" w:cs="宋体"/>
          <w:b/>
          <w:bCs w:val="0"/>
          <w:color w:val="auto"/>
          <w:sz w:val="32"/>
          <w:szCs w:val="32"/>
          <w:highlight w:val="none"/>
        </w:rPr>
      </w:pPr>
      <w:bookmarkStart w:id="1" w:name="_Toc15624"/>
      <w:bookmarkStart w:id="2" w:name="_Toc10019"/>
      <w:bookmarkStart w:id="3" w:name="_Toc11989"/>
      <w:bookmarkStart w:id="4" w:name="OLE_LINK30"/>
      <w:bookmarkStart w:id="5" w:name="_Toc27000"/>
      <w:bookmarkStart w:id="6" w:name="_Toc11382"/>
      <w:bookmarkStart w:id="7" w:name="_Toc12242"/>
      <w:r>
        <w:rPr>
          <w:rFonts w:hint="eastAsia" w:ascii="宋体" w:hAnsi="宋体" w:cs="宋体"/>
          <w:b/>
          <w:bCs w:val="0"/>
          <w:color w:val="auto"/>
          <w:sz w:val="32"/>
          <w:szCs w:val="32"/>
          <w:highlight w:val="none"/>
          <w:lang w:val="en-US" w:eastAsia="zh-CN"/>
        </w:rPr>
        <w:t xml:space="preserve">第一章 </w:t>
      </w:r>
      <w:r>
        <w:rPr>
          <w:rFonts w:hint="eastAsia" w:ascii="宋体" w:hAnsi="宋体" w:eastAsia="宋体" w:cs="宋体"/>
          <w:b/>
          <w:bCs w:val="0"/>
          <w:color w:val="auto"/>
          <w:sz w:val="32"/>
          <w:szCs w:val="32"/>
          <w:highlight w:val="none"/>
        </w:rPr>
        <w:t>竞争性磋商公告</w:t>
      </w:r>
      <w:bookmarkEnd w:id="1"/>
      <w:bookmarkEnd w:id="2"/>
      <w:bookmarkEnd w:id="3"/>
      <w:bookmarkEnd w:id="4"/>
      <w:bookmarkEnd w:id="5"/>
      <w:bookmarkEnd w:id="6"/>
      <w:bookmarkEnd w:id="7"/>
    </w:p>
    <w:p w14:paraId="0A7DBED4">
      <w:pPr>
        <w:jc w:val="center"/>
        <w:rPr>
          <w:rFonts w:hint="eastAsia" w:ascii="宋体" w:hAnsi="宋体" w:eastAsia="宋体" w:cs="宋体"/>
          <w:color w:val="auto"/>
          <w:highlight w:val="none"/>
        </w:rPr>
      </w:pPr>
      <w:r>
        <w:rPr>
          <w:rFonts w:hint="eastAsia" w:ascii="宋体" w:hAnsi="宋体" w:eastAsia="宋体" w:cs="宋体"/>
          <w:b/>
          <w:bCs/>
          <w:color w:val="auto"/>
          <w:sz w:val="28"/>
          <w:szCs w:val="28"/>
          <w:highlight w:val="none"/>
          <w:lang w:eastAsia="zh-CN"/>
        </w:rPr>
        <w:t>广西桂工建设管理咨询有限公司</w:t>
      </w:r>
      <w:r>
        <w:rPr>
          <w:rFonts w:hint="eastAsia" w:ascii="宋体" w:hAnsi="宋体" w:eastAsia="宋体" w:cs="宋体"/>
          <w:b/>
          <w:bCs/>
          <w:color w:val="auto"/>
          <w:sz w:val="28"/>
          <w:szCs w:val="28"/>
          <w:highlight w:val="none"/>
        </w:rPr>
        <w:t>关于</w:t>
      </w:r>
      <w:r>
        <w:rPr>
          <w:rFonts w:hint="eastAsia" w:ascii="宋体" w:hAnsi="宋体" w:cs="宋体"/>
          <w:b/>
          <w:bCs/>
          <w:color w:val="auto"/>
          <w:sz w:val="28"/>
          <w:szCs w:val="28"/>
          <w:highlight w:val="none"/>
          <w:lang w:eastAsia="zh-CN"/>
        </w:rPr>
        <w:t>南宁市第三幼儿园教学楼维修工程</w:t>
      </w:r>
      <w:r>
        <w:rPr>
          <w:rFonts w:hint="eastAsia" w:ascii="宋体" w:hAnsi="宋体" w:eastAsia="宋体" w:cs="宋体"/>
          <w:b/>
          <w:bCs/>
          <w:color w:val="auto"/>
          <w:sz w:val="28"/>
          <w:szCs w:val="28"/>
          <w:highlight w:val="none"/>
        </w:rPr>
        <w:t>（</w:t>
      </w:r>
      <w:r>
        <w:rPr>
          <w:rFonts w:hint="eastAsia" w:ascii="宋体" w:hAnsi="宋体" w:cs="宋体"/>
          <w:b/>
          <w:bCs/>
          <w:color w:val="auto"/>
          <w:sz w:val="28"/>
          <w:szCs w:val="28"/>
          <w:highlight w:val="none"/>
          <w:lang w:eastAsia="zh-CN"/>
        </w:rPr>
        <w:t>NNZC2026-C2-070037-GXGG</w:t>
      </w:r>
      <w:r>
        <w:rPr>
          <w:rFonts w:hint="eastAsia" w:ascii="宋体" w:hAnsi="宋体" w:eastAsia="宋体" w:cs="宋体"/>
          <w:b/>
          <w:bCs/>
          <w:color w:val="auto"/>
          <w:sz w:val="28"/>
          <w:szCs w:val="28"/>
          <w:highlight w:val="none"/>
        </w:rPr>
        <w:t>）竞争性磋商公告</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9"/>
      </w:tblGrid>
      <w:tr w14:paraId="2E0B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9" w:type="dxa"/>
            <w:noWrap w:val="0"/>
            <w:vAlign w:val="top"/>
          </w:tcPr>
          <w:p w14:paraId="34A1E597">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项目</w:t>
            </w:r>
            <w:r>
              <w:rPr>
                <w:rFonts w:hint="eastAsia" w:ascii="宋体" w:hAnsi="宋体" w:eastAsia="宋体" w:cs="宋体"/>
                <w:color w:val="auto"/>
                <w:szCs w:val="21"/>
                <w:highlight w:val="none"/>
              </w:rPr>
              <w:t>概况</w:t>
            </w:r>
          </w:p>
          <w:p w14:paraId="46CE55C6">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sz w:val="24"/>
                <w:highlight w:val="none"/>
              </w:rPr>
            </w:pPr>
            <w:r>
              <w:rPr>
                <w:rFonts w:hint="eastAsia" w:ascii="宋体" w:hAnsi="宋体" w:cs="宋体"/>
                <w:color w:val="auto"/>
                <w:szCs w:val="21"/>
                <w:highlight w:val="none"/>
                <w:u w:val="single"/>
                <w:lang w:eastAsia="zh-CN"/>
              </w:rPr>
              <w:t>南宁市第三幼儿园教学楼维修工程</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项目的潜在投标人应在“广西政府采购云平台”（https://www.gcy.zfcg.gxzf.gov.cn/）获取（下载）</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文件，并于</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08</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14</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eastAsia="宋体" w:cs="宋体"/>
                <w:color w:val="auto"/>
                <w:szCs w:val="21"/>
                <w:highlight w:val="none"/>
                <w:u w:val="single"/>
              </w:rPr>
              <w:t>点</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u w:val="single"/>
              </w:rPr>
              <w:t>分00秒</w:t>
            </w:r>
            <w:r>
              <w:rPr>
                <w:rFonts w:hint="eastAsia" w:ascii="宋体" w:hAnsi="宋体" w:eastAsia="宋体" w:cs="宋体"/>
                <w:color w:val="auto"/>
                <w:szCs w:val="21"/>
                <w:highlight w:val="none"/>
              </w:rPr>
              <w:t>（北京时间）前</w:t>
            </w:r>
            <w:r>
              <w:rPr>
                <w:rFonts w:hint="eastAsia" w:ascii="宋体" w:hAnsi="宋体" w:eastAsia="宋体" w:cs="宋体"/>
                <w:color w:val="auto"/>
                <w:szCs w:val="21"/>
                <w:highlight w:val="none"/>
                <w:lang w:val="en-US" w:eastAsia="zh-CN"/>
              </w:rPr>
              <w:t>提交响应</w:t>
            </w:r>
            <w:r>
              <w:rPr>
                <w:rFonts w:hint="eastAsia" w:ascii="宋体" w:hAnsi="宋体" w:eastAsia="宋体" w:cs="宋体"/>
                <w:color w:val="auto"/>
                <w:szCs w:val="21"/>
                <w:highlight w:val="none"/>
              </w:rPr>
              <w:t>文件。</w:t>
            </w:r>
          </w:p>
        </w:tc>
      </w:tr>
    </w:tbl>
    <w:p w14:paraId="7683F5E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一、项目基本情况</w:t>
      </w:r>
    </w:p>
    <w:p w14:paraId="0E3E464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项目编号：</w:t>
      </w:r>
      <w:r>
        <w:rPr>
          <w:rFonts w:hint="eastAsia" w:ascii="宋体" w:hAnsi="宋体" w:cs="宋体"/>
          <w:color w:val="auto"/>
          <w:szCs w:val="21"/>
          <w:highlight w:val="none"/>
          <w:lang w:eastAsia="zh-CN"/>
        </w:rPr>
        <w:t>NNZC2026-C2-070037-GXGG</w:t>
      </w:r>
    </w:p>
    <w:p w14:paraId="4E58286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项目名称：</w:t>
      </w:r>
      <w:r>
        <w:rPr>
          <w:rFonts w:hint="eastAsia" w:ascii="宋体" w:hAnsi="宋体" w:cs="宋体"/>
          <w:i w:val="0"/>
          <w:iCs w:val="0"/>
          <w:caps w:val="0"/>
          <w:color w:val="auto"/>
          <w:spacing w:val="0"/>
          <w:kern w:val="0"/>
          <w:sz w:val="21"/>
          <w:szCs w:val="21"/>
          <w:highlight w:val="none"/>
          <w:shd w:val="clear" w:color="auto" w:fill="FFFFFF"/>
          <w:lang w:val="en-US" w:eastAsia="zh-CN" w:bidi="ar"/>
        </w:rPr>
        <w:t>南宁市第三幼儿园教学楼维修工程</w:t>
      </w:r>
    </w:p>
    <w:p w14:paraId="6C1DC7E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采购方式：竞争性磋商</w:t>
      </w:r>
    </w:p>
    <w:p w14:paraId="5EAB740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lang w:val="en-US"/>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预算总金额（元）：797094.06</w:t>
      </w:r>
    </w:p>
    <w:p w14:paraId="269045B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采购需求：</w:t>
      </w:r>
    </w:p>
    <w:p w14:paraId="58240BE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标项名称:</w:t>
      </w:r>
      <w:r>
        <w:rPr>
          <w:rFonts w:hint="eastAsia" w:ascii="宋体" w:hAnsi="宋体" w:cs="宋体"/>
          <w:i w:val="0"/>
          <w:iCs w:val="0"/>
          <w:caps w:val="0"/>
          <w:color w:val="auto"/>
          <w:spacing w:val="0"/>
          <w:kern w:val="0"/>
          <w:sz w:val="21"/>
          <w:szCs w:val="21"/>
          <w:highlight w:val="none"/>
          <w:shd w:val="clear" w:color="auto" w:fill="FFFFFF"/>
          <w:lang w:val="en-US" w:eastAsia="zh-CN" w:bidi="ar"/>
        </w:rPr>
        <w:t>南宁市第三幼儿园教学楼维修工程</w:t>
      </w:r>
    </w:p>
    <w:p w14:paraId="4BC3692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数量:1</w:t>
      </w:r>
    </w:p>
    <w:p w14:paraId="56BA641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预算金额（元）：797094.06</w:t>
      </w:r>
    </w:p>
    <w:p w14:paraId="31E492E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简要规格描述或项目基本概况介绍、用途：</w:t>
      </w:r>
      <w:r>
        <w:rPr>
          <w:rFonts w:hint="eastAsia" w:ascii="宋体" w:hAnsi="宋体" w:cs="宋体"/>
          <w:i w:val="0"/>
          <w:iCs w:val="0"/>
          <w:caps w:val="0"/>
          <w:color w:val="auto"/>
          <w:spacing w:val="0"/>
          <w:kern w:val="0"/>
          <w:sz w:val="21"/>
          <w:szCs w:val="21"/>
          <w:highlight w:val="none"/>
          <w:shd w:val="clear" w:color="auto" w:fill="FFFFFF"/>
          <w:lang w:val="en-US" w:eastAsia="zh-CN" w:bidi="ar"/>
        </w:rPr>
        <w:t>南宁市第三幼儿园教学楼维修工程</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教学活动及幼儿寝室、卫生间用房维修约800平方米</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。具体内容详见工程量清单及图纸</w:t>
      </w:r>
      <w:r>
        <w:rPr>
          <w:rFonts w:hint="eastAsia" w:ascii="宋体" w:hAnsi="宋体" w:cs="宋体"/>
          <w:i w:val="0"/>
          <w:iCs w:val="0"/>
          <w:caps w:val="0"/>
          <w:color w:val="auto"/>
          <w:spacing w:val="0"/>
          <w:kern w:val="0"/>
          <w:sz w:val="21"/>
          <w:szCs w:val="21"/>
          <w:highlight w:val="none"/>
          <w:shd w:val="clear" w:color="auto" w:fill="FFFFFF"/>
          <w:lang w:val="en-US" w:eastAsia="zh-CN" w:bidi="ar"/>
        </w:rPr>
        <w:t>。</w:t>
      </w:r>
    </w:p>
    <w:p w14:paraId="2CCFD15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default" w:ascii="宋体" w:hAnsi="宋体" w:eastAsia="宋体" w:cs="宋体"/>
          <w:i w:val="0"/>
          <w:iCs w:val="0"/>
          <w:caps w:val="0"/>
          <w:color w:val="auto"/>
          <w:spacing w:val="0"/>
          <w:kern w:val="0"/>
          <w:sz w:val="21"/>
          <w:szCs w:val="21"/>
          <w:highlight w:val="yellow"/>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yellow"/>
          <w:shd w:val="clear" w:color="auto" w:fill="FFFFFF"/>
          <w:lang w:val="en-US" w:eastAsia="zh-CN" w:bidi="ar"/>
        </w:rPr>
        <w:t>最高限价（如有）：</w:t>
      </w:r>
      <w:r>
        <w:rPr>
          <w:rFonts w:hint="eastAsia" w:ascii="宋体" w:hAnsi="宋体" w:cs="宋体"/>
          <w:i w:val="0"/>
          <w:iCs w:val="0"/>
          <w:caps w:val="0"/>
          <w:color w:val="auto"/>
          <w:spacing w:val="0"/>
          <w:kern w:val="0"/>
          <w:sz w:val="21"/>
          <w:szCs w:val="21"/>
          <w:highlight w:val="yellow"/>
          <w:shd w:val="clear" w:color="auto" w:fill="FFFFFF"/>
          <w:lang w:val="en-US" w:eastAsia="zh-CN" w:bidi="ar"/>
        </w:rPr>
        <w:t>757239.36</w:t>
      </w:r>
    </w:p>
    <w:p w14:paraId="35E77EB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合同履约期限：</w:t>
      </w:r>
      <w:r>
        <w:rPr>
          <w:rFonts w:hint="eastAsia" w:ascii="宋体" w:hAnsi="宋体" w:cs="宋体"/>
          <w:i w:val="0"/>
          <w:iCs w:val="0"/>
          <w:caps w:val="0"/>
          <w:color w:val="auto"/>
          <w:spacing w:val="0"/>
          <w:kern w:val="0"/>
          <w:sz w:val="21"/>
          <w:szCs w:val="21"/>
          <w:highlight w:val="none"/>
          <w:shd w:val="clear" w:color="auto" w:fill="FFFFFF"/>
          <w:lang w:val="en-US" w:eastAsia="zh-CN" w:bidi="ar"/>
        </w:rPr>
        <w:t>50</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个日历天内完工。</w:t>
      </w:r>
    </w:p>
    <w:p w14:paraId="265875E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本标项（否）接受联合体投标</w:t>
      </w:r>
    </w:p>
    <w:p w14:paraId="07D966F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tabs>
          <w:tab w:val="left" w:pos="5601"/>
        </w:tabs>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备注：</w:t>
      </w:r>
    </w:p>
    <w:p w14:paraId="15B59BE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二、</w:t>
      </w:r>
      <w:bookmarkStart w:id="8" w:name="OLE_LINK7"/>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申请人的资格要求</w:t>
      </w:r>
      <w:bookmarkEnd w:id="8"/>
    </w:p>
    <w:p w14:paraId="3966BCE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1.满足《中华人民共和国政府采购法》第二十二条规定；</w:t>
      </w:r>
    </w:p>
    <w:p w14:paraId="4061C4B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firstLineChars="0"/>
        <w:jc w:val="left"/>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2.落实政府采购政策需满足的资格要求：</w:t>
      </w:r>
      <w:r>
        <w:rPr>
          <w:rFonts w:hint="eastAsia" w:ascii="宋体" w:hAnsi="宋体" w:eastAsia="宋体" w:cs="宋体"/>
          <w:i w:val="0"/>
          <w:iCs w:val="0"/>
          <w:color w:val="auto"/>
          <w:szCs w:val="21"/>
          <w:highlight w:val="none"/>
          <w:u w:val="single"/>
          <w:lang w:val="en-US" w:eastAsia="zh-CN"/>
        </w:rPr>
        <w:t>本项目为专门面向中小企业采购的项目</w:t>
      </w:r>
      <w:r>
        <w:rPr>
          <w:rFonts w:hint="eastAsia" w:ascii="宋体" w:hAnsi="宋体" w:eastAsia="宋体" w:cs="宋体"/>
          <w:i w:val="0"/>
          <w:iCs w:val="0"/>
          <w:caps w:val="0"/>
          <w:color w:val="auto"/>
          <w:spacing w:val="0"/>
          <w:sz w:val="21"/>
          <w:szCs w:val="21"/>
          <w:highlight w:val="none"/>
          <w:shd w:val="clear" w:color="auto" w:fill="FFFFFF"/>
        </w:rPr>
        <w:t>（供应商应为中小微企业、监狱企业、残疾人福利性单位)</w:t>
      </w:r>
    </w:p>
    <w:p w14:paraId="1ECF507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color w:val="auto"/>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本项目的特定资格要求：具有建筑工程施工总承包三级及以上资质，且具有有效的安全生产许可证，并在人员、设备、资金等方面具备相应的施工能力的企业，其中拟派项目经理须具有建筑工程专业贰级以上（含贰级）注册建造师执业资格，且具有有效的安全生产考核合格证书（B类）。</w:t>
      </w:r>
    </w:p>
    <w:p w14:paraId="024E7A4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三、获取采购文件</w:t>
      </w:r>
    </w:p>
    <w:p w14:paraId="5E924FF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时间：/至 2026年</w:t>
      </w:r>
      <w:r>
        <w:rPr>
          <w:rFonts w:hint="eastAsia" w:ascii="宋体" w:hAnsi="宋体" w:cs="宋体"/>
          <w:i w:val="0"/>
          <w:iCs w:val="0"/>
          <w:caps w:val="0"/>
          <w:color w:val="auto"/>
          <w:spacing w:val="0"/>
          <w:kern w:val="0"/>
          <w:sz w:val="21"/>
          <w:szCs w:val="21"/>
          <w:highlight w:val="none"/>
          <w:shd w:val="clear" w:color="auto" w:fill="FFFFFF"/>
          <w:lang w:val="en-US" w:eastAsia="zh-CN" w:bidi="ar"/>
        </w:rPr>
        <w:t>8</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月</w:t>
      </w:r>
      <w:r>
        <w:rPr>
          <w:rFonts w:hint="eastAsia" w:ascii="宋体" w:hAnsi="宋体" w:cs="宋体"/>
          <w:i w:val="0"/>
          <w:iCs w:val="0"/>
          <w:caps w:val="0"/>
          <w:color w:val="auto"/>
          <w:spacing w:val="0"/>
          <w:kern w:val="0"/>
          <w:sz w:val="21"/>
          <w:szCs w:val="21"/>
          <w:highlight w:val="none"/>
          <w:shd w:val="clear" w:color="auto" w:fill="FFFFFF"/>
          <w:lang w:val="en-US" w:eastAsia="zh-CN" w:bidi="ar"/>
        </w:rPr>
        <w:t>14</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日，每天上午00:00至12:00，下午12:00至23:59（北京时间，法定节假日除外）。</w:t>
      </w:r>
    </w:p>
    <w:p w14:paraId="76299CD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地点（网址）：</w:t>
      </w:r>
      <w:r>
        <w:rPr>
          <w:rFonts w:hint="eastAsia" w:ascii="宋体" w:hAnsi="宋体" w:eastAsia="宋体" w:cs="宋体"/>
          <w:color w:val="auto"/>
          <w:szCs w:val="21"/>
          <w:highlight w:val="none"/>
        </w:rPr>
        <w:t>“广西政府采购云平台”（https://www.gcy.zfcg.gxzf.gov.cn/）</w:t>
      </w:r>
    </w:p>
    <w:p w14:paraId="211E325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方式:网上下载。本项目不发放纸质采购文件，供应商可自行在广西政府采购云平台（https://www.gcy.zfcg.gxzf.gov.cn）下载采购文件（操作路径：登录广西政府采购云平台-项目采购-获取采购文件-找到本项目-点击“申请获取采购文件”）。</w:t>
      </w:r>
    </w:p>
    <w:p w14:paraId="5E601DC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售价（元）：0</w:t>
      </w:r>
    </w:p>
    <w:p w14:paraId="56D8C70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四、响应文件提交</w:t>
      </w:r>
    </w:p>
    <w:p w14:paraId="6CCAF00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1.首次响应文件提交截止时间（北京时间）：2026年</w:t>
      </w:r>
      <w:r>
        <w:rPr>
          <w:rFonts w:hint="eastAsia" w:ascii="宋体" w:hAnsi="宋体" w:cs="宋体"/>
          <w:i w:val="0"/>
          <w:iCs w:val="0"/>
          <w:caps w:val="0"/>
          <w:color w:val="auto"/>
          <w:spacing w:val="0"/>
          <w:kern w:val="0"/>
          <w:sz w:val="21"/>
          <w:szCs w:val="21"/>
          <w:highlight w:val="none"/>
          <w:shd w:val="clear" w:color="auto" w:fill="FFFFFF"/>
          <w:lang w:val="en-US" w:eastAsia="zh-CN" w:bidi="ar"/>
        </w:rPr>
        <w:t>08</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月</w:t>
      </w:r>
      <w:r>
        <w:rPr>
          <w:rFonts w:hint="eastAsia" w:ascii="宋体" w:hAnsi="宋体" w:cs="宋体"/>
          <w:i w:val="0"/>
          <w:iCs w:val="0"/>
          <w:caps w:val="0"/>
          <w:color w:val="auto"/>
          <w:spacing w:val="0"/>
          <w:kern w:val="0"/>
          <w:sz w:val="21"/>
          <w:szCs w:val="21"/>
          <w:highlight w:val="none"/>
          <w:shd w:val="clear" w:color="auto" w:fill="FFFFFF"/>
          <w:lang w:val="en-US" w:eastAsia="zh-CN" w:bidi="ar"/>
        </w:rPr>
        <w:t>14</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日</w:t>
      </w:r>
      <w:r>
        <w:rPr>
          <w:rFonts w:hint="eastAsia" w:ascii="宋体" w:hAnsi="宋体" w:cs="宋体"/>
          <w:i w:val="0"/>
          <w:iCs w:val="0"/>
          <w:caps w:val="0"/>
          <w:color w:val="auto"/>
          <w:spacing w:val="0"/>
          <w:kern w:val="0"/>
          <w:sz w:val="21"/>
          <w:szCs w:val="21"/>
          <w:highlight w:val="none"/>
          <w:shd w:val="clear" w:color="auto" w:fill="FFFFFF"/>
          <w:lang w:val="en-US" w:eastAsia="zh-CN" w:bidi="ar"/>
        </w:rPr>
        <w:t>09</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0（北京时间）。</w:t>
      </w:r>
    </w:p>
    <w:p w14:paraId="6129215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color w:val="auto"/>
          <w:szCs w:val="21"/>
          <w:highlight w:val="none"/>
          <w:lang w:eastAsia="zh-CN"/>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2.首次响应文件提交地点：</w:t>
      </w:r>
      <w:r>
        <w:rPr>
          <w:rFonts w:hint="eastAsia" w:ascii="宋体" w:hAnsi="宋体" w:eastAsia="宋体" w:cs="宋体"/>
          <w:color w:val="auto"/>
          <w:szCs w:val="21"/>
          <w:highlight w:val="none"/>
        </w:rPr>
        <w:t>本项目为南宁市全流程电子化项目，通过“广西政府采购云平台”（https：//www.gcy.zfcg.gxzf.gov.cn）实行在线电子响应</w:t>
      </w:r>
      <w:r>
        <w:rPr>
          <w:rFonts w:hint="eastAsia" w:ascii="宋体" w:hAnsi="宋体" w:cs="宋体"/>
          <w:color w:val="auto"/>
          <w:szCs w:val="21"/>
          <w:highlight w:val="none"/>
          <w:lang w:eastAsia="zh-CN"/>
        </w:rPr>
        <w:t>。</w:t>
      </w:r>
    </w:p>
    <w:p w14:paraId="286DEC1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五、开启（首次响应文件开启时间）</w:t>
      </w:r>
    </w:p>
    <w:p w14:paraId="06AD6CA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时间（北京时间）：2026年</w:t>
      </w:r>
      <w:r>
        <w:rPr>
          <w:rFonts w:hint="eastAsia" w:ascii="宋体" w:hAnsi="宋体" w:cs="宋体"/>
          <w:i w:val="0"/>
          <w:iCs w:val="0"/>
          <w:caps w:val="0"/>
          <w:color w:val="auto"/>
          <w:spacing w:val="0"/>
          <w:kern w:val="0"/>
          <w:sz w:val="21"/>
          <w:szCs w:val="21"/>
          <w:highlight w:val="none"/>
          <w:shd w:val="clear" w:color="auto" w:fill="FFFFFF"/>
          <w:lang w:val="en-US" w:eastAsia="zh-CN" w:bidi="ar"/>
        </w:rPr>
        <w:t>08</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月</w:t>
      </w:r>
      <w:r>
        <w:rPr>
          <w:rFonts w:hint="eastAsia" w:ascii="宋体" w:hAnsi="宋体" w:cs="宋体"/>
          <w:i w:val="0"/>
          <w:iCs w:val="0"/>
          <w:caps w:val="0"/>
          <w:color w:val="auto"/>
          <w:spacing w:val="0"/>
          <w:kern w:val="0"/>
          <w:sz w:val="21"/>
          <w:szCs w:val="21"/>
          <w:highlight w:val="none"/>
          <w:shd w:val="clear" w:color="auto" w:fill="FFFFFF"/>
          <w:lang w:val="en-US" w:eastAsia="zh-CN" w:bidi="ar"/>
        </w:rPr>
        <w:t>14</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日</w:t>
      </w:r>
      <w:r>
        <w:rPr>
          <w:rFonts w:hint="eastAsia" w:ascii="宋体" w:hAnsi="宋体" w:cs="宋体"/>
          <w:i w:val="0"/>
          <w:iCs w:val="0"/>
          <w:caps w:val="0"/>
          <w:color w:val="auto"/>
          <w:spacing w:val="0"/>
          <w:kern w:val="0"/>
          <w:sz w:val="21"/>
          <w:szCs w:val="21"/>
          <w:highlight w:val="none"/>
          <w:shd w:val="clear" w:color="auto" w:fill="FFFFFF"/>
          <w:lang w:val="en-US" w:eastAsia="zh-CN" w:bidi="ar"/>
        </w:rPr>
        <w:t>09</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3</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0（北京时间）</w:t>
      </w:r>
    </w:p>
    <w:p w14:paraId="3F5EB6E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 xml:space="preserve">地点：“广西政府采购云平台”（https：//www.gcy.zfcg.gxzf.gov.cn） </w:t>
      </w:r>
    </w:p>
    <w:p w14:paraId="2E73436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六、公告期限</w:t>
      </w:r>
    </w:p>
    <w:p w14:paraId="5B94274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自本公告发布之日起5个工作日。</w:t>
      </w:r>
    </w:p>
    <w:p w14:paraId="10EE2EC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七、其他补充事宜</w:t>
      </w:r>
    </w:p>
    <w:p w14:paraId="48627B0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1.磋商保证金：本项目不收取磋商保证金</w:t>
      </w:r>
    </w:p>
    <w:p w14:paraId="0EF28F7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2.采购意向公开链接：https://zfcg.gxzf.gov.cn/site/detail?categoryCode=ZcyAnnouncement&amp;parentId=66485&amp;articleId=QbO8FZTrR1pHMBdL3QCpAQ==</w:t>
      </w:r>
    </w:p>
    <w:p w14:paraId="45A31D9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3.网上查询地址</w:t>
      </w:r>
    </w:p>
    <w:p w14:paraId="64CEE0A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http://www.ccgp.gov.cn (中国政府采购网),http://zfcg.gxzf.gov.cn (广西政府采购网) , http://ggzy.jgswj.gxzf.gov.cn/nnggzy(全国公共资源交易平台(广西·南宁))</w:t>
      </w:r>
    </w:p>
    <w:p w14:paraId="5A11AE8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4.本项目需要落实的政府采购政策</w:t>
      </w:r>
    </w:p>
    <w:p w14:paraId="69F1139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（1）政府采购促进中小企业发展。</w:t>
      </w:r>
    </w:p>
    <w:p w14:paraId="2EF6556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（2）政府采购支持采用本国产品的政策。</w:t>
      </w:r>
    </w:p>
    <w:p w14:paraId="30D36F8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（3）强制采购节能产品；优先采购节能产品、环境标志产品。</w:t>
      </w:r>
    </w:p>
    <w:p w14:paraId="16D209A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（4）政府采购促进残疾人就业政策。</w:t>
      </w:r>
    </w:p>
    <w:p w14:paraId="175D7C1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（5）政府采购支持监狱企业发展。</w:t>
      </w:r>
    </w:p>
    <w:p w14:paraId="73BBCC8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64CE7AD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6. 若对项目采购电子交易系统操作有疑问，可登录广西政府采购云平台（https://www.gcy.zfcg.gxzf.gov.cn/），点击右侧咨询小采，获取采小蜜智能服务管家帮助，或拨打广西政府采购云平台服务热线95763获取热线服务帮助。</w:t>
      </w:r>
    </w:p>
    <w:p w14:paraId="78F42FF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7.注意事项：</w:t>
      </w:r>
    </w:p>
    <w:p w14:paraId="4BF4B0F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1）响应文件提交方式：本项目为南宁市全流程电子化项目，通过广西政府采购云平台（https://www.gcy.zfcg.gxzf.gov.cn/）实行在线电子响应，供应商应先安装广西政府采购云平台新版客户端（请自行前往广西政府采购云平台进行下载），并按照本项目采购文件和广西政府采购云平台的要求编制、加密后在响应文件提交截止时间前通过网络上传至南宁市广西政府采购云平台，供应商在广西政府采购云平台提交电子版响应文件时，请填写参加远程采购活动经办人联系方式。</w:t>
      </w:r>
    </w:p>
    <w:p w14:paraId="00D1C6F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（2）未进行网上注册并办理数字证书（CA认证）的供应商将无法参与本项目政府采购活动，潜在供应商应当在响应文件提交截止时间前，完成电子交易平台上的CA数字证书办理及响应文件的提交。</w:t>
      </w:r>
    </w:p>
    <w:p w14:paraId="7938311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（3）为确保网上操作合法、有效和安全，请供应商确保在电子响应过程中能够对相关数据电文进行加密和使用电子签章，妥善保管CA数字证书并使用有效的CA数字证书参与整个采购活动。</w:t>
      </w:r>
    </w:p>
    <w:p w14:paraId="12F7515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0DF69A8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4）CA证书在线解密：首次响应文件开启时，须要供应商携带制作响应文件时用来加密的有效数字证书（CA认证）登录广西政府采购云平台电子开标大厅现场按规定时间对加密的响应文件进行解密，未能按要求进行解密的，由此产生的后果由供应商自行承担。</w:t>
      </w:r>
    </w:p>
    <w:p w14:paraId="0115D2E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（5）供应商需要在具备有摄像头及语音功能且互联网网络状况良好的电脑登录广西政府采购云平台远程开标大厅参与本次磋商，否则后果自负。</w:t>
      </w:r>
    </w:p>
    <w:p w14:paraId="47C69D5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left="0" w:right="0" w:firstLine="42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8.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  </w:t>
      </w:r>
    </w:p>
    <w:p w14:paraId="1369F52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八、凡对本次采购提出询问，请按以下方式联系</w:t>
      </w:r>
    </w:p>
    <w:p w14:paraId="08D86368">
      <w:pPr>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4C646488">
      <w:pPr>
        <w:spacing w:line="360" w:lineRule="auto"/>
        <w:ind w:firstLine="630" w:firstLineChars="3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名称：</w:t>
      </w:r>
      <w:r>
        <w:rPr>
          <w:rFonts w:hint="eastAsia" w:ascii="宋体" w:hAnsi="宋体" w:cs="宋体"/>
          <w:color w:val="auto"/>
          <w:szCs w:val="21"/>
          <w:highlight w:val="none"/>
          <w:lang w:eastAsia="zh-CN"/>
        </w:rPr>
        <w:t>南宁市第三幼儿园</w:t>
      </w:r>
    </w:p>
    <w:p w14:paraId="4D959956">
      <w:pPr>
        <w:spacing w:line="360" w:lineRule="auto"/>
        <w:ind w:firstLine="630" w:firstLineChars="3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地址：南宁市华强路97号</w:t>
      </w:r>
    </w:p>
    <w:p w14:paraId="2533B5D9">
      <w:pPr>
        <w:spacing w:line="360" w:lineRule="auto"/>
        <w:ind w:firstLine="630" w:firstLineChars="3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w:t>
      </w:r>
      <w:r>
        <w:rPr>
          <w:rFonts w:hint="eastAsia" w:ascii="宋体" w:hAnsi="宋体" w:eastAsia="宋体" w:cs="宋体"/>
          <w:color w:val="auto"/>
          <w:szCs w:val="21"/>
          <w:highlight w:val="none"/>
          <w:lang w:eastAsia="zh-CN"/>
        </w:rPr>
        <w:t>联系</w:t>
      </w:r>
      <w:r>
        <w:rPr>
          <w:rFonts w:hint="eastAsia" w:ascii="宋体" w:hAnsi="宋体" w:eastAsia="宋体" w:cs="宋体"/>
          <w:color w:val="auto"/>
          <w:szCs w:val="21"/>
          <w:highlight w:val="none"/>
          <w:lang w:val="en-US" w:eastAsia="zh-CN"/>
        </w:rPr>
        <w:t>人及</w:t>
      </w:r>
      <w:r>
        <w:rPr>
          <w:rFonts w:hint="eastAsia" w:ascii="宋体" w:hAnsi="宋体" w:eastAsia="宋体" w:cs="宋体"/>
          <w:color w:val="auto"/>
          <w:szCs w:val="21"/>
          <w:highlight w:val="none"/>
          <w:lang w:eastAsia="zh-CN"/>
        </w:rPr>
        <w:t>电话</w:t>
      </w:r>
      <w:bookmarkStart w:id="9" w:name="OLE_LINK2"/>
      <w:r>
        <w:rPr>
          <w:rFonts w:hint="eastAsia" w:ascii="宋体" w:hAnsi="宋体" w:eastAsia="宋体" w:cs="宋体"/>
          <w:color w:val="auto"/>
          <w:szCs w:val="21"/>
          <w:highlight w:val="none"/>
          <w:lang w:eastAsia="zh-CN"/>
        </w:rPr>
        <w:t>：</w:t>
      </w:r>
      <w:bookmarkStart w:id="76" w:name="_GoBack"/>
      <w:r>
        <w:rPr>
          <w:rFonts w:hint="eastAsia" w:ascii="宋体" w:hAnsi="宋体" w:eastAsia="宋体" w:cs="宋体"/>
          <w:color w:val="auto"/>
          <w:szCs w:val="21"/>
          <w:highlight w:val="none"/>
          <w:lang w:eastAsia="zh-CN"/>
        </w:rPr>
        <w:t>林江英</w:t>
      </w:r>
      <w:bookmarkEnd w:id="76"/>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lang w:eastAsia="zh-CN"/>
        </w:rPr>
        <w:t>0771-2434330</w:t>
      </w:r>
    </w:p>
    <w:bookmarkEnd w:id="9"/>
    <w:p w14:paraId="4B8D2CB2">
      <w:pPr>
        <w:numPr>
          <w:ilvl w:val="0"/>
          <w:numId w:val="1"/>
        </w:numPr>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采购代理机构信息</w:t>
      </w:r>
    </w:p>
    <w:p w14:paraId="42467F52">
      <w:pPr>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广西桂工建设管理咨询有限公司</w:t>
      </w:r>
      <w:r>
        <w:rPr>
          <w:rFonts w:hint="eastAsia" w:ascii="宋体" w:hAnsi="宋体" w:eastAsia="宋体" w:cs="宋体"/>
          <w:color w:val="auto"/>
          <w:szCs w:val="21"/>
          <w:highlight w:val="none"/>
        </w:rPr>
        <w:t xml:space="preserve"> </w:t>
      </w:r>
    </w:p>
    <w:p w14:paraId="500709E7">
      <w:pPr>
        <w:spacing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地址：中国（广西）自由贸易试验区南宁片区庆歌路20号富雅•国际商务大厦B栋十三层1301</w:t>
      </w:r>
    </w:p>
    <w:p w14:paraId="13AADBE8">
      <w:pPr>
        <w:spacing w:line="360" w:lineRule="auto"/>
        <w:ind w:firstLine="630" w:firstLineChars="3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项目联系人：</w:t>
      </w:r>
      <w:r>
        <w:rPr>
          <w:rFonts w:hint="eastAsia" w:ascii="宋体" w:hAnsi="宋体" w:eastAsia="宋体" w:cs="宋体"/>
          <w:color w:val="auto"/>
          <w:szCs w:val="21"/>
          <w:highlight w:val="none"/>
          <w:lang w:val="en-US" w:eastAsia="zh-CN"/>
        </w:rPr>
        <w:t>黄开西、方丽文、冯丽婷、唐电生</w:t>
      </w:r>
    </w:p>
    <w:p w14:paraId="57216EB7">
      <w:pPr>
        <w:spacing w:line="360" w:lineRule="auto"/>
        <w:ind w:firstLine="630" w:firstLineChars="3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项目联系方式：</w:t>
      </w:r>
      <w:r>
        <w:rPr>
          <w:rFonts w:hint="eastAsia" w:ascii="宋体" w:hAnsi="宋体" w:eastAsia="宋体" w:cs="宋体"/>
          <w:color w:val="auto"/>
          <w:szCs w:val="21"/>
          <w:highlight w:val="none"/>
          <w:lang w:val="en-US" w:eastAsia="zh-CN"/>
        </w:rPr>
        <w:t>0771-5533898</w:t>
      </w:r>
    </w:p>
    <w:p w14:paraId="4531F0F0">
      <w:pPr>
        <w:spacing w:line="360" w:lineRule="auto"/>
        <w:ind w:left="1041" w:leftChars="371" w:hanging="262" w:hangingChars="125"/>
        <w:jc w:val="left"/>
        <w:rPr>
          <w:rFonts w:hint="eastAsia" w:ascii="宋体" w:hAnsi="宋体" w:eastAsia="宋体" w:cs="宋体"/>
          <w:color w:val="auto"/>
          <w:szCs w:val="21"/>
          <w:highlight w:val="none"/>
          <w:lang w:val="en-US" w:eastAsia="zh-CN"/>
        </w:rPr>
      </w:pPr>
    </w:p>
    <w:p w14:paraId="57BD6665">
      <w:pPr>
        <w:spacing w:line="360" w:lineRule="auto"/>
        <w:ind w:left="1041" w:leftChars="371" w:hanging="262" w:hangingChars="125"/>
        <w:jc w:val="left"/>
        <w:rPr>
          <w:rFonts w:hint="eastAsia" w:ascii="宋体" w:hAnsi="宋体" w:eastAsia="宋体" w:cs="宋体"/>
          <w:color w:val="auto"/>
          <w:szCs w:val="21"/>
          <w:highlight w:val="none"/>
          <w:lang w:val="en-US" w:eastAsia="zh-CN"/>
        </w:rPr>
      </w:pPr>
    </w:p>
    <w:p w14:paraId="4925675F">
      <w:pPr>
        <w:spacing w:line="360" w:lineRule="auto"/>
        <w:ind w:left="1041" w:leftChars="371" w:hanging="262" w:hangingChars="125"/>
        <w:jc w:val="left"/>
        <w:rPr>
          <w:rFonts w:hint="eastAsia" w:ascii="宋体" w:hAnsi="宋体" w:eastAsia="宋体" w:cs="宋体"/>
          <w:color w:val="auto"/>
          <w:szCs w:val="21"/>
          <w:highlight w:val="none"/>
          <w:lang w:val="en-US" w:eastAsia="zh-CN"/>
        </w:rPr>
      </w:pPr>
    </w:p>
    <w:p w14:paraId="4249BF8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C3247E7">
      <w:pPr>
        <w:pStyle w:val="2"/>
        <w:spacing w:before="0" w:after="0" w:line="240" w:lineRule="auto"/>
        <w:jc w:val="center"/>
        <w:rPr>
          <w:rFonts w:hint="eastAsia" w:ascii="宋体" w:hAnsi="宋体" w:eastAsia="宋体" w:cs="宋体"/>
          <w:b/>
          <w:bCs w:val="0"/>
          <w:color w:val="auto"/>
          <w:sz w:val="32"/>
          <w:szCs w:val="32"/>
          <w:highlight w:val="none"/>
        </w:rPr>
      </w:pPr>
      <w:bookmarkStart w:id="10" w:name="_Toc7184"/>
      <w:bookmarkStart w:id="11" w:name="_Toc25520"/>
      <w:bookmarkStart w:id="12" w:name="_Toc11093"/>
      <w:bookmarkStart w:id="13" w:name="_Toc9127"/>
      <w:bookmarkStart w:id="14" w:name="_Toc22255"/>
      <w:bookmarkStart w:id="15" w:name="_Toc22760"/>
      <w:r>
        <w:rPr>
          <w:rFonts w:hint="eastAsia" w:ascii="宋体" w:hAnsi="宋体" w:eastAsia="宋体" w:cs="宋体"/>
          <w:b/>
          <w:bCs w:val="0"/>
          <w:color w:val="auto"/>
          <w:sz w:val="32"/>
          <w:szCs w:val="32"/>
          <w:highlight w:val="none"/>
        </w:rPr>
        <w:t>第二章 采购需求</w:t>
      </w:r>
      <w:bookmarkEnd w:id="10"/>
      <w:bookmarkEnd w:id="11"/>
      <w:bookmarkEnd w:id="12"/>
      <w:bookmarkEnd w:id="13"/>
      <w:bookmarkEnd w:id="14"/>
    </w:p>
    <w:bookmarkEnd w:id="15"/>
    <w:p w14:paraId="6F057969">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857B92F">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471F8AB0">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（1）本竞争性磋商文件所称中小企业必须符合《政府采购促进中小企业发展管理办法》（财库〔2020〕46号）的规定。</w:t>
      </w:r>
    </w:p>
    <w:p w14:paraId="60C0CD2C">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有效期内的节能产品认证证书复印件（加盖供应商公章），</w:t>
      </w:r>
      <w:r>
        <w:rPr>
          <w:rFonts w:hint="eastAsia" w:ascii="宋体" w:hAnsi="宋体" w:eastAsia="宋体" w:cs="宋体"/>
          <w:b/>
          <w:bCs/>
          <w:color w:val="auto"/>
          <w:szCs w:val="21"/>
          <w:highlight w:val="none"/>
        </w:rPr>
        <w:t>否则响应文件按无效处理</w:t>
      </w:r>
      <w:r>
        <w:rPr>
          <w:rFonts w:hint="eastAsia" w:ascii="宋体" w:hAnsi="宋体" w:eastAsia="宋体" w:cs="宋体"/>
          <w:color w:val="auto"/>
          <w:szCs w:val="21"/>
          <w:highlight w:val="none"/>
        </w:rPr>
        <w:t xml:space="preserve">。如本项目包含的配套货物属于品目清单内非标注“★”的产品时，应优先采购，具体详见“第四章 </w:t>
      </w:r>
      <w:r>
        <w:rPr>
          <w:rStyle w:val="35"/>
          <w:rFonts w:hint="eastAsia" w:ascii="宋体" w:hAnsi="宋体" w:eastAsia="宋体" w:cs="宋体"/>
          <w:color w:val="auto"/>
          <w:highlight w:val="none"/>
        </w:rPr>
        <w:t>评审程序、评审方法和评审标准</w:t>
      </w:r>
      <w:r>
        <w:rPr>
          <w:rFonts w:hint="eastAsia" w:ascii="宋体" w:hAnsi="宋体" w:eastAsia="宋体" w:cs="宋体"/>
          <w:color w:val="auto"/>
          <w:szCs w:val="21"/>
          <w:highlight w:val="none"/>
        </w:rPr>
        <w:t>”。</w:t>
      </w:r>
    </w:p>
    <w:p w14:paraId="2AC03927">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2.“实质性要求”是指磋商文件中已经指明不满足则响应文件按无效响应处理的条款，或者不能负偏离的条款，或者采购需求中带“▲”的条款。</w:t>
      </w:r>
    </w:p>
    <w:p w14:paraId="7503780B">
      <w:pPr>
        <w:pStyle w:val="11"/>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3. </w:t>
      </w:r>
      <w:r>
        <w:rPr>
          <w:rFonts w:hint="eastAsia" w:ascii="宋体" w:hAnsi="宋体" w:eastAsia="宋体" w:cs="宋体"/>
          <w:color w:val="auto"/>
          <w:highlight w:val="none"/>
        </w:rPr>
        <w:t>如竞标产品存在侵犯他人的知识产权或者专利成果行为的，应承担相应法律责任。</w:t>
      </w:r>
    </w:p>
    <w:p w14:paraId="11EFB6D5">
      <w:pPr>
        <w:tabs>
          <w:tab w:val="left" w:pos="180"/>
          <w:tab w:val="left" w:pos="1620"/>
        </w:tabs>
        <w:spacing w:line="42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4.采购内容所属行业：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建筑业</w:t>
      </w:r>
      <w:r>
        <w:rPr>
          <w:rFonts w:hint="eastAsia" w:ascii="宋体" w:hAnsi="宋体" w:eastAsia="宋体" w:cs="宋体"/>
          <w:color w:val="auto"/>
          <w:highlight w:val="none"/>
          <w:u w:val="single"/>
          <w:lang w:val="en-US" w:eastAsia="zh-CN"/>
        </w:rPr>
        <w:t xml:space="preserve"> </w:t>
      </w:r>
    </w:p>
    <w:tbl>
      <w:tblPr>
        <w:tblStyle w:val="29"/>
        <w:tblW w:w="10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
        <w:gridCol w:w="458"/>
        <w:gridCol w:w="675"/>
        <w:gridCol w:w="651"/>
        <w:gridCol w:w="6984"/>
        <w:gridCol w:w="914"/>
      </w:tblGrid>
      <w:tr w14:paraId="7C7B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05" w:type="dxa"/>
            <w:gridSpan w:val="6"/>
            <w:tcBorders>
              <w:top w:val="single" w:color="auto" w:sz="4" w:space="0"/>
              <w:left w:val="single" w:color="auto" w:sz="4" w:space="0"/>
              <w:bottom w:val="single" w:color="auto" w:sz="4" w:space="0"/>
              <w:right w:val="single" w:color="auto" w:sz="4" w:space="0"/>
            </w:tcBorders>
            <w:noWrap w:val="0"/>
            <w:vAlign w:val="center"/>
          </w:tcPr>
          <w:p w14:paraId="0474DA24">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分标：/</w:t>
            </w:r>
          </w:p>
        </w:tc>
      </w:tr>
      <w:tr w14:paraId="42B6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dxa"/>
            <w:vMerge w:val="restart"/>
            <w:tcBorders>
              <w:top w:val="single" w:color="auto" w:sz="4" w:space="0"/>
            </w:tcBorders>
            <w:noWrap w:val="0"/>
            <w:vAlign w:val="center"/>
          </w:tcPr>
          <w:p w14:paraId="7174E9AB">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需求一览表</w:t>
            </w:r>
          </w:p>
        </w:tc>
        <w:tc>
          <w:tcPr>
            <w:tcW w:w="458" w:type="dxa"/>
            <w:tcBorders>
              <w:top w:val="single" w:color="auto" w:sz="4" w:space="0"/>
            </w:tcBorders>
            <w:noWrap w:val="0"/>
            <w:vAlign w:val="center"/>
          </w:tcPr>
          <w:p w14:paraId="7CB3970E">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75" w:type="dxa"/>
            <w:tcBorders>
              <w:top w:val="single" w:color="auto" w:sz="4" w:space="0"/>
            </w:tcBorders>
            <w:noWrap w:val="0"/>
            <w:vAlign w:val="center"/>
          </w:tcPr>
          <w:p w14:paraId="456A18E6">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651" w:type="dxa"/>
            <w:tcBorders>
              <w:top w:val="single" w:color="auto" w:sz="4" w:space="0"/>
            </w:tcBorders>
            <w:noWrap w:val="0"/>
            <w:vAlign w:val="center"/>
          </w:tcPr>
          <w:p w14:paraId="12F1D10E">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p w14:paraId="71DCA88A">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及单位</w:t>
            </w:r>
          </w:p>
          <w:p w14:paraId="6BDDC79C">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p>
        </w:tc>
        <w:tc>
          <w:tcPr>
            <w:tcW w:w="6984" w:type="dxa"/>
            <w:tcBorders>
              <w:top w:val="single" w:color="auto" w:sz="4" w:space="0"/>
            </w:tcBorders>
            <w:noWrap w:val="0"/>
            <w:vAlign w:val="center"/>
          </w:tcPr>
          <w:p w14:paraId="5E8E3126">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w:t>
            </w:r>
          </w:p>
        </w:tc>
        <w:tc>
          <w:tcPr>
            <w:tcW w:w="914" w:type="dxa"/>
            <w:tcBorders>
              <w:top w:val="single" w:color="auto" w:sz="4" w:space="0"/>
            </w:tcBorders>
            <w:noWrap w:val="0"/>
            <w:vAlign w:val="center"/>
          </w:tcPr>
          <w:p w14:paraId="33034EC7">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w:t>
            </w:r>
          </w:p>
        </w:tc>
      </w:tr>
      <w:tr w14:paraId="2603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23" w:type="dxa"/>
            <w:vMerge w:val="continue"/>
            <w:noWrap w:val="0"/>
            <w:vAlign w:val="center"/>
          </w:tcPr>
          <w:p w14:paraId="451BA65F">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p>
        </w:tc>
        <w:tc>
          <w:tcPr>
            <w:tcW w:w="458" w:type="dxa"/>
            <w:noWrap w:val="0"/>
            <w:vAlign w:val="center"/>
          </w:tcPr>
          <w:p w14:paraId="54C79C67">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75" w:type="dxa"/>
            <w:noWrap w:val="0"/>
            <w:vAlign w:val="center"/>
          </w:tcPr>
          <w:p w14:paraId="43896F87">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南宁市第三幼儿园教学楼维修工程</w:t>
            </w:r>
          </w:p>
        </w:tc>
        <w:tc>
          <w:tcPr>
            <w:tcW w:w="651" w:type="dxa"/>
            <w:noWrap w:val="0"/>
            <w:vAlign w:val="center"/>
          </w:tcPr>
          <w:p w14:paraId="3DE3C48E">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6984" w:type="dxa"/>
            <w:noWrap w:val="0"/>
            <w:vAlign w:val="center"/>
          </w:tcPr>
          <w:p w14:paraId="71415B93">
            <w:pPr>
              <w:keepNext w:val="0"/>
              <w:keepLines w:val="0"/>
              <w:pageBreakBefore w:val="0"/>
              <w:widowControl w:val="0"/>
              <w:kinsoku/>
              <w:wordWrap/>
              <w:overflowPunct/>
              <w:topLinePunct w:val="0"/>
              <w:autoSpaceDE/>
              <w:autoSpaceDN/>
              <w:bidi w:val="0"/>
              <w:adjustRightInd/>
              <w:snapToGrid/>
              <w:spacing w:line="420" w:lineRule="exact"/>
              <w:jc w:val="left"/>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一、项目概况</w:t>
            </w:r>
          </w:p>
          <w:p w14:paraId="32F24B32">
            <w:pPr>
              <w:keepNext w:val="0"/>
              <w:keepLines w:val="0"/>
              <w:pageBreakBefore w:val="0"/>
              <w:widowControl w:val="0"/>
              <w:kinsoku/>
              <w:wordWrap/>
              <w:overflowPunct/>
              <w:topLinePunct w:val="0"/>
              <w:autoSpaceDE/>
              <w:autoSpaceDN/>
              <w:bidi w:val="0"/>
              <w:adjustRightInd/>
              <w:snapToGrid/>
              <w:spacing w:line="420" w:lineRule="exact"/>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工程名称：</w:t>
            </w:r>
            <w:r>
              <w:rPr>
                <w:rFonts w:hint="eastAsia" w:ascii="宋体" w:hAnsi="宋体" w:cs="宋体"/>
                <w:color w:val="auto"/>
                <w:szCs w:val="21"/>
                <w:highlight w:val="none"/>
                <w:lang w:eastAsia="zh-CN"/>
              </w:rPr>
              <w:t>南宁市第三幼儿园教学楼维修工程</w:t>
            </w:r>
          </w:p>
          <w:p w14:paraId="5E113611">
            <w:pPr>
              <w:keepNext w:val="0"/>
              <w:keepLines w:val="0"/>
              <w:pageBreakBefore w:val="0"/>
              <w:widowControl w:val="0"/>
              <w:kinsoku/>
              <w:wordWrap/>
              <w:overflowPunct/>
              <w:topLinePunct w:val="0"/>
              <w:autoSpaceDE/>
              <w:autoSpaceDN/>
              <w:bidi w:val="0"/>
              <w:adjustRightInd/>
              <w:snapToGrid/>
              <w:spacing w:line="420" w:lineRule="exact"/>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建设地点：</w:t>
            </w:r>
            <w:r>
              <w:rPr>
                <w:rFonts w:hint="eastAsia" w:ascii="宋体" w:hAnsi="宋体" w:cs="宋体"/>
                <w:color w:val="auto"/>
                <w:szCs w:val="21"/>
                <w:highlight w:val="none"/>
                <w:lang w:eastAsia="zh-CN"/>
              </w:rPr>
              <w:t>南宁市第三幼儿园</w:t>
            </w:r>
            <w:r>
              <w:rPr>
                <w:rFonts w:hint="eastAsia" w:ascii="宋体" w:hAnsi="宋体" w:eastAsia="宋体" w:cs="宋体"/>
                <w:color w:val="auto"/>
                <w:szCs w:val="21"/>
                <w:highlight w:val="none"/>
              </w:rPr>
              <w:t>内。</w:t>
            </w:r>
          </w:p>
          <w:p w14:paraId="72884A60">
            <w:pPr>
              <w:keepNext w:val="0"/>
              <w:keepLines w:val="0"/>
              <w:pageBreakBefore w:val="0"/>
              <w:widowControl w:val="0"/>
              <w:kinsoku/>
              <w:wordWrap/>
              <w:overflowPunct/>
              <w:topLinePunct w:val="0"/>
              <w:autoSpaceDE/>
              <w:autoSpaceDN/>
              <w:bidi w:val="0"/>
              <w:adjustRightInd/>
              <w:snapToGrid/>
              <w:spacing w:line="420" w:lineRule="exact"/>
              <w:jc w:val="left"/>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本项目规模及采购范围：</w:t>
            </w:r>
            <w:r>
              <w:rPr>
                <w:rFonts w:hint="eastAsia" w:ascii="宋体" w:hAnsi="宋体" w:cs="宋体"/>
                <w:i w:val="0"/>
                <w:iCs w:val="0"/>
                <w:caps w:val="0"/>
                <w:color w:val="auto"/>
                <w:spacing w:val="0"/>
                <w:kern w:val="0"/>
                <w:sz w:val="21"/>
                <w:szCs w:val="21"/>
                <w:highlight w:val="none"/>
                <w:shd w:val="clear" w:color="auto" w:fill="FFFFFF"/>
                <w:lang w:val="en-US" w:eastAsia="zh-CN" w:bidi="ar"/>
              </w:rPr>
              <w:t>南宁市第三幼儿园教学楼维修工程</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r>
              <w:rPr>
                <w:rFonts w:hint="eastAsia" w:ascii="宋体" w:hAnsi="宋体" w:cs="宋体"/>
                <w:i w:val="0"/>
                <w:iCs w:val="0"/>
                <w:caps w:val="0"/>
                <w:color w:val="auto"/>
                <w:spacing w:val="0"/>
                <w:kern w:val="0"/>
                <w:sz w:val="21"/>
                <w:szCs w:val="21"/>
                <w:highlight w:val="none"/>
                <w:shd w:val="clear" w:color="auto" w:fill="FFFFFF"/>
                <w:lang w:val="en-US" w:eastAsia="zh-CN" w:bidi="ar"/>
              </w:rPr>
              <w:t>教学活动及幼儿寝室、卫生间用房维修约800平方米</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。具体内容详见工程量清单及图纸</w:t>
            </w:r>
            <w:r>
              <w:rPr>
                <w:rFonts w:hint="eastAsia" w:ascii="宋体" w:hAnsi="宋体" w:eastAsia="宋体" w:cs="宋体"/>
                <w:color w:val="auto"/>
                <w:sz w:val="21"/>
                <w:szCs w:val="21"/>
                <w:highlight w:val="none"/>
              </w:rPr>
              <w:t>。</w:t>
            </w:r>
          </w:p>
          <w:p w14:paraId="31E59299">
            <w:pPr>
              <w:keepNext w:val="0"/>
              <w:keepLines w:val="0"/>
              <w:pageBreakBefore w:val="0"/>
              <w:widowControl w:val="0"/>
              <w:kinsoku/>
              <w:wordWrap/>
              <w:overflowPunct/>
              <w:topLinePunct w:val="0"/>
              <w:autoSpaceDE/>
              <w:autoSpaceDN/>
              <w:bidi w:val="0"/>
              <w:adjustRightInd/>
              <w:snapToGrid/>
              <w:spacing w:line="420" w:lineRule="exact"/>
              <w:jc w:val="left"/>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二、质量标准</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达到国家有关施工质量验收规范的合格标准。</w:t>
            </w:r>
          </w:p>
          <w:p w14:paraId="08B2A12D">
            <w:pPr>
              <w:keepNext w:val="0"/>
              <w:keepLines w:val="0"/>
              <w:pageBreakBefore w:val="0"/>
              <w:widowControl w:val="0"/>
              <w:kinsoku/>
              <w:wordWrap/>
              <w:overflowPunct/>
              <w:topLinePunct w:val="0"/>
              <w:autoSpaceDE/>
              <w:autoSpaceDN/>
              <w:bidi w:val="0"/>
              <w:adjustRightInd/>
              <w:snapToGrid/>
              <w:spacing w:line="420" w:lineRule="exact"/>
              <w:jc w:val="left"/>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▲三、服务要求：</w:t>
            </w:r>
          </w:p>
          <w:p w14:paraId="30C89372">
            <w:pPr>
              <w:keepNext w:val="0"/>
              <w:keepLines w:val="0"/>
              <w:pageBreakBefore w:val="0"/>
              <w:widowControl w:val="0"/>
              <w:numPr>
                <w:ilvl w:val="0"/>
                <w:numId w:val="0"/>
              </w:numPr>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成交人应提供有固定为本项目服务的专业施工团队及机械设施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其中</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拟派项目经理须具有建筑工程专业贰级以上（含贰级）注册建造师执业资格，且具有有效的安全生产考核合格证书（B类）；供应商拟派专职安全生产管理人员须具有有效的安全生产考核合格证书（C类）</w:t>
            </w:r>
            <w:r>
              <w:rPr>
                <w:rFonts w:hint="eastAsia" w:ascii="宋体" w:hAnsi="宋体" w:eastAsia="宋体" w:cs="宋体"/>
                <w:color w:val="auto"/>
                <w:sz w:val="21"/>
                <w:szCs w:val="21"/>
                <w:highlight w:val="none"/>
              </w:rPr>
              <w:t>。</w:t>
            </w:r>
          </w:p>
          <w:p w14:paraId="19F5A8C8">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2、成交人须确保自身人员、第三方人员、设备、周边建筑物等所有与项目相关的安全，为施工人员配备安全帽等安全器械，项目实施过程中出现的安全事故一律由成交人负责，承担一切法律责任和赔偿责任。</w:t>
            </w:r>
          </w:p>
          <w:p w14:paraId="2797FFA7">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成交人应建立完善作业班组，制定岗位职责以及各岗位规范、操作规程、管理制度（包括节假日值班制度、防汛防台期间的值班制度和应急工作制度）。进场前，岗位规范、操作规程、管理制度须报采购人审批备案。采购人与成交人派驻服务人员不发生任何劳动和雇佣关系，派驻服务人员由成交人自行管理。成交人应重视劳动关系，建立完善的管理措施及风险预案，避免项目实施过程中发生劳资纠纷，成交人须承担由此产生的一切经济及法律责任。</w:t>
            </w:r>
          </w:p>
          <w:p w14:paraId="58588CD2">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4.成交人施工如损坏相关管线、邻近建筑物、构筑物，所发生的费用由成交人承担。如因成交人的施工损害行为，导致采购人承担连带责任的，成交人按采购人的责任数额赔偿给采购人。</w:t>
            </w:r>
          </w:p>
          <w:p w14:paraId="6932D6CA">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、安全施工的要求</w:t>
            </w:r>
            <w:r>
              <w:rPr>
                <w:rFonts w:hint="eastAsia" w:ascii="宋体" w:hAnsi="宋体" w:eastAsia="宋体" w:cs="宋体"/>
                <w:b/>
                <w:bCs/>
                <w:color w:val="auto"/>
                <w:sz w:val="21"/>
                <w:szCs w:val="21"/>
                <w:highlight w:val="none"/>
                <w:lang w:eastAsia="zh-CN"/>
              </w:rPr>
              <w:t>：</w:t>
            </w:r>
          </w:p>
          <w:p w14:paraId="41A7D6DD">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执行《广西壮族自治区建筑工程安全文明施工费使用管理细则》的有关规定，供应商应确保施工工程各项安全防护、文明施工措施落实到位。</w:t>
            </w:r>
          </w:p>
          <w:p w14:paraId="0F8CA713">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、文明施工的要求</w:t>
            </w:r>
            <w:r>
              <w:rPr>
                <w:rFonts w:hint="eastAsia" w:ascii="宋体" w:hAnsi="宋体" w:eastAsia="宋体" w:cs="宋体"/>
                <w:b/>
                <w:bCs/>
                <w:color w:val="auto"/>
                <w:sz w:val="21"/>
                <w:szCs w:val="21"/>
                <w:highlight w:val="none"/>
                <w:lang w:eastAsia="zh-CN"/>
              </w:rPr>
              <w:t>：</w:t>
            </w:r>
          </w:p>
          <w:p w14:paraId="4D69D05E">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按照国家有关安全生产、环境保护、消防等方面的法律、行政法规、标准等规定。</w:t>
            </w:r>
          </w:p>
          <w:p w14:paraId="382BB6DA">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rPr>
              <w:t>、技术标准和要求</w:t>
            </w:r>
            <w:r>
              <w:rPr>
                <w:rFonts w:hint="eastAsia" w:ascii="宋体" w:hAnsi="宋体" w:eastAsia="宋体" w:cs="宋体"/>
                <w:b/>
                <w:bCs/>
                <w:color w:val="auto"/>
                <w:sz w:val="21"/>
                <w:szCs w:val="21"/>
                <w:highlight w:val="none"/>
                <w:lang w:eastAsia="zh-CN"/>
              </w:rPr>
              <w:t>：</w:t>
            </w:r>
          </w:p>
          <w:p w14:paraId="7DC77948">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按国家行业和地方现行标准、规范和规程等执行。</w:t>
            </w:r>
          </w:p>
        </w:tc>
        <w:tc>
          <w:tcPr>
            <w:tcW w:w="914" w:type="dxa"/>
            <w:noWrap w:val="0"/>
            <w:vAlign w:val="center"/>
          </w:tcPr>
          <w:p w14:paraId="2B1D2450">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建筑业</w:t>
            </w:r>
          </w:p>
        </w:tc>
      </w:tr>
      <w:tr w14:paraId="4272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dxa"/>
            <w:noWrap w:val="0"/>
            <w:vAlign w:val="center"/>
          </w:tcPr>
          <w:p w14:paraId="345B6D16">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w:t>
            </w:r>
          </w:p>
        </w:tc>
        <w:tc>
          <w:tcPr>
            <w:tcW w:w="9682" w:type="dxa"/>
            <w:gridSpan w:val="5"/>
            <w:noWrap w:val="0"/>
            <w:vAlign w:val="top"/>
          </w:tcPr>
          <w:p w14:paraId="4EE63A58">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一、合同签订期：自成交通知书发出之日起25日内。</w:t>
            </w:r>
          </w:p>
          <w:p w14:paraId="7158A20C">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二、工期：</w:t>
            </w:r>
            <w:r>
              <w:rPr>
                <w:rFonts w:hint="eastAsia" w:ascii="宋体" w:hAnsi="宋体" w:cs="宋体"/>
                <w:color w:val="auto"/>
                <w:sz w:val="21"/>
                <w:szCs w:val="21"/>
                <w:highlight w:val="none"/>
                <w:lang w:val="en-US" w:eastAsia="zh-CN"/>
              </w:rPr>
              <w:t>50</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个日历天内完工</w:t>
            </w:r>
            <w:r>
              <w:rPr>
                <w:rFonts w:hint="eastAsia" w:ascii="宋体" w:hAnsi="宋体" w:eastAsia="宋体" w:cs="宋体"/>
                <w:color w:val="auto"/>
                <w:sz w:val="21"/>
                <w:szCs w:val="21"/>
                <w:highlight w:val="none"/>
              </w:rPr>
              <w:t>。</w:t>
            </w:r>
          </w:p>
          <w:p w14:paraId="7E06089C">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三、验收标准、规范：</w:t>
            </w:r>
          </w:p>
          <w:p w14:paraId="1F9A768E">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1.根据采购人的要求和国家现行的有关的工程建设标准、技术规范及强制性标准条文等有关规范标准。</w:t>
            </w:r>
          </w:p>
          <w:p w14:paraId="301A69D9">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2.验收过程中所产生的一切费用均由成交人承担。报价时应考虑相关费用。</w:t>
            </w:r>
          </w:p>
          <w:p w14:paraId="59780D67">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四、售后服务要求</w:t>
            </w:r>
          </w:p>
          <w:p w14:paraId="452C9F12">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1.工程质量保修要求：2年，质量保修期从工程实际竣工验收通过之日算起。</w:t>
            </w:r>
          </w:p>
          <w:p w14:paraId="135163C1">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（1）双方根据国家有关规定，按法律、行政法规或国家关于工程质量保修的有关规定，对交付采购人使用的工程质量保修期为工程实际竣工验收通过之日起2年，应承担质量保修责任。</w:t>
            </w:r>
          </w:p>
          <w:p w14:paraId="55B3D2CA">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（2）在工程质量保修期期限内发生质量问题，必须在收到质保通知后的1个日历天内整改完毕。</w:t>
            </w:r>
          </w:p>
          <w:p w14:paraId="2F7DC596">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（3）在没有明文规定下，参照建设工程质量保修条例，双方协商为设计文件规定的该工程的合理使用年限内保修。</w:t>
            </w:r>
          </w:p>
          <w:p w14:paraId="1D7C8CD8">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2.涉及货物部分成交产品必须是全新、未使用过的产品。产品包装必须是未经使用的全新的合格产品，并按照原厂标准包装规格供货，不接受散装或拆包装件。</w:t>
            </w:r>
          </w:p>
          <w:p w14:paraId="35721829">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3.其余部分按合同相关条款执行。</w:t>
            </w:r>
          </w:p>
          <w:p w14:paraId="5D70AA9D">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五、竞标报价</w:t>
            </w:r>
          </w:p>
          <w:p w14:paraId="06285160">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本项目</w:t>
            </w:r>
            <w:r>
              <w:rPr>
                <w:rFonts w:hint="eastAsia" w:ascii="宋体" w:hAnsi="宋体" w:eastAsia="宋体" w:cs="宋体"/>
                <w:color w:val="auto"/>
                <w:szCs w:val="21"/>
                <w:highlight w:val="none"/>
              </w:rPr>
              <w:t>采用工程量清单报价方式，供应商已标价工程量清单（包含首次报价、最后报价）的项目编码、项目名称及项目特征描述、计量单位、工程量须与采购工程量清单一致的，</w:t>
            </w:r>
            <w:r>
              <w:rPr>
                <w:rFonts w:hint="eastAsia" w:ascii="宋体" w:hAnsi="宋体" w:eastAsia="宋体" w:cs="宋体"/>
                <w:b/>
                <w:bCs/>
                <w:color w:val="auto"/>
                <w:szCs w:val="21"/>
                <w:highlight w:val="none"/>
              </w:rPr>
              <w:t>否则竞标无效</w:t>
            </w:r>
            <w:r>
              <w:rPr>
                <w:rFonts w:hint="eastAsia" w:ascii="宋体" w:hAnsi="宋体" w:eastAsia="宋体" w:cs="宋体"/>
                <w:color w:val="auto"/>
                <w:szCs w:val="21"/>
                <w:highlight w:val="none"/>
              </w:rPr>
              <w:t>；最终报价不得高于最高限价。本项目采用二次报价方式，竞标人的最终报价如有变动，则必须以工程量清单报价表的格式编制提交，竞标人须提前做好相关准备并按时递交最终报价文件，</w:t>
            </w:r>
            <w:r>
              <w:rPr>
                <w:rFonts w:hint="eastAsia" w:ascii="宋体" w:hAnsi="宋体" w:eastAsia="宋体" w:cs="宋体"/>
                <w:b/>
                <w:bCs/>
                <w:color w:val="auto"/>
                <w:szCs w:val="21"/>
                <w:highlight w:val="none"/>
              </w:rPr>
              <w:t>否则报价无效</w:t>
            </w:r>
            <w:r>
              <w:rPr>
                <w:rFonts w:hint="eastAsia" w:ascii="宋体" w:hAnsi="宋体" w:eastAsia="宋体" w:cs="宋体"/>
                <w:color w:val="auto"/>
                <w:szCs w:val="21"/>
                <w:highlight w:val="none"/>
              </w:rPr>
              <w:t>。</w:t>
            </w:r>
          </w:p>
          <w:p w14:paraId="5B2FBD49">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（2）报价必须包含以下部分，包括：</w:t>
            </w:r>
          </w:p>
          <w:p w14:paraId="6490E779">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履行合同的最终价格，为实施和完成合同工程所需的劳务、材料、机械、质检（自检）、安装、缺陷修复、管理、保险、税费、利润等费用，以及合同明示或暗示的所有责任、义务和一般风险。</w:t>
            </w:r>
          </w:p>
          <w:p w14:paraId="3788C85B">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六、付款方式及条件：</w:t>
            </w:r>
          </w:p>
          <w:p w14:paraId="0B6EAE1F">
            <w:pPr>
              <w:numPr>
                <w:ilvl w:val="0"/>
                <w:numId w:val="0"/>
              </w:numPr>
              <w:spacing w:line="30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双方约定的工程款（进度款）的支付方式：工程进度款按进度申请支付，合同价款内的进度款支付额为当期实际完成工程量价款的80%，发包人在每期已完成的工程价款中扣留20%作为保留金，保留金限额为合同价款的20%。合同价款外的进度款支付额为当期实际完成工程量价款的60%。工程竣工结算经审核后，工程款支付至97%。</w:t>
            </w:r>
          </w:p>
          <w:p w14:paraId="63391D3E">
            <w:pPr>
              <w:numPr>
                <w:ilvl w:val="0"/>
                <w:numId w:val="0"/>
              </w:numPr>
              <w:spacing w:line="30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2.建设单位按工程价款的3%作为工程质量保修金，待工程质量保修期满后无息返还给施工单位。</w:t>
            </w:r>
          </w:p>
          <w:p w14:paraId="76344A29">
            <w:pPr>
              <w:numPr>
                <w:ilvl w:val="0"/>
                <w:numId w:val="0"/>
              </w:numPr>
              <w:spacing w:line="30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工程竣工验收合格，结算金额经城区</w:t>
            </w:r>
            <w:r>
              <w:rPr>
                <w:rFonts w:hint="eastAsia" w:ascii="宋体" w:hAnsi="宋体" w:cs="宋体"/>
                <w:color w:val="auto"/>
                <w:kern w:val="2"/>
                <w:sz w:val="21"/>
                <w:szCs w:val="21"/>
                <w:highlight w:val="none"/>
                <w:lang w:val="en-US" w:eastAsia="zh-CN" w:bidi="ar-SA"/>
              </w:rPr>
              <w:t>财政</w:t>
            </w:r>
            <w:r>
              <w:rPr>
                <w:rFonts w:hint="eastAsia" w:ascii="宋体" w:hAnsi="宋体" w:eastAsia="宋体" w:cs="宋体"/>
                <w:color w:val="auto"/>
                <w:kern w:val="2"/>
                <w:sz w:val="21"/>
                <w:szCs w:val="21"/>
                <w:highlight w:val="none"/>
                <w:lang w:val="en-US" w:eastAsia="zh-CN" w:bidi="ar-SA"/>
              </w:rPr>
              <w:t>部门对审核结论提出审核意见后，15个工作日内，付97%的工程款，余下3%的工程款的在质保期满后（具体已按照签订的工程质量保修书）后15个工作日内付清给承包人。</w:t>
            </w:r>
          </w:p>
          <w:p w14:paraId="1388B3EA">
            <w:pPr>
              <w:numPr>
                <w:ilvl w:val="0"/>
                <w:numId w:val="0"/>
              </w:num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kern w:val="2"/>
                <w:sz w:val="21"/>
                <w:szCs w:val="21"/>
                <w:highlight w:val="none"/>
                <w:lang w:val="en-US" w:eastAsia="zh-CN" w:bidi="ar-SA"/>
              </w:rPr>
              <w:t>七、</w:t>
            </w:r>
            <w:r>
              <w:rPr>
                <w:rFonts w:hint="eastAsia" w:ascii="宋体" w:hAnsi="宋体" w:eastAsia="宋体" w:cs="宋体"/>
                <w:color w:val="auto"/>
                <w:szCs w:val="21"/>
                <w:highlight w:val="none"/>
              </w:rPr>
              <w:t>其他：</w:t>
            </w:r>
          </w:p>
          <w:p w14:paraId="0E423EB3">
            <w:pPr>
              <w:keepNext w:val="0"/>
              <w:keepLines w:val="0"/>
              <w:pageBreakBefore w:val="0"/>
              <w:widowControl w:val="0"/>
              <w:kinsoku/>
              <w:wordWrap/>
              <w:overflowPunct/>
              <w:topLinePunct w:val="0"/>
              <w:autoSpaceDE/>
              <w:autoSpaceDN/>
              <w:bidi w:val="0"/>
              <w:adjustRightInd/>
              <w:snapToGrid/>
              <w:spacing w:line="420" w:lineRule="exact"/>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响应报价是履行合同的最终价格，必须包含满足本次响应全部采购需求所应提供的服务包括：货物的价格；货物的标准附件、备品备件、专用工具的价格；运输、装卸、调试、培训、技术支持、售后服务、配合费、货物保护等费用；必要的保险费用和各项税费；包括安装和检测费；安装需要的土建内容。</w:t>
            </w:r>
          </w:p>
        </w:tc>
      </w:tr>
      <w:tr w14:paraId="4694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3" w:type="dxa"/>
            <w:noWrap w:val="0"/>
            <w:vAlign w:val="center"/>
          </w:tcPr>
          <w:p w14:paraId="5C9B9135">
            <w:pPr>
              <w:spacing w:line="30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其他说明</w:t>
            </w:r>
          </w:p>
        </w:tc>
        <w:tc>
          <w:tcPr>
            <w:tcW w:w="9682" w:type="dxa"/>
            <w:gridSpan w:val="5"/>
            <w:noWrap w:val="0"/>
            <w:vAlign w:val="center"/>
          </w:tcPr>
          <w:p w14:paraId="10FC2F3A">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一、进口产品说明</w:t>
            </w:r>
          </w:p>
          <w:p w14:paraId="244F6852">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本分标不涉及进口产品。</w:t>
            </w:r>
          </w:p>
          <w:p w14:paraId="37C2947C">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二、与本分标有关的图纸、工程量清单及其获取方式</w:t>
            </w:r>
          </w:p>
          <w:p w14:paraId="2A8386DD">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资料名称：具体详见采购文件附件。</w:t>
            </w:r>
          </w:p>
          <w:p w14:paraId="542FDEA3">
            <w:pPr>
              <w:spacing w:line="30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获取方式：网上下载。供应商可自行在“广西政府采购云平台”（https：//www.gcy.zfcg.gxzf.gov.cn）下载相关资料，方式同采购文件获取方式（操作路径：登录“广西政府采购云平台”-项目采购-获取采购文件-找到本项目-点击“申请获取工程量清单、图纸”）。</w:t>
            </w:r>
          </w:p>
        </w:tc>
      </w:tr>
    </w:tbl>
    <w:p w14:paraId="52EA505D">
      <w:pPr>
        <w:spacing w:line="428" w:lineRule="exact"/>
        <w:rPr>
          <w:rFonts w:hint="eastAsia" w:ascii="宋体" w:hAnsi="宋体" w:eastAsia="宋体" w:cs="宋体"/>
          <w:color w:val="auto"/>
          <w:sz w:val="32"/>
          <w:szCs w:val="32"/>
          <w:highlight w:val="none"/>
        </w:rPr>
      </w:pPr>
    </w:p>
    <w:p w14:paraId="545BF1CF">
      <w:pPr>
        <w:spacing w:line="428" w:lineRule="exact"/>
        <w:rPr>
          <w:rFonts w:hint="eastAsia" w:ascii="宋体" w:hAnsi="宋体" w:eastAsia="宋体" w:cs="宋体"/>
          <w:color w:val="auto"/>
          <w:sz w:val="32"/>
          <w:szCs w:val="32"/>
          <w:highlight w:val="none"/>
        </w:rPr>
      </w:pPr>
    </w:p>
    <w:p w14:paraId="57C92162">
      <w:pPr>
        <w:spacing w:line="428" w:lineRule="exact"/>
        <w:ind w:left="119"/>
        <w:rPr>
          <w:rFonts w:hint="eastAsia" w:ascii="宋体" w:hAnsi="宋体" w:eastAsia="宋体" w:cs="宋体"/>
          <w:color w:val="auto"/>
          <w:sz w:val="17"/>
          <w:szCs w:val="17"/>
          <w:highlight w:val="none"/>
        </w:rPr>
      </w:pPr>
      <w:r>
        <w:rPr>
          <w:rFonts w:hint="eastAsia" w:ascii="宋体" w:hAnsi="宋体" w:eastAsia="宋体" w:cs="宋体"/>
          <w:color w:val="auto"/>
          <w:sz w:val="32"/>
          <w:szCs w:val="32"/>
          <w:highlight w:val="none"/>
        </w:rPr>
        <w:br w:type="page"/>
      </w:r>
      <w:r>
        <w:rPr>
          <w:rFonts w:hint="eastAsia" w:ascii="宋体" w:hAnsi="宋体" w:eastAsia="宋体" w:cs="宋体"/>
          <w:color w:val="auto"/>
          <w:sz w:val="32"/>
          <w:szCs w:val="32"/>
          <w:highlight w:val="none"/>
        </w:rPr>
        <w:t>附件1：</w:t>
      </w:r>
    </w:p>
    <w:p w14:paraId="7C00111E">
      <w:pPr>
        <w:spacing w:line="528" w:lineRule="exact"/>
        <w:ind w:left="1871"/>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节能产品政府采购品目清单</w:t>
      </w:r>
    </w:p>
    <w:tbl>
      <w:tblPr>
        <w:tblStyle w:val="29"/>
        <w:tblW w:w="9358" w:type="dxa"/>
        <w:jc w:val="center"/>
        <w:tblLayout w:type="autofit"/>
        <w:tblCellMar>
          <w:top w:w="0" w:type="dxa"/>
          <w:left w:w="108" w:type="dxa"/>
          <w:bottom w:w="0" w:type="dxa"/>
          <w:right w:w="108" w:type="dxa"/>
        </w:tblCellMar>
      </w:tblPr>
      <w:tblGrid>
        <w:gridCol w:w="779"/>
        <w:gridCol w:w="1116"/>
        <w:gridCol w:w="1516"/>
        <w:gridCol w:w="1612"/>
        <w:gridCol w:w="4335"/>
      </w:tblGrid>
      <w:tr w14:paraId="5BD2F41A">
        <w:tblPrEx>
          <w:tblCellMar>
            <w:top w:w="0" w:type="dxa"/>
            <w:left w:w="108" w:type="dxa"/>
            <w:bottom w:w="0" w:type="dxa"/>
            <w:right w:w="108" w:type="dxa"/>
          </w:tblCellMar>
        </w:tblPrEx>
        <w:trPr>
          <w:trHeight w:val="555" w:hRule="atLeast"/>
          <w:jc w:val="center"/>
        </w:trPr>
        <w:tc>
          <w:tcPr>
            <w:tcW w:w="779" w:type="dxa"/>
            <w:tcBorders>
              <w:top w:val="single" w:color="000000" w:sz="8" w:space="0"/>
              <w:left w:val="single" w:color="000000" w:sz="8" w:space="0"/>
              <w:bottom w:val="single" w:color="000000" w:sz="8" w:space="0"/>
              <w:right w:val="single" w:color="000000" w:sz="8" w:space="0"/>
            </w:tcBorders>
            <w:noWrap w:val="0"/>
            <w:vAlign w:val="top"/>
          </w:tcPr>
          <w:p w14:paraId="28DC8C54">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4244" w:type="dxa"/>
            <w:gridSpan w:val="3"/>
            <w:tcBorders>
              <w:top w:val="single" w:color="000000" w:sz="8" w:space="0"/>
              <w:left w:val="nil"/>
              <w:bottom w:val="single" w:color="000000" w:sz="8" w:space="0"/>
              <w:right w:val="single" w:color="000000" w:sz="8" w:space="0"/>
            </w:tcBorders>
            <w:noWrap w:val="0"/>
            <w:vAlign w:val="center"/>
          </w:tcPr>
          <w:p w14:paraId="56B704A6">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4335" w:type="dxa"/>
            <w:tcBorders>
              <w:top w:val="single" w:color="000000" w:sz="8" w:space="0"/>
              <w:left w:val="nil"/>
              <w:bottom w:val="single" w:color="000000" w:sz="8" w:space="0"/>
              <w:right w:val="single" w:color="000000" w:sz="8" w:space="0"/>
            </w:tcBorders>
            <w:noWrap w:val="0"/>
            <w:vAlign w:val="center"/>
          </w:tcPr>
          <w:p w14:paraId="2F46DE59">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2584A7A0">
        <w:tblPrEx>
          <w:tblCellMar>
            <w:top w:w="0" w:type="dxa"/>
            <w:left w:w="108" w:type="dxa"/>
            <w:bottom w:w="0" w:type="dxa"/>
            <w:right w:w="108" w:type="dxa"/>
          </w:tblCellMar>
        </w:tblPrEx>
        <w:trPr>
          <w:trHeight w:val="495" w:hRule="atLeast"/>
          <w:jc w:val="center"/>
        </w:trPr>
        <w:tc>
          <w:tcPr>
            <w:tcW w:w="779" w:type="dxa"/>
            <w:vMerge w:val="restart"/>
            <w:tcBorders>
              <w:top w:val="nil"/>
              <w:left w:val="single" w:color="000000" w:sz="8" w:space="0"/>
              <w:bottom w:val="single" w:color="000000" w:sz="8" w:space="0"/>
              <w:right w:val="single" w:color="000000" w:sz="8" w:space="0"/>
            </w:tcBorders>
            <w:noWrap w:val="0"/>
            <w:vAlign w:val="center"/>
          </w:tcPr>
          <w:p w14:paraId="065BB7A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5F3EBEA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1516" w:type="dxa"/>
            <w:tcBorders>
              <w:top w:val="nil"/>
              <w:left w:val="nil"/>
              <w:bottom w:val="single" w:color="000000" w:sz="8" w:space="0"/>
              <w:right w:val="single" w:color="000000" w:sz="8" w:space="0"/>
            </w:tcBorders>
            <w:noWrap w:val="0"/>
            <w:vAlign w:val="center"/>
          </w:tcPr>
          <w:p w14:paraId="0FDFB8B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1612" w:type="dxa"/>
            <w:tcBorders>
              <w:top w:val="nil"/>
              <w:left w:val="nil"/>
              <w:bottom w:val="single" w:color="000000" w:sz="8" w:space="0"/>
              <w:right w:val="single" w:color="000000" w:sz="8" w:space="0"/>
            </w:tcBorders>
            <w:noWrap w:val="0"/>
            <w:vAlign w:val="center"/>
          </w:tcPr>
          <w:p w14:paraId="22B0F0D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79DF9FA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3BEEA371">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45EAE598">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359C588">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3D2EE07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1612" w:type="dxa"/>
            <w:tcBorders>
              <w:top w:val="nil"/>
              <w:left w:val="nil"/>
              <w:bottom w:val="single" w:color="000000" w:sz="8" w:space="0"/>
              <w:right w:val="single" w:color="000000" w:sz="8" w:space="0"/>
            </w:tcBorders>
            <w:noWrap w:val="0"/>
            <w:vAlign w:val="center"/>
          </w:tcPr>
          <w:p w14:paraId="6FD52DB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6C5AD12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148DFAFB">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3B6EE5E5">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1442F9B">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EA4FFD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1612" w:type="dxa"/>
            <w:tcBorders>
              <w:top w:val="nil"/>
              <w:left w:val="nil"/>
              <w:bottom w:val="single" w:color="000000" w:sz="8" w:space="0"/>
              <w:right w:val="single" w:color="000000" w:sz="8" w:space="0"/>
            </w:tcBorders>
            <w:noWrap w:val="0"/>
            <w:vAlign w:val="center"/>
          </w:tcPr>
          <w:p w14:paraId="65BB201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373F9EE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4B0EC4CA">
        <w:tblPrEx>
          <w:tblCellMar>
            <w:top w:w="0" w:type="dxa"/>
            <w:left w:w="108" w:type="dxa"/>
            <w:bottom w:w="0" w:type="dxa"/>
            <w:right w:w="108" w:type="dxa"/>
          </w:tblCellMar>
        </w:tblPrEx>
        <w:trPr>
          <w:trHeight w:val="495" w:hRule="atLeast"/>
          <w:jc w:val="center"/>
        </w:trPr>
        <w:tc>
          <w:tcPr>
            <w:tcW w:w="779" w:type="dxa"/>
            <w:vMerge w:val="restart"/>
            <w:tcBorders>
              <w:top w:val="nil"/>
              <w:left w:val="single" w:color="000000" w:sz="8" w:space="0"/>
              <w:bottom w:val="single" w:color="000000" w:sz="8" w:space="0"/>
              <w:right w:val="single" w:color="000000" w:sz="8" w:space="0"/>
            </w:tcBorders>
            <w:noWrap w:val="0"/>
            <w:vAlign w:val="center"/>
          </w:tcPr>
          <w:p w14:paraId="7B504A2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403423B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072833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1612" w:type="dxa"/>
            <w:tcBorders>
              <w:top w:val="nil"/>
              <w:left w:val="nil"/>
              <w:bottom w:val="single" w:color="000000" w:sz="8" w:space="0"/>
              <w:right w:val="single" w:color="000000" w:sz="8" w:space="0"/>
            </w:tcBorders>
            <w:noWrap w:val="0"/>
            <w:vAlign w:val="center"/>
          </w:tcPr>
          <w:p w14:paraId="227DB3F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4335" w:type="dxa"/>
            <w:tcBorders>
              <w:top w:val="nil"/>
              <w:left w:val="nil"/>
              <w:bottom w:val="single" w:color="000000" w:sz="8" w:space="0"/>
              <w:right w:val="single" w:color="000000" w:sz="8" w:space="0"/>
            </w:tcBorders>
            <w:noWrap w:val="0"/>
            <w:vAlign w:val="center"/>
          </w:tcPr>
          <w:p w14:paraId="7DDF013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50DCF377">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2912149F">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790CC2C">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21F8B0E9">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1170853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4335" w:type="dxa"/>
            <w:tcBorders>
              <w:top w:val="nil"/>
              <w:left w:val="nil"/>
              <w:bottom w:val="single" w:color="000000" w:sz="8" w:space="0"/>
              <w:right w:val="single" w:color="000000" w:sz="8" w:space="0"/>
            </w:tcBorders>
            <w:noWrap w:val="0"/>
            <w:vAlign w:val="center"/>
          </w:tcPr>
          <w:p w14:paraId="03A709C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65E8AF52">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6EB4416C">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260CC8D">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5A6FF497">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0799178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4335" w:type="dxa"/>
            <w:tcBorders>
              <w:top w:val="nil"/>
              <w:left w:val="nil"/>
              <w:bottom w:val="single" w:color="000000" w:sz="8" w:space="0"/>
              <w:right w:val="single" w:color="000000" w:sz="8" w:space="0"/>
            </w:tcBorders>
            <w:noWrap w:val="0"/>
            <w:vAlign w:val="center"/>
          </w:tcPr>
          <w:p w14:paraId="46D7E9C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16D0F33B">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32235B7D">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4BCAAA1">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3C83684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1612" w:type="dxa"/>
            <w:tcBorders>
              <w:top w:val="nil"/>
              <w:left w:val="nil"/>
              <w:bottom w:val="single" w:color="000000" w:sz="8" w:space="0"/>
              <w:right w:val="single" w:color="000000" w:sz="8" w:space="0"/>
            </w:tcBorders>
            <w:noWrap w:val="0"/>
            <w:vAlign w:val="center"/>
          </w:tcPr>
          <w:p w14:paraId="3DAE2E5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4335" w:type="dxa"/>
            <w:tcBorders>
              <w:top w:val="nil"/>
              <w:left w:val="nil"/>
              <w:bottom w:val="single" w:color="000000" w:sz="8" w:space="0"/>
              <w:right w:val="single" w:color="000000" w:sz="8" w:space="0"/>
            </w:tcBorders>
            <w:noWrap w:val="0"/>
            <w:vAlign w:val="center"/>
          </w:tcPr>
          <w:p w14:paraId="1891115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58FD5609">
        <w:tblPrEx>
          <w:tblCellMar>
            <w:top w:w="0" w:type="dxa"/>
            <w:left w:w="108" w:type="dxa"/>
            <w:bottom w:w="0" w:type="dxa"/>
            <w:right w:w="108" w:type="dxa"/>
          </w:tblCellMar>
        </w:tblPrEx>
        <w:trPr>
          <w:trHeight w:val="97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02B44A33">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FF70B59">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329CCB0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1612" w:type="dxa"/>
            <w:tcBorders>
              <w:top w:val="nil"/>
              <w:left w:val="nil"/>
              <w:bottom w:val="single" w:color="000000" w:sz="8" w:space="0"/>
              <w:right w:val="single" w:color="000000" w:sz="8" w:space="0"/>
            </w:tcBorders>
            <w:noWrap w:val="0"/>
            <w:vAlign w:val="center"/>
          </w:tcPr>
          <w:p w14:paraId="4532728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4335" w:type="dxa"/>
            <w:tcBorders>
              <w:top w:val="nil"/>
              <w:left w:val="nil"/>
              <w:bottom w:val="single" w:color="000000" w:sz="8" w:space="0"/>
              <w:right w:val="single" w:color="000000" w:sz="8" w:space="0"/>
            </w:tcBorders>
            <w:noWrap w:val="0"/>
            <w:vAlign w:val="center"/>
          </w:tcPr>
          <w:p w14:paraId="323B175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753E9B7B">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1858970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1116" w:type="dxa"/>
            <w:tcBorders>
              <w:top w:val="nil"/>
              <w:left w:val="nil"/>
              <w:bottom w:val="single" w:color="000000" w:sz="8" w:space="0"/>
              <w:right w:val="single" w:color="000000" w:sz="8" w:space="0"/>
            </w:tcBorders>
            <w:noWrap w:val="0"/>
            <w:vAlign w:val="center"/>
          </w:tcPr>
          <w:p w14:paraId="4D7FB01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1516" w:type="dxa"/>
            <w:tcBorders>
              <w:top w:val="nil"/>
              <w:left w:val="nil"/>
              <w:bottom w:val="single" w:color="000000" w:sz="8" w:space="0"/>
              <w:right w:val="single" w:color="000000" w:sz="8" w:space="0"/>
            </w:tcBorders>
            <w:noWrap w:val="0"/>
            <w:vAlign w:val="center"/>
          </w:tcPr>
          <w:p w14:paraId="212F1F1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441BF69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7BB8F89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22D82623">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13B5D1E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1116" w:type="dxa"/>
            <w:tcBorders>
              <w:top w:val="nil"/>
              <w:left w:val="nil"/>
              <w:bottom w:val="single" w:color="000000" w:sz="8" w:space="0"/>
              <w:right w:val="single" w:color="000000" w:sz="8" w:space="0"/>
            </w:tcBorders>
            <w:noWrap w:val="0"/>
            <w:vAlign w:val="center"/>
          </w:tcPr>
          <w:p w14:paraId="236AFF7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1516" w:type="dxa"/>
            <w:tcBorders>
              <w:top w:val="nil"/>
              <w:left w:val="nil"/>
              <w:bottom w:val="single" w:color="000000" w:sz="8" w:space="0"/>
              <w:right w:val="single" w:color="000000" w:sz="8" w:space="0"/>
            </w:tcBorders>
            <w:noWrap w:val="0"/>
            <w:vAlign w:val="center"/>
          </w:tcPr>
          <w:p w14:paraId="72FA35A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5BF633C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6D434D0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7910ACF3">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740FEE2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1116" w:type="dxa"/>
            <w:tcBorders>
              <w:top w:val="nil"/>
              <w:left w:val="nil"/>
              <w:bottom w:val="single" w:color="000000" w:sz="8" w:space="0"/>
              <w:right w:val="single" w:color="000000" w:sz="8" w:space="0"/>
            </w:tcBorders>
            <w:noWrap w:val="0"/>
            <w:vAlign w:val="center"/>
          </w:tcPr>
          <w:p w14:paraId="59C2488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1516" w:type="dxa"/>
            <w:tcBorders>
              <w:top w:val="nil"/>
              <w:left w:val="nil"/>
              <w:bottom w:val="single" w:color="000000" w:sz="8" w:space="0"/>
              <w:right w:val="single" w:color="000000" w:sz="8" w:space="0"/>
            </w:tcBorders>
            <w:noWrap w:val="0"/>
            <w:vAlign w:val="center"/>
          </w:tcPr>
          <w:p w14:paraId="3C72EC4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1612" w:type="dxa"/>
            <w:tcBorders>
              <w:top w:val="nil"/>
              <w:left w:val="nil"/>
              <w:bottom w:val="single" w:color="000000" w:sz="8" w:space="0"/>
              <w:right w:val="single" w:color="000000" w:sz="8" w:space="0"/>
            </w:tcBorders>
            <w:noWrap w:val="0"/>
            <w:vAlign w:val="center"/>
          </w:tcPr>
          <w:p w14:paraId="50EB797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5ACAAF1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62757044">
        <w:tblPrEx>
          <w:tblCellMar>
            <w:top w:w="0" w:type="dxa"/>
            <w:left w:w="108" w:type="dxa"/>
            <w:bottom w:w="0" w:type="dxa"/>
            <w:right w:w="108" w:type="dxa"/>
          </w:tblCellMar>
        </w:tblPrEx>
        <w:trPr>
          <w:trHeight w:val="735" w:hRule="atLeast"/>
          <w:jc w:val="center"/>
        </w:trPr>
        <w:tc>
          <w:tcPr>
            <w:tcW w:w="779" w:type="dxa"/>
            <w:vMerge w:val="restart"/>
            <w:tcBorders>
              <w:top w:val="nil"/>
              <w:left w:val="single" w:color="000000" w:sz="8" w:space="0"/>
              <w:bottom w:val="single" w:color="000000" w:sz="8" w:space="0"/>
              <w:right w:val="single" w:color="000000" w:sz="8" w:space="0"/>
            </w:tcBorders>
            <w:noWrap w:val="0"/>
            <w:vAlign w:val="center"/>
          </w:tcPr>
          <w:p w14:paraId="11F3CCD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5082207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1DC04F1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1612" w:type="dxa"/>
            <w:tcBorders>
              <w:top w:val="nil"/>
              <w:left w:val="nil"/>
              <w:bottom w:val="single" w:color="000000" w:sz="8" w:space="0"/>
              <w:right w:val="single" w:color="000000" w:sz="8" w:space="0"/>
            </w:tcBorders>
            <w:noWrap w:val="0"/>
            <w:vAlign w:val="center"/>
          </w:tcPr>
          <w:p w14:paraId="0CCBBF7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4335" w:type="dxa"/>
            <w:tcBorders>
              <w:top w:val="nil"/>
              <w:left w:val="nil"/>
              <w:bottom w:val="single" w:color="000000" w:sz="8" w:space="0"/>
              <w:right w:val="single" w:color="000000" w:sz="8" w:space="0"/>
            </w:tcBorders>
            <w:noWrap w:val="0"/>
            <w:vAlign w:val="center"/>
          </w:tcPr>
          <w:p w14:paraId="17DBB34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40A615EE">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0A9E48AE">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A0DB3DD">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595436A0">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0CB604D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4335" w:type="dxa"/>
            <w:tcBorders>
              <w:top w:val="nil"/>
              <w:left w:val="nil"/>
              <w:bottom w:val="single" w:color="000000" w:sz="8" w:space="0"/>
              <w:right w:val="single" w:color="000000" w:sz="8" w:space="0"/>
            </w:tcBorders>
            <w:noWrap w:val="0"/>
            <w:vAlign w:val="center"/>
          </w:tcPr>
          <w:p w14:paraId="5C9893F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7B69FF75">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0F9CDA3C">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AD2E6C0">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09DF125D">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5E03C2E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4335" w:type="dxa"/>
            <w:tcBorders>
              <w:top w:val="nil"/>
              <w:left w:val="nil"/>
              <w:bottom w:val="single" w:color="000000" w:sz="8" w:space="0"/>
              <w:right w:val="single" w:color="000000" w:sz="8" w:space="0"/>
            </w:tcBorders>
            <w:noWrap w:val="0"/>
            <w:vAlign w:val="center"/>
          </w:tcPr>
          <w:p w14:paraId="5A2A37A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0039CDAC">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568876DF">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9E8F885">
            <w:pPr>
              <w:widowControl/>
              <w:jc w:val="left"/>
              <w:rPr>
                <w:rFonts w:hint="eastAsia" w:ascii="宋体" w:hAnsi="宋体" w:eastAsia="宋体" w:cs="宋体"/>
                <w:color w:val="auto"/>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582568D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1612" w:type="dxa"/>
            <w:tcBorders>
              <w:top w:val="nil"/>
              <w:left w:val="nil"/>
              <w:bottom w:val="single" w:color="000000" w:sz="8" w:space="0"/>
              <w:right w:val="single" w:color="000000" w:sz="8" w:space="0"/>
            </w:tcBorders>
            <w:noWrap w:val="0"/>
            <w:vAlign w:val="center"/>
          </w:tcPr>
          <w:p w14:paraId="532FE8A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4335" w:type="dxa"/>
            <w:tcBorders>
              <w:top w:val="nil"/>
              <w:left w:val="nil"/>
              <w:bottom w:val="single" w:color="000000" w:sz="8" w:space="0"/>
              <w:right w:val="single" w:color="000000" w:sz="8" w:space="0"/>
            </w:tcBorders>
            <w:noWrap w:val="0"/>
            <w:vAlign w:val="center"/>
          </w:tcPr>
          <w:p w14:paraId="5B05DF3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18271861">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740062C1">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F1AB60B">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19078953">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31B3EC5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4335" w:type="dxa"/>
            <w:tcBorders>
              <w:top w:val="nil"/>
              <w:left w:val="nil"/>
              <w:bottom w:val="single" w:color="000000" w:sz="8" w:space="0"/>
              <w:right w:val="single" w:color="000000" w:sz="8" w:space="0"/>
            </w:tcBorders>
            <w:noWrap w:val="0"/>
            <w:vAlign w:val="center"/>
          </w:tcPr>
          <w:p w14:paraId="445F380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2727DE3D">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61ABE8B8">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272F6F7">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1BBEBFB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1612" w:type="dxa"/>
            <w:tcBorders>
              <w:top w:val="nil"/>
              <w:left w:val="nil"/>
              <w:bottom w:val="single" w:color="000000" w:sz="8" w:space="0"/>
              <w:right w:val="single" w:color="000000" w:sz="8" w:space="0"/>
            </w:tcBorders>
            <w:noWrap w:val="0"/>
            <w:vAlign w:val="center"/>
          </w:tcPr>
          <w:p w14:paraId="79C7CFF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4335" w:type="dxa"/>
            <w:tcBorders>
              <w:top w:val="nil"/>
              <w:left w:val="nil"/>
              <w:bottom w:val="single" w:color="000000" w:sz="8" w:space="0"/>
              <w:right w:val="single" w:color="000000" w:sz="8" w:space="0"/>
            </w:tcBorders>
            <w:noWrap w:val="0"/>
            <w:vAlign w:val="center"/>
          </w:tcPr>
          <w:p w14:paraId="6F44C86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2822B400">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5001B009">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37A2454">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1823BD0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1612" w:type="dxa"/>
            <w:tcBorders>
              <w:top w:val="nil"/>
              <w:left w:val="nil"/>
              <w:bottom w:val="single" w:color="000000" w:sz="8" w:space="0"/>
              <w:right w:val="single" w:color="000000" w:sz="8" w:space="0"/>
            </w:tcBorders>
            <w:noWrap w:val="0"/>
            <w:vAlign w:val="center"/>
          </w:tcPr>
          <w:p w14:paraId="16EF795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4335" w:type="dxa"/>
            <w:tcBorders>
              <w:top w:val="nil"/>
              <w:left w:val="nil"/>
              <w:bottom w:val="single" w:color="000000" w:sz="8" w:space="0"/>
              <w:right w:val="single" w:color="000000" w:sz="8" w:space="0"/>
            </w:tcBorders>
            <w:noWrap w:val="0"/>
            <w:vAlign w:val="center"/>
          </w:tcPr>
          <w:p w14:paraId="33BB5F6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456DE1D0">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1A0F9D8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1116" w:type="dxa"/>
            <w:tcBorders>
              <w:top w:val="nil"/>
              <w:left w:val="nil"/>
              <w:bottom w:val="single" w:color="000000" w:sz="8" w:space="0"/>
              <w:right w:val="single" w:color="000000" w:sz="8" w:space="0"/>
            </w:tcBorders>
            <w:noWrap w:val="0"/>
            <w:vAlign w:val="center"/>
          </w:tcPr>
          <w:p w14:paraId="21429E3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1516" w:type="dxa"/>
            <w:tcBorders>
              <w:top w:val="nil"/>
              <w:left w:val="nil"/>
              <w:bottom w:val="single" w:color="000000" w:sz="8" w:space="0"/>
              <w:right w:val="single" w:color="000000" w:sz="8" w:space="0"/>
            </w:tcBorders>
            <w:noWrap w:val="0"/>
            <w:vAlign w:val="center"/>
          </w:tcPr>
          <w:p w14:paraId="0A17311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12CA879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34AB240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309E1173">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43846CF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1116" w:type="dxa"/>
            <w:tcBorders>
              <w:top w:val="nil"/>
              <w:left w:val="nil"/>
              <w:bottom w:val="single" w:color="000000" w:sz="8" w:space="0"/>
              <w:right w:val="single" w:color="000000" w:sz="8" w:space="0"/>
            </w:tcBorders>
            <w:noWrap w:val="0"/>
            <w:vAlign w:val="center"/>
          </w:tcPr>
          <w:p w14:paraId="6A19EF5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1516" w:type="dxa"/>
            <w:tcBorders>
              <w:top w:val="nil"/>
              <w:left w:val="nil"/>
              <w:bottom w:val="single" w:color="000000" w:sz="8" w:space="0"/>
              <w:right w:val="single" w:color="000000" w:sz="8" w:space="0"/>
            </w:tcBorders>
            <w:noWrap w:val="0"/>
            <w:vAlign w:val="center"/>
          </w:tcPr>
          <w:p w14:paraId="7927829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1612" w:type="dxa"/>
            <w:tcBorders>
              <w:top w:val="nil"/>
              <w:left w:val="nil"/>
              <w:bottom w:val="single" w:color="000000" w:sz="8" w:space="0"/>
              <w:right w:val="single" w:color="000000" w:sz="8" w:space="0"/>
            </w:tcBorders>
            <w:noWrap w:val="0"/>
            <w:vAlign w:val="center"/>
          </w:tcPr>
          <w:p w14:paraId="3F581B2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6058040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7783B303">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65C2311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1116" w:type="dxa"/>
            <w:tcBorders>
              <w:top w:val="nil"/>
              <w:left w:val="nil"/>
              <w:bottom w:val="single" w:color="000000" w:sz="8" w:space="0"/>
              <w:right w:val="single" w:color="000000" w:sz="8" w:space="0"/>
            </w:tcBorders>
            <w:noWrap w:val="0"/>
            <w:vAlign w:val="center"/>
          </w:tcPr>
          <w:p w14:paraId="3A2FDB8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1516" w:type="dxa"/>
            <w:tcBorders>
              <w:top w:val="nil"/>
              <w:left w:val="nil"/>
              <w:bottom w:val="single" w:color="000000" w:sz="8" w:space="0"/>
              <w:right w:val="single" w:color="000000" w:sz="8" w:space="0"/>
            </w:tcBorders>
            <w:noWrap w:val="0"/>
            <w:vAlign w:val="center"/>
          </w:tcPr>
          <w:p w14:paraId="251C0EF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1612" w:type="dxa"/>
            <w:tcBorders>
              <w:top w:val="nil"/>
              <w:left w:val="nil"/>
              <w:bottom w:val="single" w:color="000000" w:sz="8" w:space="0"/>
              <w:right w:val="single" w:color="000000" w:sz="8" w:space="0"/>
            </w:tcBorders>
            <w:noWrap w:val="0"/>
            <w:vAlign w:val="center"/>
          </w:tcPr>
          <w:p w14:paraId="399F9B1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4B456BB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07CF0FE7">
        <w:tblPrEx>
          <w:tblCellMar>
            <w:top w:w="0" w:type="dxa"/>
            <w:left w:w="108" w:type="dxa"/>
            <w:bottom w:w="0" w:type="dxa"/>
            <w:right w:w="108" w:type="dxa"/>
          </w:tblCellMar>
        </w:tblPrEx>
        <w:trPr>
          <w:trHeight w:val="495" w:hRule="atLeast"/>
          <w:jc w:val="center"/>
        </w:trPr>
        <w:tc>
          <w:tcPr>
            <w:tcW w:w="779" w:type="dxa"/>
            <w:vMerge w:val="restart"/>
            <w:tcBorders>
              <w:top w:val="nil"/>
              <w:left w:val="single" w:color="000000" w:sz="8" w:space="0"/>
              <w:bottom w:val="single" w:color="000000" w:sz="8" w:space="0"/>
              <w:right w:val="single" w:color="000000" w:sz="8" w:space="0"/>
            </w:tcBorders>
            <w:noWrap w:val="0"/>
            <w:vAlign w:val="center"/>
          </w:tcPr>
          <w:p w14:paraId="69166B2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777D983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1516" w:type="dxa"/>
            <w:tcBorders>
              <w:top w:val="nil"/>
              <w:left w:val="nil"/>
              <w:bottom w:val="single" w:color="000000" w:sz="8" w:space="0"/>
              <w:right w:val="single" w:color="000000" w:sz="8" w:space="0"/>
            </w:tcBorders>
            <w:noWrap w:val="0"/>
            <w:vAlign w:val="center"/>
          </w:tcPr>
          <w:p w14:paraId="4F1E4DF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1612" w:type="dxa"/>
            <w:tcBorders>
              <w:top w:val="nil"/>
              <w:left w:val="nil"/>
              <w:bottom w:val="single" w:color="000000" w:sz="8" w:space="0"/>
              <w:right w:val="single" w:color="000000" w:sz="8" w:space="0"/>
            </w:tcBorders>
            <w:noWrap w:val="0"/>
            <w:vAlign w:val="center"/>
          </w:tcPr>
          <w:p w14:paraId="3AE4425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09B078A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 12021.2）</w:t>
            </w:r>
          </w:p>
        </w:tc>
      </w:tr>
      <w:tr w14:paraId="4FC6D919">
        <w:tblPrEx>
          <w:tblCellMar>
            <w:top w:w="0" w:type="dxa"/>
            <w:left w:w="108" w:type="dxa"/>
            <w:bottom w:w="0" w:type="dxa"/>
            <w:right w:w="108" w:type="dxa"/>
          </w:tblCellMar>
        </w:tblPrEx>
        <w:trPr>
          <w:trHeight w:val="97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10531D07">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C48FB22">
            <w:pPr>
              <w:widowControl/>
              <w:jc w:val="left"/>
              <w:rPr>
                <w:rFonts w:hint="eastAsia" w:ascii="宋体" w:hAnsi="宋体" w:eastAsia="宋体" w:cs="宋体"/>
                <w:color w:val="auto"/>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61EE6C4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1612" w:type="dxa"/>
            <w:tcBorders>
              <w:top w:val="nil"/>
              <w:left w:val="nil"/>
              <w:bottom w:val="single" w:color="000000" w:sz="8" w:space="0"/>
              <w:right w:val="single" w:color="000000" w:sz="8" w:space="0"/>
            </w:tcBorders>
            <w:noWrap w:val="0"/>
            <w:vAlign w:val="center"/>
          </w:tcPr>
          <w:p w14:paraId="105C0C0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4335" w:type="dxa"/>
            <w:tcBorders>
              <w:top w:val="nil"/>
              <w:left w:val="nil"/>
              <w:bottom w:val="single" w:color="000000" w:sz="8" w:space="0"/>
              <w:right w:val="single" w:color="000000" w:sz="8" w:space="0"/>
            </w:tcBorders>
            <w:noWrap w:val="0"/>
            <w:vAlign w:val="center"/>
          </w:tcPr>
          <w:p w14:paraId="70FED66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5C6692BE">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07B60953">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21E8C91">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12DB579">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31EA33F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 14000W）</w:t>
            </w:r>
          </w:p>
        </w:tc>
        <w:tc>
          <w:tcPr>
            <w:tcW w:w="4335" w:type="dxa"/>
            <w:tcBorders>
              <w:top w:val="nil"/>
              <w:left w:val="nil"/>
              <w:bottom w:val="single" w:color="000000" w:sz="8" w:space="0"/>
              <w:right w:val="single" w:color="000000" w:sz="8" w:space="0"/>
            </w:tcBorders>
            <w:noWrap w:val="0"/>
            <w:vAlign w:val="center"/>
          </w:tcPr>
          <w:p w14:paraId="2742279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3244DAE3">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6F73EB2C">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83DAA16">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14ACF768">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4C46DD8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4335" w:type="dxa"/>
            <w:tcBorders>
              <w:top w:val="nil"/>
              <w:left w:val="nil"/>
              <w:bottom w:val="single" w:color="000000" w:sz="8" w:space="0"/>
              <w:right w:val="single" w:color="000000" w:sz="8" w:space="0"/>
            </w:tcBorders>
            <w:noWrap w:val="0"/>
            <w:vAlign w:val="center"/>
          </w:tcPr>
          <w:p w14:paraId="40DA746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1E392EDB">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40D9D274">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35163A0">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43E7322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1612" w:type="dxa"/>
            <w:tcBorders>
              <w:top w:val="nil"/>
              <w:left w:val="nil"/>
              <w:bottom w:val="single" w:color="000000" w:sz="8" w:space="0"/>
              <w:right w:val="single" w:color="000000" w:sz="8" w:space="0"/>
            </w:tcBorders>
            <w:noWrap w:val="0"/>
            <w:vAlign w:val="center"/>
          </w:tcPr>
          <w:p w14:paraId="6D36558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55C491D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545085A3">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32556BE9">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8D8F94D">
            <w:pPr>
              <w:widowControl/>
              <w:jc w:val="left"/>
              <w:rPr>
                <w:rFonts w:hint="eastAsia" w:ascii="宋体" w:hAnsi="宋体" w:eastAsia="宋体" w:cs="宋体"/>
                <w:color w:val="auto"/>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67A5C6F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1612" w:type="dxa"/>
            <w:tcBorders>
              <w:top w:val="nil"/>
              <w:left w:val="nil"/>
              <w:bottom w:val="single" w:color="000000" w:sz="8" w:space="0"/>
              <w:right w:val="single" w:color="000000" w:sz="8" w:space="0"/>
            </w:tcBorders>
            <w:noWrap w:val="0"/>
            <w:vAlign w:val="center"/>
          </w:tcPr>
          <w:p w14:paraId="6B09C29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4335" w:type="dxa"/>
            <w:tcBorders>
              <w:top w:val="nil"/>
              <w:left w:val="nil"/>
              <w:bottom w:val="single" w:color="000000" w:sz="8" w:space="0"/>
              <w:right w:val="single" w:color="000000" w:sz="8" w:space="0"/>
            </w:tcBorders>
            <w:noWrap w:val="0"/>
            <w:vAlign w:val="center"/>
          </w:tcPr>
          <w:p w14:paraId="35D5FCD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06F3FCD3">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06DE2F46">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73A2930">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2CB03E97">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7FE3A2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4335" w:type="dxa"/>
            <w:tcBorders>
              <w:top w:val="nil"/>
              <w:left w:val="nil"/>
              <w:bottom w:val="single" w:color="000000" w:sz="8" w:space="0"/>
              <w:right w:val="single" w:color="000000" w:sz="8" w:space="0"/>
            </w:tcBorders>
            <w:noWrap w:val="0"/>
            <w:vAlign w:val="center"/>
          </w:tcPr>
          <w:p w14:paraId="110203B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1D65F9CB">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348587F1">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2A6A1EC">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14380BC1">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2A4C31D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4335" w:type="dxa"/>
            <w:tcBorders>
              <w:top w:val="nil"/>
              <w:left w:val="nil"/>
              <w:bottom w:val="single" w:color="000000" w:sz="8" w:space="0"/>
              <w:right w:val="single" w:color="000000" w:sz="8" w:space="0"/>
            </w:tcBorders>
            <w:noWrap w:val="0"/>
            <w:vAlign w:val="center"/>
          </w:tcPr>
          <w:p w14:paraId="39957F0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7963115F">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7B23CB83">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F633351">
            <w:pPr>
              <w:widowControl/>
              <w:jc w:val="left"/>
              <w:rPr>
                <w:rFonts w:hint="eastAsia" w:ascii="宋体" w:hAnsi="宋体" w:eastAsia="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5757DAEB">
            <w:pPr>
              <w:widowControl/>
              <w:jc w:val="left"/>
              <w:rPr>
                <w:rFonts w:hint="eastAsia" w:ascii="宋体" w:hAnsi="宋体" w:eastAsia="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014CDC7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4335" w:type="dxa"/>
            <w:tcBorders>
              <w:top w:val="nil"/>
              <w:left w:val="nil"/>
              <w:bottom w:val="single" w:color="000000" w:sz="8" w:space="0"/>
              <w:right w:val="single" w:color="000000" w:sz="8" w:space="0"/>
            </w:tcBorders>
            <w:noWrap w:val="0"/>
            <w:vAlign w:val="center"/>
          </w:tcPr>
          <w:p w14:paraId="5031C40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725397C8">
        <w:tblPrEx>
          <w:tblCellMar>
            <w:top w:w="0" w:type="dxa"/>
            <w:left w:w="108" w:type="dxa"/>
            <w:bottom w:w="0" w:type="dxa"/>
            <w:right w:w="108" w:type="dxa"/>
          </w:tblCellMar>
        </w:tblPrEx>
        <w:trPr>
          <w:trHeight w:val="495" w:hRule="atLeast"/>
          <w:jc w:val="center"/>
        </w:trPr>
        <w:tc>
          <w:tcPr>
            <w:tcW w:w="779" w:type="dxa"/>
            <w:vMerge w:val="restart"/>
            <w:tcBorders>
              <w:top w:val="nil"/>
              <w:left w:val="single" w:color="000000" w:sz="8" w:space="0"/>
              <w:bottom w:val="single" w:color="000000" w:sz="8" w:space="0"/>
              <w:right w:val="single" w:color="000000" w:sz="8" w:space="0"/>
            </w:tcBorders>
            <w:noWrap w:val="0"/>
            <w:vAlign w:val="center"/>
          </w:tcPr>
          <w:p w14:paraId="600E54B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76FFB6A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1516" w:type="dxa"/>
            <w:tcBorders>
              <w:top w:val="nil"/>
              <w:left w:val="nil"/>
              <w:bottom w:val="single" w:color="000000" w:sz="8" w:space="0"/>
              <w:right w:val="single" w:color="000000" w:sz="8" w:space="0"/>
            </w:tcBorders>
            <w:noWrap w:val="0"/>
            <w:vAlign w:val="center"/>
          </w:tcPr>
          <w:p w14:paraId="139F7B4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1612" w:type="dxa"/>
            <w:tcBorders>
              <w:top w:val="nil"/>
              <w:left w:val="nil"/>
              <w:bottom w:val="single" w:color="000000" w:sz="8" w:space="0"/>
              <w:right w:val="single" w:color="000000" w:sz="8" w:space="0"/>
            </w:tcBorders>
            <w:noWrap w:val="0"/>
            <w:vAlign w:val="center"/>
          </w:tcPr>
          <w:p w14:paraId="233FA6D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0A5E99F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7FBF249F">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7BB68CC7">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7BB50C7">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829344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1612" w:type="dxa"/>
            <w:tcBorders>
              <w:top w:val="nil"/>
              <w:left w:val="nil"/>
              <w:bottom w:val="single" w:color="000000" w:sz="8" w:space="0"/>
              <w:right w:val="single" w:color="000000" w:sz="8" w:space="0"/>
            </w:tcBorders>
            <w:noWrap w:val="0"/>
            <w:vAlign w:val="center"/>
          </w:tcPr>
          <w:p w14:paraId="7A91051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3565180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5DC63CEE">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45401321">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70A31F0">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2710BB0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1612" w:type="dxa"/>
            <w:tcBorders>
              <w:top w:val="nil"/>
              <w:left w:val="nil"/>
              <w:bottom w:val="single" w:color="000000" w:sz="8" w:space="0"/>
              <w:right w:val="single" w:color="000000" w:sz="8" w:space="0"/>
            </w:tcBorders>
            <w:noWrap w:val="0"/>
            <w:vAlign w:val="center"/>
          </w:tcPr>
          <w:p w14:paraId="02A3E24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7131B4D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3E787651">
        <w:tblPrEx>
          <w:tblCellMar>
            <w:top w:w="0" w:type="dxa"/>
            <w:left w:w="108" w:type="dxa"/>
            <w:bottom w:w="0" w:type="dxa"/>
            <w:right w:w="108" w:type="dxa"/>
          </w:tblCellMar>
        </w:tblPrEx>
        <w:trPr>
          <w:trHeight w:val="73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4E77F03B">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8C26D7D">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2165BCC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1612" w:type="dxa"/>
            <w:tcBorders>
              <w:top w:val="nil"/>
              <w:left w:val="nil"/>
              <w:bottom w:val="single" w:color="000000" w:sz="8" w:space="0"/>
              <w:right w:val="single" w:color="000000" w:sz="8" w:space="0"/>
            </w:tcBorders>
            <w:noWrap w:val="0"/>
            <w:vAlign w:val="center"/>
          </w:tcPr>
          <w:p w14:paraId="7B62A34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2B47A00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768B47F9">
        <w:tblPrEx>
          <w:tblCellMar>
            <w:top w:w="0" w:type="dxa"/>
            <w:left w:w="108" w:type="dxa"/>
            <w:bottom w:w="0" w:type="dxa"/>
            <w:right w:w="108" w:type="dxa"/>
          </w:tblCellMar>
        </w:tblPrEx>
        <w:trPr>
          <w:trHeight w:val="73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344E9BE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1116" w:type="dxa"/>
            <w:tcBorders>
              <w:top w:val="nil"/>
              <w:left w:val="nil"/>
              <w:bottom w:val="single" w:color="000000" w:sz="8" w:space="0"/>
              <w:right w:val="single" w:color="000000" w:sz="8" w:space="0"/>
            </w:tcBorders>
            <w:noWrap w:val="0"/>
            <w:vAlign w:val="center"/>
          </w:tcPr>
          <w:p w14:paraId="677AD22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1516" w:type="dxa"/>
            <w:tcBorders>
              <w:top w:val="nil"/>
              <w:left w:val="nil"/>
              <w:bottom w:val="single" w:color="000000" w:sz="8" w:space="0"/>
              <w:right w:val="single" w:color="000000" w:sz="8" w:space="0"/>
            </w:tcBorders>
            <w:noWrap w:val="0"/>
            <w:vAlign w:val="center"/>
          </w:tcPr>
          <w:p w14:paraId="0B9CDEB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1612" w:type="dxa"/>
            <w:tcBorders>
              <w:top w:val="nil"/>
              <w:left w:val="nil"/>
              <w:bottom w:val="single" w:color="000000" w:sz="8" w:space="0"/>
              <w:right w:val="single" w:color="000000" w:sz="8" w:space="0"/>
            </w:tcBorders>
            <w:noWrap w:val="0"/>
            <w:vAlign w:val="center"/>
          </w:tcPr>
          <w:p w14:paraId="5099839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351E35F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2E68839E">
        <w:tblPrEx>
          <w:tblCellMar>
            <w:top w:w="0" w:type="dxa"/>
            <w:left w:w="108" w:type="dxa"/>
            <w:bottom w:w="0" w:type="dxa"/>
            <w:right w:w="108" w:type="dxa"/>
          </w:tblCellMar>
        </w:tblPrEx>
        <w:trPr>
          <w:trHeight w:val="97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766D7FF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1116" w:type="dxa"/>
            <w:tcBorders>
              <w:top w:val="nil"/>
              <w:left w:val="nil"/>
              <w:bottom w:val="single" w:color="000000" w:sz="8" w:space="0"/>
              <w:right w:val="single" w:color="000000" w:sz="8" w:space="0"/>
            </w:tcBorders>
            <w:noWrap w:val="0"/>
            <w:vAlign w:val="center"/>
          </w:tcPr>
          <w:p w14:paraId="070D77F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1516" w:type="dxa"/>
            <w:tcBorders>
              <w:top w:val="nil"/>
              <w:left w:val="nil"/>
              <w:bottom w:val="single" w:color="000000" w:sz="8" w:space="0"/>
              <w:right w:val="single" w:color="000000" w:sz="8" w:space="0"/>
            </w:tcBorders>
            <w:noWrap w:val="0"/>
            <w:vAlign w:val="center"/>
          </w:tcPr>
          <w:p w14:paraId="7DAF9AA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1612" w:type="dxa"/>
            <w:tcBorders>
              <w:top w:val="nil"/>
              <w:left w:val="nil"/>
              <w:bottom w:val="single" w:color="000000" w:sz="8" w:space="0"/>
              <w:right w:val="single" w:color="000000" w:sz="8" w:space="0"/>
            </w:tcBorders>
            <w:noWrap w:val="0"/>
            <w:vAlign w:val="center"/>
          </w:tcPr>
          <w:p w14:paraId="3C6CD5D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4335" w:type="dxa"/>
            <w:tcBorders>
              <w:top w:val="nil"/>
              <w:left w:val="nil"/>
              <w:bottom w:val="single" w:color="000000" w:sz="8" w:space="0"/>
              <w:right w:val="single" w:color="000000" w:sz="8" w:space="0"/>
            </w:tcBorders>
            <w:noWrap w:val="0"/>
            <w:vAlign w:val="center"/>
          </w:tcPr>
          <w:p w14:paraId="019D84B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7FF47D86">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7566171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1116" w:type="dxa"/>
            <w:tcBorders>
              <w:top w:val="nil"/>
              <w:left w:val="nil"/>
              <w:bottom w:val="single" w:color="000000" w:sz="8" w:space="0"/>
              <w:right w:val="single" w:color="000000" w:sz="8" w:space="0"/>
            </w:tcBorders>
            <w:noWrap w:val="0"/>
            <w:vAlign w:val="center"/>
          </w:tcPr>
          <w:p w14:paraId="1F99C85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1516" w:type="dxa"/>
            <w:tcBorders>
              <w:top w:val="nil"/>
              <w:left w:val="nil"/>
              <w:bottom w:val="single" w:color="000000" w:sz="8" w:space="0"/>
              <w:right w:val="single" w:color="000000" w:sz="8" w:space="0"/>
            </w:tcBorders>
            <w:noWrap w:val="0"/>
            <w:vAlign w:val="center"/>
          </w:tcPr>
          <w:p w14:paraId="51DE0E4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1612" w:type="dxa"/>
            <w:tcBorders>
              <w:top w:val="nil"/>
              <w:left w:val="nil"/>
              <w:bottom w:val="single" w:color="000000" w:sz="8" w:space="0"/>
              <w:right w:val="single" w:color="000000" w:sz="8" w:space="0"/>
            </w:tcBorders>
            <w:noWrap w:val="0"/>
            <w:vAlign w:val="center"/>
          </w:tcPr>
          <w:p w14:paraId="60B338D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2821E95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24EA49C5">
        <w:tblPrEx>
          <w:tblCellMar>
            <w:top w:w="0" w:type="dxa"/>
            <w:left w:w="108" w:type="dxa"/>
            <w:bottom w:w="0" w:type="dxa"/>
            <w:right w:w="108" w:type="dxa"/>
          </w:tblCellMar>
        </w:tblPrEx>
        <w:trPr>
          <w:trHeight w:val="285" w:hRule="atLeast"/>
          <w:jc w:val="center"/>
        </w:trPr>
        <w:tc>
          <w:tcPr>
            <w:tcW w:w="779" w:type="dxa"/>
            <w:vMerge w:val="restart"/>
            <w:tcBorders>
              <w:top w:val="nil"/>
              <w:left w:val="single" w:color="000000" w:sz="8" w:space="0"/>
              <w:bottom w:val="single" w:color="000000" w:sz="8" w:space="0"/>
              <w:right w:val="single" w:color="000000" w:sz="8" w:space="0"/>
            </w:tcBorders>
            <w:noWrap w:val="0"/>
            <w:vAlign w:val="center"/>
          </w:tcPr>
          <w:p w14:paraId="6F55B6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7E9876D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1516" w:type="dxa"/>
            <w:tcBorders>
              <w:top w:val="nil"/>
              <w:left w:val="nil"/>
              <w:bottom w:val="single" w:color="000000" w:sz="8" w:space="0"/>
              <w:right w:val="single" w:color="000000" w:sz="8" w:space="0"/>
            </w:tcBorders>
            <w:noWrap w:val="0"/>
            <w:vAlign w:val="center"/>
          </w:tcPr>
          <w:p w14:paraId="5EECEDF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1612" w:type="dxa"/>
            <w:tcBorders>
              <w:top w:val="nil"/>
              <w:left w:val="nil"/>
              <w:bottom w:val="single" w:color="000000" w:sz="8" w:space="0"/>
              <w:right w:val="single" w:color="000000" w:sz="8" w:space="0"/>
            </w:tcBorders>
            <w:noWrap w:val="0"/>
            <w:vAlign w:val="center"/>
          </w:tcPr>
          <w:p w14:paraId="0091482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4666BDF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36A49BC7">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4A017949">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77782F3">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097B530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1612" w:type="dxa"/>
            <w:tcBorders>
              <w:top w:val="nil"/>
              <w:left w:val="nil"/>
              <w:bottom w:val="single" w:color="000000" w:sz="8" w:space="0"/>
              <w:right w:val="single" w:color="000000" w:sz="8" w:space="0"/>
            </w:tcBorders>
            <w:noWrap w:val="0"/>
            <w:vAlign w:val="center"/>
          </w:tcPr>
          <w:p w14:paraId="33F4082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680F611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7713FFC5">
        <w:tblPrEx>
          <w:tblCellMar>
            <w:top w:w="0" w:type="dxa"/>
            <w:left w:w="108" w:type="dxa"/>
            <w:bottom w:w="0" w:type="dxa"/>
            <w:right w:w="108" w:type="dxa"/>
          </w:tblCellMar>
        </w:tblPrEx>
        <w:trPr>
          <w:trHeight w:val="495" w:hRule="atLeast"/>
          <w:jc w:val="center"/>
        </w:trPr>
        <w:tc>
          <w:tcPr>
            <w:tcW w:w="779" w:type="dxa"/>
            <w:vMerge w:val="continue"/>
            <w:tcBorders>
              <w:top w:val="nil"/>
              <w:left w:val="single" w:color="000000" w:sz="8" w:space="0"/>
              <w:bottom w:val="single" w:color="000000" w:sz="8" w:space="0"/>
              <w:right w:val="single" w:color="000000" w:sz="8" w:space="0"/>
            </w:tcBorders>
            <w:noWrap w:val="0"/>
            <w:vAlign w:val="center"/>
          </w:tcPr>
          <w:p w14:paraId="04F6B196">
            <w:pPr>
              <w:widowControl/>
              <w:jc w:val="left"/>
              <w:rPr>
                <w:rFonts w:hint="eastAsia" w:ascii="宋体" w:hAnsi="宋体" w:eastAsia="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DCCFC38">
            <w:pPr>
              <w:widowControl/>
              <w:jc w:val="left"/>
              <w:rPr>
                <w:rFonts w:hint="eastAsia" w:ascii="宋体" w:hAnsi="宋体" w:eastAsia="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6CB24BC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1612" w:type="dxa"/>
            <w:tcBorders>
              <w:top w:val="nil"/>
              <w:left w:val="nil"/>
              <w:bottom w:val="single" w:color="000000" w:sz="8" w:space="0"/>
              <w:right w:val="single" w:color="000000" w:sz="8" w:space="0"/>
            </w:tcBorders>
            <w:noWrap w:val="0"/>
            <w:vAlign w:val="center"/>
          </w:tcPr>
          <w:p w14:paraId="4B9D5D7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24F93EB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24A728C6">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0B2B962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1116" w:type="dxa"/>
            <w:tcBorders>
              <w:top w:val="nil"/>
              <w:left w:val="nil"/>
              <w:bottom w:val="single" w:color="000000" w:sz="8" w:space="0"/>
              <w:right w:val="single" w:color="000000" w:sz="8" w:space="0"/>
            </w:tcBorders>
            <w:noWrap w:val="0"/>
            <w:vAlign w:val="center"/>
          </w:tcPr>
          <w:p w14:paraId="3676DD3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1516" w:type="dxa"/>
            <w:tcBorders>
              <w:top w:val="nil"/>
              <w:left w:val="nil"/>
              <w:bottom w:val="single" w:color="000000" w:sz="8" w:space="0"/>
              <w:right w:val="single" w:color="000000" w:sz="8" w:space="0"/>
            </w:tcBorders>
            <w:noWrap w:val="0"/>
            <w:vAlign w:val="center"/>
          </w:tcPr>
          <w:p w14:paraId="7EF299F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32D358C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59A848C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 25501）</w:t>
            </w:r>
          </w:p>
        </w:tc>
      </w:tr>
      <w:tr w14:paraId="1199CC64">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6A5FDC4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1116" w:type="dxa"/>
            <w:tcBorders>
              <w:top w:val="nil"/>
              <w:left w:val="nil"/>
              <w:bottom w:val="single" w:color="000000" w:sz="8" w:space="0"/>
              <w:right w:val="single" w:color="000000" w:sz="8" w:space="0"/>
            </w:tcBorders>
            <w:noWrap w:val="0"/>
            <w:vAlign w:val="center"/>
          </w:tcPr>
          <w:p w14:paraId="390663A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1516" w:type="dxa"/>
            <w:tcBorders>
              <w:top w:val="nil"/>
              <w:left w:val="nil"/>
              <w:bottom w:val="single" w:color="000000" w:sz="8" w:space="0"/>
              <w:right w:val="single" w:color="000000" w:sz="8" w:space="0"/>
            </w:tcBorders>
            <w:noWrap w:val="0"/>
            <w:vAlign w:val="center"/>
          </w:tcPr>
          <w:p w14:paraId="6BDFDC2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03CFB0D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782495C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2FFDE792">
        <w:tblPrEx>
          <w:tblCellMar>
            <w:top w:w="0" w:type="dxa"/>
            <w:left w:w="108" w:type="dxa"/>
            <w:bottom w:w="0" w:type="dxa"/>
            <w:right w:w="108" w:type="dxa"/>
          </w:tblCellMar>
        </w:tblPrEx>
        <w:trPr>
          <w:trHeight w:val="495" w:hRule="atLeast"/>
          <w:jc w:val="center"/>
        </w:trPr>
        <w:tc>
          <w:tcPr>
            <w:tcW w:w="779" w:type="dxa"/>
            <w:tcBorders>
              <w:top w:val="nil"/>
              <w:left w:val="single" w:color="000000" w:sz="8" w:space="0"/>
              <w:bottom w:val="single" w:color="000000" w:sz="8" w:space="0"/>
              <w:right w:val="single" w:color="000000" w:sz="8" w:space="0"/>
            </w:tcBorders>
            <w:noWrap w:val="0"/>
            <w:vAlign w:val="center"/>
          </w:tcPr>
          <w:p w14:paraId="3AD9EA5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1116" w:type="dxa"/>
            <w:tcBorders>
              <w:top w:val="nil"/>
              <w:left w:val="nil"/>
              <w:bottom w:val="single" w:color="000000" w:sz="8" w:space="0"/>
              <w:right w:val="single" w:color="000000" w:sz="8" w:space="0"/>
            </w:tcBorders>
            <w:noWrap w:val="0"/>
            <w:vAlign w:val="center"/>
          </w:tcPr>
          <w:p w14:paraId="3DEA371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1516" w:type="dxa"/>
            <w:tcBorders>
              <w:top w:val="nil"/>
              <w:left w:val="nil"/>
              <w:bottom w:val="single" w:color="000000" w:sz="8" w:space="0"/>
              <w:right w:val="single" w:color="000000" w:sz="8" w:space="0"/>
            </w:tcBorders>
            <w:noWrap w:val="0"/>
            <w:vAlign w:val="center"/>
          </w:tcPr>
          <w:p w14:paraId="7B436BF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4BE6787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tcBorders>
              <w:top w:val="nil"/>
              <w:left w:val="nil"/>
              <w:bottom w:val="single" w:color="000000" w:sz="8" w:space="0"/>
              <w:right w:val="single" w:color="000000" w:sz="8" w:space="0"/>
            </w:tcBorders>
            <w:noWrap w:val="0"/>
            <w:vAlign w:val="center"/>
          </w:tcPr>
          <w:p w14:paraId="28525BC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280D0E87">
      <w:pPr>
        <w:pStyle w:val="13"/>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3"/>
          <w:szCs w:val="21"/>
          <w:highlight w:val="none"/>
        </w:rPr>
        <w:t>注：1.节能产品认证应依据相关国家标准的最新版本，依据国家标准中二级能效（水效）</w:t>
      </w:r>
      <w:r>
        <w:rPr>
          <w:rFonts w:hint="eastAsia" w:ascii="宋体" w:hAnsi="宋体" w:eastAsia="宋体" w:cs="宋体"/>
          <w:color w:val="auto"/>
          <w:szCs w:val="21"/>
          <w:highlight w:val="none"/>
        </w:rPr>
        <w:t>指标。</w:t>
      </w:r>
    </w:p>
    <w:p w14:paraId="52871795">
      <w:pPr>
        <w:pStyle w:val="17"/>
        <w:jc w:val="left"/>
        <w:rPr>
          <w:rFonts w:hint="eastAsia" w:ascii="宋体" w:hAnsi="宋体" w:eastAsia="宋体" w:cs="宋体"/>
          <w:color w:val="auto"/>
          <w:sz w:val="32"/>
          <w:szCs w:val="32"/>
          <w:highlight w:val="none"/>
        </w:rPr>
      </w:pPr>
      <w:r>
        <w:rPr>
          <w:rFonts w:hint="eastAsia" w:ascii="宋体" w:hAnsi="宋体" w:eastAsia="宋体" w:cs="宋体"/>
          <w:color w:val="auto"/>
          <w:highlight w:val="none"/>
        </w:rPr>
        <w:t xml:space="preserve">    2.以“★”标注的为政府强制采购产品。</w:t>
      </w: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附件2：</w:t>
      </w:r>
    </w:p>
    <w:p w14:paraId="2EB291BC">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9"/>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0A7A075D">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4E4704E9">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75BDA6B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002AD72D">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140D0BAD">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6BDB2C7A">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433E39A0">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24BF1E5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00FF4851">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74F378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0D03A8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94D262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550BBC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511CB3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5E10E54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B8BE36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6C6462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3C0E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286A7B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3A78388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19DD94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84BA6E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281FC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F77F8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7060CC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79FBE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295653C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2D2ACDC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67F47C9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F89D18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45BA70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300D5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22B3A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3A577CB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7FF922D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04B44E3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C3D54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D538A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57B7E1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8E04AB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7C93756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4CC4075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1453EEA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4E8B82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5E86B3C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CC63D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0150A6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741251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02899FD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6774C4F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D444F2C">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0DA26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90EFA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77B86B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0816D5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7B6799B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56EDBC4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C8EAC0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6F2330B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A27C9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178674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14153B3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6E14D7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B9D085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F9DDD1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BAD9B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673B8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9B30EC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0D9244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6E590D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9741AC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0866CE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0545B9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3187B4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60E84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3634B7B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597198E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1164CD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C6072C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AC0976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723120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53E2A5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20043AF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6D4C46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406B495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8A1A59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7B3FA1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0EAB2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FBF4C3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202EDF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29301D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3CB72F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00F015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7934A5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6890D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15929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52A62AF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18035D4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619318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CC5656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69DD2D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CDE80C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3E5CE8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12D3FB1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5F3C795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860F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B42CA13">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39046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D959D4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4CD4C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4FE3B2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16F4ED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4EB2AA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281CAB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4DC3D5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5DDC7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5F6E23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C6685D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BE2C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9C4FDB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04F46C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0735F8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AAF74D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731A5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147DA8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7B255F1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12950F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331C4E2F">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3D0AFCB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06CD3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B3025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10C2CAC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74771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DF420C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5A439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1BD78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3A967D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482FAE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572EAA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3EE80D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B420E7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7D865522">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07A5F2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A2745E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FC26C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08320E9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1EDB2F4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054850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FFC352C">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197C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E41AE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9708E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7CBFED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354A3A2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282397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293D68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6011A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1C3B8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AC9B2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48325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8E082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CDC2F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DE3DF5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69CD6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47DA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65073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7C7C57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0E48B4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746D438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776C9D5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378D766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40806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3A0FA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130B07F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1931C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0E7A6AA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9453CE">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43AC40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7AA4A7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7643CC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02007D3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617E990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3A73375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493E30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386A39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EDADD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9666E1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05FE3F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39C74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133BB2C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3668D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5853F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FF1BC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0122F4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0669E79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36AE6F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079A579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6482C8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4558F7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5B32F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3640A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7B81B30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DC5B1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622E603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6F90437">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7D59C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30997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953EE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6DE2C0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1BE0CB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B60A247">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0D9005F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18FE71F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B1B2F4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5E4C16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B8581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B8E6F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313CDE18">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3F002F00">
      <w:pPr>
        <w:widowControl/>
        <w:jc w:val="left"/>
        <w:rPr>
          <w:rFonts w:hint="eastAsia" w:ascii="宋体" w:hAnsi="宋体" w:eastAsia="宋体" w:cs="宋体"/>
          <w:color w:val="auto"/>
          <w:kern w:val="0"/>
          <w:sz w:val="20"/>
          <w:szCs w:val="21"/>
          <w:highlight w:val="none"/>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331" w:charSpace="0"/>
        </w:sectPr>
      </w:pPr>
    </w:p>
    <w:p w14:paraId="5D5E279D">
      <w:pPr>
        <w:pStyle w:val="2"/>
        <w:spacing w:line="480" w:lineRule="auto"/>
        <w:jc w:val="center"/>
        <w:rPr>
          <w:rFonts w:hint="eastAsia" w:ascii="宋体" w:hAnsi="宋体" w:eastAsia="宋体" w:cs="宋体"/>
          <w:b/>
          <w:bCs/>
          <w:color w:val="auto"/>
          <w:highlight w:val="none"/>
        </w:rPr>
      </w:pPr>
      <w:bookmarkStart w:id="16" w:name="_Toc7704"/>
      <w:bookmarkStart w:id="17" w:name="_Toc3319"/>
      <w:bookmarkStart w:id="18" w:name="_Toc24174"/>
      <w:bookmarkStart w:id="19" w:name="_Toc13614"/>
      <w:bookmarkStart w:id="20" w:name="_Toc9332"/>
      <w:bookmarkStart w:id="21" w:name="_Toc9239"/>
      <w:r>
        <w:rPr>
          <w:rFonts w:hint="eastAsia" w:ascii="宋体" w:hAnsi="宋体" w:eastAsia="宋体" w:cs="宋体"/>
          <w:b/>
          <w:bCs w:val="0"/>
          <w:color w:val="auto"/>
          <w:sz w:val="32"/>
          <w:szCs w:val="32"/>
          <w:highlight w:val="none"/>
        </w:rPr>
        <w:t>第三章 供应商须知</w:t>
      </w:r>
      <w:bookmarkEnd w:id="16"/>
      <w:bookmarkEnd w:id="17"/>
      <w:bookmarkEnd w:id="18"/>
      <w:bookmarkEnd w:id="19"/>
      <w:bookmarkEnd w:id="20"/>
      <w:bookmarkEnd w:id="21"/>
    </w:p>
    <w:p w14:paraId="13498B5A">
      <w:pPr>
        <w:pStyle w:val="3"/>
        <w:jc w:val="center"/>
        <w:rPr>
          <w:rFonts w:hint="eastAsia" w:ascii="宋体" w:hAnsi="宋体" w:eastAsia="宋体" w:cs="宋体"/>
          <w:b/>
          <w:bCs/>
          <w:color w:val="auto"/>
          <w:sz w:val="32"/>
          <w:szCs w:val="32"/>
          <w:highlight w:val="none"/>
        </w:rPr>
      </w:pPr>
      <w:bookmarkStart w:id="22" w:name="_Toc30660"/>
      <w:bookmarkStart w:id="23" w:name="_Toc9482"/>
      <w:r>
        <w:rPr>
          <w:rFonts w:hint="eastAsia" w:ascii="宋体" w:hAnsi="宋体" w:eastAsia="宋体" w:cs="宋体"/>
          <w:b w:val="0"/>
          <w:bCs/>
          <w:color w:val="auto"/>
          <w:highlight w:val="none"/>
        </w:rPr>
        <w:t>第一节 供应商须知前附表</w:t>
      </w:r>
      <w:bookmarkEnd w:id="22"/>
      <w:bookmarkEnd w:id="23"/>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3"/>
        <w:gridCol w:w="2321"/>
        <w:gridCol w:w="7080"/>
      </w:tblGrid>
      <w:tr w14:paraId="66475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63" w:type="dxa"/>
            <w:noWrap w:val="0"/>
            <w:vAlign w:val="top"/>
          </w:tcPr>
          <w:p w14:paraId="0BCC787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321" w:type="dxa"/>
            <w:noWrap w:val="0"/>
            <w:vAlign w:val="center"/>
          </w:tcPr>
          <w:p w14:paraId="7F9181D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7080" w:type="dxa"/>
            <w:noWrap w:val="0"/>
            <w:vAlign w:val="top"/>
          </w:tcPr>
          <w:p w14:paraId="30226397">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7E98D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0A46B8F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321" w:type="dxa"/>
            <w:noWrap w:val="0"/>
            <w:vAlign w:val="center"/>
          </w:tcPr>
          <w:p w14:paraId="6B0C67C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7080" w:type="dxa"/>
            <w:noWrap w:val="0"/>
            <w:vAlign w:val="top"/>
          </w:tcPr>
          <w:p w14:paraId="2146DF9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B3B7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361CE68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321" w:type="dxa"/>
            <w:noWrap w:val="0"/>
            <w:vAlign w:val="center"/>
          </w:tcPr>
          <w:p w14:paraId="13BD375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7080" w:type="dxa"/>
            <w:noWrap w:val="0"/>
            <w:vAlign w:val="center"/>
          </w:tcPr>
          <w:p w14:paraId="33438EC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3DE8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4049BDA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321" w:type="dxa"/>
            <w:noWrap w:val="0"/>
            <w:vAlign w:val="center"/>
          </w:tcPr>
          <w:p w14:paraId="5EE24F1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7080" w:type="dxa"/>
            <w:noWrap w:val="0"/>
            <w:vAlign w:val="center"/>
          </w:tcPr>
          <w:p w14:paraId="057C6CE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1E7BF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1CF83D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321" w:type="dxa"/>
            <w:noWrap w:val="0"/>
            <w:vAlign w:val="center"/>
          </w:tcPr>
          <w:p w14:paraId="2238AFF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7080" w:type="dxa"/>
            <w:noWrap w:val="0"/>
            <w:vAlign w:val="center"/>
          </w:tcPr>
          <w:p w14:paraId="171F27C3">
            <w:pPr>
              <w:pStyle w:val="1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☑不允许分包</w:t>
            </w:r>
          </w:p>
          <w:p w14:paraId="19F0920E">
            <w:pPr>
              <w:pStyle w:val="1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□允许分包</w:t>
            </w:r>
          </w:p>
          <w:p w14:paraId="68866ABF">
            <w:pPr>
              <w:pStyle w:val="11"/>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分包内容：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w:t>
            </w:r>
          </w:p>
          <w:p w14:paraId="730FE159">
            <w:pPr>
              <w:pStyle w:val="1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分包金额或者比例：</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rPr>
              <w:t>。</w:t>
            </w:r>
          </w:p>
        </w:tc>
      </w:tr>
      <w:tr w14:paraId="7AB4C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035290E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321" w:type="dxa"/>
            <w:noWrap w:val="0"/>
            <w:vAlign w:val="center"/>
          </w:tcPr>
          <w:p w14:paraId="712C49A8">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资格证明文件组成</w:t>
            </w:r>
          </w:p>
        </w:tc>
        <w:tc>
          <w:tcPr>
            <w:tcW w:w="7080" w:type="dxa"/>
            <w:noWrap w:val="0"/>
            <w:vAlign w:val="center"/>
          </w:tcPr>
          <w:p w14:paraId="7B39D768">
            <w:pPr>
              <w:spacing w:line="360" w:lineRule="auto"/>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供应商为法人或者其他组织的提供其营业执照等证明文件复印件（如营业执照或者事业单位法人证书或者执业许可证等），供应商为自然人的提供其有效身份证正反面复印件；</w:t>
            </w:r>
            <w:r>
              <w:rPr>
                <w:rFonts w:hint="eastAsia" w:ascii="宋体" w:hAnsi="宋体" w:eastAsia="宋体" w:cs="宋体"/>
                <w:b/>
                <w:color w:val="auto"/>
                <w:szCs w:val="21"/>
                <w:highlight w:val="none"/>
              </w:rPr>
              <w:t>（必须提供，否则响应文件按无效响应处理）</w:t>
            </w:r>
          </w:p>
          <w:p w14:paraId="2F968D9F">
            <w:pPr>
              <w:spacing w:line="360" w:lineRule="auto"/>
              <w:ind w:firstLine="411" w:firstLineChars="196"/>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2.供应商依法缴纳税收的相关材料；（</w:t>
            </w:r>
            <w:r>
              <w:rPr>
                <w:rFonts w:hint="eastAsia" w:ascii="宋体" w:hAnsi="宋体" w:eastAsia="宋体" w:cs="宋体"/>
                <w:color w:val="auto"/>
                <w:szCs w:val="21"/>
                <w:highlight w:val="none"/>
                <w:u w:val="none"/>
                <w:lang w:val="en-US" w:eastAsia="zh-CN"/>
              </w:rPr>
              <w:t>提供税款所属时期为</w:t>
            </w:r>
            <w:r>
              <w:rPr>
                <w:rFonts w:hint="eastAsia" w:ascii="宋体" w:hAnsi="宋体" w:eastAsia="宋体" w:cs="宋体"/>
                <w:color w:val="auto"/>
                <w:sz w:val="21"/>
                <w:szCs w:val="21"/>
                <w:highlight w:val="none"/>
                <w:lang w:val="en-US" w:eastAsia="zh-CN"/>
              </w:rPr>
              <w:t>首次响应</w:t>
            </w:r>
            <w:r>
              <w:rPr>
                <w:rFonts w:hint="eastAsia" w:ascii="宋体" w:hAnsi="宋体" w:eastAsia="宋体" w:cs="宋体"/>
                <w:color w:val="auto"/>
                <w:sz w:val="21"/>
                <w:szCs w:val="21"/>
                <w:highlight w:val="none"/>
              </w:rPr>
              <w:t>文件提交截止</w:t>
            </w:r>
            <w:r>
              <w:rPr>
                <w:rFonts w:hint="eastAsia" w:ascii="宋体" w:hAnsi="宋体" w:eastAsia="宋体" w:cs="宋体"/>
                <w:color w:val="auto"/>
                <w:szCs w:val="21"/>
                <w:highlight w:val="none"/>
                <w:u w:val="none"/>
                <w:lang w:val="en-US" w:eastAsia="zh-CN"/>
              </w:rPr>
              <w:t>前半年内任意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税收的凭据复印件；依法免税的供应商，必须提供相应文件证明其依法免税。从取得营业执照时间起到首次响应文件提交截止时间为止不足要求月数的，只需提供从取得营业执照起的依法缴纳税收相应证明文件）</w:t>
            </w:r>
            <w:r>
              <w:rPr>
                <w:rFonts w:hint="eastAsia" w:ascii="宋体" w:hAnsi="宋体" w:eastAsia="宋体" w:cs="宋体"/>
                <w:color w:val="auto"/>
                <w:szCs w:val="21"/>
                <w:highlight w:val="none"/>
                <w:lang w:eastAsia="zh-CN"/>
              </w:rPr>
              <w:t>；</w:t>
            </w:r>
            <w:r>
              <w:rPr>
                <w:rFonts w:hint="eastAsia" w:ascii="宋体" w:hAnsi="宋体" w:eastAsia="宋体" w:cs="宋体"/>
                <w:b/>
                <w:color w:val="auto"/>
                <w:szCs w:val="21"/>
                <w:highlight w:val="none"/>
              </w:rPr>
              <w:t>（必须提供，否则响应文件按无效响应处理）</w:t>
            </w:r>
          </w:p>
          <w:p w14:paraId="23BC0E6C">
            <w:pPr>
              <w:spacing w:line="360" w:lineRule="auto"/>
              <w:ind w:firstLine="411" w:firstLineChars="196"/>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供应商依法缴纳社会保障资金的相关材料；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none"/>
                <w:lang w:val="en-US" w:eastAsia="zh-CN"/>
              </w:rPr>
              <w:t>提供税款所属时期或缴费起始时间为</w:t>
            </w:r>
            <w:r>
              <w:rPr>
                <w:rFonts w:hint="eastAsia" w:ascii="宋体" w:hAnsi="宋体" w:eastAsia="宋体" w:cs="宋体"/>
                <w:color w:val="auto"/>
                <w:sz w:val="21"/>
                <w:szCs w:val="21"/>
                <w:highlight w:val="none"/>
                <w:lang w:val="en-US" w:eastAsia="zh-CN"/>
              </w:rPr>
              <w:t>首次响应</w:t>
            </w:r>
            <w:r>
              <w:rPr>
                <w:rFonts w:hint="eastAsia" w:ascii="宋体" w:hAnsi="宋体" w:eastAsia="宋体" w:cs="宋体"/>
                <w:color w:val="auto"/>
                <w:sz w:val="21"/>
                <w:szCs w:val="21"/>
                <w:highlight w:val="none"/>
              </w:rPr>
              <w:t>文件提交截止</w:t>
            </w:r>
            <w:r>
              <w:rPr>
                <w:rFonts w:hint="eastAsia" w:ascii="宋体" w:hAnsi="宋体" w:eastAsia="宋体" w:cs="宋体"/>
                <w:color w:val="auto"/>
                <w:szCs w:val="21"/>
                <w:highlight w:val="none"/>
                <w:u w:val="none"/>
                <w:lang w:val="en-US" w:eastAsia="zh-CN"/>
              </w:rPr>
              <w:t>前半年内任意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社会保障资金的缴费凭证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r>
              <w:rPr>
                <w:rFonts w:hint="eastAsia" w:ascii="宋体" w:hAnsi="宋体" w:eastAsia="宋体" w:cs="宋体"/>
                <w:color w:val="auto"/>
                <w:szCs w:val="21"/>
                <w:highlight w:val="none"/>
                <w:lang w:eastAsia="zh-CN"/>
              </w:rPr>
              <w:t>）；</w:t>
            </w:r>
            <w:r>
              <w:rPr>
                <w:rFonts w:hint="eastAsia" w:ascii="宋体" w:hAnsi="宋体" w:eastAsia="宋体" w:cs="宋体"/>
                <w:b/>
                <w:color w:val="auto"/>
                <w:szCs w:val="21"/>
                <w:highlight w:val="none"/>
              </w:rPr>
              <w:t>（必须提供，否则响应文件按无效响应处理）</w:t>
            </w:r>
          </w:p>
          <w:p w14:paraId="749157C5">
            <w:pPr>
              <w:spacing w:line="360" w:lineRule="auto"/>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4.供应商财务状况报告</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u w:val="none"/>
                <w:lang w:val="en-US" w:eastAsia="zh-CN"/>
              </w:rPr>
              <w:t>2024年或2025年财务状况报告复印件；供应商成立不满一年的应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p>
          <w:p w14:paraId="6B0F9C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5.供应商直接控股、管理关系信息表（格式后附）；</w:t>
            </w:r>
            <w:r>
              <w:rPr>
                <w:rFonts w:hint="eastAsia" w:ascii="宋体" w:hAnsi="宋体" w:eastAsia="宋体" w:cs="宋体"/>
                <w:b/>
                <w:color w:val="auto"/>
                <w:szCs w:val="21"/>
                <w:highlight w:val="none"/>
              </w:rPr>
              <w:t>（必须提供，否则响应文件按无效响应处理）</w:t>
            </w:r>
          </w:p>
          <w:p w14:paraId="172547A6">
            <w:pPr>
              <w:spacing w:line="360" w:lineRule="auto"/>
              <w:ind w:firstLine="411" w:firstLineChars="196"/>
              <w:rPr>
                <w:rFonts w:hint="eastAsia" w:ascii="宋体" w:hAnsi="宋体" w:eastAsia="宋体" w:cs="宋体"/>
                <w:b/>
                <w:color w:val="auto"/>
                <w:szCs w:val="21"/>
                <w:highlight w:val="none"/>
              </w:rPr>
            </w:pPr>
            <w:bookmarkStart w:id="24" w:name="OLE_LINK28"/>
            <w:r>
              <w:rPr>
                <w:rFonts w:hint="eastAsia" w:ascii="宋体" w:hAnsi="宋体" w:eastAsia="宋体" w:cs="宋体"/>
                <w:color w:val="auto"/>
                <w:szCs w:val="21"/>
                <w:highlight w:val="none"/>
              </w:rPr>
              <w:t>6.资格声明函</w:t>
            </w:r>
            <w:bookmarkEnd w:id="24"/>
            <w:r>
              <w:rPr>
                <w:rFonts w:hint="eastAsia" w:ascii="宋体" w:hAnsi="宋体" w:eastAsia="宋体" w:cs="宋体"/>
                <w:color w:val="auto"/>
                <w:szCs w:val="21"/>
                <w:highlight w:val="none"/>
              </w:rPr>
              <w:t>（格式后附）；</w:t>
            </w:r>
            <w:r>
              <w:rPr>
                <w:rFonts w:hint="eastAsia" w:ascii="宋体" w:hAnsi="宋体" w:eastAsia="宋体" w:cs="宋体"/>
                <w:b/>
                <w:color w:val="auto"/>
                <w:szCs w:val="21"/>
                <w:highlight w:val="none"/>
              </w:rPr>
              <w:t>（必须提供，否则响应文件按无效响应处理）</w:t>
            </w:r>
          </w:p>
          <w:p w14:paraId="5F40CC50">
            <w:pPr>
              <w:spacing w:line="360" w:lineRule="auto"/>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本项目的特定资格要求：具有建筑工程施工总承包三级及以上资质，且具有有效的安全生产许可证，并在人员、设备、资金等方面具备相应的施工能力的企业，其中拟派项目经理须具有建筑工程专业贰级以上（含贰级）注册建造师执业资格，且具有有效的安全生产考核合格证书（B类）</w:t>
            </w:r>
            <w:r>
              <w:rPr>
                <w:rFonts w:hint="eastAsia" w:ascii="宋体" w:hAnsi="宋体" w:eastAsia="宋体" w:cs="宋体"/>
                <w:color w:val="auto"/>
                <w:szCs w:val="21"/>
                <w:highlight w:val="none"/>
                <w:lang w:eastAsia="zh-CN"/>
              </w:rPr>
              <w:t>；</w:t>
            </w:r>
            <w:r>
              <w:rPr>
                <w:rFonts w:hint="eastAsia" w:ascii="宋体" w:hAnsi="宋体" w:eastAsia="宋体" w:cs="宋体"/>
                <w:b/>
                <w:bCs/>
                <w:color w:val="auto"/>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b/>
                <w:bCs/>
                <w:color w:val="auto"/>
                <w:highlight w:val="none"/>
              </w:rPr>
              <w:t>）</w:t>
            </w:r>
          </w:p>
          <w:p w14:paraId="17065BA2">
            <w:pPr>
              <w:snapToGrid w:val="0"/>
              <w:spacing w:line="380" w:lineRule="exact"/>
              <w:ind w:firstLine="420" w:firstLineChars="20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.中小企业声明函或者残疾人福利性单位声明函（格式后附）或者供应商属于监狱企业的，提供由省级以上监狱管理局、戒毒管理局（含新疆生产建设兵团）出具的属于监狱企业的证明文件</w:t>
            </w:r>
            <w:r>
              <w:rPr>
                <w:rFonts w:hint="eastAsia" w:ascii="宋体" w:hAnsi="宋体" w:eastAsia="宋体" w:cs="宋体"/>
                <w:color w:val="auto"/>
                <w:szCs w:val="21"/>
                <w:highlight w:val="none"/>
                <w:lang w:eastAsia="zh-CN"/>
              </w:rPr>
              <w:t>；</w:t>
            </w:r>
            <w:r>
              <w:rPr>
                <w:rFonts w:hint="eastAsia" w:ascii="宋体" w:hAnsi="宋体" w:eastAsia="宋体" w:cs="宋体"/>
                <w:b/>
                <w:color w:val="auto"/>
                <w:szCs w:val="21"/>
                <w:highlight w:val="none"/>
              </w:rPr>
              <w:t>（必须提供，否则响应文件按无效响应处理）</w:t>
            </w:r>
          </w:p>
          <w:p w14:paraId="0F3FC29A">
            <w:pPr>
              <w:snapToGrid w:val="0"/>
              <w:spacing w:line="3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.除竞争性磋商文件规定必须提供以外，供应商认为需要提供的其他证明材料。</w:t>
            </w:r>
          </w:p>
          <w:p w14:paraId="0A23329D">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1727CFA4">
            <w:pPr>
              <w:spacing w:line="360" w:lineRule="auto"/>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1.以上标明“必须提供”材料复印件的，必须加盖供应商CA签章，否则电子响应文件作无效处理。</w:t>
            </w:r>
          </w:p>
          <w:p w14:paraId="06284336">
            <w:pPr>
              <w:spacing w:line="360" w:lineRule="auto"/>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电子响应文件中所须加盖公章部分均采用CA签章。若竞争性磋商文件中有专门标注的某关联点，并要求供应商在电子投标系统中作出磋商响应的，如供应商未对关联点进行响应或者在电子响应文件其它内容进行描述，造成电子评审不能查询的责任由供应商自行承担。</w:t>
            </w:r>
          </w:p>
          <w:p w14:paraId="774B5B65">
            <w:pPr>
              <w:pStyle w:val="11"/>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3.以上材料未附格式的，由供应商自行拟定。</w:t>
            </w:r>
          </w:p>
        </w:tc>
      </w:tr>
      <w:tr w14:paraId="7CB30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764C747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321" w:type="dxa"/>
            <w:noWrap w:val="0"/>
            <w:vAlign w:val="center"/>
          </w:tcPr>
          <w:p w14:paraId="59CF9112">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7080" w:type="dxa"/>
            <w:noWrap w:val="0"/>
            <w:vAlign w:val="center"/>
          </w:tcPr>
          <w:p w14:paraId="33D2B7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响应函</w:t>
            </w:r>
            <w:r>
              <w:rPr>
                <w:rFonts w:hint="eastAsia" w:ascii="宋体" w:hAnsi="宋体" w:eastAsia="宋体" w:cs="宋体"/>
                <w:color w:val="auto"/>
                <w:szCs w:val="21"/>
                <w:highlight w:val="none"/>
              </w:rPr>
              <w:t>（格式后附）；</w:t>
            </w:r>
            <w:r>
              <w:rPr>
                <w:rFonts w:hint="eastAsia" w:ascii="宋体" w:hAnsi="宋体" w:eastAsia="宋体" w:cs="宋体"/>
                <w:b/>
                <w:color w:val="auto"/>
                <w:szCs w:val="21"/>
                <w:highlight w:val="none"/>
              </w:rPr>
              <w:t>（必须提供，否则响应文件按无效响应处理）</w:t>
            </w:r>
          </w:p>
          <w:p w14:paraId="35A51D24">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响应函</w:t>
            </w:r>
            <w:r>
              <w:rPr>
                <w:rFonts w:hint="eastAsia" w:ascii="宋体" w:hAnsi="宋体" w:eastAsia="宋体" w:cs="宋体"/>
                <w:color w:val="auto"/>
                <w:szCs w:val="21"/>
                <w:highlight w:val="none"/>
                <w:lang w:val="en-US" w:eastAsia="zh-CN"/>
              </w:rPr>
              <w:t>附录</w:t>
            </w:r>
            <w:r>
              <w:rPr>
                <w:rFonts w:hint="eastAsia" w:ascii="宋体" w:hAnsi="宋体" w:eastAsia="宋体" w:cs="宋体"/>
                <w:color w:val="auto"/>
                <w:szCs w:val="21"/>
                <w:highlight w:val="none"/>
              </w:rPr>
              <w:t>（格式后附）；</w:t>
            </w:r>
            <w:r>
              <w:rPr>
                <w:rFonts w:hint="eastAsia" w:ascii="宋体" w:hAnsi="宋体" w:eastAsia="宋体" w:cs="宋体"/>
                <w:b/>
                <w:color w:val="auto"/>
                <w:szCs w:val="21"/>
                <w:highlight w:val="none"/>
              </w:rPr>
              <w:t>（必须提供，否则响应文件按无效响应处理）</w:t>
            </w:r>
          </w:p>
          <w:p w14:paraId="56A0579F">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响应报价表</w:t>
            </w:r>
            <w:r>
              <w:rPr>
                <w:rFonts w:hint="eastAsia" w:ascii="宋体" w:hAnsi="宋体" w:eastAsia="宋体" w:cs="宋体"/>
                <w:b w:val="0"/>
                <w:bCs/>
                <w:color w:val="auto"/>
                <w:szCs w:val="21"/>
                <w:highlight w:val="none"/>
              </w:rPr>
              <w:t>（格式后附）；</w:t>
            </w:r>
            <w:r>
              <w:rPr>
                <w:rFonts w:hint="eastAsia" w:ascii="宋体" w:hAnsi="宋体" w:eastAsia="宋体" w:cs="宋体"/>
                <w:b/>
                <w:color w:val="auto"/>
                <w:szCs w:val="21"/>
                <w:highlight w:val="none"/>
              </w:rPr>
              <w:t>（必须提供，否则响应文件按无效响应处理）</w:t>
            </w:r>
          </w:p>
          <w:p w14:paraId="50A1FC8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.已标价工程量清单；</w:t>
            </w:r>
            <w:r>
              <w:rPr>
                <w:rFonts w:hint="eastAsia" w:ascii="宋体" w:hAnsi="宋体" w:eastAsia="宋体" w:cs="宋体"/>
                <w:b/>
                <w:color w:val="auto"/>
                <w:szCs w:val="21"/>
                <w:highlight w:val="none"/>
              </w:rPr>
              <w:t>（必须提供，否则响应文件按无效响应处理）</w:t>
            </w:r>
          </w:p>
          <w:p w14:paraId="01F41F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5.供应商认为需要提供的其他有关资料。</w:t>
            </w:r>
          </w:p>
        </w:tc>
      </w:tr>
      <w:tr w14:paraId="6D170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6A5CCB4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12.1.3</w:t>
            </w:r>
          </w:p>
        </w:tc>
        <w:tc>
          <w:tcPr>
            <w:tcW w:w="2321" w:type="dxa"/>
            <w:noWrap w:val="0"/>
            <w:vAlign w:val="center"/>
          </w:tcPr>
          <w:p w14:paraId="4E45E087">
            <w:pPr>
              <w:spacing w:line="360" w:lineRule="auto"/>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商务技术文件</w:t>
            </w:r>
            <w:r>
              <w:rPr>
                <w:rFonts w:hint="eastAsia" w:ascii="宋体" w:hAnsi="宋体" w:eastAsia="宋体" w:cs="宋体"/>
                <w:b/>
                <w:bCs/>
                <w:color w:val="auto"/>
                <w:szCs w:val="21"/>
                <w:highlight w:val="none"/>
                <w:lang w:val="en-US" w:eastAsia="zh-CN"/>
              </w:rPr>
              <w:t>组成</w:t>
            </w:r>
          </w:p>
        </w:tc>
        <w:tc>
          <w:tcPr>
            <w:tcW w:w="7080" w:type="dxa"/>
            <w:noWrap w:val="0"/>
            <w:vAlign w:val="center"/>
          </w:tcPr>
          <w:p w14:paraId="53581689">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1.无串通竞标行为的承诺函（格式后附）；</w:t>
            </w:r>
            <w:r>
              <w:rPr>
                <w:rFonts w:hint="eastAsia" w:ascii="宋体" w:hAnsi="宋体" w:eastAsia="宋体" w:cs="宋体"/>
                <w:b/>
                <w:color w:val="auto"/>
                <w:szCs w:val="21"/>
                <w:highlight w:val="none"/>
              </w:rPr>
              <w:t>（必须提供，否则响应文件按无效响应处理）</w:t>
            </w:r>
          </w:p>
          <w:p w14:paraId="5C7A4E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2.法定代表人身份证明书及法定代表人有效身份证正反面复印件（格式后附）；</w:t>
            </w:r>
            <w:r>
              <w:rPr>
                <w:rFonts w:hint="eastAsia" w:ascii="宋体" w:hAnsi="宋体" w:eastAsia="宋体" w:cs="宋体"/>
                <w:b/>
                <w:color w:val="auto"/>
                <w:szCs w:val="21"/>
                <w:highlight w:val="none"/>
              </w:rPr>
              <w:t>（必须提供，否则响应文件按无效响应处理）</w:t>
            </w:r>
          </w:p>
          <w:p w14:paraId="788D0BAA">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3.授权委托书及委托代理人有效身份证正反面复印件（格式后附）；</w:t>
            </w:r>
            <w:r>
              <w:rPr>
                <w:rFonts w:hint="eastAsia" w:ascii="宋体" w:hAnsi="宋体" w:eastAsia="宋体" w:cs="宋体"/>
                <w:b/>
                <w:color w:val="auto"/>
                <w:szCs w:val="21"/>
                <w:highlight w:val="none"/>
              </w:rPr>
              <w:t>（必须提供，否则响应文件按无效响应处理）</w:t>
            </w:r>
          </w:p>
          <w:p w14:paraId="69846A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4.磋商保证金提交凭证；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val="en-US" w:eastAsia="zh-CN"/>
              </w:rPr>
              <w:t>如有</w:t>
            </w:r>
            <w:r>
              <w:rPr>
                <w:rFonts w:hint="eastAsia" w:ascii="宋体" w:hAnsi="宋体" w:eastAsia="宋体" w:cs="宋体"/>
                <w:b/>
                <w:color w:val="auto"/>
                <w:szCs w:val="21"/>
                <w:highlight w:val="none"/>
              </w:rPr>
              <w:t>）</w:t>
            </w:r>
          </w:p>
          <w:p w14:paraId="5F38B0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5.商务条款偏离表（格式后附）；</w:t>
            </w:r>
            <w:r>
              <w:rPr>
                <w:rFonts w:hint="eastAsia" w:ascii="宋体" w:hAnsi="宋体" w:eastAsia="宋体" w:cs="宋体"/>
                <w:b/>
                <w:color w:val="auto"/>
                <w:szCs w:val="21"/>
                <w:highlight w:val="none"/>
              </w:rPr>
              <w:t>（必须提供，否则响应文件按无效响应处理）</w:t>
            </w:r>
          </w:p>
          <w:p w14:paraId="464529B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6.建设工程项目管理承诺书（格式后附）；</w:t>
            </w:r>
            <w:r>
              <w:rPr>
                <w:rFonts w:hint="eastAsia" w:ascii="宋体" w:hAnsi="宋体" w:eastAsia="宋体" w:cs="宋体"/>
                <w:b/>
                <w:color w:val="auto"/>
                <w:szCs w:val="21"/>
                <w:highlight w:val="none"/>
              </w:rPr>
              <w:t>（必须提供，否则响应文件按无效响应处理）</w:t>
            </w:r>
          </w:p>
          <w:p w14:paraId="69FDE1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技术需求偏离表（格式后附）；</w:t>
            </w:r>
            <w:r>
              <w:rPr>
                <w:rFonts w:hint="eastAsia" w:ascii="宋体" w:hAnsi="宋体" w:eastAsia="宋体" w:cs="宋体"/>
                <w:b/>
                <w:color w:val="auto"/>
                <w:szCs w:val="21"/>
                <w:highlight w:val="none"/>
              </w:rPr>
              <w:t>（必须提供，否则响应文件按无效响应处理）</w:t>
            </w:r>
          </w:p>
          <w:p w14:paraId="2BB831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.施工组织设计（格式自拟）；</w:t>
            </w:r>
            <w:r>
              <w:rPr>
                <w:rFonts w:hint="eastAsia" w:ascii="宋体" w:hAnsi="宋体" w:eastAsia="宋体" w:cs="宋体"/>
                <w:b/>
                <w:color w:val="auto"/>
                <w:szCs w:val="21"/>
                <w:highlight w:val="none"/>
              </w:rPr>
              <w:t>（必须提供，否则响应文件按无效响应处理）</w:t>
            </w:r>
          </w:p>
          <w:p w14:paraId="1D308E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.项目管理机构配备情况表及主要人员简历表（格式自拟）；</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 xml:space="preserve"> </w:t>
            </w:r>
          </w:p>
          <w:p w14:paraId="09F44A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.供应商认为需要提供的其他有关资料。</w:t>
            </w:r>
          </w:p>
          <w:p w14:paraId="78D6B281">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注：1.以上标明“必须提供”材料复印件的，必须加盖供应商CA签章，否则电子响应文件作无效处理。</w:t>
            </w:r>
          </w:p>
          <w:p w14:paraId="7FE4BC5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2.</w:t>
            </w:r>
            <w:r>
              <w:rPr>
                <w:rFonts w:hint="eastAsia" w:ascii="宋体" w:hAnsi="宋体" w:eastAsia="宋体" w:cs="宋体"/>
                <w:b/>
                <w:color w:val="auto"/>
                <w:szCs w:val="21"/>
                <w:highlight w:val="none"/>
              </w:rPr>
              <w:t>电子响应文件中所须加盖公章部分均采用CA签章。若竞争性磋商文件中有专门标注的某关联点，并要求供应商在电子投标系统中作出磋商响应的，如供应商未对关联点进行响应或者在电子响应文件其它内容进行描述，造成电子评审不能查询的责任由供应商自行承担。</w:t>
            </w:r>
          </w:p>
          <w:p w14:paraId="2521E304">
            <w:pPr>
              <w:spacing w:line="360" w:lineRule="auto"/>
              <w:ind w:firstLine="422" w:firstLineChars="200"/>
              <w:rPr>
                <w:rFonts w:hint="eastAsia" w:ascii="宋体" w:hAnsi="宋体" w:eastAsia="宋体" w:cs="宋体"/>
                <w:color w:val="auto"/>
                <w:szCs w:val="21"/>
                <w:highlight w:val="none"/>
                <w:lang w:val="en-US" w:eastAsia="zh-CN"/>
              </w:rPr>
            </w:pPr>
            <w:r>
              <w:rPr>
                <w:rFonts w:hint="eastAsia" w:ascii="宋体" w:hAnsi="宋体" w:eastAsia="宋体" w:cs="宋体"/>
                <w:b/>
                <w:color w:val="auto"/>
                <w:szCs w:val="21"/>
                <w:highlight w:val="none"/>
              </w:rPr>
              <w:t>3.以上材料未附格式的，由供应商自行拟定。</w:t>
            </w:r>
          </w:p>
        </w:tc>
      </w:tr>
      <w:tr w14:paraId="4A1F4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649212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321" w:type="dxa"/>
            <w:noWrap w:val="0"/>
            <w:vAlign w:val="center"/>
          </w:tcPr>
          <w:p w14:paraId="3F93BBC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7080" w:type="dxa"/>
            <w:noWrap w:val="0"/>
            <w:vAlign w:val="center"/>
          </w:tcPr>
          <w:p w14:paraId="3F35E805">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响应文件格式”编写（第五章未附格式的，由供应商自行拟定），并在规定加盖公章处加盖公章，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24C155F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2.响应文件电子版密封方式：电子响应文件通过平台有效CA加密后在“广西政府采购云平台”平台投送。</w:t>
            </w:r>
          </w:p>
        </w:tc>
      </w:tr>
      <w:tr w14:paraId="27240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4F048122">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15.1</w:t>
            </w:r>
          </w:p>
        </w:tc>
        <w:tc>
          <w:tcPr>
            <w:tcW w:w="2321" w:type="dxa"/>
            <w:noWrap w:val="0"/>
            <w:vAlign w:val="center"/>
          </w:tcPr>
          <w:p w14:paraId="790F636E">
            <w:pPr>
              <w:spacing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工程量清单的填写方式</w:t>
            </w:r>
          </w:p>
        </w:tc>
        <w:tc>
          <w:tcPr>
            <w:tcW w:w="7080" w:type="dxa"/>
            <w:noWrap w:val="0"/>
            <w:vAlign w:val="center"/>
          </w:tcPr>
          <w:p w14:paraId="268A7FAA">
            <w:pPr>
              <w:spacing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□供应商按照采购人提供的工程量固化清单电子文件填写工程量清单。</w:t>
            </w:r>
          </w:p>
          <w:p w14:paraId="4BAECEF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☑供应商按照采购人提供的工程量清单编写工程量清单。</w:t>
            </w:r>
          </w:p>
        </w:tc>
      </w:tr>
      <w:tr w14:paraId="161FB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3BD91EC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321" w:type="dxa"/>
            <w:noWrap w:val="0"/>
            <w:vAlign w:val="center"/>
          </w:tcPr>
          <w:p w14:paraId="45B7876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响应报价的价格构成</w:t>
            </w:r>
          </w:p>
        </w:tc>
        <w:tc>
          <w:tcPr>
            <w:tcW w:w="7080" w:type="dxa"/>
            <w:noWrap w:val="0"/>
            <w:vAlign w:val="center"/>
          </w:tcPr>
          <w:p w14:paraId="7227B982">
            <w:pPr>
              <w:spacing w:line="360" w:lineRule="auto"/>
              <w:contextualSpacing/>
              <w:jc w:val="left"/>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竞标报价是履行合同的最终价格，包括为实施和完成合同工程所需的劳务、材料、机械、质检（自检）、缺陷修复、管理、保险、税费、利润和</w:t>
            </w:r>
            <w:r>
              <w:rPr>
                <w:rFonts w:hint="eastAsia" w:ascii="宋体" w:hAnsi="宋体" w:eastAsia="宋体" w:cs="宋体"/>
                <w:b w:val="0"/>
                <w:bCs/>
                <w:color w:val="auto"/>
                <w:highlight w:val="none"/>
              </w:rPr>
              <w:t>验收费用</w:t>
            </w:r>
            <w:r>
              <w:rPr>
                <w:rFonts w:hint="eastAsia" w:ascii="宋体" w:hAnsi="宋体" w:eastAsia="宋体" w:cs="宋体"/>
                <w:b w:val="0"/>
                <w:bCs/>
                <w:color w:val="auto"/>
                <w:szCs w:val="21"/>
                <w:highlight w:val="none"/>
              </w:rPr>
              <w:t>等</w:t>
            </w:r>
            <w:r>
              <w:rPr>
                <w:rFonts w:hint="eastAsia" w:ascii="宋体" w:hAnsi="宋体" w:eastAsia="宋体" w:cs="宋体"/>
                <w:color w:val="auto"/>
                <w:szCs w:val="21"/>
                <w:highlight w:val="none"/>
              </w:rPr>
              <w:t>费用，以及合同明示或暗示的所有责任、义务和一般风险。</w:t>
            </w:r>
          </w:p>
        </w:tc>
      </w:tr>
      <w:tr w14:paraId="20C80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5FF3381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w:t>
            </w:r>
          </w:p>
        </w:tc>
        <w:tc>
          <w:tcPr>
            <w:tcW w:w="2321" w:type="dxa"/>
            <w:noWrap w:val="0"/>
            <w:vAlign w:val="center"/>
          </w:tcPr>
          <w:p w14:paraId="1BD035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供应商的响应报价要求</w:t>
            </w:r>
          </w:p>
        </w:tc>
        <w:tc>
          <w:tcPr>
            <w:tcW w:w="7080" w:type="dxa"/>
            <w:noWrap w:val="0"/>
            <w:vAlign w:val="center"/>
          </w:tcPr>
          <w:p w14:paraId="0B84BAC5">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1.本项目增值税计税方法：☑一般计税法         □简易计税法</w:t>
            </w:r>
          </w:p>
          <w:p w14:paraId="6ED5A485">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【备注：根据《关于全面推开营业税改征增值税试点的通知》（财税〔2016〕36号）、《关于建筑服务等营改增试点政策的通知》（财税〔2017〕58号）文件规定选择】</w:t>
            </w:r>
          </w:p>
          <w:p w14:paraId="6962FFF5">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2.本项目采用工程量清单报价方式，供应商应依据竞争性磋商文件、采购人提供的工程量清单</w:t>
            </w:r>
            <w:r>
              <w:rPr>
                <w:rFonts w:hint="eastAsia" w:ascii="宋体" w:hAnsi="宋体" w:eastAsia="宋体" w:cs="宋体"/>
                <w:color w:val="auto"/>
                <w:szCs w:val="21"/>
                <w:highlight w:val="none"/>
              </w:rPr>
              <w:t>编写</w:t>
            </w:r>
            <w:r>
              <w:rPr>
                <w:rFonts w:hint="eastAsia" w:ascii="宋体" w:hAnsi="宋体" w:eastAsia="宋体" w:cs="宋体"/>
                <w:color w:val="auto"/>
                <w:szCs w:val="21"/>
                <w:highlight w:val="none"/>
                <w:lang w:eastAsia="zh-CN"/>
              </w:rPr>
              <w:t>已标价</w:t>
            </w:r>
            <w:r>
              <w:rPr>
                <w:rFonts w:hint="eastAsia" w:ascii="宋体" w:hAnsi="宋体" w:eastAsia="宋体" w:cs="宋体"/>
                <w:color w:val="auto"/>
                <w:szCs w:val="21"/>
                <w:highlight w:val="none"/>
              </w:rPr>
              <w:t>工程量清单</w:t>
            </w:r>
            <w:r>
              <w:rPr>
                <w:rFonts w:hint="eastAsia" w:ascii="宋体" w:hAnsi="宋体" w:eastAsia="宋体" w:cs="宋体"/>
                <w:color w:val="auto"/>
                <w:highlight w:val="none"/>
              </w:rPr>
              <w:t>。</w:t>
            </w:r>
          </w:p>
          <w:p w14:paraId="537E9245">
            <w:pPr>
              <w:snapToGrid w:val="0"/>
              <w:spacing w:line="360" w:lineRule="auto"/>
              <w:jc w:val="left"/>
              <w:rPr>
                <w:rFonts w:hint="eastAsia" w:ascii="宋体" w:hAnsi="宋体" w:eastAsia="宋体" w:cs="宋体"/>
                <w:b/>
                <w:bCs/>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b/>
                <w:bCs/>
                <w:color w:val="auto"/>
                <w:highlight w:val="none"/>
              </w:rPr>
              <w:t>响应报价（包含首次报价、最后报价）应提交相应的已标价工程量清单，最后报价</w:t>
            </w:r>
            <w:r>
              <w:rPr>
                <w:rFonts w:hint="eastAsia" w:ascii="宋体" w:hAnsi="宋体" w:eastAsia="宋体" w:cs="宋体"/>
                <w:b/>
                <w:bCs/>
                <w:color w:val="auto"/>
                <w:szCs w:val="21"/>
                <w:highlight w:val="none"/>
              </w:rPr>
              <w:t>不得以总价下浮的方式做最后报价，</w:t>
            </w:r>
            <w:r>
              <w:rPr>
                <w:rFonts w:hint="eastAsia" w:ascii="宋体" w:hAnsi="宋体" w:eastAsia="宋体" w:cs="宋体"/>
                <w:b/>
                <w:bCs/>
                <w:color w:val="auto"/>
                <w:highlight w:val="none"/>
              </w:rPr>
              <w:t>否则响应文件按无效响应处理。</w:t>
            </w:r>
          </w:p>
          <w:p w14:paraId="2369AD7C">
            <w:pPr>
              <w:snapToGrid w:val="0"/>
              <w:spacing w:line="360" w:lineRule="auto"/>
              <w:jc w:val="left"/>
              <w:rPr>
                <w:rFonts w:hint="eastAsia" w:ascii="宋体" w:hAnsi="宋体" w:eastAsia="宋体" w:cs="宋体"/>
                <w:color w:val="auto"/>
                <w:highlight w:val="none"/>
              </w:rPr>
            </w:pPr>
            <w:r>
              <w:rPr>
                <w:rFonts w:hint="eastAsia" w:ascii="宋体" w:hAnsi="宋体" w:eastAsia="宋体" w:cs="宋体"/>
                <w:b/>
                <w:bCs/>
                <w:color w:val="auto"/>
                <w:highlight w:val="none"/>
              </w:rPr>
              <w:t>重要提示：</w:t>
            </w:r>
            <w:r>
              <w:rPr>
                <w:rFonts w:hint="eastAsia" w:ascii="宋体" w:hAnsi="宋体" w:eastAsia="宋体" w:cs="宋体"/>
                <w:b/>
                <w:bCs/>
                <w:color w:val="auto"/>
                <w:szCs w:val="21"/>
                <w:highlight w:val="none"/>
              </w:rPr>
              <w:t>最后报价有时间限制，供应商须按竞争性磋商文件“第五章 响应文件格式”内容提前准备最后报价表、已标价工程量清单并按时提交最后报价，以免耽误最后报价</w:t>
            </w:r>
            <w:r>
              <w:rPr>
                <w:rFonts w:hint="eastAsia" w:ascii="宋体" w:hAnsi="宋体" w:eastAsia="宋体" w:cs="宋体"/>
                <w:b/>
                <w:bCs/>
                <w:color w:val="auto"/>
                <w:szCs w:val="21"/>
                <w:highlight w:val="none"/>
                <w:lang w:val="zh-CN"/>
              </w:rPr>
              <w:t>。</w:t>
            </w:r>
          </w:p>
        </w:tc>
      </w:tr>
      <w:tr w14:paraId="1AB14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7DD12C2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321" w:type="dxa"/>
            <w:noWrap w:val="0"/>
            <w:vAlign w:val="center"/>
          </w:tcPr>
          <w:p w14:paraId="2F97870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7080" w:type="dxa"/>
            <w:noWrap w:val="0"/>
            <w:vAlign w:val="center"/>
          </w:tcPr>
          <w:p w14:paraId="27865896">
            <w:pPr>
              <w:pStyle w:val="10"/>
              <w:widowControl w:val="0"/>
              <w:tabs>
                <w:tab w:val="clear" w:pos="454"/>
              </w:tabs>
              <w:snapToGrid w:val="0"/>
              <w:spacing w:afterLines="0" w:line="360" w:lineRule="auto"/>
              <w:ind w:left="283" w:hanging="283" w:hangingChars="135"/>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60 </w:t>
            </w:r>
            <w:r>
              <w:rPr>
                <w:rFonts w:hint="eastAsia" w:ascii="宋体" w:hAnsi="宋体" w:eastAsia="宋体" w:cs="宋体"/>
                <w:color w:val="auto"/>
                <w:kern w:val="2"/>
                <w:sz w:val="21"/>
                <w:szCs w:val="21"/>
                <w:highlight w:val="none"/>
              </w:rPr>
              <w:t>日。</w:t>
            </w:r>
          </w:p>
        </w:tc>
      </w:tr>
      <w:tr w14:paraId="43250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3A5B219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321" w:type="dxa"/>
            <w:noWrap w:val="0"/>
            <w:vAlign w:val="center"/>
          </w:tcPr>
          <w:p w14:paraId="08C4F39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7080" w:type="dxa"/>
            <w:noWrap w:val="0"/>
            <w:vAlign w:val="center"/>
          </w:tcPr>
          <w:p w14:paraId="768D7A86">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本项目不需要缴</w:t>
            </w:r>
            <w:r>
              <w:rPr>
                <w:rFonts w:hint="eastAsia" w:ascii="宋体" w:hAnsi="宋体" w:eastAsia="宋体" w:cs="宋体"/>
                <w:b/>
                <w:bCs/>
                <w:color w:val="auto"/>
                <w:kern w:val="0"/>
                <w:szCs w:val="21"/>
                <w:highlight w:val="none"/>
              </w:rPr>
              <w:t>纳</w:t>
            </w:r>
            <w:r>
              <w:rPr>
                <w:rFonts w:hint="eastAsia" w:ascii="宋体" w:hAnsi="宋体" w:eastAsia="宋体" w:cs="宋体"/>
                <w:b/>
                <w:bCs/>
                <w:color w:val="auto"/>
                <w:szCs w:val="21"/>
                <w:highlight w:val="none"/>
              </w:rPr>
              <w:t>磋商保证金。</w:t>
            </w:r>
          </w:p>
          <w:p w14:paraId="1BF220F3">
            <w:pPr>
              <w:snapToGrid w:val="0"/>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本项目需要缴</w:t>
            </w:r>
            <w:r>
              <w:rPr>
                <w:rFonts w:hint="eastAsia" w:ascii="宋体" w:hAnsi="宋体" w:eastAsia="宋体" w:cs="宋体"/>
                <w:b/>
                <w:bCs/>
                <w:color w:val="auto"/>
                <w:kern w:val="0"/>
                <w:szCs w:val="21"/>
                <w:highlight w:val="none"/>
              </w:rPr>
              <w:t>纳</w:t>
            </w:r>
            <w:r>
              <w:rPr>
                <w:rFonts w:hint="eastAsia" w:ascii="宋体" w:hAnsi="宋体" w:eastAsia="宋体" w:cs="宋体"/>
                <w:b/>
                <w:bCs/>
                <w:color w:val="auto"/>
                <w:szCs w:val="21"/>
                <w:highlight w:val="none"/>
              </w:rPr>
              <w:t>磋商保证金，相关要求如下：</w:t>
            </w:r>
          </w:p>
          <w:p w14:paraId="355C03BD">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1.磋商保证金的缴纳方式：详见竞争性磋商公告。</w:t>
            </w:r>
          </w:p>
          <w:p w14:paraId="61B65943">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2.磋商保证金的金额：详见竞争性磋商公告。</w:t>
            </w:r>
          </w:p>
          <w:p w14:paraId="4CEC0CC7">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3.磋商保证金采用银行转账缴纳方式的，在首次响应文件提交截止时间前交至采购代理机构指定账户并且到账，供应商应将银行转账底单的复印件作为磋商保证金提交凭证，放置于商务文件中，</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0194B287">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磋商保证金采用支票、汇票、本票或者金融机构、担保机构出具的保函等缴纳方式的，供应商应将支票、汇票、本票或者金融机构、担保机构出具的保函等的复印件作为磋商保证金提交凭证，放置于商务文件中，</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。供应商必须在</w:t>
            </w:r>
            <w:r>
              <w:rPr>
                <w:rFonts w:hint="eastAsia" w:ascii="宋体" w:hAnsi="宋体" w:eastAsia="宋体" w:cs="宋体"/>
                <w:color w:val="auto"/>
                <w:kern w:val="0"/>
                <w:szCs w:val="21"/>
                <w:highlight w:val="none"/>
              </w:rPr>
              <w:t>首次响应文件提交截止时间前</w:t>
            </w:r>
            <w:r>
              <w:rPr>
                <w:rFonts w:hint="eastAsia" w:ascii="宋体" w:hAnsi="宋体" w:eastAsia="宋体" w:cs="宋体"/>
                <w:color w:val="auto"/>
                <w:szCs w:val="21"/>
                <w:highlight w:val="none"/>
              </w:rPr>
              <w:t>将支票、汇票、本票或者金融机构、担保机构出具的保函等原件提交给采购代理机构，由采购代理机构向供应商出具回执，并妥善保管。</w:t>
            </w:r>
          </w:p>
          <w:p w14:paraId="00F8FB84">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5.磋商保证金指定账户：详见竞争性磋商公告。</w:t>
            </w:r>
          </w:p>
          <w:p w14:paraId="1F105967">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6.供应商为联合体的，可以由联合体中的一方或者多方共同缴纳磋商保证金，其缴纳的磋商保证金对联合体各方均具有约束力。</w:t>
            </w:r>
          </w:p>
          <w:p w14:paraId="24466418">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备注： </w:t>
            </w:r>
          </w:p>
          <w:p w14:paraId="53575C18">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1.磋商保证金在首次响应文件提交截止时间后提交的，或者不按规定缴纳方式缴纳的，或者未足额缴纳的（包含保函额度不足的），视为无效磋商保证金。</w:t>
            </w:r>
          </w:p>
          <w:p w14:paraId="5C285E95">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2.供应商采用现金方式或者从个人账户（自然人竞标除外）转出的磋商保证金，视为无效磋商保证金。</w:t>
            </w:r>
          </w:p>
          <w:p w14:paraId="402B3DB0">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3.支票、汇票或者本票出现无效或者背书情形的，视为无效磋商保证金。</w:t>
            </w:r>
          </w:p>
          <w:p w14:paraId="1B6CE0FF">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4.保函有效期低于竞标有效期的，视为无效磋商保证金。</w:t>
            </w:r>
          </w:p>
          <w:p w14:paraId="51D0B6B1">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5.采用金融、担保机构出具保函的，必须为无条件保函，否则视为无效磋商保证金。</w:t>
            </w:r>
          </w:p>
        </w:tc>
      </w:tr>
      <w:tr w14:paraId="1F125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63" w:type="dxa"/>
            <w:vMerge w:val="restart"/>
            <w:noWrap w:val="0"/>
            <w:vAlign w:val="center"/>
          </w:tcPr>
          <w:p w14:paraId="3EF635B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321" w:type="dxa"/>
            <w:noWrap w:val="0"/>
            <w:vAlign w:val="center"/>
          </w:tcPr>
          <w:p w14:paraId="29E47C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31BF994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提交截止时间</w:t>
            </w:r>
          </w:p>
        </w:tc>
        <w:tc>
          <w:tcPr>
            <w:tcW w:w="7080" w:type="dxa"/>
            <w:noWrap w:val="0"/>
            <w:vAlign w:val="center"/>
          </w:tcPr>
          <w:p w14:paraId="2698E99C">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D76B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63" w:type="dxa"/>
            <w:vMerge w:val="continue"/>
            <w:noWrap w:val="0"/>
            <w:vAlign w:val="center"/>
          </w:tcPr>
          <w:p w14:paraId="455E122D">
            <w:pPr>
              <w:spacing w:line="360" w:lineRule="auto"/>
              <w:jc w:val="center"/>
              <w:rPr>
                <w:rFonts w:hint="eastAsia" w:ascii="宋体" w:hAnsi="宋体" w:eastAsia="宋体" w:cs="宋体"/>
                <w:color w:val="auto"/>
                <w:szCs w:val="21"/>
                <w:highlight w:val="none"/>
              </w:rPr>
            </w:pPr>
          </w:p>
        </w:tc>
        <w:tc>
          <w:tcPr>
            <w:tcW w:w="2321" w:type="dxa"/>
            <w:noWrap w:val="0"/>
            <w:vAlign w:val="center"/>
          </w:tcPr>
          <w:p w14:paraId="559DBE9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34906B7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开启时间</w:t>
            </w:r>
          </w:p>
        </w:tc>
        <w:tc>
          <w:tcPr>
            <w:tcW w:w="7080" w:type="dxa"/>
            <w:noWrap w:val="0"/>
            <w:vAlign w:val="center"/>
          </w:tcPr>
          <w:p w14:paraId="60BAE6E2">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61171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vMerge w:val="continue"/>
            <w:noWrap w:val="0"/>
            <w:vAlign w:val="center"/>
          </w:tcPr>
          <w:p w14:paraId="70C18B94">
            <w:pPr>
              <w:spacing w:line="360" w:lineRule="auto"/>
              <w:jc w:val="center"/>
              <w:rPr>
                <w:rFonts w:hint="eastAsia" w:ascii="宋体" w:hAnsi="宋体" w:eastAsia="宋体" w:cs="宋体"/>
                <w:color w:val="auto"/>
                <w:szCs w:val="21"/>
                <w:highlight w:val="none"/>
              </w:rPr>
            </w:pPr>
          </w:p>
        </w:tc>
        <w:tc>
          <w:tcPr>
            <w:tcW w:w="2321" w:type="dxa"/>
            <w:noWrap w:val="0"/>
            <w:vAlign w:val="center"/>
          </w:tcPr>
          <w:p w14:paraId="33FC485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7080" w:type="dxa"/>
            <w:noWrap w:val="0"/>
            <w:vAlign w:val="center"/>
          </w:tcPr>
          <w:p w14:paraId="42DA0C58">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7355C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noWrap w:val="0"/>
            <w:vAlign w:val="center"/>
          </w:tcPr>
          <w:p w14:paraId="6DFE6F6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321" w:type="dxa"/>
            <w:noWrap w:val="0"/>
            <w:vAlign w:val="center"/>
          </w:tcPr>
          <w:p w14:paraId="32DF7A5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7080" w:type="dxa"/>
            <w:noWrap w:val="0"/>
            <w:vAlign w:val="center"/>
          </w:tcPr>
          <w:p w14:paraId="744168D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0BCBF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noWrap w:val="0"/>
            <w:vAlign w:val="center"/>
          </w:tcPr>
          <w:p w14:paraId="1122E05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321" w:type="dxa"/>
            <w:noWrap w:val="0"/>
            <w:vAlign w:val="center"/>
          </w:tcPr>
          <w:p w14:paraId="5348F89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7080" w:type="dxa"/>
            <w:noWrap w:val="0"/>
            <w:vAlign w:val="center"/>
          </w:tcPr>
          <w:p w14:paraId="0B16BC0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647C1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63" w:type="dxa"/>
            <w:vMerge w:val="restart"/>
            <w:noWrap w:val="0"/>
            <w:vAlign w:val="center"/>
          </w:tcPr>
          <w:p w14:paraId="63097ED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w:t>
            </w:r>
          </w:p>
        </w:tc>
        <w:tc>
          <w:tcPr>
            <w:tcW w:w="2321" w:type="dxa"/>
            <w:noWrap w:val="0"/>
            <w:vAlign w:val="center"/>
          </w:tcPr>
          <w:p w14:paraId="2CA9EDB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7080" w:type="dxa"/>
            <w:noWrap w:val="0"/>
            <w:vAlign w:val="center"/>
          </w:tcPr>
          <w:p w14:paraId="57EA665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0 </w:t>
            </w:r>
            <w:r>
              <w:rPr>
                <w:rFonts w:hint="eastAsia" w:ascii="宋体" w:hAnsi="宋体" w:eastAsia="宋体" w:cs="宋体"/>
                <w:color w:val="auto"/>
                <w:szCs w:val="21"/>
                <w:highlight w:val="none"/>
              </w:rPr>
              <w:t>项。</w:t>
            </w:r>
          </w:p>
          <w:p w14:paraId="4E5C7AD3">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技术需求评审中允许负偏离的条款数为</w:t>
            </w:r>
            <w:r>
              <w:rPr>
                <w:rFonts w:hint="eastAsia" w:ascii="宋体" w:hAnsi="宋体" w:eastAsia="宋体" w:cs="宋体"/>
                <w:color w:val="auto"/>
                <w:szCs w:val="21"/>
                <w:highlight w:val="none"/>
                <w:u w:val="single"/>
              </w:rPr>
              <w:t xml:space="preserve"> 0 </w:t>
            </w:r>
            <w:r>
              <w:rPr>
                <w:rFonts w:hint="eastAsia" w:ascii="宋体" w:hAnsi="宋体" w:eastAsia="宋体" w:cs="宋体"/>
                <w:color w:val="auto"/>
                <w:szCs w:val="21"/>
                <w:highlight w:val="none"/>
              </w:rPr>
              <w:t>项。</w:t>
            </w:r>
          </w:p>
        </w:tc>
      </w:tr>
      <w:tr w14:paraId="6BF97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noWrap w:val="0"/>
            <w:vAlign w:val="center"/>
          </w:tcPr>
          <w:p w14:paraId="7729CFF3">
            <w:pPr>
              <w:spacing w:line="360" w:lineRule="auto"/>
              <w:jc w:val="center"/>
              <w:rPr>
                <w:rFonts w:hint="eastAsia" w:ascii="宋体" w:hAnsi="宋体" w:eastAsia="宋体" w:cs="宋体"/>
                <w:color w:val="auto"/>
                <w:szCs w:val="21"/>
                <w:highlight w:val="none"/>
              </w:rPr>
            </w:pPr>
          </w:p>
        </w:tc>
        <w:tc>
          <w:tcPr>
            <w:tcW w:w="2321" w:type="dxa"/>
            <w:noWrap w:val="0"/>
            <w:vAlign w:val="center"/>
          </w:tcPr>
          <w:p w14:paraId="52821B56">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tc>
        <w:tc>
          <w:tcPr>
            <w:tcW w:w="7080" w:type="dxa"/>
            <w:noWrap w:val="0"/>
            <w:vAlign w:val="center"/>
          </w:tcPr>
          <w:p w14:paraId="6E7A96D8">
            <w:pPr>
              <w:pStyle w:val="11"/>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□按照提交首次响应文件的顺序，通知磋商时，若某供应商不在通知现场时，该供应商排序到最后磋商，按照签到的顺序由其下一位供应商先参与磋商。</w:t>
            </w:r>
          </w:p>
          <w:p w14:paraId="12B5F42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☑随机排序。</w:t>
            </w:r>
          </w:p>
          <w:p w14:paraId="4F9C0924">
            <w:pPr>
              <w:pStyle w:val="11"/>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参与磋商前，磋商小组如有要求，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6CF29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6D75B5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2321" w:type="dxa"/>
            <w:noWrap w:val="0"/>
            <w:vAlign w:val="center"/>
          </w:tcPr>
          <w:p w14:paraId="46BDD89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7080" w:type="dxa"/>
            <w:noWrap w:val="0"/>
            <w:vAlign w:val="center"/>
          </w:tcPr>
          <w:p w14:paraId="389D74F4">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本项目不需要缴</w:t>
            </w:r>
            <w:r>
              <w:rPr>
                <w:rFonts w:hint="eastAsia" w:ascii="宋体" w:hAnsi="宋体" w:eastAsia="宋体" w:cs="宋体"/>
                <w:b/>
                <w:bCs/>
                <w:color w:val="auto"/>
                <w:kern w:val="0"/>
                <w:szCs w:val="21"/>
                <w:highlight w:val="none"/>
              </w:rPr>
              <w:t>纳</w:t>
            </w:r>
            <w:r>
              <w:rPr>
                <w:rFonts w:hint="eastAsia" w:ascii="宋体" w:hAnsi="宋体" w:eastAsia="宋体" w:cs="宋体"/>
                <w:b/>
                <w:bCs/>
                <w:color w:val="auto"/>
                <w:szCs w:val="21"/>
                <w:highlight w:val="none"/>
              </w:rPr>
              <w:t>履约保证金。</w:t>
            </w:r>
          </w:p>
          <w:p w14:paraId="47105689">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本项目需要缴</w:t>
            </w:r>
            <w:r>
              <w:rPr>
                <w:rFonts w:hint="eastAsia" w:ascii="宋体" w:hAnsi="宋体" w:eastAsia="宋体" w:cs="宋体"/>
                <w:b/>
                <w:bCs/>
                <w:color w:val="auto"/>
                <w:kern w:val="0"/>
                <w:szCs w:val="21"/>
                <w:highlight w:val="none"/>
              </w:rPr>
              <w:t>纳</w:t>
            </w:r>
            <w:r>
              <w:rPr>
                <w:rFonts w:hint="eastAsia" w:ascii="宋体" w:hAnsi="宋体" w:eastAsia="宋体" w:cs="宋体"/>
                <w:b/>
                <w:bCs/>
                <w:color w:val="auto"/>
                <w:szCs w:val="21"/>
                <w:highlight w:val="none"/>
              </w:rPr>
              <w:t>履约保证金，相关要求如下：</w:t>
            </w:r>
          </w:p>
          <w:p w14:paraId="00E82B71">
            <w:pPr>
              <w:spacing w:line="360" w:lineRule="auto"/>
              <w:rPr>
                <w:rFonts w:hint="eastAsia" w:ascii="宋体" w:hAnsi="宋体" w:eastAsia="宋体" w:cs="宋体"/>
                <w:i/>
                <w:iCs/>
                <w:color w:val="auto"/>
                <w:szCs w:val="21"/>
                <w:highlight w:val="none"/>
              </w:rPr>
            </w:pPr>
            <w:r>
              <w:rPr>
                <w:rFonts w:hint="eastAsia" w:ascii="宋体" w:hAnsi="宋体" w:eastAsia="宋体" w:cs="宋体"/>
                <w:color w:val="auto"/>
                <w:szCs w:val="21"/>
                <w:highlight w:val="none"/>
              </w:rPr>
              <w:t>1.履约保证金金额：按项目成交总金额的</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87AB19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2.履约保证金提交方式：成交供应商在</w:t>
            </w:r>
            <w:r>
              <w:rPr>
                <w:rFonts w:hint="eastAsia" w:ascii="宋体" w:hAnsi="宋体" w:eastAsia="宋体" w:cs="宋体"/>
                <w:color w:val="auto"/>
                <w:kern w:val="0"/>
                <w:szCs w:val="21"/>
                <w:highlight w:val="none"/>
                <w:u w:val="single"/>
              </w:rPr>
              <w:t>签订合同</w:t>
            </w:r>
            <w:r>
              <w:rPr>
                <w:rFonts w:hint="eastAsia" w:ascii="宋体" w:hAnsi="宋体" w:eastAsia="宋体" w:cs="宋体"/>
                <w:color w:val="auto"/>
                <w:szCs w:val="21"/>
                <w:highlight w:val="none"/>
                <w:u w:val="single"/>
              </w:rPr>
              <w:t>前</w:t>
            </w:r>
            <w:r>
              <w:rPr>
                <w:rFonts w:hint="eastAsia" w:ascii="宋体" w:hAnsi="宋体" w:eastAsia="宋体" w:cs="宋体"/>
                <w:color w:val="auto"/>
                <w:szCs w:val="21"/>
                <w:highlight w:val="none"/>
              </w:rPr>
              <w:t>以银行转账、支票、汇票、本票或者金融机构、担保机构出具的保函等非现金方式向</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采购人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提交。</w:t>
            </w:r>
          </w:p>
          <w:p w14:paraId="43F0CFD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3.履约保证金退付方式、时间及条件：</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成交供应商向采购人提交完整的验收资料后，可向采购人申请退还履约保证金 </w:t>
            </w:r>
            <w:r>
              <w:rPr>
                <w:rFonts w:hint="eastAsia" w:ascii="宋体" w:hAnsi="宋体" w:eastAsia="宋体" w:cs="宋体"/>
                <w:color w:val="auto"/>
                <w:szCs w:val="21"/>
                <w:highlight w:val="none"/>
              </w:rPr>
              <w:t>。</w:t>
            </w:r>
          </w:p>
          <w:p w14:paraId="07D6C23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4.缴纳履约保证金指定账户的信息：</w:t>
            </w:r>
          </w:p>
          <w:p w14:paraId="54E783C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开户名称：</w:t>
            </w:r>
            <w:r>
              <w:rPr>
                <w:rFonts w:hint="eastAsia" w:ascii="宋体" w:hAnsi="宋体" w:eastAsia="宋体" w:cs="宋体"/>
                <w:color w:val="auto"/>
                <w:szCs w:val="21"/>
                <w:highlight w:val="none"/>
                <w:u w:val="single"/>
              </w:rPr>
              <w:t xml:space="preserve">                </w:t>
            </w:r>
          </w:p>
          <w:p w14:paraId="1C5D011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p>
          <w:p w14:paraId="519394E0">
            <w:pPr>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银行账号：</w:t>
            </w:r>
            <w:r>
              <w:rPr>
                <w:rFonts w:hint="eastAsia" w:ascii="宋体" w:hAnsi="宋体" w:eastAsia="宋体" w:cs="宋体"/>
                <w:color w:val="auto"/>
                <w:szCs w:val="21"/>
                <w:highlight w:val="none"/>
                <w:u w:val="single"/>
              </w:rPr>
              <w:t xml:space="preserve">                </w:t>
            </w:r>
          </w:p>
          <w:p w14:paraId="72CDB08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开户行行号：</w:t>
            </w:r>
            <w:r>
              <w:rPr>
                <w:rFonts w:hint="eastAsia" w:ascii="宋体" w:hAnsi="宋体" w:eastAsia="宋体" w:cs="宋体"/>
                <w:color w:val="auto"/>
                <w:szCs w:val="21"/>
                <w:highlight w:val="none"/>
                <w:u w:val="single"/>
              </w:rPr>
              <w:t xml:space="preserve">              </w:t>
            </w:r>
          </w:p>
          <w:p w14:paraId="110DBAA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5E258E2D">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1</w:t>
            </w:r>
            <w:r>
              <w:rPr>
                <w:rFonts w:hint="eastAsia" w:ascii="宋体" w:hAnsi="宋体" w:eastAsia="宋体" w:cs="宋体"/>
                <w:b/>
                <w:color w:val="auto"/>
                <w:szCs w:val="21"/>
                <w:highlight w:val="none"/>
              </w:rPr>
              <w:t>.履约保证金不足额缴纳的（包含保函额度不足的），或者不按规定提交方式提交的，或者保函有效期低于合同履行期限的（即合同中规定的当事人履行自己的义务，如交付标的物、价款或者报酬，履行劳务、完成工作的时间界限）的，视为未按规定提交履约保证金。</w:t>
            </w:r>
          </w:p>
          <w:p w14:paraId="6D85B0CE">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2</w:t>
            </w:r>
            <w:r>
              <w:rPr>
                <w:rFonts w:hint="eastAsia" w:ascii="宋体" w:hAnsi="宋体" w:eastAsia="宋体" w:cs="宋体"/>
                <w:b/>
                <w:color w:val="auto"/>
                <w:szCs w:val="21"/>
                <w:highlight w:val="none"/>
              </w:rPr>
              <w:t>.采用金融、担保机构出具保函的，必须为无条件保函，否则视为未按规定提交履约保证金。</w:t>
            </w:r>
          </w:p>
          <w:p w14:paraId="0B7FFBA2">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val="en-US" w:eastAsia="zh-CN"/>
              </w:rPr>
              <w:t>3</w:t>
            </w:r>
            <w:r>
              <w:rPr>
                <w:rFonts w:hint="eastAsia" w:ascii="宋体" w:hAnsi="宋体" w:eastAsia="宋体" w:cs="宋体"/>
                <w:b/>
                <w:color w:val="auto"/>
                <w:szCs w:val="21"/>
                <w:highlight w:val="none"/>
              </w:rPr>
              <w:t>.供应商为联合体的，可由联合体任意一方或者联合体各方共同提交的履约保证金，视为有效履约保证金。</w:t>
            </w:r>
            <w:r>
              <w:rPr>
                <w:rFonts w:hint="eastAsia" w:ascii="宋体" w:hAnsi="宋体" w:eastAsia="宋体" w:cs="宋体"/>
                <w:color w:val="auto"/>
                <w:szCs w:val="21"/>
                <w:highlight w:val="none"/>
              </w:rPr>
              <w:t xml:space="preserve"> </w:t>
            </w:r>
          </w:p>
        </w:tc>
      </w:tr>
      <w:tr w14:paraId="21909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417A46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321" w:type="dxa"/>
            <w:noWrap w:val="0"/>
            <w:vAlign w:val="center"/>
          </w:tcPr>
          <w:p w14:paraId="737DB71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7080" w:type="dxa"/>
            <w:noWrap w:val="0"/>
            <w:vAlign w:val="center"/>
          </w:tcPr>
          <w:p w14:paraId="703957A5">
            <w:pPr>
              <w:snapToGrid w:val="0"/>
              <w:spacing w:line="360" w:lineRule="auto"/>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使用的有效CA证书加盖单位电子公章</w:t>
            </w:r>
          </w:p>
          <w:p w14:paraId="02BF5C28">
            <w:pPr>
              <w:autoSpaceDE w:val="0"/>
              <w:autoSpaceDN w:val="0"/>
              <w:snapToGrid w:val="0"/>
              <w:spacing w:line="360" w:lineRule="auto"/>
              <w:textAlignment w:val="bottom"/>
              <w:rPr>
                <w:rFonts w:hint="eastAsia" w:ascii="宋体" w:hAnsi="宋体" w:eastAsia="宋体" w:cs="宋体"/>
                <w:b/>
                <w:bCs/>
                <w:i/>
                <w:iCs/>
                <w:color w:val="auto"/>
                <w:szCs w:val="21"/>
                <w:highlight w:val="none"/>
              </w:rPr>
            </w:pPr>
            <w:r>
              <w:rPr>
                <w:rFonts w:hint="eastAsia" w:ascii="宋体" w:hAnsi="宋体" w:eastAsia="宋体" w:cs="宋体"/>
                <w:color w:val="auto"/>
                <w:szCs w:val="21"/>
                <w:highlight w:val="none"/>
              </w:rPr>
              <w:t>委托代理人负责签订合同的，须携带有效的法定代表人授权委托书及其委托代理人身份证原件等其他资格证件。</w:t>
            </w:r>
          </w:p>
        </w:tc>
      </w:tr>
      <w:tr w14:paraId="1F9AB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restart"/>
            <w:noWrap w:val="0"/>
            <w:vAlign w:val="center"/>
          </w:tcPr>
          <w:p w14:paraId="6E736C2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321" w:type="dxa"/>
            <w:noWrap w:val="0"/>
            <w:vAlign w:val="center"/>
          </w:tcPr>
          <w:p w14:paraId="23EB2AEE">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7080" w:type="dxa"/>
            <w:noWrap w:val="0"/>
            <w:vAlign w:val="center"/>
          </w:tcPr>
          <w:p w14:paraId="60858F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B4AD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noWrap w:val="0"/>
            <w:vAlign w:val="center"/>
          </w:tcPr>
          <w:p w14:paraId="631ECC8E">
            <w:pPr>
              <w:spacing w:line="360" w:lineRule="auto"/>
              <w:jc w:val="center"/>
              <w:rPr>
                <w:rFonts w:hint="eastAsia" w:ascii="宋体" w:hAnsi="宋体" w:eastAsia="宋体" w:cs="宋体"/>
                <w:color w:val="auto"/>
                <w:szCs w:val="21"/>
                <w:highlight w:val="none"/>
              </w:rPr>
            </w:pPr>
          </w:p>
        </w:tc>
        <w:tc>
          <w:tcPr>
            <w:tcW w:w="2321" w:type="dxa"/>
            <w:noWrap w:val="0"/>
            <w:vAlign w:val="center"/>
          </w:tcPr>
          <w:p w14:paraId="3D2CD3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283285FF">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7080" w:type="dxa"/>
            <w:noWrap w:val="0"/>
            <w:vAlign w:val="center"/>
          </w:tcPr>
          <w:p w14:paraId="2F4692AB">
            <w:pPr>
              <w:snapToGrid w:val="0"/>
              <w:spacing w:line="380" w:lineRule="exact"/>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highlight w:val="none"/>
              </w:rPr>
              <w:t>名称：</w:t>
            </w:r>
            <w:r>
              <w:rPr>
                <w:rFonts w:hint="eastAsia" w:ascii="宋体" w:hAnsi="宋体" w:cs="宋体"/>
                <w:color w:val="auto"/>
                <w:szCs w:val="21"/>
                <w:highlight w:val="none"/>
                <w:lang w:eastAsia="zh-CN"/>
              </w:rPr>
              <w:t>南宁市第三幼儿园</w:t>
            </w:r>
          </w:p>
          <w:p w14:paraId="0DA0741A">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地址：南宁市华强路97号</w:t>
            </w:r>
          </w:p>
          <w:p w14:paraId="49707EB5">
            <w:pPr>
              <w:snapToGrid w:val="0"/>
              <w:spacing w:line="38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rPr>
              <w:t>联系电话：林江英</w:t>
            </w:r>
            <w:r>
              <w:rPr>
                <w:rFonts w:hint="eastAsia" w:ascii="宋体" w:hAnsi="宋体" w:cs="宋体"/>
                <w:color w:val="auto"/>
                <w:highlight w:val="none"/>
                <w:lang w:val="en-US" w:eastAsia="zh-CN"/>
              </w:rPr>
              <w:t xml:space="preserve"> </w:t>
            </w:r>
            <w:r>
              <w:rPr>
                <w:rFonts w:hint="eastAsia" w:ascii="宋体" w:hAnsi="宋体" w:cs="宋体"/>
                <w:color w:val="auto"/>
                <w:highlight w:val="none"/>
                <w:lang w:eastAsia="zh-CN"/>
              </w:rPr>
              <w:t>0771-2434330</w:t>
            </w:r>
          </w:p>
          <w:p w14:paraId="64DACE12">
            <w:pPr>
              <w:snapToGrid w:val="0"/>
              <w:spacing w:line="38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（2）名称：</w:t>
            </w:r>
            <w:r>
              <w:rPr>
                <w:rFonts w:hint="eastAsia" w:ascii="宋体" w:hAnsi="宋体" w:eastAsia="宋体" w:cs="宋体"/>
                <w:color w:val="auto"/>
                <w:szCs w:val="21"/>
                <w:highlight w:val="none"/>
                <w:lang w:eastAsia="zh-CN"/>
              </w:rPr>
              <w:t>广西桂工建设管理咨询有限公司</w:t>
            </w:r>
          </w:p>
          <w:p w14:paraId="140826F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联系电话：0771-5533898</w:t>
            </w:r>
          </w:p>
          <w:p w14:paraId="2D5D639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通讯地址：中国（广西）自由贸易试验区南宁片区庆歌路20号富雅•国际商务大厦B栋十三层1301</w:t>
            </w:r>
          </w:p>
        </w:tc>
      </w:tr>
      <w:tr w14:paraId="18B62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noWrap w:val="0"/>
            <w:vAlign w:val="center"/>
          </w:tcPr>
          <w:p w14:paraId="77377FDE">
            <w:pPr>
              <w:spacing w:line="360" w:lineRule="auto"/>
              <w:jc w:val="center"/>
              <w:rPr>
                <w:rFonts w:hint="eastAsia" w:ascii="宋体" w:hAnsi="宋体" w:eastAsia="宋体" w:cs="宋体"/>
                <w:color w:val="auto"/>
                <w:szCs w:val="21"/>
                <w:highlight w:val="none"/>
              </w:rPr>
            </w:pPr>
          </w:p>
        </w:tc>
        <w:tc>
          <w:tcPr>
            <w:tcW w:w="2321" w:type="dxa"/>
            <w:noWrap w:val="0"/>
            <w:vAlign w:val="center"/>
          </w:tcPr>
          <w:p w14:paraId="4E8A0C50">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C23A04E">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7080" w:type="dxa"/>
            <w:noWrap w:val="0"/>
            <w:vAlign w:val="center"/>
          </w:tcPr>
          <w:p w14:paraId="4C2ECF0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质疑期内每个工作日（北京时间）上午</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分，下午</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18</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p>
        </w:tc>
      </w:tr>
      <w:tr w14:paraId="23E1D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4A14132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321" w:type="dxa"/>
            <w:noWrap w:val="0"/>
            <w:vAlign w:val="center"/>
          </w:tcPr>
          <w:p w14:paraId="31EF573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7080" w:type="dxa"/>
            <w:noWrap w:val="0"/>
            <w:vAlign w:val="center"/>
          </w:tcPr>
          <w:p w14:paraId="4DB475EC">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1、受理方式：纸质方式受理，投诉书正、副本（经过质疑的事项才可投诉）。</w:t>
            </w:r>
          </w:p>
          <w:p w14:paraId="7A051D9C">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eastAsia="zh-CN"/>
              </w:rPr>
              <w:t>通讯方式</w:t>
            </w:r>
          </w:p>
          <w:p w14:paraId="5BAFFAE3">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名称：南宁市西乡塘区人民政府采购管理办公室</w:t>
            </w:r>
          </w:p>
          <w:p w14:paraId="68ACF888">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地址：南宁市西乡塘区衡阳西路11号</w:t>
            </w:r>
          </w:p>
          <w:p w14:paraId="52A52658">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联系电话：0771-3130365</w:t>
            </w:r>
          </w:p>
        </w:tc>
      </w:tr>
      <w:tr w14:paraId="712D1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79A384B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321" w:type="dxa"/>
            <w:noWrap w:val="0"/>
            <w:vAlign w:val="center"/>
          </w:tcPr>
          <w:p w14:paraId="42BBCB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采购代理服务费</w:t>
            </w:r>
          </w:p>
        </w:tc>
        <w:tc>
          <w:tcPr>
            <w:tcW w:w="7080" w:type="dxa"/>
            <w:noWrap w:val="0"/>
            <w:vAlign w:val="center"/>
          </w:tcPr>
          <w:p w14:paraId="5EAFE5B6">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 是否收取采购代理服务理费：</w:t>
            </w:r>
          </w:p>
          <w:p w14:paraId="3A3E46C7">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☑是    □ 否</w:t>
            </w:r>
          </w:p>
          <w:p w14:paraId="76C31222">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2.采购代理服务费支付方式：</w:t>
            </w:r>
          </w:p>
          <w:p w14:paraId="0F0C6E76">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☑本项目采购代理服务费由成交供应商在签订合同前，</w:t>
            </w:r>
            <w:r>
              <w:rPr>
                <w:rFonts w:hint="eastAsia" w:ascii="宋体" w:hAnsi="宋体" w:eastAsia="宋体" w:cs="宋体"/>
                <w:color w:val="auto"/>
                <w:highlight w:val="none"/>
              </w:rPr>
              <w:t>以银行转账、电汇等方式</w:t>
            </w:r>
            <w:r>
              <w:rPr>
                <w:rFonts w:hint="eastAsia" w:ascii="宋体" w:hAnsi="宋体" w:eastAsia="宋体" w:cs="宋体"/>
                <w:color w:val="auto"/>
                <w:kern w:val="0"/>
                <w:szCs w:val="21"/>
                <w:highlight w:val="none"/>
              </w:rPr>
              <w:t>一次性向采购代理机构支付。</w:t>
            </w:r>
          </w:p>
          <w:p w14:paraId="0B47134F">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□采购人支付：</w:t>
            </w:r>
            <w:r>
              <w:rPr>
                <w:rFonts w:hint="eastAsia" w:ascii="宋体" w:hAnsi="宋体" w:eastAsia="宋体" w:cs="宋体"/>
                <w:color w:val="auto"/>
                <w:kern w:val="0"/>
                <w:szCs w:val="21"/>
                <w:highlight w:val="none"/>
                <w:u w:val="single"/>
              </w:rPr>
              <w:t xml:space="preserve">   </w:t>
            </w:r>
            <w:r>
              <w:rPr>
                <w:rFonts w:hint="eastAsia" w:ascii="宋体" w:hAnsi="宋体" w:eastAsia="宋体" w:cs="宋体"/>
                <w:i/>
                <w:iCs/>
                <w:color w:val="auto"/>
                <w:highlight w:val="none"/>
                <w:u w:val="single"/>
              </w:rPr>
              <w:t xml:space="preserve">/   </w:t>
            </w:r>
            <w:r>
              <w:rPr>
                <w:rFonts w:hint="eastAsia" w:ascii="宋体" w:hAnsi="宋体" w:eastAsia="宋体" w:cs="宋体"/>
                <w:i/>
                <w:iCs/>
                <w:color w:val="auto"/>
                <w:highlight w:val="none"/>
              </w:rPr>
              <w:t>。</w:t>
            </w:r>
          </w:p>
          <w:p w14:paraId="6DABDB02">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3.采购代理服务费收取标准：</w:t>
            </w:r>
          </w:p>
          <w:p w14:paraId="280DD795">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以项目（</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成交总金额/</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采购预算/□暂定成交金额/□其他</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）为计费额，按</w:t>
            </w:r>
            <w:r>
              <w:rPr>
                <w:rFonts w:hint="eastAsia" w:ascii="宋体" w:hAnsi="宋体" w:eastAsia="宋体" w:cs="宋体"/>
                <w:color w:val="auto"/>
                <w:highlight w:val="none"/>
              </w:rPr>
              <w:t>本须知正文第</w:t>
            </w:r>
            <w:bookmarkStart w:id="25" w:name="OLE_LINK29"/>
            <w:r>
              <w:rPr>
                <w:rFonts w:hint="eastAsia" w:ascii="宋体" w:hAnsi="宋体" w:eastAsia="宋体" w:cs="宋体"/>
                <w:color w:val="auto"/>
                <w:highlight w:val="none"/>
              </w:rPr>
              <w:t>33.2</w:t>
            </w:r>
            <w:bookmarkEnd w:id="25"/>
            <w:r>
              <w:rPr>
                <w:rFonts w:hint="eastAsia" w:ascii="宋体" w:hAnsi="宋体" w:eastAsia="宋体" w:cs="宋体"/>
                <w:color w:val="auto"/>
                <w:highlight w:val="none"/>
              </w:rPr>
              <w:t>条规定的收费计算标准（</w:t>
            </w:r>
            <w:r>
              <w:rPr>
                <w:rFonts w:hint="eastAsia" w:ascii="宋体" w:hAnsi="宋体" w:eastAsia="宋体" w:cs="宋体"/>
                <w:b/>
                <w:bCs/>
                <w:color w:val="auto"/>
                <w:kern w:val="0"/>
                <w:szCs w:val="21"/>
                <w:highlight w:val="none"/>
                <w:u w:val="single"/>
              </w:rPr>
              <w:t>工程类</w:t>
            </w:r>
            <w:r>
              <w:rPr>
                <w:rFonts w:hint="eastAsia" w:ascii="宋体" w:hAnsi="宋体" w:eastAsia="宋体" w:cs="宋体"/>
                <w:color w:val="auto"/>
                <w:highlight w:val="none"/>
              </w:rPr>
              <w:t>）</w:t>
            </w:r>
            <w:r>
              <w:rPr>
                <w:rFonts w:hint="eastAsia" w:ascii="宋体" w:hAnsi="宋体" w:eastAsia="宋体" w:cs="宋体"/>
                <w:color w:val="auto"/>
                <w:kern w:val="0"/>
                <w:szCs w:val="21"/>
                <w:highlight w:val="none"/>
              </w:rPr>
              <w:t>采用差额定率累进法计算出收费基准价格，采购代理机构收费以（</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收费基准价格/□收费基准价格下浮</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/□收费基准价格上浮</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）收取。</w:t>
            </w:r>
          </w:p>
          <w:p w14:paraId="5B1019C5">
            <w:pPr>
              <w:snapToGrid w:val="0"/>
              <w:spacing w:line="360" w:lineRule="auto"/>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固定采购代理收费：</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p>
          <w:p w14:paraId="7F465886">
            <w:pPr>
              <w:tabs>
                <w:tab w:val="left" w:pos="4670"/>
              </w:tabs>
              <w:snapToGrid w:val="0"/>
              <w:spacing w:line="360" w:lineRule="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4. 采购代理服务费收取银行账户的信息</w:t>
            </w:r>
            <w:r>
              <w:rPr>
                <w:rFonts w:hint="eastAsia" w:ascii="宋体" w:hAnsi="宋体" w:eastAsia="宋体" w:cs="宋体"/>
                <w:color w:val="auto"/>
                <w:kern w:val="0"/>
                <w:szCs w:val="21"/>
                <w:highlight w:val="none"/>
                <w:lang w:eastAsia="zh-CN"/>
              </w:rPr>
              <w:tab/>
            </w:r>
          </w:p>
          <w:p w14:paraId="2A65EEA7">
            <w:pPr>
              <w:snapToGrid w:val="0"/>
              <w:spacing w:line="360" w:lineRule="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开户名称：</w:t>
            </w:r>
            <w:r>
              <w:rPr>
                <w:rFonts w:hint="eastAsia" w:ascii="宋体" w:hAnsi="宋体" w:eastAsia="宋体" w:cs="宋体"/>
                <w:color w:val="auto"/>
                <w:szCs w:val="21"/>
                <w:highlight w:val="none"/>
                <w:lang w:eastAsia="zh-CN"/>
              </w:rPr>
              <w:t>广西桂工建设管理咨询有限公司南宁分公司</w:t>
            </w:r>
          </w:p>
          <w:p w14:paraId="5B0780B9">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开户银行：中国建设银行股份有限公司南宁朝阳支行</w:t>
            </w:r>
          </w:p>
          <w:p w14:paraId="7B6FE2FC">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银行账号：4505 0160 4473 0999 9666</w:t>
            </w:r>
          </w:p>
        </w:tc>
      </w:tr>
      <w:tr w14:paraId="5618D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2103268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321" w:type="dxa"/>
            <w:noWrap w:val="0"/>
            <w:vAlign w:val="center"/>
          </w:tcPr>
          <w:p w14:paraId="683ABB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7080" w:type="dxa"/>
            <w:noWrap w:val="0"/>
            <w:vAlign w:val="center"/>
          </w:tcPr>
          <w:p w14:paraId="21E8DC66">
            <w:pPr>
              <w:snapToGrid w:val="0"/>
              <w:spacing w:line="360" w:lineRule="auto"/>
              <w:rPr>
                <w:rFonts w:hint="eastAsia" w:ascii="宋体" w:hAnsi="宋体" w:eastAsia="宋体" w:cs="宋体"/>
                <w:b w:val="0"/>
                <w:bCs w:val="0"/>
                <w:color w:val="auto"/>
                <w:kern w:val="0"/>
                <w:szCs w:val="21"/>
                <w:highlight w:val="none"/>
              </w:rPr>
            </w:pPr>
            <w:r>
              <w:rPr>
                <w:rFonts w:hint="eastAsia" w:ascii="宋体" w:hAnsi="宋体" w:eastAsia="宋体" w:cs="宋体"/>
                <w:b/>
                <w:color w:val="auto"/>
                <w:kern w:val="0"/>
                <w:szCs w:val="21"/>
                <w:highlight w:val="none"/>
              </w:rPr>
              <w:t>解释：</w:t>
            </w:r>
            <w:r>
              <w:rPr>
                <w:rFonts w:hint="eastAsia" w:ascii="宋体" w:hAnsi="宋体" w:eastAsia="宋体" w:cs="宋体"/>
                <w:color w:val="auto"/>
                <w:kern w:val="0"/>
                <w:szCs w:val="21"/>
                <w:highlight w:val="none"/>
              </w:rPr>
              <w:t>构成本竞争性磋商文件的各个组成文件应互为解释，互为说明；除竞争性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val="0"/>
                <w:bCs w:val="0"/>
                <w:color w:val="auto"/>
                <w:kern w:val="0"/>
                <w:szCs w:val="21"/>
                <w:highlight w:val="none"/>
              </w:rPr>
              <w:t>，由采购人或者采购代理机构负责解释。</w:t>
            </w:r>
          </w:p>
          <w:p w14:paraId="361FE69E">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rPr>
              <w:t>法律责任：</w:t>
            </w:r>
            <w:r>
              <w:rPr>
                <w:rFonts w:hint="eastAsia" w:ascii="宋体" w:hAnsi="宋体" w:eastAsia="宋体" w:cs="宋体"/>
                <w:color w:val="auto"/>
                <w:kern w:val="0"/>
                <w:szCs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6AD4F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noWrap w:val="0"/>
            <w:vAlign w:val="center"/>
          </w:tcPr>
          <w:p w14:paraId="0081B9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321" w:type="dxa"/>
            <w:noWrap w:val="0"/>
            <w:vAlign w:val="center"/>
          </w:tcPr>
          <w:p w14:paraId="252BDEC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7080" w:type="dxa"/>
            <w:noWrap w:val="0"/>
            <w:vAlign w:val="center"/>
          </w:tcPr>
          <w:p w14:paraId="1894553B">
            <w:pPr>
              <w:pStyle w:val="11"/>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文件中描述供应商的“公章”是指根据我国对公章的管理规定，用供应商法定主体行为名称制作的实物印章或供应商通过指定电子化政府采购平台办理数字证书（CA认证）获得的以法定主体行为名称制作的电子印章。除本竞争性磋商文件有特殊规定外，供应商的财务章、部门章、分公司章、工会章、合同章、投标专用章、业务专用章及银行的转账章、现金收讫章、现金付讫章等其他形式印章均不能代替公章。</w:t>
            </w:r>
          </w:p>
          <w:p w14:paraId="08E11EAE">
            <w:pPr>
              <w:pStyle w:val="11"/>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2.本竞争性磋商文件中描述供应商的“签字”是指供应商通过指定电子化政府采购平台办理数字证书（CA认证）获得的以供应商法定代表人或者委托代理人姓名制作的电子印章或手写签字。</w:t>
            </w:r>
          </w:p>
          <w:p w14:paraId="1D23BB1C">
            <w:pPr>
              <w:pStyle w:val="11"/>
              <w:tabs>
                <w:tab w:val="center" w:pos="4153"/>
                <w:tab w:val="right" w:pos="8306"/>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3.本竞争性磋商文件所称的“电子签章”“电子签名”，是指经“</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”平台认可的CA认证的电子签名数据为表现形式的印章，可用于签署电子响应文件，电子印章与实物印章具有同等法律效力，不因其采用电子化表现形式而否定其法律效力。</w:t>
            </w:r>
          </w:p>
          <w:p w14:paraId="0040FCD1">
            <w:pPr>
              <w:pStyle w:val="11"/>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为其他组织或者自然人时，本竞争性磋商文件规定的法定代表人指负责人或者自然人。本竞争性磋商文件所称负责人是指参加竞标的其他组织营业执照上的负责人，本竞争性磋商文件所称自然人指参与竞标的自然人本人。</w:t>
            </w:r>
          </w:p>
          <w:p w14:paraId="3280955E">
            <w:pPr>
              <w:pStyle w:val="11"/>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5.自然人竞标的，竞争性磋商文件规定盖公章处由自然人摁手指指印。</w:t>
            </w:r>
          </w:p>
          <w:p w14:paraId="53B7F94A">
            <w:pPr>
              <w:pStyle w:val="11"/>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6.同义词语：</w:t>
            </w:r>
            <w:r>
              <w:rPr>
                <w:rFonts w:hint="eastAsia" w:ascii="宋体" w:hAnsi="宋体" w:eastAsia="宋体" w:cs="宋体"/>
                <w:color w:val="auto"/>
                <w:highlight w:val="none"/>
              </w:rPr>
              <w:t>构成</w:t>
            </w:r>
            <w:r>
              <w:rPr>
                <w:rFonts w:hint="eastAsia" w:ascii="宋体" w:hAnsi="宋体" w:eastAsia="宋体" w:cs="宋体"/>
                <w:color w:val="auto"/>
                <w:highlight w:val="none"/>
                <w:lang w:eastAsia="zh-CN"/>
              </w:rPr>
              <w:t>竞争性磋商文件</w:t>
            </w:r>
            <w:r>
              <w:rPr>
                <w:rFonts w:hint="eastAsia" w:ascii="宋体" w:hAnsi="宋体" w:eastAsia="宋体" w:cs="宋体"/>
                <w:color w:val="auto"/>
                <w:highlight w:val="none"/>
              </w:rPr>
              <w:t>组成部分的“通用合同条款”、“专用合同条款”、“技术标准和要求”和“工程量清单”等章节中出现的措辞“发包人”和“承包人”，在采购阶段应当分别按“采购人”和“供应商”进行理解。</w:t>
            </w:r>
          </w:p>
          <w:p w14:paraId="5A213A0A">
            <w:pPr>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    7.本竞争性磋商文件所称的“以上”“以下”“以内”“届满”，包括本数；所称的“不满”“超过”“以外”，不包括本数。</w:t>
            </w:r>
          </w:p>
        </w:tc>
      </w:tr>
    </w:tbl>
    <w:p w14:paraId="2360262F">
      <w:pPr>
        <w:pStyle w:val="3"/>
        <w:pageBreakBefore w:val="0"/>
        <w:widowControl w:val="0"/>
        <w:kinsoku/>
        <w:wordWrap/>
        <w:overflowPunct/>
        <w:topLinePunct w:val="0"/>
        <w:autoSpaceDE/>
        <w:autoSpaceDN/>
        <w:bidi w:val="0"/>
        <w:spacing w:line="360" w:lineRule="auto"/>
        <w:jc w:val="center"/>
        <w:rPr>
          <w:rFonts w:hint="eastAsia" w:ascii="宋体" w:hAnsi="宋体" w:eastAsia="宋体" w:cs="宋体"/>
          <w:b w:val="0"/>
          <w:bCs/>
          <w:color w:val="auto"/>
          <w:highlight w:val="none"/>
        </w:rPr>
      </w:pPr>
      <w:r>
        <w:rPr>
          <w:rFonts w:hint="eastAsia" w:ascii="宋体" w:hAnsi="宋体" w:eastAsia="宋体" w:cs="宋体"/>
          <w:b w:val="0"/>
          <w:bCs/>
          <w:color w:val="auto"/>
          <w:highlight w:val="none"/>
        </w:rPr>
        <w:br w:type="page"/>
      </w:r>
      <w:bookmarkStart w:id="26" w:name="_Toc30957"/>
      <w:bookmarkStart w:id="27" w:name="_Toc27094"/>
      <w:r>
        <w:rPr>
          <w:rFonts w:hint="eastAsia" w:ascii="宋体" w:hAnsi="宋体" w:eastAsia="宋体" w:cs="宋体"/>
          <w:b/>
          <w:bCs w:val="0"/>
          <w:color w:val="auto"/>
          <w:highlight w:val="none"/>
        </w:rPr>
        <w:t>第二节 供应商须知正文</w:t>
      </w:r>
      <w:bookmarkEnd w:id="26"/>
      <w:bookmarkEnd w:id="27"/>
    </w:p>
    <w:p w14:paraId="55B960EF">
      <w:pPr>
        <w:pStyle w:val="4"/>
        <w:pageBreakBefore w:val="0"/>
        <w:widowControl w:val="0"/>
        <w:kinsoku/>
        <w:wordWrap/>
        <w:overflowPunct/>
        <w:topLinePunct w:val="0"/>
        <w:autoSpaceDE/>
        <w:autoSpaceDN/>
        <w:bidi w:val="0"/>
        <w:spacing w:before="0" w:after="0" w:line="360" w:lineRule="auto"/>
        <w:rPr>
          <w:rFonts w:hint="eastAsia" w:ascii="宋体" w:hAnsi="宋体" w:eastAsia="宋体" w:cs="宋体"/>
          <w:b/>
          <w:bCs w:val="0"/>
          <w:color w:val="auto"/>
          <w:highlight w:val="none"/>
        </w:rPr>
      </w:pPr>
      <w:r>
        <w:rPr>
          <w:rFonts w:hint="eastAsia" w:ascii="宋体" w:hAnsi="宋体" w:eastAsia="宋体" w:cs="宋体"/>
          <w:b/>
          <w:bCs w:val="0"/>
          <w:color w:val="auto"/>
          <w:highlight w:val="none"/>
        </w:rPr>
        <w:t>一、总则</w:t>
      </w:r>
    </w:p>
    <w:p w14:paraId="48D45F76">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530B3F9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4D420F4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3C1412C5">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50ED873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52E3C5D9">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4810F19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1F781CA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2.4“服务”是指除货物和工程以外的其他政府采购对象。</w:t>
      </w:r>
    </w:p>
    <w:p w14:paraId="7952FD1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2.5“竞标”是指供应商按照本项目竞争性磋商公告规定的方式获取磋商文件、提交响应文件并希望获得标的的行为。</w:t>
      </w:r>
    </w:p>
    <w:p w14:paraId="3BFA70C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2C2C2659">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7DBAA05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4E5E21B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69ED03D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327AC92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14EC654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6CA643A1">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5F469FD9">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8483A01">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6AD4B2AE">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3C343B0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636653E6">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259DBA1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761692A5">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524D952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5.3根据《政府采购促进中小企业发展管理办法》（财库[2020]46号）第九规定，接受大中型企业与小微企业组成联合体的采购项目，对于联合协议约定小微企业的合同份额占到合同总金额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503DCE79">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4CC9B68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6DBC3FB1">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6.2根据《政府采购促进中小企业发展管理办法》（财库[2020]46号）第九条规定，允许大中型企业向一家或者多家小微企业分包的采购项目，对于分包意向协议约定小微企业的合同份额占到合同总金额 30%以上的，采购人、采购代理机构应当对大中型企业的报价给予 1%—2%的扣除，用扣除后的价格参加评审。接受分包的小微企业与分包企业之间存在直接控股、管理关系的，不享受价格扣除优惠政策。</w:t>
      </w:r>
    </w:p>
    <w:p w14:paraId="4E9C5C98">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7.特别说明</w:t>
      </w:r>
    </w:p>
    <w:p w14:paraId="4C1362D9">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7.1如果本磋商文件要求提供供应商或制造商的资格、信誉、荣誉、业绩与企业认证等材料的，资格、信誉、荣誉、业绩与企业认证等必须为供应商或者制造商所拥有或自身获得 。</w:t>
      </w:r>
    </w:p>
    <w:p w14:paraId="2EF95F93">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430417A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3747981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4029535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1AD5434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1455CC8B">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57F2327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1CB99A83">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4F3FCFC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09EF68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29D6766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2FA3D65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5386C4B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11DE99F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15B058B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6A675BEB">
      <w:pPr>
        <w:pageBreakBefore w:val="0"/>
        <w:widowControl w:val="0"/>
        <w:tabs>
          <w:tab w:val="left" w:pos="6931"/>
        </w:tabs>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1A55FFC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29C3F5D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59861E9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4BBACF6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0869DB2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5787CD2F">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2B0D9B6F">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18F3F64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6478A513">
      <w:pPr>
        <w:pStyle w:val="4"/>
        <w:pageBreakBefore w:val="0"/>
        <w:widowControl w:val="0"/>
        <w:kinsoku/>
        <w:wordWrap/>
        <w:overflowPunct/>
        <w:topLinePunct w:val="0"/>
        <w:autoSpaceDE/>
        <w:autoSpaceDN/>
        <w:bidi w:val="0"/>
        <w:spacing w:before="0" w:after="0" w:line="360" w:lineRule="auto"/>
        <w:rPr>
          <w:rFonts w:hint="eastAsia" w:ascii="宋体" w:hAnsi="宋体" w:eastAsia="宋体" w:cs="宋体"/>
          <w:b/>
          <w:bCs w:val="0"/>
          <w:color w:val="auto"/>
          <w:highlight w:val="none"/>
        </w:rPr>
      </w:pPr>
      <w:r>
        <w:rPr>
          <w:rFonts w:hint="eastAsia" w:ascii="宋体" w:hAnsi="宋体" w:eastAsia="宋体" w:cs="宋体"/>
          <w:b/>
          <w:bCs w:val="0"/>
          <w:color w:val="auto"/>
          <w:highlight w:val="none"/>
        </w:rPr>
        <w:t>二、磋商文件</w:t>
      </w:r>
    </w:p>
    <w:p w14:paraId="0821F580">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6B7D5C9F">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67C340A">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7E2A0B00">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2364199E">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0E91BF5E">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0F74AB0C">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645D80AD">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第七章 </w:t>
      </w:r>
      <w:r>
        <w:rPr>
          <w:rFonts w:hint="eastAsia" w:ascii="宋体" w:hAnsi="宋体" w:eastAsia="宋体" w:cs="宋体"/>
          <w:color w:val="auto"/>
          <w:szCs w:val="21"/>
          <w:highlight w:val="none"/>
          <w:lang w:val="en-US" w:eastAsia="zh-CN"/>
        </w:rPr>
        <w:t>工程量清单、图纸；</w:t>
      </w:r>
    </w:p>
    <w:p w14:paraId="71BBF194">
      <w:pPr>
        <w:pageBreakBefore w:val="0"/>
        <w:widowControl w:val="0"/>
        <w:kinsoku/>
        <w:wordWrap/>
        <w:overflowPunct/>
        <w:topLinePunct w:val="0"/>
        <w:autoSpaceDE/>
        <w:autoSpaceDN/>
        <w:bidi w:val="0"/>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质疑、投诉材料格式</w:t>
      </w:r>
      <w:r>
        <w:rPr>
          <w:rFonts w:hint="eastAsia" w:ascii="宋体" w:hAnsi="宋体" w:eastAsia="宋体" w:cs="宋体"/>
          <w:color w:val="auto"/>
          <w:szCs w:val="21"/>
          <w:highlight w:val="none"/>
          <w:lang w:eastAsia="zh-CN"/>
        </w:rPr>
        <w:t>。</w:t>
      </w:r>
    </w:p>
    <w:p w14:paraId="71FF37B8">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002B9AD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257E4C37">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53702AF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1E5B821A">
      <w:pPr>
        <w:pageBreakBefore w:val="0"/>
        <w:widowControl w:val="0"/>
        <w:kinsoku/>
        <w:wordWrap/>
        <w:overflowPunct/>
        <w:topLinePunct w:val="0"/>
        <w:autoSpaceDE/>
        <w:autoSpaceDN/>
        <w:bidi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5648CF6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39E23A4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238C07A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采购人和采购代理机构可以视采购具体情况，变更提交首次响应文件截止时间和竞谈时间，将变更时间将在“</w:t>
      </w:r>
      <w:r>
        <w:rPr>
          <w:rFonts w:hint="eastAsia" w:ascii="宋体" w:hAnsi="宋体" w:eastAsia="宋体" w:cs="宋体"/>
          <w:color w:val="auto"/>
          <w:highlight w:val="none"/>
          <w:lang w:eastAsia="zh-CN"/>
        </w:rPr>
        <w:t>竞争性磋商公告</w:t>
      </w:r>
      <w:r>
        <w:rPr>
          <w:rFonts w:hint="eastAsia" w:ascii="宋体" w:hAnsi="宋体" w:eastAsia="宋体" w:cs="宋体"/>
          <w:color w:val="auto"/>
          <w:highlight w:val="none"/>
        </w:rPr>
        <w:t>”中“七、其他补充事宜3.网上查询地址”规定的政府采购信息发布媒体上发布更正公告。</w:t>
      </w:r>
    </w:p>
    <w:p w14:paraId="37705B0C">
      <w:pPr>
        <w:pageBreakBefore w:val="0"/>
        <w:widowControl w:val="0"/>
        <w:kinsoku/>
        <w:wordWrap/>
        <w:overflowPunct/>
        <w:topLinePunct w:val="0"/>
        <w:autoSpaceDE/>
        <w:autoSpaceDN/>
        <w:bidi w:val="0"/>
        <w:spacing w:line="360" w:lineRule="auto"/>
        <w:ind w:firstLine="400" w:firstLineChars="200"/>
        <w:rPr>
          <w:rFonts w:hint="eastAsia" w:ascii="宋体" w:hAnsi="宋体" w:eastAsia="宋体" w:cs="宋体"/>
          <w:color w:val="auto"/>
          <w:kern w:val="0"/>
          <w:sz w:val="20"/>
          <w:szCs w:val="21"/>
          <w:highlight w:val="none"/>
        </w:rPr>
      </w:pPr>
      <w:r>
        <w:rPr>
          <w:rFonts w:hint="eastAsia" w:ascii="宋体" w:hAnsi="宋体" w:eastAsia="宋体" w:cs="宋体"/>
          <w:color w:val="auto"/>
          <w:kern w:val="0"/>
          <w:sz w:val="20"/>
          <w:szCs w:val="21"/>
          <w:highlight w:val="none"/>
        </w:rPr>
        <w:t>▲</w:t>
      </w:r>
      <w:r>
        <w:rPr>
          <w:rFonts w:hint="eastAsia" w:ascii="宋体" w:hAnsi="宋体" w:eastAsia="宋体" w:cs="宋体"/>
          <w:b/>
          <w:color w:val="auto"/>
          <w:kern w:val="0"/>
          <w:sz w:val="20"/>
          <w:szCs w:val="21"/>
          <w:highlight w:val="none"/>
        </w:rPr>
        <w:t>响应文件未按磋商文件的澄清、修改的内容编制，又不符合实质性要求的，其响应文件作无效处理。</w:t>
      </w:r>
    </w:p>
    <w:p w14:paraId="0E383F22">
      <w:pPr>
        <w:pStyle w:val="4"/>
        <w:pageBreakBefore w:val="0"/>
        <w:widowControl w:val="0"/>
        <w:kinsoku/>
        <w:wordWrap/>
        <w:overflowPunct/>
        <w:topLinePunct w:val="0"/>
        <w:autoSpaceDE/>
        <w:autoSpaceDN/>
        <w:bidi w:val="0"/>
        <w:spacing w:before="0" w:after="0" w:line="360" w:lineRule="auto"/>
        <w:ind w:firstLine="64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三、响应文件的编制</w:t>
      </w:r>
    </w:p>
    <w:p w14:paraId="42310938">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369CCBEB">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756D4E9A">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718535F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5C7772CD">
      <w:pPr>
        <w:pageBreakBefore w:val="0"/>
        <w:widowControl w:val="0"/>
        <w:kinsoku/>
        <w:wordWrap/>
        <w:overflowPunct/>
        <w:topLinePunct w:val="0"/>
        <w:autoSpaceDE/>
        <w:autoSpaceDN/>
        <w:bidi w:val="0"/>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09789078">
      <w:pPr>
        <w:pageBreakBefore w:val="0"/>
        <w:widowControl w:val="0"/>
        <w:kinsoku/>
        <w:wordWrap/>
        <w:overflowPunct/>
        <w:topLinePunct w:val="0"/>
        <w:autoSpaceDE/>
        <w:autoSpaceDN/>
        <w:bidi w:val="0"/>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1425C897">
      <w:pPr>
        <w:pageBreakBefore w:val="0"/>
        <w:widowControl w:val="0"/>
        <w:kinsoku/>
        <w:wordWrap/>
        <w:overflowPunct/>
        <w:topLinePunct w:val="0"/>
        <w:autoSpaceDE/>
        <w:autoSpaceDN/>
        <w:bidi w:val="0"/>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2591A6B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477168B8">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538E75C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60548A68">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3BFE5F0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717D98DF">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1C373385">
      <w:pPr>
        <w:pageBreakBefore w:val="0"/>
        <w:widowControl w:val="0"/>
        <w:tabs>
          <w:tab w:val="left" w:pos="2492"/>
        </w:tabs>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7214FAE9">
      <w:pPr>
        <w:pageBreakBefore w:val="0"/>
        <w:widowControl w:val="0"/>
        <w:tabs>
          <w:tab w:val="left" w:pos="2492"/>
        </w:tabs>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32B52C65">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0A6844C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02B5447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的全部内容分别作完整唯一总价报价，不得存在漏项报价；</w:t>
      </w:r>
    </w:p>
    <w:p w14:paraId="5683F4C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（2）供应商必须就所竞标项目的单项内容作唯一报价。</w:t>
      </w:r>
    </w:p>
    <w:p w14:paraId="7E5512B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15.3.2响应报价（包含首次报价、最后报价）超过所竞标项目规定的采购预算金额或者最高限价的，其响应文件将作无效处理。</w:t>
      </w:r>
    </w:p>
    <w:p w14:paraId="6C5DB17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15.3.3响应报价（包含首次报价、最后报价）超过项目采购预算金额或者最高限价的，其响应文件将作无效处理。</w:t>
      </w:r>
    </w:p>
    <w:p w14:paraId="5D5F1800">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1FBC047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41185E4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039686C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54BE3736">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4501A4F9">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3AA2E581">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F669783">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38CBC023">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50848D7F">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规定位置进行签署、盖章，否则其响应文件按无效响应处理。骑缝盖公章不视为在规定位置盖章。</w:t>
      </w:r>
    </w:p>
    <w:p w14:paraId="773DAD65">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4A43DE2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5E4DEDDC">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0C2D3FF9">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07F65E9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19.2使用“广西政府采购云平台电子交易客户端”需要提前申领CA数字证书，申领流程见该项目采购公告附件。</w:t>
      </w:r>
    </w:p>
    <w:p w14:paraId="6F444EB5">
      <w:pPr>
        <w:pageBreakBefore w:val="0"/>
        <w:widowControl w:val="0"/>
        <w:kinsoku/>
        <w:wordWrap/>
        <w:overflowPunct/>
        <w:topLinePunct w:val="0"/>
        <w:autoSpaceDE/>
        <w:autoSpaceDN/>
        <w:bidi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19.3为确保网上操作合法、有效和安全，供应商应当在响应文件提交截止时间前完成在“政府采购云平台”的身份认证，确保在电子交易过程中能够对相关数据电文进行加密和使用电子签名。</w:t>
      </w:r>
    </w:p>
    <w:p w14:paraId="3837002A">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1108F1B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05A88EBB">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36E1000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69C84B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3B39176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58213275">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详见“供应商须知前附表”。</w:t>
      </w:r>
    </w:p>
    <w:p w14:paraId="53CE3E7B">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45FCC66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55CB76C0">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22. 首次响应文件的退回</w:t>
      </w:r>
    </w:p>
    <w:p w14:paraId="6E6D774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”平台操作退回，除此之外采购人和采购代理机构对已提交的电子响应文件概不退回。</w:t>
      </w:r>
    </w:p>
    <w:p w14:paraId="55856A25">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2B2EE15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p>
    <w:p w14:paraId="7532CDD8">
      <w:pPr>
        <w:pStyle w:val="4"/>
        <w:pageBreakBefore w:val="0"/>
        <w:widowControl w:val="0"/>
        <w:kinsoku/>
        <w:wordWrap/>
        <w:overflowPunct/>
        <w:topLinePunct w:val="0"/>
        <w:autoSpaceDE/>
        <w:autoSpaceDN/>
        <w:bidi w:val="0"/>
        <w:spacing w:before="0" w:after="0"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四、评审及磋商</w:t>
      </w:r>
    </w:p>
    <w:p w14:paraId="6D28760C">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536C165B">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518AE0BB">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127AA707">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28EC0F05">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2177450D">
      <w:pPr>
        <w:pageBreakBefore w:val="0"/>
        <w:widowControl w:val="0"/>
        <w:kinsoku/>
        <w:wordWrap/>
        <w:overflowPunct/>
        <w:topLinePunct w:val="0"/>
        <w:autoSpaceDE/>
        <w:autoSpaceDN/>
        <w:bidi w:val="0"/>
        <w:spacing w:line="360" w:lineRule="auto"/>
        <w:ind w:firstLine="420" w:firstLineChars="200"/>
        <w:jc w:val="both"/>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25.2 </w:t>
      </w:r>
      <w:r>
        <w:rPr>
          <w:rFonts w:hint="eastAsia" w:ascii="宋体" w:hAnsi="宋体" w:eastAsia="宋体" w:cs="宋体"/>
          <w:bCs/>
          <w:color w:val="auto"/>
          <w:kern w:val="0"/>
          <w:sz w:val="21"/>
          <w:szCs w:val="21"/>
          <w:highlight w:val="none"/>
          <w:lang w:val="en-US" w:eastAsia="zh-CN" w:bidi="ar-SA"/>
        </w:rPr>
        <w:t>响应文件解密</w:t>
      </w:r>
    </w:p>
    <w:p w14:paraId="22A8181C">
      <w:pPr>
        <w:pageBreakBefore w:val="0"/>
        <w:widowControl w:val="0"/>
        <w:kinsoku/>
        <w:wordWrap/>
        <w:overflowPunct/>
        <w:topLinePunct w:val="0"/>
        <w:autoSpaceDE/>
        <w:autoSpaceDN/>
        <w:bidi w:val="0"/>
        <w:snapToGrid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采购代理机构将在“供应商须知前附表”规定的时</w:t>
      </w:r>
      <w:r>
        <w:rPr>
          <w:rFonts w:hint="eastAsia" w:ascii="宋体" w:hAnsi="宋体" w:eastAsia="宋体" w:cs="宋体"/>
          <w:color w:val="auto"/>
          <w:kern w:val="0"/>
          <w:sz w:val="21"/>
          <w:szCs w:val="21"/>
          <w:highlight w:val="none"/>
          <w:lang w:val="en-US" w:eastAsia="zh-CN" w:bidi="ar-SA"/>
        </w:rPr>
        <w:t>间通过电子交易平台组织响应文件开启，采购机构依托电子交易平台发起开始解密指令，供应商的法定代表人或其委托代理人</w:t>
      </w:r>
      <w:r>
        <w:rPr>
          <w:rFonts w:hint="eastAsia" w:ascii="宋体" w:hAnsi="宋体" w:eastAsia="宋体" w:cs="宋体"/>
          <w:b/>
          <w:color w:val="auto"/>
          <w:kern w:val="0"/>
          <w:sz w:val="21"/>
          <w:szCs w:val="21"/>
          <w:highlight w:val="none"/>
          <w:lang w:val="en-US" w:eastAsia="zh-CN" w:bidi="ar-SA"/>
        </w:rPr>
        <w:t>须携带加密时所用的CA锁按平台提示和采购文件的规定登录到“广西政府采购云平台”平台电子开标大厅签到并在发起解密指令之时起30分钟内完成对电子响应文件在线解密</w:t>
      </w:r>
      <w:r>
        <w:rPr>
          <w:rFonts w:hint="eastAsia" w:ascii="宋体" w:hAnsi="宋体" w:eastAsia="宋体" w:cs="宋体"/>
          <w:color w:val="auto"/>
          <w:kern w:val="0"/>
          <w:sz w:val="21"/>
          <w:szCs w:val="21"/>
          <w:highlight w:val="none"/>
          <w:lang w:val="en-US" w:eastAsia="zh-CN" w:bidi="ar-SA"/>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eastAsia="宋体" w:cs="宋体"/>
          <w:b/>
          <w:color w:val="auto"/>
          <w:kern w:val="0"/>
          <w:sz w:val="21"/>
          <w:szCs w:val="21"/>
          <w:highlight w:val="none"/>
          <w:lang w:val="en-US" w:eastAsia="zh-CN" w:bidi="ar-SA"/>
        </w:rPr>
        <w:t>视为响应文件无效。</w:t>
      </w:r>
      <w:r>
        <w:rPr>
          <w:rFonts w:hint="eastAsia" w:ascii="宋体" w:hAnsi="宋体" w:eastAsia="宋体" w:cs="宋体"/>
          <w:color w:val="auto"/>
          <w:kern w:val="0"/>
          <w:sz w:val="21"/>
          <w:szCs w:val="21"/>
          <w:highlight w:val="none"/>
          <w:lang w:val="en-US" w:eastAsia="zh-CN" w:bidi="ar-SA"/>
        </w:rPr>
        <w:t>（解密</w:t>
      </w:r>
      <w:r>
        <w:rPr>
          <w:rFonts w:hint="eastAsia" w:ascii="宋体" w:hAnsi="宋体" w:eastAsia="宋体" w:cs="宋体"/>
          <w:bCs/>
          <w:color w:val="auto"/>
          <w:kern w:val="0"/>
          <w:sz w:val="21"/>
          <w:szCs w:val="21"/>
          <w:highlight w:val="none"/>
          <w:lang w:val="en-US" w:eastAsia="zh-CN" w:bidi="ar-SA"/>
        </w:rPr>
        <w:t>异常情况处理：详见本章</w:t>
      </w:r>
      <w:r>
        <w:rPr>
          <w:rFonts w:hint="eastAsia" w:ascii="宋体" w:hAnsi="宋体" w:eastAsia="宋体" w:cs="宋体"/>
          <w:color w:val="auto"/>
          <w:kern w:val="0"/>
          <w:sz w:val="21"/>
          <w:szCs w:val="21"/>
          <w:highlight w:val="none"/>
          <w:lang w:val="en-US" w:eastAsia="zh-CN" w:bidi="ar-SA"/>
        </w:rPr>
        <w:t>26.4电子交易活动的中止。）</w:t>
      </w:r>
    </w:p>
    <w:p w14:paraId="1E319DAA">
      <w:pPr>
        <w:pageBreakBefore w:val="0"/>
        <w:widowControl w:val="0"/>
        <w:kinsoku/>
        <w:wordWrap/>
        <w:overflowPunct/>
        <w:topLinePunct w:val="0"/>
        <w:autoSpaceDE/>
        <w:autoSpaceDN/>
        <w:bidi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如</w:t>
      </w:r>
      <w:r>
        <w:rPr>
          <w:rFonts w:hint="eastAsia" w:ascii="宋体" w:hAnsi="宋体" w:eastAsia="宋体" w:cs="宋体"/>
          <w:bCs/>
          <w:color w:val="auto"/>
          <w:kern w:val="0"/>
          <w:sz w:val="21"/>
          <w:szCs w:val="21"/>
          <w:highlight w:val="none"/>
          <w:lang w:val="en-US" w:eastAsia="zh-CN" w:bidi="ar-SA"/>
        </w:rPr>
        <w:t>供应商成功解密响应文件，但未在“广西政府采购云平台”电子开标大厅参加磋商的，视同认可磋商过程和结果，</w:t>
      </w:r>
      <w:r>
        <w:rPr>
          <w:rFonts w:hint="eastAsia" w:ascii="宋体" w:hAnsi="宋体" w:eastAsia="宋体" w:cs="宋体"/>
          <w:color w:val="auto"/>
          <w:kern w:val="0"/>
          <w:sz w:val="21"/>
          <w:szCs w:val="21"/>
          <w:highlight w:val="none"/>
          <w:lang w:val="en-US" w:eastAsia="zh-CN" w:bidi="ar-SA"/>
        </w:rPr>
        <w:t>由此产生的后果由供应商自行负责。 参与磋商的供应商不足3家的，不得磋商。</w:t>
      </w:r>
    </w:p>
    <w:p w14:paraId="433269A2">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3529277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2958B33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磋商文件内容违反国家有关强制性规定的，磋商小组应当停止评审并向采购人或者采购代理机构说明情况，并在评审报告中书面体现。</w:t>
      </w:r>
    </w:p>
    <w:p w14:paraId="7CE1AA76">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 采购需求负偏离要求及磋商顺序详见 “ 供应商须知前附表”。</w:t>
      </w:r>
    </w:p>
    <w:p w14:paraId="3E5BF3F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26.4电子交易活动的中止。采购过程中出现以下情形，导致电子交易平台无法正常运行，或者无法保证电子交易的公平、公正和安全时，采购机构可中止电子交易活动：</w:t>
      </w:r>
    </w:p>
    <w:p w14:paraId="559F4B0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021D4745">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7C72CC6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5D54041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3D826BA9">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（5）其他无法保证电子交易的公平、公正和安全的情况。</w:t>
      </w:r>
    </w:p>
    <w:p w14:paraId="130415B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79FA680">
      <w:pPr>
        <w:pStyle w:val="4"/>
        <w:pageBreakBefore w:val="0"/>
        <w:widowControl w:val="0"/>
        <w:kinsoku/>
        <w:wordWrap/>
        <w:overflowPunct/>
        <w:topLinePunct w:val="0"/>
        <w:autoSpaceDE/>
        <w:autoSpaceDN/>
        <w:bidi w:val="0"/>
        <w:spacing w:before="0" w:after="0"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五、成交及合同</w:t>
      </w:r>
    </w:p>
    <w:p w14:paraId="32749ADE">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CE28AA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1FEC6E0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0C0782C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一并保存。成交供应商享受《政府采购促进中小企业发展管理办法》（财库〔2020〕46号）规定的中小企业扶持政策的，采购人、采购代理机构应当随成交结果公开成交供应商的《中小企业声明函》。</w:t>
      </w:r>
    </w:p>
    <w:p w14:paraId="395A097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AB9DA8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6FEAA379">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11B0AC8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0DDF2E8D">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19924C72">
      <w:pPr>
        <w:pStyle w:val="78"/>
        <w:pageBreakBefore w:val="0"/>
        <w:widowControl w:val="0"/>
        <w:kinsoku/>
        <w:wordWrap/>
        <w:overflowPunct/>
        <w:topLinePunct w:val="0"/>
        <w:autoSpaceDE/>
        <w:autoSpaceDN/>
        <w:bidi w:val="0"/>
        <w:snapToGrid w:val="0"/>
        <w:spacing w:before="0" w:line="360" w:lineRule="auto"/>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3D8BD51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1E14FE9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6D424AD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AD84463">
      <w:pPr>
        <w:pStyle w:val="78"/>
        <w:pageBreakBefore w:val="0"/>
        <w:widowControl w:val="0"/>
        <w:kinsoku/>
        <w:wordWrap/>
        <w:overflowPunct/>
        <w:topLinePunct w:val="0"/>
        <w:autoSpaceDE/>
        <w:autoSpaceDN/>
        <w:bidi w:val="0"/>
        <w:spacing w:before="0"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643CDE62">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692833A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69B84F82">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154EE1B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23DBFA4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D4ACFC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w:t>
      </w:r>
      <w:r>
        <w:rPr>
          <w:rFonts w:hint="eastAsia" w:ascii="宋体" w:hAnsi="宋体" w:eastAsia="宋体" w:cs="宋体"/>
          <w:bCs/>
          <w:color w:val="auto"/>
          <w:highlight w:val="none"/>
          <w:lang w:eastAsia="zh-CN"/>
        </w:rPr>
        <w:t>竞争性磋商文件</w:t>
      </w:r>
      <w:r>
        <w:rPr>
          <w:rFonts w:hint="eastAsia" w:ascii="宋体" w:hAnsi="宋体" w:eastAsia="宋体" w:cs="宋体"/>
          <w:bCs/>
          <w:color w:val="auto"/>
          <w:highlight w:val="none"/>
        </w:rPr>
        <w:t>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37103C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ED83554">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2B32C220">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6C4E22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8FA9D6F">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46D1BFA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32465C7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0DB656A3">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2AC6DA8C">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198E64AA">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17FDDDD2">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6E2B8A3E">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2D23028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25D26F8">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1D2B3DBD">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5EAA6387">
      <w:pPr>
        <w:pageBreakBefore w:val="0"/>
        <w:widowControl w:val="0"/>
        <w:kinsoku/>
        <w:wordWrap/>
        <w:overflowPunct/>
        <w:topLinePunct w:val="0"/>
        <w:autoSpaceDE/>
        <w:autoSpaceDN/>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7E96123B">
      <w:pPr>
        <w:pStyle w:val="4"/>
        <w:pageBreakBefore w:val="0"/>
        <w:widowControl w:val="0"/>
        <w:kinsoku/>
        <w:wordWrap/>
        <w:overflowPunct/>
        <w:topLinePunct w:val="0"/>
        <w:autoSpaceDE/>
        <w:autoSpaceDN/>
        <w:bidi w:val="0"/>
        <w:spacing w:before="0" w:after="0"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六、验收</w:t>
      </w:r>
    </w:p>
    <w:p w14:paraId="3C377107">
      <w:pPr>
        <w:pageBreakBefore w:val="0"/>
        <w:widowControl w:val="0"/>
        <w:tabs>
          <w:tab w:val="left" w:pos="0"/>
        </w:tabs>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13D964B2">
      <w:pPr>
        <w:pageBreakBefore w:val="0"/>
        <w:widowControl w:val="0"/>
        <w:tabs>
          <w:tab w:val="left" w:pos="0"/>
        </w:tabs>
        <w:kinsoku/>
        <w:wordWrap/>
        <w:overflowPunct/>
        <w:topLinePunct w:val="0"/>
        <w:autoSpaceDE/>
        <w:autoSpaceDN/>
        <w:bidi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FF44173">
      <w:pPr>
        <w:pageBreakBefore w:val="0"/>
        <w:widowControl w:val="0"/>
        <w:tabs>
          <w:tab w:val="left" w:pos="0"/>
        </w:tabs>
        <w:kinsoku/>
        <w:wordWrap/>
        <w:overflowPunct/>
        <w:topLinePunct w:val="0"/>
        <w:autoSpaceDE/>
        <w:autoSpaceDN/>
        <w:bidi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38240FE4">
      <w:pPr>
        <w:pageBreakBefore w:val="0"/>
        <w:widowControl w:val="0"/>
        <w:tabs>
          <w:tab w:val="left" w:pos="0"/>
        </w:tabs>
        <w:kinsoku/>
        <w:wordWrap/>
        <w:overflowPunct/>
        <w:topLinePunct w:val="0"/>
        <w:autoSpaceDE/>
        <w:autoSpaceDN/>
        <w:bidi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98218BB">
      <w:pPr>
        <w:pageBreakBefore w:val="0"/>
        <w:widowControl w:val="0"/>
        <w:tabs>
          <w:tab w:val="left" w:pos="0"/>
        </w:tabs>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7667D42">
      <w:pPr>
        <w:pStyle w:val="4"/>
        <w:pageBreakBefore w:val="0"/>
        <w:widowControl w:val="0"/>
        <w:kinsoku/>
        <w:wordWrap/>
        <w:overflowPunct/>
        <w:topLinePunct w:val="0"/>
        <w:autoSpaceDE/>
        <w:autoSpaceDN/>
        <w:bidi w:val="0"/>
        <w:spacing w:before="0" w:after="0"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七、其他事项</w:t>
      </w:r>
    </w:p>
    <w:p w14:paraId="08161D5F">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0FEE41FA">
      <w:pPr>
        <w:pageBreakBefore w:val="0"/>
        <w:widowControl w:val="0"/>
        <w:tabs>
          <w:tab w:val="left" w:pos="2835"/>
        </w:tabs>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6B6E8DD8">
      <w:pPr>
        <w:pStyle w:val="13"/>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33.2采购代理服务费收费计算标准：</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2CBF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noWrap w:val="0"/>
            <w:vAlign w:val="top"/>
          </w:tcPr>
          <w:p w14:paraId="233CEE7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费率</w:t>
            </w:r>
          </w:p>
          <w:p w14:paraId="0DAD4BC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w:t>
            </w:r>
          </w:p>
        </w:tc>
        <w:tc>
          <w:tcPr>
            <w:tcW w:w="1659" w:type="dxa"/>
            <w:noWrap w:val="0"/>
            <w:vAlign w:val="center"/>
          </w:tcPr>
          <w:p w14:paraId="0E90E669">
            <w:pPr>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货物类</w:t>
            </w:r>
          </w:p>
        </w:tc>
        <w:tc>
          <w:tcPr>
            <w:tcW w:w="1532" w:type="dxa"/>
            <w:noWrap w:val="0"/>
            <w:vAlign w:val="center"/>
          </w:tcPr>
          <w:p w14:paraId="1FA4237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服务类</w:t>
            </w:r>
          </w:p>
        </w:tc>
        <w:tc>
          <w:tcPr>
            <w:tcW w:w="1546" w:type="dxa"/>
            <w:noWrap w:val="0"/>
            <w:vAlign w:val="center"/>
          </w:tcPr>
          <w:p w14:paraId="4F95D96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工程类</w:t>
            </w:r>
          </w:p>
        </w:tc>
      </w:tr>
      <w:tr w14:paraId="61C0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05C2E64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100万元以下</w:t>
            </w:r>
          </w:p>
        </w:tc>
        <w:tc>
          <w:tcPr>
            <w:tcW w:w="1659" w:type="dxa"/>
            <w:noWrap w:val="0"/>
            <w:vAlign w:val="top"/>
          </w:tcPr>
          <w:p w14:paraId="43568031">
            <w:pPr>
              <w:spacing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  1.5%                </w:t>
            </w:r>
          </w:p>
        </w:tc>
        <w:tc>
          <w:tcPr>
            <w:tcW w:w="1532" w:type="dxa"/>
            <w:noWrap w:val="0"/>
            <w:vAlign w:val="top"/>
          </w:tcPr>
          <w:p w14:paraId="42B59A3F">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1.5%</w:t>
            </w:r>
          </w:p>
        </w:tc>
        <w:tc>
          <w:tcPr>
            <w:tcW w:w="1546" w:type="dxa"/>
            <w:noWrap w:val="0"/>
            <w:vAlign w:val="top"/>
          </w:tcPr>
          <w:p w14:paraId="099809E1">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1.0% </w:t>
            </w:r>
          </w:p>
        </w:tc>
      </w:tr>
      <w:tr w14:paraId="1027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263C8A0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100～500万元</w:t>
            </w:r>
          </w:p>
        </w:tc>
        <w:tc>
          <w:tcPr>
            <w:tcW w:w="1659" w:type="dxa"/>
            <w:noWrap w:val="0"/>
            <w:vAlign w:val="top"/>
          </w:tcPr>
          <w:p w14:paraId="5D33687C">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1.1%                 </w:t>
            </w:r>
          </w:p>
        </w:tc>
        <w:tc>
          <w:tcPr>
            <w:tcW w:w="1532" w:type="dxa"/>
            <w:noWrap w:val="0"/>
            <w:vAlign w:val="top"/>
          </w:tcPr>
          <w:p w14:paraId="44F6B1BD">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0.8%</w:t>
            </w:r>
          </w:p>
        </w:tc>
        <w:tc>
          <w:tcPr>
            <w:tcW w:w="1546" w:type="dxa"/>
            <w:noWrap w:val="0"/>
            <w:vAlign w:val="top"/>
          </w:tcPr>
          <w:p w14:paraId="7E3ECB2E">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0.7% </w:t>
            </w:r>
          </w:p>
        </w:tc>
      </w:tr>
      <w:tr w14:paraId="4ACD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73FCEA8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500～1000万元</w:t>
            </w:r>
          </w:p>
        </w:tc>
        <w:tc>
          <w:tcPr>
            <w:tcW w:w="1659" w:type="dxa"/>
            <w:noWrap w:val="0"/>
            <w:vAlign w:val="top"/>
          </w:tcPr>
          <w:p w14:paraId="37A23803">
            <w:pPr>
              <w:spacing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  0.8%                </w:t>
            </w:r>
          </w:p>
        </w:tc>
        <w:tc>
          <w:tcPr>
            <w:tcW w:w="1532" w:type="dxa"/>
            <w:noWrap w:val="0"/>
            <w:vAlign w:val="top"/>
          </w:tcPr>
          <w:p w14:paraId="2A82C4B3">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0.45%</w:t>
            </w:r>
          </w:p>
        </w:tc>
        <w:tc>
          <w:tcPr>
            <w:tcW w:w="1546" w:type="dxa"/>
            <w:noWrap w:val="0"/>
            <w:vAlign w:val="top"/>
          </w:tcPr>
          <w:p w14:paraId="534CA11B">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0.55%</w:t>
            </w:r>
          </w:p>
        </w:tc>
      </w:tr>
      <w:tr w14:paraId="3DC7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79BFC61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1000～5000万元</w:t>
            </w:r>
          </w:p>
        </w:tc>
        <w:tc>
          <w:tcPr>
            <w:tcW w:w="1659" w:type="dxa"/>
            <w:noWrap w:val="0"/>
            <w:vAlign w:val="top"/>
          </w:tcPr>
          <w:p w14:paraId="716AF0B0">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0.5%                </w:t>
            </w:r>
          </w:p>
        </w:tc>
        <w:tc>
          <w:tcPr>
            <w:tcW w:w="1532" w:type="dxa"/>
            <w:noWrap w:val="0"/>
            <w:vAlign w:val="top"/>
          </w:tcPr>
          <w:p w14:paraId="6B435914">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0.25%</w:t>
            </w:r>
          </w:p>
        </w:tc>
        <w:tc>
          <w:tcPr>
            <w:tcW w:w="1546" w:type="dxa"/>
            <w:noWrap w:val="0"/>
            <w:vAlign w:val="top"/>
          </w:tcPr>
          <w:p w14:paraId="3DB7D874">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0.35% </w:t>
            </w:r>
          </w:p>
        </w:tc>
      </w:tr>
      <w:tr w14:paraId="488D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637BD88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5000万元～1亿元</w:t>
            </w:r>
          </w:p>
        </w:tc>
        <w:tc>
          <w:tcPr>
            <w:tcW w:w="1659" w:type="dxa"/>
            <w:noWrap w:val="0"/>
            <w:vAlign w:val="top"/>
          </w:tcPr>
          <w:p w14:paraId="2A118C11">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0.25%                 </w:t>
            </w:r>
          </w:p>
        </w:tc>
        <w:tc>
          <w:tcPr>
            <w:tcW w:w="1532" w:type="dxa"/>
            <w:noWrap w:val="0"/>
            <w:vAlign w:val="top"/>
          </w:tcPr>
          <w:p w14:paraId="17D5D149">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0.1%</w:t>
            </w:r>
          </w:p>
        </w:tc>
        <w:tc>
          <w:tcPr>
            <w:tcW w:w="1546" w:type="dxa"/>
            <w:noWrap w:val="0"/>
            <w:vAlign w:val="top"/>
          </w:tcPr>
          <w:p w14:paraId="1222C734">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w:t>
            </w:r>
          </w:p>
        </w:tc>
      </w:tr>
      <w:tr w14:paraId="60D6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17DA914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1～5亿元</w:t>
            </w:r>
          </w:p>
        </w:tc>
        <w:tc>
          <w:tcPr>
            <w:tcW w:w="1659" w:type="dxa"/>
            <w:noWrap w:val="0"/>
            <w:vAlign w:val="top"/>
          </w:tcPr>
          <w:p w14:paraId="3BB9BE2B">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532" w:type="dxa"/>
            <w:noWrap w:val="0"/>
            <w:vAlign w:val="top"/>
          </w:tcPr>
          <w:p w14:paraId="5BC1AE8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0.05%</w:t>
            </w:r>
          </w:p>
        </w:tc>
        <w:tc>
          <w:tcPr>
            <w:tcW w:w="1546" w:type="dxa"/>
            <w:noWrap w:val="0"/>
            <w:vAlign w:val="top"/>
          </w:tcPr>
          <w:p w14:paraId="14E92A7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0.05%</w:t>
            </w:r>
          </w:p>
        </w:tc>
      </w:tr>
      <w:tr w14:paraId="7184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1724B8E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5～10亿元</w:t>
            </w:r>
          </w:p>
        </w:tc>
        <w:tc>
          <w:tcPr>
            <w:tcW w:w="1659" w:type="dxa"/>
            <w:noWrap w:val="0"/>
            <w:vAlign w:val="top"/>
          </w:tcPr>
          <w:p w14:paraId="30A2CC32">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532" w:type="dxa"/>
            <w:noWrap w:val="0"/>
            <w:vAlign w:val="top"/>
          </w:tcPr>
          <w:p w14:paraId="7D4B66D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0.035%</w:t>
            </w:r>
          </w:p>
        </w:tc>
        <w:tc>
          <w:tcPr>
            <w:tcW w:w="1546" w:type="dxa"/>
            <w:noWrap w:val="0"/>
            <w:vAlign w:val="top"/>
          </w:tcPr>
          <w:p w14:paraId="30DA9CE4">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r>
      <w:tr w14:paraId="6071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2CBCCE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10～50亿元</w:t>
            </w:r>
          </w:p>
        </w:tc>
        <w:tc>
          <w:tcPr>
            <w:tcW w:w="1659" w:type="dxa"/>
            <w:noWrap w:val="0"/>
            <w:vAlign w:val="top"/>
          </w:tcPr>
          <w:p w14:paraId="1D2B032A">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532" w:type="dxa"/>
            <w:noWrap w:val="0"/>
            <w:vAlign w:val="top"/>
          </w:tcPr>
          <w:p w14:paraId="71116898">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546" w:type="dxa"/>
            <w:noWrap w:val="0"/>
            <w:vAlign w:val="top"/>
          </w:tcPr>
          <w:p w14:paraId="36CAA024">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r>
      <w:tr w14:paraId="0E09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5307635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50～100亿元</w:t>
            </w:r>
          </w:p>
        </w:tc>
        <w:tc>
          <w:tcPr>
            <w:tcW w:w="1659" w:type="dxa"/>
            <w:noWrap w:val="0"/>
            <w:vAlign w:val="top"/>
          </w:tcPr>
          <w:p w14:paraId="75D2EC4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0.006%</w:t>
            </w:r>
          </w:p>
        </w:tc>
        <w:tc>
          <w:tcPr>
            <w:tcW w:w="1532" w:type="dxa"/>
            <w:noWrap w:val="0"/>
            <w:vAlign w:val="top"/>
          </w:tcPr>
          <w:p w14:paraId="4E240636">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546" w:type="dxa"/>
            <w:noWrap w:val="0"/>
            <w:vAlign w:val="top"/>
          </w:tcPr>
          <w:p w14:paraId="705CA804">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r>
      <w:tr w14:paraId="7D41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noWrap w:val="0"/>
            <w:vAlign w:val="top"/>
          </w:tcPr>
          <w:p w14:paraId="3E2F690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100亿</w:t>
            </w:r>
            <w:r>
              <w:rPr>
                <w:rFonts w:hint="eastAsia" w:ascii="宋体" w:hAnsi="宋体" w:eastAsia="宋体" w:cs="宋体"/>
                <w:color w:val="auto"/>
                <w:highlight w:val="none"/>
                <w:lang w:val="en-US" w:eastAsia="zh-CN"/>
              </w:rPr>
              <w:t>元</w:t>
            </w:r>
            <w:r>
              <w:rPr>
                <w:rFonts w:hint="eastAsia" w:ascii="宋体" w:hAnsi="宋体" w:eastAsia="宋体" w:cs="宋体"/>
                <w:color w:val="auto"/>
                <w:szCs w:val="21"/>
                <w:highlight w:val="none"/>
              </w:rPr>
              <w:t>以上</w:t>
            </w:r>
          </w:p>
        </w:tc>
        <w:tc>
          <w:tcPr>
            <w:tcW w:w="1659" w:type="dxa"/>
            <w:noWrap w:val="0"/>
            <w:vAlign w:val="top"/>
          </w:tcPr>
          <w:p w14:paraId="4E66570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0.004%</w:t>
            </w:r>
          </w:p>
        </w:tc>
        <w:tc>
          <w:tcPr>
            <w:tcW w:w="1532" w:type="dxa"/>
            <w:noWrap w:val="0"/>
            <w:vAlign w:val="top"/>
          </w:tcPr>
          <w:p w14:paraId="0C276B38">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546" w:type="dxa"/>
            <w:noWrap w:val="0"/>
            <w:vAlign w:val="top"/>
          </w:tcPr>
          <w:p w14:paraId="12C72565">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r>
    </w:tbl>
    <w:p w14:paraId="3212D79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注：</w:t>
      </w:r>
    </w:p>
    <w:p w14:paraId="3D1A0FB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（1）按本表费率计算的收费为采购代理的收费基准价格；</w:t>
      </w:r>
    </w:p>
    <w:p w14:paraId="00D2355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（2）采购代理收费按差额定率累进法计算。</w:t>
      </w:r>
    </w:p>
    <w:p w14:paraId="305DC7E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例如：某采购代理业务成交金额或者暂定价为150万元，计算采购代理收费额如下：</w:t>
      </w:r>
    </w:p>
    <w:p w14:paraId="77E6265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100 万元 ×l ％＝ </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万元</w:t>
      </w:r>
    </w:p>
    <w:p w14:paraId="76528BA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150 － 100 ）万元 ×0.</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0.</w:t>
      </w:r>
      <w:r>
        <w:rPr>
          <w:rFonts w:hint="eastAsia" w:ascii="宋体" w:hAnsi="宋体" w:eastAsia="宋体" w:cs="宋体"/>
          <w:color w:val="auto"/>
          <w:highlight w:val="none"/>
          <w:lang w:val="en-US" w:eastAsia="zh-CN"/>
        </w:rPr>
        <w:t>35</w:t>
      </w:r>
      <w:r>
        <w:rPr>
          <w:rFonts w:hint="eastAsia" w:ascii="宋体" w:hAnsi="宋体" w:eastAsia="宋体" w:cs="宋体"/>
          <w:color w:val="auto"/>
          <w:highlight w:val="none"/>
        </w:rPr>
        <w:t>万元</w:t>
      </w:r>
    </w:p>
    <w:p w14:paraId="520980F4">
      <w:pPr>
        <w:pageBreakBefore w:val="0"/>
        <w:widowControl w:val="0"/>
        <w:tabs>
          <w:tab w:val="left" w:pos="2835"/>
        </w:tabs>
        <w:kinsoku/>
        <w:wordWrap/>
        <w:overflowPunct/>
        <w:topLinePunct w:val="0"/>
        <w:autoSpaceDE/>
        <w:autoSpaceDN/>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合计收费＝ 1 ＋ 0.</w:t>
      </w:r>
      <w:r>
        <w:rPr>
          <w:rFonts w:hint="eastAsia" w:ascii="宋体" w:hAnsi="宋体" w:eastAsia="宋体" w:cs="宋体"/>
          <w:color w:val="auto"/>
          <w:highlight w:val="none"/>
          <w:lang w:val="en-US" w:eastAsia="zh-CN"/>
        </w:rPr>
        <w:t>35</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1.35</w:t>
      </w:r>
      <w:r>
        <w:rPr>
          <w:rFonts w:hint="eastAsia" w:ascii="宋体" w:hAnsi="宋体" w:eastAsia="宋体" w:cs="宋体"/>
          <w:color w:val="auto"/>
          <w:highlight w:val="none"/>
        </w:rPr>
        <w:t xml:space="preserve"> 万元</w:t>
      </w:r>
    </w:p>
    <w:p w14:paraId="3054B8E4">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131864A0">
      <w:pPr>
        <w:pageBreakBefore w:val="0"/>
        <w:widowControl w:val="0"/>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34.1本磋商文件解释规则详见“供应商须知前附表”。</w:t>
      </w:r>
    </w:p>
    <w:p w14:paraId="25FEC3CC">
      <w:pPr>
        <w:pageBreakBefore w:val="0"/>
        <w:widowControl w:val="0"/>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34.2 其他事项详见“供应商须知前附表”。</w:t>
      </w:r>
    </w:p>
    <w:p w14:paraId="75FC7DB5">
      <w:pPr>
        <w:pageBreakBefore w:val="0"/>
        <w:widowControl w:val="0"/>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工程由中小企业承建，即工程施工单位为中小企业（不对其中涉及的货物的制造商和服务的承接商作出要求）的，享受本文件规定的中小企业扶持政策。</w:t>
      </w:r>
    </w:p>
    <w:p w14:paraId="03737EB2">
      <w:pPr>
        <w:pageBreakBefore w:val="0"/>
        <w:widowControl w:val="0"/>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以联合体形式参加政府采购活动，联合体各方均为中小企业的，联合体视同中小企业。其中，联合体各方均为小微企业的，联合体视同小微企业。</w:t>
      </w:r>
    </w:p>
    <w:p w14:paraId="0521EBB7">
      <w:pPr>
        <w:pageBreakBefore w:val="0"/>
        <w:widowControl w:val="0"/>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依据本文件规定享受扶持政策获得政府采购合同的，小微企业不得将合同分包给大中型企业，中型企业不得将合同分包给大型企业。</w:t>
      </w:r>
    </w:p>
    <w:p w14:paraId="7CD035E5">
      <w:pPr>
        <w:pageBreakBefore w:val="0"/>
        <w:widowControl w:val="0"/>
        <w:kinsoku/>
        <w:wordWrap/>
        <w:overflowPunct/>
        <w:topLinePunct w:val="0"/>
        <w:autoSpaceDE/>
        <w:autoSpaceDN/>
        <w:bidi w:val="0"/>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35. 政采贷相关说明</w:t>
      </w:r>
    </w:p>
    <w:p w14:paraId="5749B727">
      <w:pPr>
        <w:pageBreakBefore w:val="0"/>
        <w:widowControl w:val="0"/>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为优化政府采购营商环境，缓解供应商资金难题，南宁市政府采购试行政府采购信用融资制度，中标供应商如有融资需求，可凭政府采购合同通过以下方式申请政府采购信用融资贷款：</w:t>
      </w:r>
    </w:p>
    <w:p w14:paraId="221C9090">
      <w:pPr>
        <w:pageBreakBefore w:val="0"/>
        <w:widowControl w:val="0"/>
        <w:numPr>
          <w:ilvl w:val="0"/>
          <w:numId w:val="2"/>
        </w:numPr>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0"/>
          <w:sz w:val="20"/>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线下渠道：在“南宁市公共资源交易中心”官网（网址：</w:t>
      </w:r>
      <w:r>
        <w:rPr>
          <w:rFonts w:hint="eastAsia" w:ascii="宋体" w:hAnsi="宋体" w:eastAsia="宋体" w:cs="宋体"/>
          <w:color w:val="auto"/>
          <w:kern w:val="0"/>
          <w:sz w:val="21"/>
          <w:szCs w:val="21"/>
          <w:highlight w:val="none"/>
          <w:lang w:val="en-US" w:eastAsia="zh-CN" w:bidi="ar-SA"/>
        </w:rPr>
        <w:fldChar w:fldCharType="begin"/>
      </w:r>
      <w:r>
        <w:rPr>
          <w:rFonts w:hint="eastAsia" w:ascii="宋体" w:hAnsi="宋体" w:eastAsia="宋体" w:cs="宋体"/>
          <w:color w:val="auto"/>
          <w:kern w:val="0"/>
          <w:sz w:val="21"/>
          <w:szCs w:val="21"/>
          <w:highlight w:val="none"/>
          <w:lang w:val="en-US" w:eastAsia="zh-CN" w:bidi="ar-SA"/>
        </w:rPr>
        <w:instrText xml:space="preserve"> HYPERLINK "http://www.nnggzy.org.cn）\“交易信息-政府采购-政府采购信用融资\”中融资银行和南宁市企业融资服务中心专栏信息申请政府采购信用融资。" </w:instrText>
      </w:r>
      <w:r>
        <w:rPr>
          <w:rFonts w:hint="eastAsia" w:ascii="宋体" w:hAnsi="宋体" w:eastAsia="宋体" w:cs="宋体"/>
          <w:color w:val="auto"/>
          <w:kern w:val="0"/>
          <w:sz w:val="21"/>
          <w:szCs w:val="21"/>
          <w:highlight w:val="none"/>
          <w:lang w:val="en-US" w:eastAsia="zh-CN" w:bidi="ar-SA"/>
        </w:rPr>
        <w:fldChar w:fldCharType="separate"/>
      </w:r>
      <w:r>
        <w:rPr>
          <w:rFonts w:hint="eastAsia" w:ascii="宋体" w:hAnsi="宋体" w:eastAsia="宋体" w:cs="宋体"/>
          <w:color w:val="auto"/>
          <w:kern w:val="0"/>
          <w:sz w:val="21"/>
          <w:szCs w:val="21"/>
          <w:highlight w:val="none"/>
          <w:lang w:val="en-US" w:eastAsia="zh-CN" w:bidi="ar-SA"/>
        </w:rPr>
        <w:t>http://www.nnggzy.org.cn）“交易信息-政府采购-政府采购信用融资”中融资银行和南宁市企业融资服务中心专栏信息申请政府采购信用融资。</w:t>
      </w:r>
      <w:r>
        <w:rPr>
          <w:rFonts w:hint="eastAsia" w:ascii="宋体" w:hAnsi="宋体" w:eastAsia="宋体" w:cs="宋体"/>
          <w:color w:val="auto"/>
          <w:kern w:val="0"/>
          <w:sz w:val="21"/>
          <w:szCs w:val="21"/>
          <w:highlight w:val="none"/>
          <w:lang w:val="en-US" w:eastAsia="zh-CN" w:bidi="ar-SA"/>
        </w:rPr>
        <w:fldChar w:fldCharType="end"/>
      </w:r>
    </w:p>
    <w:p w14:paraId="421A33ED">
      <w:pPr>
        <w:pageBreakBefore w:val="0"/>
        <w:widowControl w:val="0"/>
        <w:numPr>
          <w:ilvl w:val="0"/>
          <w:numId w:val="2"/>
        </w:numPr>
        <w:kinsoku/>
        <w:wordWrap/>
        <w:overflowPunct/>
        <w:topLinePunct w:val="0"/>
        <w:autoSpaceDE/>
        <w:autoSpaceDN/>
        <w:bidi w:val="0"/>
        <w:spacing w:line="360" w:lineRule="auto"/>
        <w:ind w:firstLine="420" w:firstLineChars="200"/>
        <w:jc w:val="both"/>
        <w:textAlignment w:val="center"/>
        <w:rPr>
          <w:rFonts w:hint="eastAsia" w:ascii="宋体" w:hAnsi="宋体" w:eastAsia="宋体" w:cs="宋体"/>
          <w:color w:val="auto"/>
          <w:kern w:val="0"/>
          <w:sz w:val="20"/>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72B3A32B">
      <w:pPr>
        <w:pStyle w:val="21"/>
        <w:rPr>
          <w:rFonts w:hint="eastAsia" w:ascii="宋体" w:hAnsi="宋体" w:eastAsia="宋体" w:cs="宋体"/>
          <w:color w:val="auto"/>
          <w:szCs w:val="21"/>
          <w:highlight w:val="none"/>
        </w:rPr>
      </w:pPr>
    </w:p>
    <w:p w14:paraId="56D6137B">
      <w:pPr>
        <w:pStyle w:val="21"/>
        <w:rPr>
          <w:rFonts w:hint="eastAsia" w:ascii="宋体" w:hAnsi="宋体" w:eastAsia="宋体" w:cs="宋体"/>
          <w:color w:val="auto"/>
          <w:szCs w:val="21"/>
          <w:highlight w:val="none"/>
        </w:rPr>
      </w:pPr>
    </w:p>
    <w:p w14:paraId="186A457D">
      <w:pPr>
        <w:pStyle w:val="21"/>
        <w:rPr>
          <w:rFonts w:hint="eastAsia" w:ascii="宋体" w:hAnsi="宋体" w:eastAsia="宋体" w:cs="宋体"/>
          <w:color w:val="auto"/>
          <w:szCs w:val="21"/>
          <w:highlight w:val="none"/>
        </w:rPr>
      </w:pPr>
    </w:p>
    <w:p w14:paraId="1A65725A">
      <w:pPr>
        <w:pStyle w:val="2"/>
        <w:pageBreakBefore w:val="0"/>
        <w:kinsoku/>
        <w:wordWrap/>
        <w:overflowPunct/>
        <w:topLinePunct w:val="0"/>
        <w:autoSpaceDE/>
        <w:autoSpaceDN/>
        <w:bidi w:val="0"/>
        <w:spacing w:line="360" w:lineRule="auto"/>
        <w:jc w:val="center"/>
        <w:textAlignment w:val="auto"/>
        <w:rPr>
          <w:rFonts w:hint="eastAsia" w:ascii="宋体" w:hAnsi="宋体" w:eastAsia="宋体" w:cs="宋体"/>
          <w:b/>
          <w:bCs/>
          <w:color w:val="auto"/>
          <w:highlight w:val="none"/>
        </w:rPr>
      </w:pPr>
      <w:bookmarkStart w:id="28" w:name="_Toc3879"/>
      <w:bookmarkStart w:id="29" w:name="_Toc21081"/>
      <w:bookmarkStart w:id="30" w:name="_Toc28979"/>
      <w:bookmarkStart w:id="31" w:name="_Toc8593"/>
      <w:bookmarkStart w:id="32" w:name="_Toc8412"/>
      <w:bookmarkStart w:id="33" w:name="_Toc17511"/>
      <w:r>
        <w:rPr>
          <w:rFonts w:hint="eastAsia" w:ascii="宋体" w:hAnsi="宋体" w:eastAsia="宋体" w:cs="宋体"/>
          <w:b/>
          <w:bCs/>
          <w:color w:val="auto"/>
          <w:highlight w:val="none"/>
        </w:rPr>
        <w:br w:type="page"/>
      </w:r>
      <w:r>
        <w:rPr>
          <w:rFonts w:hint="eastAsia" w:ascii="宋体" w:hAnsi="宋体" w:eastAsia="宋体" w:cs="宋体"/>
          <w:b/>
          <w:bCs/>
          <w:color w:val="auto"/>
          <w:highlight w:val="none"/>
        </w:rPr>
        <w:t>第四章  评审程序、评审方法和评审标准</w:t>
      </w:r>
      <w:bookmarkEnd w:id="28"/>
      <w:bookmarkEnd w:id="29"/>
      <w:bookmarkEnd w:id="30"/>
      <w:bookmarkEnd w:id="31"/>
      <w:bookmarkEnd w:id="32"/>
      <w:bookmarkEnd w:id="33"/>
    </w:p>
    <w:p w14:paraId="41600277">
      <w:pPr>
        <w:pStyle w:val="3"/>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highlight w:val="none"/>
        </w:rPr>
      </w:pPr>
      <w:bookmarkStart w:id="34" w:name="_Toc11607"/>
      <w:bookmarkStart w:id="35" w:name="_Toc17424"/>
      <w:r>
        <w:rPr>
          <w:rFonts w:hint="eastAsia" w:ascii="宋体" w:hAnsi="宋体" w:eastAsia="宋体" w:cs="宋体"/>
          <w:b w:val="0"/>
          <w:bCs/>
          <w:color w:val="auto"/>
          <w:highlight w:val="none"/>
        </w:rPr>
        <w:t>第一节 评审程序和评审方法</w:t>
      </w:r>
      <w:bookmarkEnd w:id="34"/>
      <w:bookmarkEnd w:id="35"/>
    </w:p>
    <w:p w14:paraId="69A6846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5D7418C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3644C534">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AAF64EB">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39F12E1B">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5C365C8B">
      <w:pPr>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”平台“信用中国”网站(</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"http://www.creditchina.gov.cn" </w:instrText>
      </w:r>
      <w:r>
        <w:rPr>
          <w:rFonts w:hint="eastAsia" w:ascii="宋体" w:hAnsi="宋体" w:eastAsia="宋体" w:cs="宋体"/>
          <w:color w:val="auto"/>
          <w:szCs w:val="21"/>
          <w:highlight w:val="none"/>
        </w:rPr>
        <w:fldChar w:fldCharType="separate"/>
      </w:r>
      <w:r>
        <w:rPr>
          <w:rStyle w:val="35"/>
          <w:rFonts w:hint="eastAsia" w:ascii="宋体" w:hAnsi="宋体" w:eastAsia="宋体" w:cs="宋体"/>
          <w:color w:val="auto"/>
          <w:highlight w:val="none"/>
        </w:rPr>
        <w:t>www.creditchina.gov.cn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Style w:val="35"/>
          <w:rFonts w:hint="eastAsia" w:ascii="宋体" w:hAnsi="宋体" w:eastAsia="宋体" w:cs="宋体"/>
          <w:color w:val="auto"/>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0A5AB4D8">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69C6160">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47CF199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BFF93C6">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5C280CB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19432187">
      <w:pPr>
        <w:keepNext w:val="0"/>
        <w:keepLines w:val="0"/>
        <w:pageBreakBefore w:val="0"/>
        <w:kinsoku/>
        <w:wordWrap/>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7A9E77B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0CC12FC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3A5EBB6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p>
    <w:p w14:paraId="7F90436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1EEB144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36852AF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657B745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43FE77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04EAD794">
      <w:pPr>
        <w:keepNext w:val="0"/>
        <w:keepLines w:val="0"/>
        <w:pageBreakBefore w:val="0"/>
        <w:kinsoku/>
        <w:wordWrap/>
        <w:overflowPunct/>
        <w:topLinePunct w:val="0"/>
        <w:autoSpaceDE/>
        <w:autoSpaceDN/>
        <w:bidi w:val="0"/>
        <w:spacing w:line="360" w:lineRule="auto"/>
        <w:ind w:firstLine="396"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1A32B9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4C766E9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0FF20AA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1704509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699FD3C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3A7A43D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15CAA81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05C459F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439A11E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6982285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17E0509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7CDF053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0118CA36">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08FBB86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542588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1E62AA8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379310F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646A41F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0D28579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446D616C">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18793ABC">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145B75C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6B10D77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4251EB8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3F3525D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3D7C397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0269D27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进行报价或者存在漏项报价；供应商未就所竞标项目的单项内容作唯一报价；供应商未就所竞标项目的全部内容作唯一总价报价；供应商响应文件中存在有选择、有条件报价的（磋商文件允许有备选方案或者其他约定的除外）；</w:t>
      </w:r>
    </w:p>
    <w:p w14:paraId="214EDFF6">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项目规定的采购预算金额或者最高限价的（如本项目公布了最高限价）；响应报价（包含首次报价、最后报价）超过磋商文件项目采购预算金额或者最高限价的（如本项目公布了最高限价）；</w:t>
      </w:r>
    </w:p>
    <w:p w14:paraId="382C8AA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项目规定的采购预算金额或者最高限价（如本项目公布了最高限价）；或者经供应商确认修正后响应报价（包含首次报价、最后报价）超过磋商文件分项采购预算金额或者最高限价的（如本项目公布了最高限价）。</w:t>
      </w:r>
    </w:p>
    <w:p w14:paraId="59D332D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6）供应商已标价工程量清单中的项目编码（12位）、项目名称、项目特征、计量单位、工程量与工程量清单不一致的；</w:t>
      </w:r>
    </w:p>
    <w:p w14:paraId="2C1B6C06">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）响应文件响应的标的数量及单位与</w:t>
      </w:r>
      <w:r>
        <w:rPr>
          <w:rFonts w:hint="eastAsia" w:ascii="宋体" w:hAnsi="宋体" w:eastAsia="宋体" w:cs="宋体"/>
          <w:color w:val="auto"/>
          <w:szCs w:val="21"/>
          <w:highlight w:val="none"/>
          <w:lang w:eastAsia="zh-CN"/>
        </w:rPr>
        <w:t>竞争性磋商文件</w:t>
      </w:r>
      <w:r>
        <w:rPr>
          <w:rFonts w:hint="eastAsia" w:ascii="宋体" w:hAnsi="宋体" w:eastAsia="宋体" w:cs="宋体"/>
          <w:color w:val="auto"/>
          <w:szCs w:val="21"/>
          <w:highlight w:val="none"/>
        </w:rPr>
        <w:t>要求实质性不一致的。</w:t>
      </w:r>
    </w:p>
    <w:p w14:paraId="0D265B8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2F5CBCBC">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3DCD3E2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BCC838">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4181DA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FA8F89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4F628BA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14E2B09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D56F341">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w:t>
      </w:r>
      <w:r>
        <w:rPr>
          <w:rFonts w:hint="eastAsia" w:ascii="宋体" w:hAnsi="宋体" w:eastAsia="宋体" w:cs="宋体"/>
          <w:color w:val="auto"/>
          <w:szCs w:val="21"/>
          <w:highlight w:val="none"/>
          <w:lang w:eastAsia="zh-CN"/>
        </w:rPr>
        <w:t>评审报告</w:t>
      </w:r>
      <w:r>
        <w:rPr>
          <w:rFonts w:hint="eastAsia" w:ascii="宋体" w:hAnsi="宋体" w:eastAsia="宋体" w:cs="宋体"/>
          <w:color w:val="auto"/>
          <w:szCs w:val="21"/>
          <w:highlight w:val="none"/>
        </w:rPr>
        <w:t>一部分，磋商小组在记录上签字确认。</w:t>
      </w:r>
      <w:r>
        <w:rPr>
          <w:rFonts w:hint="eastAsia" w:ascii="宋体" w:hAnsi="宋体" w:eastAsia="宋体" w:cs="宋体"/>
          <w:b/>
          <w:color w:val="auto"/>
          <w:highlight w:val="none"/>
        </w:rPr>
        <w:t>主要内容包括：</w:t>
      </w:r>
    </w:p>
    <w:p w14:paraId="5656023F">
      <w:pPr>
        <w:pStyle w:val="78"/>
        <w:keepNext w:val="0"/>
        <w:keepLines w:val="0"/>
        <w:pageBreakBefore w:val="0"/>
        <w:kinsoku/>
        <w:wordWrap/>
        <w:overflowPunct/>
        <w:topLinePunct w:val="0"/>
        <w:autoSpaceDE/>
        <w:autoSpaceDN/>
        <w:bidi w:val="0"/>
        <w:spacing w:before="0" w:line="360" w:lineRule="auto"/>
        <w:ind w:firstLine="396"/>
        <w:textAlignment w:val="auto"/>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6EF1ED3">
      <w:pPr>
        <w:pStyle w:val="78"/>
        <w:keepNext w:val="0"/>
        <w:keepLines w:val="0"/>
        <w:pageBreakBefore w:val="0"/>
        <w:kinsoku/>
        <w:wordWrap/>
        <w:overflowPunct/>
        <w:topLinePunct w:val="0"/>
        <w:autoSpaceDE/>
        <w:autoSpaceDN/>
        <w:bidi w:val="0"/>
        <w:spacing w:before="0" w:line="360" w:lineRule="auto"/>
        <w:ind w:firstLine="396"/>
        <w:textAlignment w:val="auto"/>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600E27E9">
      <w:pPr>
        <w:pStyle w:val="78"/>
        <w:keepNext w:val="0"/>
        <w:keepLines w:val="0"/>
        <w:pageBreakBefore w:val="0"/>
        <w:kinsoku/>
        <w:wordWrap/>
        <w:overflowPunct/>
        <w:topLinePunct w:val="0"/>
        <w:autoSpaceDE/>
        <w:autoSpaceDN/>
        <w:bidi w:val="0"/>
        <w:spacing w:before="0" w:line="360" w:lineRule="auto"/>
        <w:ind w:firstLine="396"/>
        <w:textAlignment w:val="auto"/>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B716E71">
      <w:pPr>
        <w:keepNext w:val="0"/>
        <w:keepLines w:val="0"/>
        <w:pageBreakBefore w:val="0"/>
        <w:widowControl/>
        <w:tabs>
          <w:tab w:val="left" w:pos="540"/>
        </w:tabs>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328846B1">
      <w:pPr>
        <w:keepNext w:val="0"/>
        <w:keepLines w:val="0"/>
        <w:pageBreakBefore w:val="0"/>
        <w:tabs>
          <w:tab w:val="left" w:pos="2835"/>
        </w:tabs>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11465EE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5.最后报价</w:t>
      </w:r>
    </w:p>
    <w:p w14:paraId="473E1EA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31C5FAE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4EE4372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150358A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4745B54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5.5供应商未在规定时间内提交最后报价的，视同退出磋商，其响应文件按无效处理。</w:t>
      </w:r>
    </w:p>
    <w:p w14:paraId="607B67B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432D098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2FA971B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35FB47C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4BC732F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577DBB1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0BFB1DD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5BB74B9D">
      <w:pPr>
        <w:snapToGrid w:val="0"/>
        <w:spacing w:line="360" w:lineRule="auto"/>
        <w:ind w:firstLine="424" w:firstLineChars="202"/>
        <w:jc w:val="left"/>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5.10异常低价响应审查</w:t>
      </w:r>
    </w:p>
    <w:p w14:paraId="0BA285F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（1）磋商小组在评审中发现下列情形之一的，应当启动异常低价响应审查程序：</w:t>
      </w:r>
    </w:p>
    <w:p w14:paraId="55085E73">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①响应报价低于全部通过符合性审查供应商响应报价平均值</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50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的，即响应报价＜全部通过符合性审查供应商响应报价平均值×</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50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i/>
          <w:color w:val="auto"/>
          <w:szCs w:val="21"/>
          <w:highlight w:val="none"/>
        </w:rPr>
        <w:t>（范围为50%-65%）</w:t>
      </w:r>
    </w:p>
    <w:p w14:paraId="3EB52DF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②响应报价低于通过符合性审查的次低报价供应商响应报价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50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的，即响应报价＜通过符合性审查的次低报价供应商响应报价×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50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i/>
          <w:color w:val="auto"/>
          <w:szCs w:val="21"/>
          <w:highlight w:val="none"/>
        </w:rPr>
        <w:t>（范围为50%-65%）</w:t>
      </w:r>
    </w:p>
    <w:p w14:paraId="210B66F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③响应报价低于采购项目最高限价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45</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的，即响应报价＜采购项目最高限价×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45</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i/>
          <w:color w:val="auto"/>
          <w:szCs w:val="21"/>
          <w:highlight w:val="none"/>
        </w:rPr>
        <w:t>（范围为45%-65%）</w:t>
      </w:r>
    </w:p>
    <w:p w14:paraId="343A554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④磋商小组基于专业判断，认为供应商报价过低，有可能影响产品质量或者不能诚信履约的其他情形。</w:t>
      </w:r>
    </w:p>
    <w:p w14:paraId="1421052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2EDC9F8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color w:val="auto"/>
          <w:szCs w:val="21"/>
          <w:highlight w:val="none"/>
        </w:rPr>
        <w:t>相关供应商不能提供书面说明、证明材料，或者提供的书面说明、证明材料不能证明其报价合理性的，磋商小组应当将其作为无效响应处理。</w:t>
      </w:r>
    </w:p>
    <w:p w14:paraId="26C4457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734D6D84">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6E923BC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9DD9D9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最后报价结束后，磋商小组不得再与供应商进行任何形式的商谈。</w:t>
      </w:r>
    </w:p>
    <w:p w14:paraId="2F76E981">
      <w:pPr>
        <w:keepNext w:val="0"/>
        <w:keepLines w:val="0"/>
        <w:pageBreakBefore w:val="0"/>
        <w:kinsoku/>
        <w:wordWrap/>
        <w:overflowPunct/>
        <w:topLinePunct w:val="0"/>
        <w:autoSpaceDE/>
        <w:autoSpaceDN/>
        <w:bidi w:val="0"/>
        <w:spacing w:line="360" w:lineRule="auto"/>
        <w:ind w:firstLine="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33A308D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15897E9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w:t>
      </w:r>
      <w:bookmarkStart w:id="36" w:name="OLE_LINK35"/>
      <w:r>
        <w:rPr>
          <w:rFonts w:hint="eastAsia" w:ascii="宋体" w:hAnsi="宋体" w:eastAsia="宋体" w:cs="宋体"/>
          <w:color w:val="auto"/>
          <w:szCs w:val="21"/>
          <w:highlight w:val="none"/>
        </w:rPr>
        <w:t>磋商小组</w:t>
      </w:r>
      <w:bookmarkEnd w:id="36"/>
      <w:r>
        <w:rPr>
          <w:rFonts w:hint="eastAsia" w:ascii="宋体" w:hAnsi="宋体" w:eastAsia="宋体" w:cs="宋体"/>
          <w:color w:val="auto"/>
          <w:szCs w:val="21"/>
          <w:highlight w:val="none"/>
        </w:rPr>
        <w:t>采用综合评分法对提交最后报价的供应商的响应文件和最后报价进行综合评分。</w:t>
      </w:r>
    </w:p>
    <w:p w14:paraId="3EFC2DFB">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1E6CBADE">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成员要根据政府采购法律法规和采购文件所载明的评审方法、标准进行评审。对供应商的价格分等客观评分项的评分应当一致，对其他需要借助专业知识评判的主观评分项，应当严格按照评分细则公正评分。</w:t>
      </w:r>
    </w:p>
    <w:p w14:paraId="632521AD">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（2）磋商小组按照磋商文件中规定的评审标准计算各供应商的报价得分。项目评审过程中，不得去掉最后报价中的最高报价和最低报价。</w:t>
      </w:r>
    </w:p>
    <w:p w14:paraId="3F91A477">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（3）各供应商的得分为磋商小组所有成员的有效评分的算术平均数。</w:t>
      </w:r>
    </w:p>
    <w:p w14:paraId="0332D70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4F0FF4F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审报告。符合本章第5.3条情形的，可以推荐2家成交候选供应商。评审得分相同的，按照最后报价由低到高的顺序推荐。评审得分且最后报价相同的，按照技术指标优劣顺序推荐。</w:t>
      </w:r>
    </w:p>
    <w:p w14:paraId="7304413F">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0A40F0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7.评审复核</w:t>
      </w:r>
    </w:p>
    <w:p w14:paraId="425A15C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7.1评审报告签署前，</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要对评审结果进行复核，复核意见要体现在评审报告中。</w:t>
      </w:r>
    </w:p>
    <w:p w14:paraId="247C1540">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7.2评审结果汇总完成后，采购人、采购代理机构和</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均不得修改评审结果或者要求重新评审，但资格性检查认定错误、分值汇总计算错误、分项评分超出评分标准范围、客观分评分不一致、经</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一致认定评分畸高、畸低的情形除外。出现上述除外情形的，</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应当现场修改评审结果，并在评审报告中明确记载。</w:t>
      </w:r>
    </w:p>
    <w:p w14:paraId="3CED0D6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rPr>
        <w:t>.评审标准</w:t>
      </w:r>
    </w:p>
    <w:p w14:paraId="6BCEAFCE">
      <w:pPr>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highlight w:val="none"/>
          <w:lang w:val="en-US" w:eastAsia="zh-CN"/>
        </w:rPr>
        <w:t>8</w:t>
      </w:r>
      <w:r>
        <w:rPr>
          <w:rFonts w:hint="eastAsia" w:ascii="宋体" w:hAnsi="宋体" w:eastAsia="宋体" w:cs="宋体"/>
          <w:bCs/>
          <w:color w:val="auto"/>
          <w:highlight w:val="none"/>
        </w:rPr>
        <w:t>.</w:t>
      </w:r>
      <w:r>
        <w:rPr>
          <w:rFonts w:hint="eastAsia" w:ascii="宋体" w:hAnsi="宋体" w:eastAsia="宋体" w:cs="宋体"/>
          <w:bCs/>
          <w:color w:val="auto"/>
          <w:szCs w:val="21"/>
          <w:highlight w:val="none"/>
        </w:rPr>
        <w:t>1评审依据：磋商小组将以响应文件为评审依据，对供应商的报价、技术、商务等方面内容按百分制打分，供应商总得分=报价分+技术分+商务分。（计分方法按四舍五入取至百分位）</w:t>
      </w:r>
    </w:p>
    <w:tbl>
      <w:tblPr>
        <w:tblStyle w:val="29"/>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25"/>
        <w:gridCol w:w="6536"/>
        <w:gridCol w:w="851"/>
      </w:tblGrid>
      <w:tr w14:paraId="4762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jc w:val="center"/>
        </w:trPr>
        <w:tc>
          <w:tcPr>
            <w:tcW w:w="693" w:type="dxa"/>
            <w:noWrap w:val="0"/>
            <w:vAlign w:val="center"/>
          </w:tcPr>
          <w:p w14:paraId="0E5DB99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1125" w:type="dxa"/>
            <w:noWrap w:val="0"/>
            <w:vAlign w:val="center"/>
          </w:tcPr>
          <w:p w14:paraId="2315EAA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w:t>
            </w:r>
          </w:p>
        </w:tc>
        <w:tc>
          <w:tcPr>
            <w:tcW w:w="6536" w:type="dxa"/>
            <w:noWrap w:val="0"/>
            <w:vAlign w:val="center"/>
          </w:tcPr>
          <w:p w14:paraId="73C0BE6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评审因素具体内容</w:t>
            </w:r>
          </w:p>
        </w:tc>
        <w:tc>
          <w:tcPr>
            <w:tcW w:w="851" w:type="dxa"/>
            <w:noWrap w:val="0"/>
            <w:vAlign w:val="center"/>
          </w:tcPr>
          <w:p w14:paraId="7D754BD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分值</w:t>
            </w:r>
          </w:p>
        </w:tc>
      </w:tr>
      <w:tr w14:paraId="7D6A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93" w:type="dxa"/>
            <w:noWrap w:val="0"/>
            <w:vAlign w:val="center"/>
          </w:tcPr>
          <w:p w14:paraId="2333FE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125" w:type="dxa"/>
            <w:noWrap w:val="0"/>
            <w:vAlign w:val="center"/>
          </w:tcPr>
          <w:p w14:paraId="5DE514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价格分</w:t>
            </w:r>
          </w:p>
        </w:tc>
        <w:tc>
          <w:tcPr>
            <w:tcW w:w="6536" w:type="dxa"/>
            <w:noWrap w:val="0"/>
            <w:vAlign w:val="top"/>
          </w:tcPr>
          <w:p w14:paraId="5B8FBB92">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1.本项目为专门面向中小企业采购的项目，按照《政府采购促进中小企业发展管理办法》（财库〔2020〕46号）的规定，对供应商最后报价不再执行价格评审优惠的扶持政策。</w:t>
            </w:r>
          </w:p>
          <w:p w14:paraId="3DD56232">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2.评审报价为供应商的最后报价，评审报价只是作为评审时使用。最终成交供应商的成交金额等于最后报价（如有修正，以确认修正后的最后报价为准）。</w:t>
            </w:r>
          </w:p>
          <w:p w14:paraId="09B00C81">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3.以进入比较与评价环节的最低的评审报价为基准价，基准价得分为30分。</w:t>
            </w:r>
          </w:p>
          <w:p w14:paraId="45D4A61E">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4.价格分计算公式：</w:t>
            </w:r>
          </w:p>
          <w:p w14:paraId="0F7C4EC4">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val="en-US" w:eastAsia="zh-CN"/>
              </w:rPr>
              <w:t>报价得分=（基准价/评审报价）×30分</w:t>
            </w:r>
          </w:p>
        </w:tc>
        <w:tc>
          <w:tcPr>
            <w:tcW w:w="851" w:type="dxa"/>
            <w:noWrap w:val="0"/>
            <w:vAlign w:val="center"/>
          </w:tcPr>
          <w:p w14:paraId="70A54CB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30分</w:t>
            </w:r>
          </w:p>
        </w:tc>
      </w:tr>
      <w:tr w14:paraId="6B18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93" w:type="dxa"/>
            <w:noWrap w:val="0"/>
            <w:vAlign w:val="center"/>
          </w:tcPr>
          <w:p w14:paraId="5C61B25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w:t>
            </w:r>
          </w:p>
        </w:tc>
        <w:tc>
          <w:tcPr>
            <w:tcW w:w="7661" w:type="dxa"/>
            <w:gridSpan w:val="2"/>
            <w:noWrap w:val="0"/>
            <w:vAlign w:val="center"/>
          </w:tcPr>
          <w:p w14:paraId="6FEE6038">
            <w:pPr>
              <w:keepNext w:val="0"/>
              <w:keepLines w:val="0"/>
              <w:pageBreakBefore w:val="0"/>
              <w:widowControl/>
              <w:kinsoku/>
              <w:wordWrap/>
              <w:overflowPunct/>
              <w:topLinePunct w:val="0"/>
              <w:autoSpaceDE/>
              <w:autoSpaceDN/>
              <w:bidi w:val="0"/>
              <w:adjustRightInd/>
              <w:snapToGrid/>
              <w:spacing w:line="360" w:lineRule="exact"/>
              <w:ind w:firstLine="422" w:firstLineChars="200"/>
              <w:jc w:val="center"/>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技术分</w:t>
            </w:r>
          </w:p>
        </w:tc>
        <w:tc>
          <w:tcPr>
            <w:tcW w:w="851" w:type="dxa"/>
            <w:noWrap w:val="0"/>
            <w:vAlign w:val="top"/>
          </w:tcPr>
          <w:p w14:paraId="08EDB98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val="en-US" w:eastAsia="zh-CN"/>
              </w:rPr>
              <w:t>66</w:t>
            </w:r>
            <w:r>
              <w:rPr>
                <w:rFonts w:hint="eastAsia" w:ascii="宋体" w:hAnsi="宋体" w:eastAsia="宋体" w:cs="宋体"/>
                <w:b/>
                <w:color w:val="auto"/>
                <w:kern w:val="0"/>
                <w:szCs w:val="21"/>
                <w:highlight w:val="none"/>
              </w:rPr>
              <w:t>分</w:t>
            </w:r>
          </w:p>
        </w:tc>
      </w:tr>
      <w:tr w14:paraId="3400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693" w:type="dxa"/>
            <w:noWrap w:val="0"/>
            <w:vAlign w:val="center"/>
          </w:tcPr>
          <w:p w14:paraId="24A6B0D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2.1</w:t>
            </w:r>
          </w:p>
        </w:tc>
        <w:tc>
          <w:tcPr>
            <w:tcW w:w="1125" w:type="dxa"/>
            <w:noWrap w:val="0"/>
            <w:vAlign w:val="center"/>
          </w:tcPr>
          <w:p w14:paraId="7131C4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
                <w:bCs/>
                <w:color w:val="auto"/>
                <w:highlight w:val="none"/>
              </w:rPr>
              <w:t>主要施工方法</w:t>
            </w:r>
          </w:p>
        </w:tc>
        <w:tc>
          <w:tcPr>
            <w:tcW w:w="6536" w:type="dxa"/>
            <w:noWrap w:val="0"/>
            <w:vAlign w:val="center"/>
          </w:tcPr>
          <w:p w14:paraId="0441EC6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针对供应商提供的主要施工方法【(1)工程施工；(2)主要物资计划；(3)项目的重点难点；(4)供应商针对本项目特点提出的其他施工方法】按以下标准计分：</w:t>
            </w:r>
          </w:p>
          <w:p w14:paraId="542E8505">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一档（15分）：对各主要分部施工工程分别进行了具体的施工技术方案的阐述，提供的各主要分部施工方法符合项目实际，能指导具体施工并确保施工质量和施工安全。有主要建筑材料的资源稳定供应的保证措施，完全满足施工需要。针对本工程的特点，阐述本工程的重点和难点，解决重点和难点问题的方法和措施科学合理。</w:t>
            </w:r>
          </w:p>
          <w:p w14:paraId="4D4BBDE6">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二档（11分）：对各主要分部施工工程分别进行了具体的施工技术方案的阐述，提供的各主要分部施工方法符合项目实际，能指导具体施工并确保施工质量和施工安全。有主要建筑材料稳定供应的保证措施，满足施工需要。</w:t>
            </w:r>
          </w:p>
          <w:p w14:paraId="5C943CBF">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三档（7分）：对各主要分部施工工程分别进行了具体的施工技术方案的阐述，提供的各主要分部施工方法符合项目实际，能指导具体施工并确保施工质量和施工安全。</w:t>
            </w:r>
          </w:p>
          <w:p w14:paraId="28D50420">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四档（3分）：提供的主要施工方法符合项目实际，但未能针对各主要分部施工配有全面的施工技术方案。</w:t>
            </w:r>
          </w:p>
          <w:p w14:paraId="44ECB4C0">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注：供应商满足某一档全部要求时，即获得该档对应分值，不得累计或叠加得分。</w:t>
            </w:r>
          </w:p>
        </w:tc>
        <w:tc>
          <w:tcPr>
            <w:tcW w:w="851" w:type="dxa"/>
            <w:noWrap w:val="0"/>
            <w:vAlign w:val="center"/>
          </w:tcPr>
          <w:p w14:paraId="622815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Cs w:val="21"/>
                <w:highlight w:val="none"/>
                <w:lang w:val="en-US" w:eastAsia="zh-CN"/>
              </w:rPr>
              <w:t>15分</w:t>
            </w:r>
          </w:p>
        </w:tc>
      </w:tr>
      <w:tr w14:paraId="1550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noWrap w:val="0"/>
            <w:vAlign w:val="center"/>
          </w:tcPr>
          <w:p w14:paraId="737BDC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2.2</w:t>
            </w:r>
          </w:p>
        </w:tc>
        <w:tc>
          <w:tcPr>
            <w:tcW w:w="1125" w:type="dxa"/>
            <w:noWrap w:val="0"/>
            <w:vAlign w:val="center"/>
          </w:tcPr>
          <w:p w14:paraId="0ABD17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确保工程质量的技术组织措施</w:t>
            </w:r>
          </w:p>
        </w:tc>
        <w:tc>
          <w:tcPr>
            <w:tcW w:w="6536" w:type="dxa"/>
            <w:noWrap w:val="0"/>
            <w:vAlign w:val="center"/>
          </w:tcPr>
          <w:p w14:paraId="628F8A07">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针对供应商提供的确保工程质量的技术组织措施【①质量技术管理班子和制度；②关键材料质量控制内容；③材料组织计划；④供应商针对本项目特点提出的其他确保工程质量的技术组织措施】按以下标准计分：</w:t>
            </w:r>
          </w:p>
          <w:p w14:paraId="11A8C64D">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一档（15分）：有专门的质量技术管理班子和制度，且人员配备合理，制度健全。主要工序有质量技术保证措施和手段，自控体系完整，能有效保证技术质量，完全能达到承诺的质量标准。有主要建筑材料质量保证措施确保施工质量，对材料的环保要求的把控措施。有投入的施工材料组织计划且计划周密，并根据本项目的特点提出其他有针对性的确保工程质量的技术组织措施，满足施工需要。</w:t>
            </w:r>
          </w:p>
          <w:p w14:paraId="3765A528">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二档（11分）：有专门的质量技术管理班子和制度，且人员配备基本合理，制度较健全。主要工序有较好的质量技术保证措施和手段，基本能有效保证技术质量，提供的自控体系较完整。有主要建筑材料质量保证措施确保施工质量。</w:t>
            </w:r>
          </w:p>
          <w:p w14:paraId="74BB1845">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三档（7分）：有专门的质量技术管理班子和制度，有人员配备，制度健全。有主要工序的质量技术保证措施和手段及自控体系，能保证技术质量，达到承诺的质量标准。</w:t>
            </w:r>
          </w:p>
          <w:p w14:paraId="6C23CAA1">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四档（3分）：有专门的质量技术管理班子和制度但质量技术管理班子和制度不健全，主要工序无质量技术保证措施和手段，自控体系不完整，不能有效保证承诺的技术质量。</w:t>
            </w:r>
          </w:p>
          <w:p w14:paraId="3238883C">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注：供应商满足某一档全部要求时，即获得该档对应分值，不得累计或叠加得分。</w:t>
            </w:r>
          </w:p>
        </w:tc>
        <w:tc>
          <w:tcPr>
            <w:tcW w:w="851" w:type="dxa"/>
            <w:noWrap w:val="0"/>
            <w:vAlign w:val="center"/>
          </w:tcPr>
          <w:p w14:paraId="2BBC080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
                <w:bCs w:val="0"/>
                <w:color w:val="auto"/>
                <w:kern w:val="0"/>
                <w:szCs w:val="21"/>
                <w:highlight w:val="none"/>
                <w:lang w:val="en-US" w:eastAsia="zh-CN"/>
              </w:rPr>
              <w:t>15分</w:t>
            </w:r>
          </w:p>
        </w:tc>
      </w:tr>
      <w:tr w14:paraId="2000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noWrap w:val="0"/>
            <w:vAlign w:val="center"/>
          </w:tcPr>
          <w:p w14:paraId="5BF195A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2.3</w:t>
            </w:r>
          </w:p>
        </w:tc>
        <w:tc>
          <w:tcPr>
            <w:tcW w:w="1125" w:type="dxa"/>
            <w:noWrap w:val="0"/>
            <w:vAlign w:val="center"/>
          </w:tcPr>
          <w:p w14:paraId="3F66C8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确保安全生产的技术组织措施</w:t>
            </w:r>
          </w:p>
        </w:tc>
        <w:tc>
          <w:tcPr>
            <w:tcW w:w="6536" w:type="dxa"/>
            <w:noWrap w:val="0"/>
            <w:vAlign w:val="center"/>
          </w:tcPr>
          <w:p w14:paraId="47655D55">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针对供应商提供的确保安全生产的技术组织措施【①安全管理制度和人员；②安全技术措施；③防火、救援等应急措施；④确保文明施工的技术组织措施；⑤环保等相关措施；⑥供应商针对本项目其他特点提出其他确保安全生产的技术组织措施】按以下标准计分：</w:t>
            </w:r>
          </w:p>
          <w:p w14:paraId="26FCEF7F">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一档（15分）：保证安全生产的技术措施有专门的安全管理人员和制度，且人员配备合理，制度健全，各道工序安全技术措施有针对性，确保工程质量的技术组织措施符合实际且满足有关安全技术标准要求。现场防火、应急救援、社会治安安全措施得力，能针对本工程项目场地和施工特点提出全面得力的确保文明施工的技术组织措施、环境保护措施，且措施内容达到《建筑施工安全生产检查标准》（JGJ59-2011）合格标准并符合《广西壮族自治区建筑工程文明施工导则》要求，各项措施科学、具体、有效，有具体实现现场文明施工目标的承诺。</w:t>
            </w:r>
          </w:p>
          <w:p w14:paraId="4822ED7F">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二档（11分）：保证安全生产的技术措施有专门的安全管理人员和制度，且人员配备和制度健全，阐述了可行的有针对性的各道工序安全技术措施，确保工程质量的技术组织措施符合实际且满足有关安全技术标准要求，措施可行且考虑周全。提供可行的有关于现场防火、应急救援、社会治安安全的措施。提出可行的确保文明施工的技术组织措施、环境保护措施，且措施内容达到《建筑施工安全生产检查标准》（JGJ59-2011）合格标准并符合《广西壮族自治区建筑工程文明施工导则》要求。</w:t>
            </w:r>
          </w:p>
          <w:p w14:paraId="6378990B">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三档（7分）：保证安全生产的技术措施有专门的安全管理人员和制度，且人员配备和制度合理，阐述了各道工序安全技术措施但缺乏针对性，确保工程质量的技术组织措符合实际且满足有关安全技术标准要求且措施可行。</w:t>
            </w:r>
          </w:p>
          <w:p w14:paraId="214F9268">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四档（3分）：保证安全生产的技术措施有专门的安全管理人员和制度，各道工序安全技术措施阐述不完整，确保工程质量的技术组织措施满足有关安全技术标准要求但措施考虑欠周全。</w:t>
            </w:r>
          </w:p>
          <w:p w14:paraId="08D0CB60">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0"/>
                <w:sz w:val="21"/>
                <w:szCs w:val="21"/>
                <w:highlight w:val="none"/>
                <w:lang w:val="en-US" w:eastAsia="zh-CN" w:bidi="ar-SA"/>
              </w:rPr>
              <w:t>注：供应商满足某一档全部要求时，即获得该档对应分值，不得累计或叠加得分。</w:t>
            </w:r>
          </w:p>
        </w:tc>
        <w:tc>
          <w:tcPr>
            <w:tcW w:w="851" w:type="dxa"/>
            <w:noWrap w:val="0"/>
            <w:vAlign w:val="center"/>
          </w:tcPr>
          <w:p w14:paraId="443C39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15分</w:t>
            </w:r>
          </w:p>
        </w:tc>
      </w:tr>
      <w:tr w14:paraId="3835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93" w:type="dxa"/>
            <w:noWrap w:val="0"/>
            <w:vAlign w:val="center"/>
          </w:tcPr>
          <w:p w14:paraId="29750A5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rPr>
              <w:t>2.</w:t>
            </w:r>
            <w:r>
              <w:rPr>
                <w:rFonts w:hint="eastAsia" w:ascii="宋体" w:hAnsi="宋体" w:eastAsia="宋体" w:cs="宋体"/>
                <w:b w:val="0"/>
                <w:bCs/>
                <w:color w:val="auto"/>
                <w:kern w:val="0"/>
                <w:szCs w:val="21"/>
                <w:highlight w:val="none"/>
                <w:lang w:val="en-US" w:eastAsia="zh-CN"/>
              </w:rPr>
              <w:t>4</w:t>
            </w:r>
          </w:p>
        </w:tc>
        <w:tc>
          <w:tcPr>
            <w:tcW w:w="1125" w:type="dxa"/>
            <w:noWrap w:val="0"/>
            <w:vAlign w:val="center"/>
          </w:tcPr>
          <w:p w14:paraId="4955AB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确保工期的技术组织措施</w:t>
            </w:r>
          </w:p>
        </w:tc>
        <w:tc>
          <w:tcPr>
            <w:tcW w:w="6536" w:type="dxa"/>
            <w:noWrap w:val="0"/>
            <w:vAlign w:val="center"/>
          </w:tcPr>
          <w:p w14:paraId="3E146EDB">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针对供应商提供的确保工期的技术组织措施【①工期保障措施；②施工进度计划；③施工进度图（表）；④劳动力计划；⑤供应商针对本项目特点提出其他确保工期的技术组织措施】按以下标准计分：</w:t>
            </w:r>
          </w:p>
          <w:p w14:paraId="257151D0">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一档（15分）：保证工期的施工组织措施方案中在施工工艺、施工方法、材料选用、劳动力安排、技术等方面有保证工期的具体措施且措施得当，有控制工期的施工进度计划。有施工总进度表或施工网络图，各项计划图表编制完善，安排科学合理，符合本项目施工实际要求。有具体周密的劳动力安排计划，能保障供应商承诺的工期。</w:t>
            </w:r>
          </w:p>
          <w:p w14:paraId="5E9A2399">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二档（11分）：保证工期的施工组织措施方案中在施工工艺、施工方法、材料选用、劳动力安排、技术等方面有保证工期的具体措施且措施可行，有控制工期的施工进度计划，有施工总进度表或施工网络图，对供应商承诺的工期有一定的保障。</w:t>
            </w:r>
          </w:p>
          <w:p w14:paraId="48DE8422">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三档（7分）：保证工期的施工组织措施方案中在施工工艺、施工方法、材料选用、劳动力安排、技术等方面有具体措施，且有控制工期的施工进度计划，但考虑欠周全。</w:t>
            </w:r>
          </w:p>
          <w:p w14:paraId="36DEA318">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四档（3分）：保证工期的施工组织措施方案中有施工工艺、施工方法、劳动力安排等方面有具体实施措施但未提供控制工期的施工进度计划。</w:t>
            </w:r>
          </w:p>
          <w:p w14:paraId="30B30DBA">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注：供应商满足某一档全部要求时，即获得该档对应分值，不得累计或叠加得分。</w:t>
            </w:r>
          </w:p>
        </w:tc>
        <w:tc>
          <w:tcPr>
            <w:tcW w:w="851" w:type="dxa"/>
            <w:noWrap w:val="0"/>
            <w:vAlign w:val="center"/>
          </w:tcPr>
          <w:p w14:paraId="452687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Cs w:val="21"/>
                <w:highlight w:val="none"/>
                <w:lang w:val="en-US" w:eastAsia="zh-CN"/>
              </w:rPr>
              <w:t>15分</w:t>
            </w:r>
          </w:p>
        </w:tc>
      </w:tr>
      <w:tr w14:paraId="41ED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93" w:type="dxa"/>
            <w:noWrap w:val="0"/>
            <w:vAlign w:val="center"/>
          </w:tcPr>
          <w:p w14:paraId="2D9DA0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2.5</w:t>
            </w:r>
          </w:p>
        </w:tc>
        <w:tc>
          <w:tcPr>
            <w:tcW w:w="1125" w:type="dxa"/>
            <w:noWrap w:val="0"/>
            <w:vAlign w:val="center"/>
          </w:tcPr>
          <w:p w14:paraId="2868F8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项目经理</w:t>
            </w:r>
          </w:p>
        </w:tc>
        <w:tc>
          <w:tcPr>
            <w:tcW w:w="6536" w:type="dxa"/>
            <w:noWrap w:val="0"/>
            <w:vAlign w:val="center"/>
          </w:tcPr>
          <w:p w14:paraId="64F75B93">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highlight w:val="none"/>
                <w:lang w:eastAsia="zh-CN"/>
              </w:rPr>
            </w:pPr>
            <w:r>
              <w:rPr>
                <w:rFonts w:hint="eastAsia" w:ascii="宋体" w:hAnsi="宋体" w:eastAsia="宋体" w:cs="宋体"/>
                <w:bCs/>
                <w:color w:val="auto"/>
                <w:highlight w:val="none"/>
                <w:lang w:val="en-US" w:eastAsia="zh-CN"/>
              </w:rPr>
              <w:t>供应商</w:t>
            </w:r>
            <w:r>
              <w:rPr>
                <w:rFonts w:hint="eastAsia" w:ascii="宋体" w:hAnsi="宋体" w:eastAsia="宋体" w:cs="宋体"/>
                <w:bCs/>
                <w:color w:val="auto"/>
                <w:highlight w:val="none"/>
              </w:rPr>
              <w:t>拟投入本项目的项目经理具有</w:t>
            </w:r>
            <w:r>
              <w:rPr>
                <w:rFonts w:hint="eastAsia" w:ascii="宋体" w:hAnsi="宋体" w:eastAsia="宋体" w:cs="宋体"/>
                <w:bCs/>
                <w:color w:val="auto"/>
                <w:highlight w:val="none"/>
                <w:lang w:val="en-US" w:eastAsia="zh-CN"/>
              </w:rPr>
              <w:t>工</w:t>
            </w:r>
            <w:r>
              <w:rPr>
                <w:rFonts w:hint="eastAsia" w:ascii="宋体" w:hAnsi="宋体" w:eastAsia="宋体" w:cs="宋体"/>
                <w:bCs/>
                <w:color w:val="auto"/>
                <w:kern w:val="0"/>
                <w:szCs w:val="21"/>
                <w:highlight w:val="none"/>
              </w:rPr>
              <w:t>程类中级及以上技术职称的得</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highlight w:val="none"/>
              </w:rPr>
              <w:t>分</w:t>
            </w:r>
            <w:r>
              <w:rPr>
                <w:rFonts w:hint="eastAsia" w:ascii="宋体" w:hAnsi="宋体" w:eastAsia="宋体" w:cs="宋体"/>
                <w:bCs/>
                <w:color w:val="auto"/>
                <w:highlight w:val="none"/>
                <w:lang w:eastAsia="zh-CN"/>
              </w:rPr>
              <w:t>。</w:t>
            </w:r>
          </w:p>
          <w:p w14:paraId="79F22504">
            <w:pPr>
              <w:pStyle w:val="13"/>
              <w:keepNext w:val="0"/>
              <w:keepLines w:val="0"/>
              <w:pageBreakBefore w:val="0"/>
              <w:kinsoku/>
              <w:wordWrap/>
              <w:overflowPunct/>
              <w:topLinePunct w:val="0"/>
              <w:autoSpaceDE/>
              <w:autoSpaceDN/>
              <w:bidi w:val="0"/>
              <w:adjustRightInd/>
              <w:snapToGrid/>
              <w:spacing w:after="0"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w:t>
            </w:r>
            <w:r>
              <w:rPr>
                <w:rFonts w:hint="eastAsia" w:ascii="宋体" w:hAnsi="宋体" w:eastAsia="宋体" w:cs="宋体"/>
                <w:color w:val="auto"/>
                <w:highlight w:val="none"/>
              </w:rPr>
              <w:t>须提供</w:t>
            </w:r>
            <w:r>
              <w:rPr>
                <w:rFonts w:hint="eastAsia" w:ascii="宋体" w:hAnsi="宋体" w:eastAsia="宋体" w:cs="宋体"/>
                <w:color w:val="auto"/>
                <w:highlight w:val="none"/>
                <w:lang w:val="en-US" w:eastAsia="zh-CN"/>
              </w:rPr>
              <w:t>竞标</w:t>
            </w:r>
            <w:r>
              <w:rPr>
                <w:rFonts w:hint="eastAsia" w:ascii="宋体" w:hAnsi="宋体" w:eastAsia="宋体" w:cs="宋体"/>
                <w:color w:val="auto"/>
                <w:highlight w:val="none"/>
              </w:rPr>
              <w:t>截止之日前半年内</w:t>
            </w:r>
            <w:r>
              <w:rPr>
                <w:rFonts w:hint="eastAsia" w:ascii="宋体" w:hAnsi="宋体" w:eastAsia="宋体" w:cs="宋体"/>
                <w:color w:val="auto"/>
                <w:highlight w:val="none"/>
                <w:lang w:eastAsia="zh-CN"/>
              </w:rPr>
              <w:t>竞标人</w:t>
            </w:r>
            <w:r>
              <w:rPr>
                <w:rFonts w:hint="eastAsia" w:ascii="宋体" w:hAnsi="宋体" w:eastAsia="宋体" w:cs="宋体"/>
                <w:color w:val="auto"/>
                <w:highlight w:val="none"/>
              </w:rPr>
              <w:t>任意</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个月的</w:t>
            </w:r>
            <w:r>
              <w:rPr>
                <w:rFonts w:hint="eastAsia" w:ascii="宋体" w:hAnsi="宋体" w:eastAsia="宋体" w:cs="宋体"/>
                <w:color w:val="auto"/>
                <w:highlight w:val="none"/>
                <w:lang w:val="en-US" w:eastAsia="zh-CN"/>
              </w:rPr>
              <w:t>竞标</w:t>
            </w:r>
            <w:r>
              <w:rPr>
                <w:rFonts w:hint="eastAsia" w:ascii="宋体" w:hAnsi="宋体" w:eastAsia="宋体" w:cs="宋体"/>
                <w:color w:val="auto"/>
                <w:highlight w:val="none"/>
              </w:rPr>
              <w:t>单位为其在本单位依法缴纳社保费的凭证及有关社保证明材料的复印件。</w:t>
            </w:r>
          </w:p>
        </w:tc>
        <w:tc>
          <w:tcPr>
            <w:tcW w:w="851" w:type="dxa"/>
            <w:noWrap w:val="0"/>
            <w:vAlign w:val="center"/>
          </w:tcPr>
          <w:p w14:paraId="7C01D8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3分</w:t>
            </w:r>
          </w:p>
        </w:tc>
      </w:tr>
      <w:tr w14:paraId="1145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93" w:type="dxa"/>
            <w:noWrap w:val="0"/>
            <w:vAlign w:val="center"/>
          </w:tcPr>
          <w:p w14:paraId="49D38EB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lang w:val="en-US" w:eastAsia="zh-CN"/>
              </w:rPr>
              <w:t>2.6</w:t>
            </w:r>
          </w:p>
        </w:tc>
        <w:tc>
          <w:tcPr>
            <w:tcW w:w="1125" w:type="dxa"/>
            <w:noWrap w:val="0"/>
            <w:vAlign w:val="center"/>
          </w:tcPr>
          <w:p w14:paraId="1BBBE14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技术负责人</w:t>
            </w:r>
          </w:p>
        </w:tc>
        <w:tc>
          <w:tcPr>
            <w:tcW w:w="6536" w:type="dxa"/>
            <w:noWrap w:val="0"/>
            <w:vAlign w:val="center"/>
          </w:tcPr>
          <w:p w14:paraId="1229AE6C">
            <w:pPr>
              <w:pStyle w:val="13"/>
              <w:keepNext w:val="0"/>
              <w:keepLines w:val="0"/>
              <w:pageBreakBefore w:val="0"/>
              <w:kinsoku/>
              <w:wordWrap/>
              <w:overflowPunct/>
              <w:topLinePunct w:val="0"/>
              <w:autoSpaceDE/>
              <w:autoSpaceDN/>
              <w:bidi w:val="0"/>
              <w:adjustRightInd/>
              <w:snapToGrid/>
              <w:spacing w:after="0" w:line="36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供应商拟投入的技术负责人具有工程类中级及以上技术职称的得3分。</w:t>
            </w:r>
          </w:p>
          <w:p w14:paraId="5DA2ECCF">
            <w:pPr>
              <w:pStyle w:val="13"/>
              <w:keepNext w:val="0"/>
              <w:keepLines w:val="0"/>
              <w:pageBreakBefore w:val="0"/>
              <w:kinsoku/>
              <w:wordWrap/>
              <w:overflowPunct/>
              <w:topLinePunct w:val="0"/>
              <w:autoSpaceDE/>
              <w:autoSpaceDN/>
              <w:bidi w:val="0"/>
              <w:adjustRightInd/>
              <w:snapToGrid/>
              <w:spacing w:after="0" w:line="36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w:t>
            </w:r>
            <w:r>
              <w:rPr>
                <w:rFonts w:hint="eastAsia" w:ascii="宋体" w:hAnsi="宋体" w:eastAsia="宋体" w:cs="宋体"/>
                <w:color w:val="auto"/>
                <w:highlight w:val="none"/>
              </w:rPr>
              <w:t>须提供</w:t>
            </w:r>
            <w:r>
              <w:rPr>
                <w:rFonts w:hint="eastAsia" w:ascii="宋体" w:hAnsi="宋体" w:eastAsia="宋体" w:cs="宋体"/>
                <w:color w:val="auto"/>
                <w:highlight w:val="none"/>
                <w:lang w:val="en-US" w:eastAsia="zh-CN"/>
              </w:rPr>
              <w:t>竞标</w:t>
            </w:r>
            <w:r>
              <w:rPr>
                <w:rFonts w:hint="eastAsia" w:ascii="宋体" w:hAnsi="宋体" w:eastAsia="宋体" w:cs="宋体"/>
                <w:color w:val="auto"/>
                <w:highlight w:val="none"/>
              </w:rPr>
              <w:t>截止之日前半年内</w:t>
            </w:r>
            <w:r>
              <w:rPr>
                <w:rFonts w:hint="eastAsia" w:ascii="宋体" w:hAnsi="宋体" w:eastAsia="宋体" w:cs="宋体"/>
                <w:color w:val="auto"/>
                <w:highlight w:val="none"/>
                <w:lang w:eastAsia="zh-CN"/>
              </w:rPr>
              <w:t>竞标人</w:t>
            </w:r>
            <w:r>
              <w:rPr>
                <w:rFonts w:hint="eastAsia" w:ascii="宋体" w:hAnsi="宋体" w:eastAsia="宋体" w:cs="宋体"/>
                <w:color w:val="auto"/>
                <w:highlight w:val="none"/>
              </w:rPr>
              <w:t>任意</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个月的</w:t>
            </w:r>
            <w:r>
              <w:rPr>
                <w:rFonts w:hint="eastAsia" w:ascii="宋体" w:hAnsi="宋体" w:eastAsia="宋体" w:cs="宋体"/>
                <w:color w:val="auto"/>
                <w:highlight w:val="none"/>
                <w:lang w:val="en-US" w:eastAsia="zh-CN"/>
              </w:rPr>
              <w:t>竞标</w:t>
            </w:r>
            <w:r>
              <w:rPr>
                <w:rFonts w:hint="eastAsia" w:ascii="宋体" w:hAnsi="宋体" w:eastAsia="宋体" w:cs="宋体"/>
                <w:color w:val="auto"/>
                <w:highlight w:val="none"/>
              </w:rPr>
              <w:t>单位为其在本单位依法缴纳社保费的凭证及有关社保证明材料的复印件。</w:t>
            </w:r>
          </w:p>
        </w:tc>
        <w:tc>
          <w:tcPr>
            <w:tcW w:w="851" w:type="dxa"/>
            <w:noWrap w:val="0"/>
            <w:vAlign w:val="center"/>
          </w:tcPr>
          <w:p w14:paraId="2B8EE0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Cs w:val="21"/>
                <w:highlight w:val="none"/>
                <w:lang w:val="en-US" w:eastAsia="zh-CN"/>
              </w:rPr>
            </w:pPr>
            <w:r>
              <w:rPr>
                <w:rFonts w:hint="eastAsia" w:ascii="宋体" w:hAnsi="宋体" w:eastAsia="宋体" w:cs="宋体"/>
                <w:b/>
                <w:bCs w:val="0"/>
                <w:color w:val="auto"/>
                <w:kern w:val="0"/>
                <w:szCs w:val="21"/>
                <w:highlight w:val="none"/>
                <w:lang w:val="en-US" w:eastAsia="zh-CN"/>
              </w:rPr>
              <w:t>3分</w:t>
            </w:r>
          </w:p>
        </w:tc>
      </w:tr>
      <w:tr w14:paraId="2B80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3" w:type="dxa"/>
            <w:noWrap w:val="0"/>
            <w:vAlign w:val="center"/>
          </w:tcPr>
          <w:p w14:paraId="2FF6A8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val="en-US" w:eastAsia="zh-CN"/>
              </w:rPr>
              <w:t>3</w:t>
            </w:r>
          </w:p>
        </w:tc>
        <w:tc>
          <w:tcPr>
            <w:tcW w:w="7661" w:type="dxa"/>
            <w:gridSpan w:val="2"/>
            <w:noWrap w:val="0"/>
            <w:vAlign w:val="center"/>
          </w:tcPr>
          <w:p w14:paraId="41A6DAFD">
            <w:pPr>
              <w:keepNext w:val="0"/>
              <w:keepLines w:val="0"/>
              <w:pageBreakBefore w:val="0"/>
              <w:widowControl/>
              <w:kinsoku/>
              <w:wordWrap/>
              <w:overflowPunct/>
              <w:topLinePunct w:val="0"/>
              <w:autoSpaceDE/>
              <w:autoSpaceDN/>
              <w:bidi w:val="0"/>
              <w:adjustRightInd/>
              <w:snapToGrid/>
              <w:spacing w:line="360" w:lineRule="exact"/>
              <w:ind w:firstLine="422" w:firstLineChars="200"/>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商务分</w:t>
            </w:r>
          </w:p>
        </w:tc>
        <w:tc>
          <w:tcPr>
            <w:tcW w:w="851" w:type="dxa"/>
            <w:noWrap w:val="0"/>
            <w:vAlign w:val="center"/>
          </w:tcPr>
          <w:p w14:paraId="6DFB9A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val="en-US" w:eastAsia="zh-CN"/>
              </w:rPr>
              <w:t>4</w:t>
            </w:r>
            <w:r>
              <w:rPr>
                <w:rFonts w:hint="eastAsia" w:ascii="宋体" w:hAnsi="宋体" w:eastAsia="宋体" w:cs="宋体"/>
                <w:b/>
                <w:bCs/>
                <w:color w:val="auto"/>
                <w:kern w:val="0"/>
                <w:szCs w:val="21"/>
                <w:highlight w:val="none"/>
              </w:rPr>
              <w:t>分</w:t>
            </w:r>
          </w:p>
        </w:tc>
      </w:tr>
      <w:tr w14:paraId="01F7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jc w:val="center"/>
        </w:trPr>
        <w:tc>
          <w:tcPr>
            <w:tcW w:w="693" w:type="dxa"/>
            <w:noWrap w:val="0"/>
            <w:vAlign w:val="center"/>
          </w:tcPr>
          <w:p w14:paraId="6D38EC29">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3.1</w:t>
            </w:r>
          </w:p>
        </w:tc>
        <w:tc>
          <w:tcPr>
            <w:tcW w:w="1125" w:type="dxa"/>
            <w:noWrap w:val="0"/>
            <w:vAlign w:val="center"/>
          </w:tcPr>
          <w:p w14:paraId="085C58C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szCs w:val="21"/>
                <w:highlight w:val="none"/>
                <w:lang w:val="en-US" w:eastAsia="zh-CN"/>
              </w:rPr>
              <w:t>业绩分</w:t>
            </w:r>
          </w:p>
        </w:tc>
        <w:tc>
          <w:tcPr>
            <w:tcW w:w="6536" w:type="dxa"/>
            <w:noWrap w:val="0"/>
            <w:vAlign w:val="center"/>
          </w:tcPr>
          <w:p w14:paraId="786B1E54">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highlight w:val="none"/>
                <w:lang w:val="en-US" w:eastAsia="zh-CN"/>
              </w:rPr>
              <w:t>2023年01月01日至今</w:t>
            </w:r>
            <w:r>
              <w:rPr>
                <w:rFonts w:hint="eastAsia" w:ascii="宋体" w:hAnsi="宋体" w:eastAsia="宋体" w:cs="宋体"/>
                <w:bCs/>
                <w:color w:val="auto"/>
                <w:highlight w:val="none"/>
              </w:rPr>
              <w:t>竞标人承担过类似项目</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类似项目指维修工程）</w:t>
            </w:r>
            <w:r>
              <w:rPr>
                <w:rFonts w:hint="eastAsia" w:ascii="宋体" w:hAnsi="宋体" w:eastAsia="宋体" w:cs="宋体"/>
                <w:bCs/>
                <w:color w:val="auto"/>
                <w:highlight w:val="none"/>
              </w:rPr>
              <w:t>的，每有一个得</w:t>
            </w:r>
            <w:r>
              <w:rPr>
                <w:rFonts w:hint="eastAsia" w:ascii="宋体" w:hAnsi="宋体" w:eastAsia="宋体" w:cs="宋体"/>
                <w:bCs/>
                <w:color w:val="auto"/>
                <w:highlight w:val="none"/>
                <w:lang w:val="en-US" w:eastAsia="zh-CN"/>
              </w:rPr>
              <w:t>2</w:t>
            </w:r>
            <w:r>
              <w:rPr>
                <w:rFonts w:hint="eastAsia" w:ascii="宋体" w:hAnsi="宋体" w:eastAsia="宋体" w:cs="宋体"/>
                <w:bCs/>
                <w:color w:val="auto"/>
                <w:highlight w:val="none"/>
              </w:rPr>
              <w:t>分。此项满分</w:t>
            </w:r>
            <w:r>
              <w:rPr>
                <w:rFonts w:hint="eastAsia" w:ascii="宋体" w:hAnsi="宋体" w:eastAsia="宋体" w:cs="宋体"/>
                <w:bCs/>
                <w:color w:val="auto"/>
                <w:highlight w:val="none"/>
                <w:lang w:val="en-US" w:eastAsia="zh-CN"/>
              </w:rPr>
              <w:t>4</w:t>
            </w:r>
            <w:r>
              <w:rPr>
                <w:rFonts w:hint="eastAsia" w:ascii="宋体" w:hAnsi="宋体" w:eastAsia="宋体" w:cs="宋体"/>
                <w:bCs/>
                <w:color w:val="auto"/>
                <w:highlight w:val="none"/>
              </w:rPr>
              <w:t>分（提供项目中标/成交通知书或合同证明材料复印件，未提供不得分）。</w:t>
            </w:r>
          </w:p>
        </w:tc>
        <w:tc>
          <w:tcPr>
            <w:tcW w:w="851" w:type="dxa"/>
            <w:noWrap w:val="0"/>
            <w:vAlign w:val="center"/>
          </w:tcPr>
          <w:p w14:paraId="5A61695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kern w:val="0"/>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分</w:t>
            </w:r>
          </w:p>
        </w:tc>
      </w:tr>
      <w:tr w14:paraId="1078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354" w:type="dxa"/>
            <w:gridSpan w:val="3"/>
            <w:noWrap w:val="0"/>
            <w:vAlign w:val="center"/>
          </w:tcPr>
          <w:p w14:paraId="2287348C">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Cs/>
                <w:color w:val="auto"/>
                <w:highlight w:val="none"/>
                <w:lang w:val="en-US"/>
              </w:rPr>
            </w:pPr>
            <w:r>
              <w:rPr>
                <w:rFonts w:hint="eastAsia" w:ascii="宋体" w:hAnsi="宋体" w:eastAsia="宋体" w:cs="宋体"/>
                <w:b/>
                <w:bCs w:val="0"/>
                <w:color w:val="auto"/>
                <w:szCs w:val="21"/>
                <w:highlight w:val="none"/>
                <w:lang w:val="en-US" w:eastAsia="zh-CN"/>
              </w:rPr>
              <w:t>总得分=1+2+3</w:t>
            </w:r>
          </w:p>
        </w:tc>
        <w:tc>
          <w:tcPr>
            <w:tcW w:w="851" w:type="dxa"/>
            <w:noWrap w:val="0"/>
            <w:vAlign w:val="center"/>
          </w:tcPr>
          <w:p w14:paraId="1FCE989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100分</w:t>
            </w:r>
          </w:p>
        </w:tc>
      </w:tr>
    </w:tbl>
    <w:p w14:paraId="5D294C6F">
      <w:pPr>
        <w:widowControl w:val="0"/>
        <w:spacing w:line="360" w:lineRule="auto"/>
        <w:ind w:firstLine="420" w:firstLineChars="200"/>
        <w:jc w:val="both"/>
        <w:rPr>
          <w:rFonts w:hint="eastAsia" w:ascii="宋体" w:hAnsi="宋体" w:eastAsia="宋体" w:cs="宋体"/>
          <w:bCs/>
          <w:color w:val="auto"/>
          <w:kern w:val="2"/>
          <w:sz w:val="21"/>
          <w:szCs w:val="21"/>
          <w:highlight w:val="none"/>
          <w:lang w:val="en-US" w:eastAsia="zh-CN" w:bidi="ar-SA"/>
        </w:rPr>
      </w:pPr>
      <w:bookmarkStart w:id="37" w:name="_Toc11595"/>
      <w:bookmarkStart w:id="38" w:name="_Toc22545"/>
      <w:r>
        <w:rPr>
          <w:rFonts w:hint="eastAsia" w:ascii="宋体" w:hAnsi="宋体" w:eastAsia="宋体" w:cs="宋体"/>
          <w:bCs/>
          <w:color w:val="auto"/>
          <w:kern w:val="2"/>
          <w:sz w:val="21"/>
          <w:szCs w:val="21"/>
          <w:highlight w:val="none"/>
          <w:lang w:val="en-US" w:eastAsia="zh-CN" w:bidi="ar-SA"/>
        </w:rPr>
        <w:t>8.2商务技术评审因素为客观评分项的，应在评分项目或评分标准中予以标注为“客观分”。对供应商的客观评分项目，各评审专家评分应当一致。</w:t>
      </w:r>
    </w:p>
    <w:p w14:paraId="491DE2F6">
      <w:pPr>
        <w:spacing w:line="360" w:lineRule="auto"/>
        <w:ind w:firstLine="420" w:firstLineChars="20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8.3.终止竞争性磋商采购活动</w:t>
      </w:r>
    </w:p>
    <w:p w14:paraId="2AF5BD9E">
      <w:pPr>
        <w:spacing w:line="360" w:lineRule="auto"/>
        <w:ind w:firstLine="420" w:firstLineChars="20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691F164B">
      <w:pPr>
        <w:outlineLvl w:val="9"/>
        <w:rPr>
          <w:rFonts w:hint="eastAsia" w:ascii="宋体" w:hAnsi="宋体" w:eastAsia="宋体" w:cs="宋体"/>
          <w:b w:val="0"/>
          <w:bCs/>
          <w:color w:val="auto"/>
          <w:highlight w:val="none"/>
        </w:rPr>
      </w:pPr>
    </w:p>
    <w:p w14:paraId="3B5B3E1E">
      <w:pPr>
        <w:outlineLvl w:val="9"/>
        <w:rPr>
          <w:rFonts w:hint="eastAsia" w:ascii="宋体" w:hAnsi="宋体" w:eastAsia="宋体" w:cs="宋体"/>
          <w:b w:val="0"/>
          <w:bCs/>
          <w:color w:val="auto"/>
          <w:highlight w:val="none"/>
        </w:rPr>
      </w:pPr>
    </w:p>
    <w:bookmarkEnd w:id="37"/>
    <w:bookmarkEnd w:id="38"/>
    <w:p w14:paraId="56FDA23D">
      <w:pPr>
        <w:pStyle w:val="3"/>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highlight w:val="none"/>
        </w:rPr>
      </w:pPr>
      <w:bookmarkStart w:id="39" w:name="_Toc26272"/>
      <w:bookmarkStart w:id="40" w:name="_Toc7776"/>
      <w:bookmarkStart w:id="41" w:name="_Toc5005"/>
      <w:bookmarkStart w:id="42" w:name="_Toc27282"/>
      <w:bookmarkStart w:id="43" w:name="_Toc12890"/>
      <w:r>
        <w:rPr>
          <w:rFonts w:hint="eastAsia" w:ascii="宋体" w:hAnsi="宋体" w:eastAsia="宋体" w:cs="宋体"/>
          <w:b w:val="0"/>
          <w:bCs/>
          <w:color w:val="auto"/>
          <w:highlight w:val="none"/>
        </w:rPr>
        <w:t>第二节 评审报告</w:t>
      </w:r>
    </w:p>
    <w:p w14:paraId="17449D24">
      <w:pPr>
        <w:spacing w:line="360" w:lineRule="auto"/>
        <w:rPr>
          <w:rFonts w:hint="eastAsia" w:ascii="宋体" w:hAnsi="宋体" w:eastAsia="宋体" w:cs="宋体"/>
          <w:b/>
          <w:bCs/>
          <w:color w:val="auto"/>
          <w:sz w:val="24"/>
          <w:szCs w:val="32"/>
          <w:highlight w:val="none"/>
        </w:rPr>
      </w:pPr>
      <w:bookmarkStart w:id="44" w:name="_Toc20045"/>
      <w:bookmarkStart w:id="45" w:name="_Toc2025"/>
      <w:r>
        <w:rPr>
          <w:rFonts w:hint="eastAsia" w:ascii="宋体" w:hAnsi="宋体" w:eastAsia="宋体" w:cs="宋体"/>
          <w:b/>
          <w:bCs/>
          <w:color w:val="auto"/>
          <w:sz w:val="24"/>
          <w:szCs w:val="32"/>
          <w:highlight w:val="none"/>
        </w:rPr>
        <w:t>1.成交标准</w:t>
      </w:r>
    </w:p>
    <w:p w14:paraId="2356CDA0">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商务指标优劣顺序推荐（按技术得分由高到低排序，技术得分相同的按照</w:t>
      </w:r>
      <w:r>
        <w:rPr>
          <w:rFonts w:hint="eastAsia" w:ascii="宋体" w:hAnsi="宋体" w:eastAsia="宋体" w:cs="宋体"/>
          <w:bCs/>
          <w:color w:val="auto"/>
          <w:szCs w:val="21"/>
          <w:highlight w:val="none"/>
          <w:lang w:eastAsia="zh-CN"/>
        </w:rPr>
        <w:t>商务</w:t>
      </w:r>
      <w:r>
        <w:rPr>
          <w:rFonts w:hint="eastAsia" w:ascii="宋体" w:hAnsi="宋体" w:eastAsia="宋体" w:cs="宋体"/>
          <w:bCs/>
          <w:color w:val="auto"/>
          <w:szCs w:val="21"/>
          <w:highlight w:val="none"/>
        </w:rPr>
        <w:t>分由高到低排序）。评审得分、最后报价（不计算价格折扣）、技术得分、商务分均相同的，由磋商小组随机抽取推荐。</w:t>
      </w:r>
    </w:p>
    <w:p w14:paraId="1ED1769E">
      <w:pPr>
        <w:spacing w:line="360" w:lineRule="auto"/>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2.评标争议事项处理</w:t>
      </w:r>
    </w:p>
    <w:p w14:paraId="11446169">
      <w:pPr>
        <w:pStyle w:val="78"/>
        <w:spacing w:before="0"/>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w:t>
      </w:r>
      <w:r>
        <w:rPr>
          <w:rFonts w:hint="eastAsia" w:ascii="宋体" w:hAnsi="宋体" w:eastAsia="宋体" w:cs="宋体"/>
          <w:color w:val="auto"/>
          <w:kern w:val="2"/>
          <w:sz w:val="21"/>
          <w:szCs w:val="24"/>
          <w:highlight w:val="none"/>
          <w:lang w:eastAsia="zh-CN"/>
        </w:rPr>
        <w:t>评审报告</w:t>
      </w:r>
      <w:r>
        <w:rPr>
          <w:rFonts w:hint="eastAsia" w:ascii="宋体" w:hAnsi="宋体" w:eastAsia="宋体" w:cs="宋体"/>
          <w:color w:val="auto"/>
          <w:kern w:val="2"/>
          <w:sz w:val="21"/>
          <w:szCs w:val="24"/>
          <w:highlight w:val="none"/>
        </w:rPr>
        <w:t>上签署不同意见及理由，否则视为同意</w:t>
      </w:r>
      <w:r>
        <w:rPr>
          <w:rFonts w:hint="eastAsia" w:ascii="宋体" w:hAnsi="宋体" w:eastAsia="宋体" w:cs="宋体"/>
          <w:color w:val="auto"/>
          <w:kern w:val="2"/>
          <w:sz w:val="21"/>
          <w:szCs w:val="24"/>
          <w:highlight w:val="none"/>
          <w:lang w:eastAsia="zh-CN"/>
        </w:rPr>
        <w:t>评审报告</w:t>
      </w:r>
      <w:r>
        <w:rPr>
          <w:rFonts w:hint="eastAsia" w:ascii="宋体" w:hAnsi="宋体" w:eastAsia="宋体" w:cs="宋体"/>
          <w:color w:val="auto"/>
          <w:kern w:val="2"/>
          <w:sz w:val="21"/>
          <w:szCs w:val="24"/>
          <w:highlight w:val="none"/>
        </w:rPr>
        <w:t>。</w:t>
      </w:r>
    </w:p>
    <w:p w14:paraId="2A7B2E6E">
      <w:pPr>
        <w:pStyle w:val="78"/>
        <w:spacing w:before="0"/>
        <w:ind w:firstLine="420"/>
        <w:rPr>
          <w:rFonts w:hint="eastAsia" w:ascii="宋体" w:hAnsi="宋体" w:eastAsia="宋体" w:cs="宋体"/>
          <w:color w:val="auto"/>
          <w:kern w:val="2"/>
          <w:sz w:val="21"/>
          <w:szCs w:val="24"/>
          <w:highlight w:val="none"/>
        </w:rPr>
      </w:pPr>
    </w:p>
    <w:p w14:paraId="7556976A">
      <w:pPr>
        <w:pStyle w:val="78"/>
        <w:spacing w:before="0"/>
        <w:ind w:firstLine="420"/>
        <w:rPr>
          <w:rFonts w:hint="eastAsia" w:ascii="宋体" w:hAnsi="宋体" w:eastAsia="宋体" w:cs="宋体"/>
          <w:color w:val="auto"/>
          <w:kern w:val="2"/>
          <w:sz w:val="21"/>
          <w:szCs w:val="24"/>
          <w:highlight w:val="none"/>
        </w:rPr>
      </w:pPr>
    </w:p>
    <w:p w14:paraId="668FBEF0">
      <w:pPr>
        <w:pStyle w:val="3"/>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第三节 评审过程的保密与录像</w:t>
      </w:r>
      <w:bookmarkEnd w:id="44"/>
      <w:bookmarkEnd w:id="45"/>
    </w:p>
    <w:p w14:paraId="607A9C88">
      <w:pPr>
        <w:spacing w:line="360" w:lineRule="auto"/>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1.保密。</w:t>
      </w:r>
    </w:p>
    <w:p w14:paraId="76553444">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评审活动在严格保密的情况下进行。评审过程中凡是与响应文件评审和比较、中标成交供应商推荐等评审有关的情况，以及涉及国家秘密和商业秘密等信息，</w:t>
      </w:r>
      <w:r>
        <w:rPr>
          <w:rFonts w:hint="eastAsia" w:ascii="宋体" w:hAnsi="宋体" w:eastAsia="宋体" w:cs="宋体"/>
          <w:color w:val="auto"/>
          <w:highlight w:val="none"/>
          <w:lang w:eastAsia="zh-CN"/>
        </w:rPr>
        <w:t>磋商小组</w:t>
      </w:r>
      <w:r>
        <w:rPr>
          <w:rFonts w:hint="eastAsia" w:ascii="宋体" w:hAnsi="宋体" w:eastAsia="宋体" w:cs="宋体"/>
          <w:color w:val="auto"/>
          <w:highlight w:val="none"/>
        </w:rPr>
        <w:t>成员、采购人和采购</w:t>
      </w:r>
      <w:r>
        <w:rPr>
          <w:rFonts w:hint="eastAsia" w:ascii="宋体" w:hAnsi="宋体" w:eastAsia="宋体" w:cs="宋体"/>
          <w:color w:val="auto"/>
          <w:highlight w:val="none"/>
          <w:lang w:eastAsia="zh-CN"/>
        </w:rPr>
        <w:t>代理</w:t>
      </w:r>
      <w:r>
        <w:rPr>
          <w:rFonts w:hint="eastAsia" w:ascii="宋体" w:hAnsi="宋体" w:eastAsia="宋体" w:cs="宋体"/>
          <w:color w:val="auto"/>
          <w:highlight w:val="none"/>
        </w:rPr>
        <w:t>机构工作人员、相关监督人员等与评审有关的人员应当予以保密。</w:t>
      </w:r>
    </w:p>
    <w:p w14:paraId="56942315">
      <w:pPr>
        <w:spacing w:line="360" w:lineRule="auto"/>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2.录音录像。</w:t>
      </w:r>
    </w:p>
    <w:p w14:paraId="2E0B68E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055B2B85">
      <w:pPr>
        <w:jc w:val="center"/>
        <w:outlineLvl w:val="9"/>
        <w:rPr>
          <w:rFonts w:hint="eastAsia" w:ascii="宋体" w:hAnsi="宋体" w:eastAsia="宋体" w:cs="宋体"/>
          <w:b/>
          <w:bCs/>
          <w:color w:val="auto"/>
          <w:highlight w:val="none"/>
        </w:rPr>
      </w:pPr>
    </w:p>
    <w:p w14:paraId="3CE0CB55">
      <w:pPr>
        <w:outlineLvl w:val="9"/>
        <w:rPr>
          <w:rFonts w:hint="eastAsia" w:ascii="宋体" w:hAnsi="宋体" w:eastAsia="宋体" w:cs="宋体"/>
          <w:b/>
          <w:bCs/>
          <w:color w:val="auto"/>
          <w:highlight w:val="none"/>
        </w:rPr>
      </w:pPr>
    </w:p>
    <w:p w14:paraId="1BDE6728">
      <w:pPr>
        <w:outlineLvl w:val="9"/>
        <w:rPr>
          <w:rFonts w:hint="eastAsia" w:ascii="宋体" w:hAnsi="宋体" w:eastAsia="宋体" w:cs="宋体"/>
          <w:b/>
          <w:bCs/>
          <w:color w:val="auto"/>
          <w:highlight w:val="none"/>
        </w:rPr>
      </w:pPr>
    </w:p>
    <w:p w14:paraId="49C2AB5B">
      <w:pPr>
        <w:outlineLvl w:val="9"/>
        <w:rPr>
          <w:rFonts w:hint="eastAsia" w:ascii="宋体" w:hAnsi="宋体" w:eastAsia="宋体" w:cs="宋体"/>
          <w:b/>
          <w:bCs/>
          <w:color w:val="auto"/>
          <w:highlight w:val="none"/>
        </w:rPr>
      </w:pPr>
    </w:p>
    <w:p w14:paraId="46625C95">
      <w:pPr>
        <w:outlineLvl w:val="9"/>
        <w:rPr>
          <w:rFonts w:hint="eastAsia" w:ascii="宋体" w:hAnsi="宋体" w:eastAsia="宋体" w:cs="宋体"/>
          <w:b/>
          <w:bCs/>
          <w:color w:val="auto"/>
          <w:highlight w:val="none"/>
        </w:rPr>
      </w:pPr>
    </w:p>
    <w:p w14:paraId="3EDA84AF">
      <w:pPr>
        <w:jc w:val="center"/>
        <w:outlineLvl w:val="9"/>
        <w:rPr>
          <w:rFonts w:hint="eastAsia" w:ascii="宋体" w:hAnsi="宋体" w:eastAsia="宋体" w:cs="宋体"/>
          <w:b/>
          <w:bCs/>
          <w:color w:val="auto"/>
          <w:highlight w:val="none"/>
        </w:rPr>
      </w:pPr>
    </w:p>
    <w:p w14:paraId="1E7853C6">
      <w:pPr>
        <w:jc w:val="center"/>
        <w:outlineLvl w:val="9"/>
        <w:rPr>
          <w:rFonts w:hint="eastAsia" w:ascii="宋体" w:hAnsi="宋体" w:eastAsia="宋体" w:cs="宋体"/>
          <w:b/>
          <w:bCs/>
          <w:color w:val="auto"/>
          <w:highlight w:val="none"/>
        </w:rPr>
      </w:pPr>
      <w:bookmarkStart w:id="46" w:name="_Toc15809"/>
    </w:p>
    <w:p w14:paraId="21FA00E1">
      <w:pPr>
        <w:pStyle w:val="2"/>
        <w:jc w:val="center"/>
        <w:rPr>
          <w:rFonts w:hint="eastAsia" w:ascii="宋体" w:hAnsi="宋体" w:eastAsia="宋体" w:cs="宋体"/>
          <w:color w:val="auto"/>
          <w:highlight w:val="none"/>
        </w:rPr>
        <w:sectPr>
          <w:footerReference r:id="rId11" w:type="first"/>
          <w:footerReference r:id="rId10" w:type="default"/>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b/>
          <w:bCs/>
          <w:color w:val="auto"/>
          <w:highlight w:val="none"/>
        </w:rPr>
        <w:br w:type="page"/>
      </w:r>
      <w:r>
        <w:rPr>
          <w:rFonts w:hint="eastAsia" w:ascii="宋体" w:hAnsi="宋体" w:eastAsia="宋体" w:cs="宋体"/>
          <w:b/>
          <w:bCs/>
          <w:color w:val="auto"/>
          <w:highlight w:val="none"/>
        </w:rPr>
        <w:t>第五章 响应文件格式</w:t>
      </w:r>
      <w:bookmarkEnd w:id="39"/>
      <w:bookmarkEnd w:id="40"/>
      <w:bookmarkEnd w:id="41"/>
      <w:bookmarkEnd w:id="42"/>
      <w:bookmarkEnd w:id="43"/>
      <w:bookmarkEnd w:id="46"/>
    </w:p>
    <w:p w14:paraId="22FC49D0">
      <w:pPr>
        <w:pStyle w:val="3"/>
        <w:pageBreakBefore w:val="0"/>
        <w:kinsoku/>
        <w:wordWrap/>
        <w:topLinePunct w:val="0"/>
        <w:bidi w:val="0"/>
        <w:spacing w:line="360" w:lineRule="auto"/>
        <w:jc w:val="center"/>
        <w:textAlignment w:val="auto"/>
        <w:rPr>
          <w:rFonts w:hint="eastAsia" w:ascii="宋体" w:hAnsi="宋体" w:eastAsia="宋体" w:cs="宋体"/>
          <w:b/>
          <w:bCs w:val="0"/>
          <w:color w:val="auto"/>
          <w:highlight w:val="none"/>
        </w:rPr>
      </w:pPr>
      <w:bookmarkStart w:id="47" w:name="_Toc22245"/>
      <w:bookmarkStart w:id="48" w:name="_Toc12994"/>
      <w:r>
        <w:rPr>
          <w:rFonts w:hint="eastAsia" w:ascii="宋体" w:hAnsi="宋体" w:eastAsia="宋体" w:cs="宋体"/>
          <w:b/>
          <w:bCs w:val="0"/>
          <w:color w:val="auto"/>
          <w:highlight w:val="none"/>
        </w:rPr>
        <w:t>第一节 资格证明文件格式</w:t>
      </w:r>
      <w:bookmarkEnd w:id="47"/>
      <w:bookmarkEnd w:id="48"/>
    </w:p>
    <w:p w14:paraId="23B3AB71">
      <w:pPr>
        <w:pageBreakBefore w:val="0"/>
        <w:kinsoku/>
        <w:wordWrap/>
        <w:topLinePunct w:val="0"/>
        <w:bidi w:val="0"/>
        <w:snapToGrid w:val="0"/>
        <w:spacing w:before="120" w:beforeLines="50" w:after="50"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b/>
          <w:bCs/>
          <w:color w:val="auto"/>
          <w:sz w:val="28"/>
          <w:szCs w:val="28"/>
          <w:highlight w:val="none"/>
        </w:rPr>
        <w:t>资格证明文件封面的格式：</w:t>
      </w:r>
      <w:r>
        <w:rPr>
          <w:rFonts w:hint="eastAsia" w:ascii="宋体" w:hAnsi="宋体" w:eastAsia="宋体" w:cs="宋体"/>
          <w:color w:val="auto"/>
          <w:sz w:val="24"/>
          <w:highlight w:val="none"/>
        </w:rPr>
        <w:t xml:space="preserve">                                      </w:t>
      </w:r>
    </w:p>
    <w:p w14:paraId="2AAB6793">
      <w:pPr>
        <w:pageBreakBefore w:val="0"/>
        <w:kinsoku/>
        <w:wordWrap/>
        <w:topLinePunct w:val="0"/>
        <w:bidi w:val="0"/>
        <w:snapToGrid w:val="0"/>
        <w:spacing w:before="120" w:beforeLines="50" w:after="50" w:line="360" w:lineRule="auto"/>
        <w:ind w:firstLine="6930" w:firstLineChars="3300"/>
        <w:textAlignment w:val="auto"/>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全流程电子文件</w:t>
      </w:r>
    </w:p>
    <w:p w14:paraId="687F488E">
      <w:pPr>
        <w:pageBreakBefore w:val="0"/>
        <w:kinsoku/>
        <w:wordWrap/>
        <w:topLinePunct w:val="0"/>
        <w:bidi w:val="0"/>
        <w:snapToGrid w:val="0"/>
        <w:spacing w:before="120" w:beforeLines="50" w:after="50" w:line="360" w:lineRule="auto"/>
        <w:textAlignment w:val="auto"/>
        <w:rPr>
          <w:rFonts w:hint="eastAsia" w:ascii="宋体" w:hAnsi="宋体" w:eastAsia="宋体" w:cs="宋体"/>
          <w:color w:val="auto"/>
          <w:sz w:val="24"/>
          <w:szCs w:val="20"/>
          <w:highlight w:val="none"/>
        </w:rPr>
      </w:pPr>
    </w:p>
    <w:p w14:paraId="3FA40769">
      <w:pPr>
        <w:pageBreakBefore w:val="0"/>
        <w:kinsoku/>
        <w:wordWrap/>
        <w:topLinePunct w:val="0"/>
        <w:bidi w:val="0"/>
        <w:snapToGrid w:val="0"/>
        <w:spacing w:before="120" w:beforeLines="50" w:after="50" w:line="360" w:lineRule="auto"/>
        <w:textAlignment w:val="auto"/>
        <w:rPr>
          <w:rFonts w:hint="eastAsia" w:ascii="宋体" w:hAnsi="宋体" w:eastAsia="宋体" w:cs="宋体"/>
          <w:color w:val="auto"/>
          <w:sz w:val="24"/>
          <w:szCs w:val="20"/>
          <w:highlight w:val="none"/>
        </w:rPr>
      </w:pPr>
    </w:p>
    <w:p w14:paraId="087A1359">
      <w:pPr>
        <w:pageBreakBefore w:val="0"/>
        <w:kinsoku/>
        <w:wordWrap/>
        <w:topLinePunct w:val="0"/>
        <w:bidi w:val="0"/>
        <w:snapToGrid w:val="0"/>
        <w:spacing w:before="120" w:beforeLines="50" w:after="50" w:line="360" w:lineRule="auto"/>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  格  证  明  文  件</w:t>
      </w:r>
    </w:p>
    <w:p w14:paraId="162AC1D0">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22B61C58">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05992960">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3EA3CB6C">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23970F48">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541F6530">
      <w:pPr>
        <w:pageBreakBefore w:val="0"/>
        <w:kinsoku/>
        <w:wordWrap/>
        <w:topLinePunct w:val="0"/>
        <w:bidi w:val="0"/>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3C601F1">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p>
    <w:p w14:paraId="6A7B8814">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046132C7">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1F8885E7">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5B3FAE95">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p>
    <w:p w14:paraId="594E1391">
      <w:pPr>
        <w:pStyle w:val="7"/>
        <w:pageBreakBefore w:val="0"/>
        <w:kinsoku/>
        <w:wordWrap/>
        <w:topLinePunct w:val="0"/>
        <w:bidi w:val="0"/>
        <w:snapToGrid w:val="0"/>
        <w:spacing w:before="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A92DE10">
      <w:pPr>
        <w:pStyle w:val="7"/>
        <w:pageBreakBefore w:val="0"/>
        <w:kinsoku/>
        <w:wordWrap/>
        <w:topLinePunct w:val="0"/>
        <w:bidi w:val="0"/>
        <w:snapToGrid w:val="0"/>
        <w:spacing w:before="50" w:after="50" w:line="360" w:lineRule="auto"/>
        <w:ind w:firstLine="720" w:firstLineChars="225"/>
        <w:textAlignment w:val="auto"/>
        <w:rPr>
          <w:rFonts w:hint="eastAsia" w:ascii="宋体" w:hAnsi="宋体" w:eastAsia="宋体" w:cs="宋体"/>
          <w:bCs/>
          <w:color w:val="auto"/>
          <w:sz w:val="32"/>
          <w:szCs w:val="32"/>
          <w:highlight w:val="none"/>
        </w:rPr>
      </w:pPr>
    </w:p>
    <w:p w14:paraId="7F7DEDF7">
      <w:pPr>
        <w:pStyle w:val="7"/>
        <w:pageBreakBefore w:val="0"/>
        <w:kinsoku/>
        <w:wordWrap/>
        <w:topLinePunct w:val="0"/>
        <w:bidi w:val="0"/>
        <w:snapToGrid w:val="0"/>
        <w:spacing w:before="50" w:after="50" w:line="360" w:lineRule="auto"/>
        <w:ind w:firstLine="1280" w:firstLineChars="400"/>
        <w:textAlignment w:val="auto"/>
        <w:rPr>
          <w:rFonts w:hint="eastAsia" w:ascii="宋体" w:hAnsi="宋体" w:eastAsia="宋体" w:cs="宋体"/>
          <w:bCs/>
          <w:color w:val="auto"/>
          <w:sz w:val="32"/>
          <w:szCs w:val="32"/>
          <w:highlight w:val="none"/>
        </w:rPr>
      </w:pPr>
    </w:p>
    <w:p w14:paraId="79E332E8">
      <w:pPr>
        <w:pageBreakBefore w:val="0"/>
        <w:kinsoku/>
        <w:wordWrap/>
        <w:topLinePunct w:val="0"/>
        <w:bidi w:val="0"/>
        <w:snapToGrid w:val="0"/>
        <w:spacing w:before="120" w:beforeLines="50" w:after="50" w:line="360" w:lineRule="auto"/>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 w:val="32"/>
          <w:szCs w:val="32"/>
          <w:highlight w:val="none"/>
        </w:rPr>
        <w:t>年    月    日</w:t>
      </w:r>
      <w:r>
        <w:rPr>
          <w:rFonts w:hint="eastAsia" w:ascii="宋体" w:hAnsi="宋体" w:eastAsia="宋体" w:cs="宋体"/>
          <w:color w:val="auto"/>
          <w:sz w:val="24"/>
          <w:highlight w:val="none"/>
        </w:rPr>
        <w:br w:type="page"/>
      </w:r>
      <w:r>
        <w:rPr>
          <w:rFonts w:hint="eastAsia" w:ascii="宋体" w:hAnsi="宋体" w:eastAsia="宋体" w:cs="宋体"/>
          <w:b/>
          <w:bCs/>
          <w:color w:val="auto"/>
          <w:sz w:val="28"/>
          <w:szCs w:val="28"/>
          <w:highlight w:val="none"/>
        </w:rPr>
        <w:t>资格证明文件目录</w:t>
      </w:r>
    </w:p>
    <w:p w14:paraId="447C2980">
      <w:pPr>
        <w:pageBreakBefore w:val="0"/>
        <w:kinsoku/>
        <w:wordWrap/>
        <w:topLinePunct w:val="0"/>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4"/>
          <w:highlight w:val="none"/>
        </w:rPr>
        <w:t xml:space="preserve">  根据竞争性磋商文件规定及供应商提供的材料自行编写目录（部分格式后附）。</w:t>
      </w:r>
    </w:p>
    <w:p w14:paraId="635536C8">
      <w:pPr>
        <w:pageBreakBefore w:val="0"/>
        <w:kinsoku/>
        <w:wordWrap/>
        <w:topLinePunct w:val="0"/>
        <w:bidi w:val="0"/>
        <w:spacing w:line="360" w:lineRule="auto"/>
        <w:jc w:val="left"/>
        <w:textAlignment w:val="auto"/>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kern w:val="0"/>
          <w:sz w:val="28"/>
          <w:szCs w:val="28"/>
          <w:highlight w:val="none"/>
        </w:rPr>
        <w:t>资格声明函的格式：</w:t>
      </w:r>
    </w:p>
    <w:p w14:paraId="4B1F0E33">
      <w:pPr>
        <w:pageBreakBefore w:val="0"/>
        <w:kinsoku/>
        <w:wordWrap/>
        <w:topLinePunct w:val="0"/>
        <w:bidi w:val="0"/>
        <w:spacing w:line="360" w:lineRule="auto"/>
        <w:jc w:val="center"/>
        <w:textAlignment w:val="auto"/>
        <w:rPr>
          <w:rFonts w:hint="eastAsia" w:ascii="宋体" w:hAnsi="宋体" w:eastAsia="宋体" w:cs="宋体"/>
          <w:b/>
          <w:color w:val="auto"/>
          <w:sz w:val="32"/>
          <w:szCs w:val="32"/>
          <w:highlight w:val="none"/>
        </w:rPr>
      </w:pPr>
    </w:p>
    <w:p w14:paraId="4E8EED64">
      <w:pPr>
        <w:pageBreakBefore w:val="0"/>
        <w:kinsoku/>
        <w:wordWrap/>
        <w:topLinePunct w:val="0"/>
        <w:bidi w:val="0"/>
        <w:spacing w:line="36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232BE256">
      <w:pPr>
        <w:pageBreakBefore w:val="0"/>
        <w:kinsoku/>
        <w:wordWrap/>
        <w:topLinePunct w:val="0"/>
        <w:bidi w:val="0"/>
        <w:spacing w:line="360" w:lineRule="auto"/>
        <w:jc w:val="center"/>
        <w:textAlignment w:val="auto"/>
        <w:rPr>
          <w:rFonts w:hint="eastAsia" w:ascii="宋体" w:hAnsi="宋体" w:eastAsia="宋体" w:cs="宋体"/>
          <w:color w:val="auto"/>
          <w:sz w:val="24"/>
          <w:szCs w:val="20"/>
          <w:highlight w:val="none"/>
        </w:rPr>
      </w:pPr>
    </w:p>
    <w:p w14:paraId="4C232741">
      <w:pPr>
        <w:keepNext w:val="0"/>
        <w:keepLines w:val="0"/>
        <w:pageBreakBefore w:val="0"/>
        <w:widowControl w:val="0"/>
        <w:kinsoku/>
        <w:wordWrap/>
        <w:overflowPunct/>
        <w:topLinePunct w:val="0"/>
        <w:bidi w:val="0"/>
        <w:adjustRightInd/>
        <w:spacing w:line="360" w:lineRule="auto"/>
        <w:contextualSpacing/>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致：</w:t>
      </w:r>
      <w:r>
        <w:rPr>
          <w:rFonts w:hint="eastAsia" w:ascii="宋体" w:hAnsi="宋体" w:eastAsia="宋体" w:cs="宋体"/>
          <w:i w:val="0"/>
          <w:iCs w:val="0"/>
          <w:color w:val="auto"/>
          <w:szCs w:val="21"/>
          <w:highlight w:val="none"/>
          <w:u w:val="single"/>
        </w:rPr>
        <w:t>（采购代理机构名称）</w:t>
      </w:r>
      <w:r>
        <w:rPr>
          <w:rFonts w:hint="eastAsia" w:ascii="宋体" w:hAnsi="宋体" w:eastAsia="宋体" w:cs="宋体"/>
          <w:i w:val="0"/>
          <w:iCs w:val="0"/>
          <w:color w:val="auto"/>
          <w:szCs w:val="21"/>
          <w:highlight w:val="none"/>
        </w:rPr>
        <w:t>：</w:t>
      </w:r>
    </w:p>
    <w:p w14:paraId="2519518F">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u w:val="single"/>
        </w:rPr>
        <w:t>（供应商名称）</w:t>
      </w:r>
      <w:r>
        <w:rPr>
          <w:rFonts w:hint="eastAsia" w:ascii="宋体" w:hAnsi="宋体" w:eastAsia="宋体" w:cs="宋体"/>
          <w:i w:val="0"/>
          <w:iCs w:val="0"/>
          <w:color w:val="auto"/>
          <w:szCs w:val="21"/>
          <w:highlight w:val="none"/>
        </w:rPr>
        <w:t>系中华人民共和国合法供应商，经营地址</w:t>
      </w:r>
      <w:r>
        <w:rPr>
          <w:rFonts w:hint="eastAsia" w:ascii="宋体" w:hAnsi="宋体" w:eastAsia="宋体" w:cs="宋体"/>
          <w:i w:val="0"/>
          <w:iCs w:val="0"/>
          <w:color w:val="auto"/>
          <w:szCs w:val="21"/>
          <w:highlight w:val="none"/>
          <w:u w:val="single"/>
        </w:rPr>
        <w:t xml:space="preserve">                              </w:t>
      </w:r>
      <w:r>
        <w:rPr>
          <w:rFonts w:hint="eastAsia" w:ascii="宋体" w:hAnsi="宋体" w:eastAsia="宋体" w:cs="宋体"/>
          <w:i w:val="0"/>
          <w:iCs w:val="0"/>
          <w:color w:val="auto"/>
          <w:szCs w:val="21"/>
          <w:highlight w:val="none"/>
        </w:rPr>
        <w:t>。</w:t>
      </w:r>
    </w:p>
    <w:p w14:paraId="111597F3">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i w:val="0"/>
          <w:iCs w:val="0"/>
          <w:color w:val="auto"/>
          <w:szCs w:val="21"/>
          <w:highlight w:val="none"/>
        </w:rPr>
        <w:t>我方愿意参加贵方组织的</w:t>
      </w:r>
      <w:r>
        <w:rPr>
          <w:rFonts w:hint="eastAsia" w:ascii="宋体" w:hAnsi="宋体" w:eastAsia="宋体" w:cs="宋体"/>
          <w:i w:val="0"/>
          <w:iCs w:val="0"/>
          <w:color w:val="auto"/>
          <w:szCs w:val="21"/>
          <w:highlight w:val="none"/>
          <w:u w:val="single"/>
        </w:rPr>
        <w:t>（项目名称）</w:t>
      </w:r>
      <w:r>
        <w:rPr>
          <w:rFonts w:hint="eastAsia" w:ascii="宋体" w:hAnsi="宋体" w:eastAsia="宋体" w:cs="宋体"/>
          <w:i w:val="0"/>
          <w:iCs w:val="0"/>
          <w:color w:val="auto"/>
          <w:szCs w:val="21"/>
          <w:highlight w:val="none"/>
        </w:rPr>
        <w:t>项目的竞标，为</w:t>
      </w:r>
      <w:r>
        <w:rPr>
          <w:rFonts w:hint="eastAsia" w:ascii="宋体" w:hAnsi="宋体" w:eastAsia="宋体" w:cs="宋体"/>
          <w:color w:val="auto"/>
          <w:szCs w:val="21"/>
          <w:highlight w:val="none"/>
        </w:rPr>
        <w:t>便于贵方公正、择优地确定成交供应商及其竞标产品和服务，我方就本次竞标有关事项郑重声明如下：</w:t>
      </w:r>
    </w:p>
    <w:p w14:paraId="7825ED65">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1.我方向贵方提交的所有响应文件、资料都是准确的和真实的。</w:t>
      </w:r>
    </w:p>
    <w:p w14:paraId="468A6EF2">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0A57B68">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3.在此，我方宣布同意如下：</w:t>
      </w:r>
    </w:p>
    <w:p w14:paraId="38B29B69">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（1）将按磋商文件的约定履行合同责任和义务；</w:t>
      </w:r>
    </w:p>
    <w:p w14:paraId="182D4765">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（2）已详细审查全部磋商文件，包括澄清或者更正公告（如有）；</w:t>
      </w:r>
    </w:p>
    <w:p w14:paraId="1B8A00B7">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（3）同意提供按照贵方可能要求的与磋商有关的一切数据或者资料。</w:t>
      </w:r>
    </w:p>
    <w:p w14:paraId="1FABE0A2">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4.我方承诺符合《中华人民共和国政府采购法》第二十二条规定：</w:t>
      </w:r>
    </w:p>
    <w:p w14:paraId="1B8408CE">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（1）具有独立承担民事责任的能力；</w:t>
      </w:r>
    </w:p>
    <w:p w14:paraId="0256FBBB">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（2）具有良好的商业信誉和健全的财务会计制度；</w:t>
      </w:r>
    </w:p>
    <w:p w14:paraId="014AED1C">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（3）具有履行合同所必需的设备和专业技术能力；</w:t>
      </w:r>
    </w:p>
    <w:p w14:paraId="713DC920">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（4）有依法缴纳税收和社会保障资金的良好记录；</w:t>
      </w:r>
    </w:p>
    <w:p w14:paraId="09030E85">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（5）参加政府采购活动前三年内，在经营活动中没有重大违法记录；</w:t>
      </w:r>
    </w:p>
    <w:p w14:paraId="2877F696">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（6）法律、行政法规规定的其他条件。</w:t>
      </w:r>
    </w:p>
    <w:p w14:paraId="5D2A6F7E">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59FDB84">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106BE82">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□我方本次响应文件</w:t>
      </w:r>
      <w:r>
        <w:rPr>
          <w:rFonts w:hint="eastAsia" w:ascii="宋体" w:hAnsi="宋体" w:eastAsia="宋体" w:cs="宋体"/>
          <w:color w:val="auto"/>
          <w:kern w:val="0"/>
          <w:szCs w:val="21"/>
          <w:highlight w:val="none"/>
        </w:rPr>
        <w:t>内容中</w:t>
      </w:r>
      <w:r>
        <w:rPr>
          <w:rFonts w:hint="eastAsia" w:ascii="宋体" w:hAnsi="宋体" w:eastAsia="宋体" w:cs="宋体"/>
          <w:color w:val="auto"/>
          <w:szCs w:val="21"/>
          <w:highlight w:val="none"/>
        </w:rPr>
        <w:t>未</w:t>
      </w:r>
      <w:r>
        <w:rPr>
          <w:rFonts w:hint="eastAsia" w:ascii="宋体" w:hAnsi="宋体" w:eastAsia="宋体" w:cs="宋体"/>
          <w:color w:val="auto"/>
          <w:kern w:val="0"/>
          <w:szCs w:val="21"/>
          <w:highlight w:val="none"/>
        </w:rPr>
        <w:t>涉及商业秘密；</w:t>
      </w:r>
    </w:p>
    <w:p w14:paraId="353AA6AC">
      <w:pPr>
        <w:keepNext w:val="0"/>
        <w:keepLines w:val="0"/>
        <w:pageBreakBefore w:val="0"/>
        <w:widowControl w:val="0"/>
        <w:kinsoku/>
        <w:wordWrap/>
        <w:overflowPunct/>
        <w:topLinePunct w:val="0"/>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□我方本次响应文件</w:t>
      </w:r>
      <w:r>
        <w:rPr>
          <w:rFonts w:hint="eastAsia" w:ascii="宋体" w:hAnsi="宋体" w:eastAsia="宋体" w:cs="宋体"/>
          <w:color w:val="auto"/>
          <w:kern w:val="0"/>
          <w:szCs w:val="21"/>
          <w:highlight w:val="none"/>
        </w:rPr>
        <w:t>涉及商业秘密的内容有：</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2C02AB7C">
      <w:pPr>
        <w:pStyle w:val="15"/>
        <w:keepNext w:val="0"/>
        <w:keepLines w:val="0"/>
        <w:pageBreakBefore w:val="0"/>
        <w:widowControl w:val="0"/>
        <w:tabs>
          <w:tab w:val="left" w:pos="939"/>
        </w:tabs>
        <w:kinsoku/>
        <w:wordWrap/>
        <w:overflowPunct/>
        <w:topLinePunct w:val="0"/>
        <w:bidi w:val="0"/>
        <w:adjustRightInd/>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7.</w:t>
      </w:r>
      <w:r>
        <w:rPr>
          <w:rFonts w:hint="eastAsia" w:ascii="宋体" w:hAnsi="宋体" w:eastAsia="宋体" w:cs="宋体"/>
          <w:color w:val="auto"/>
          <w:szCs w:val="21"/>
          <w:highlight w:val="none"/>
        </w:rPr>
        <w:t>以上事项如有虚假或者隐瞒，我方愿意承担一切后果，并不再寻求任何旨在减轻或者免除法律责任的辩解。</w:t>
      </w:r>
    </w:p>
    <w:p w14:paraId="644D74F7">
      <w:pPr>
        <w:pStyle w:val="15"/>
        <w:keepNext w:val="0"/>
        <w:keepLines w:val="0"/>
        <w:pageBreakBefore w:val="0"/>
        <w:widowControl w:val="0"/>
        <w:tabs>
          <w:tab w:val="left" w:pos="939"/>
        </w:tabs>
        <w:kinsoku/>
        <w:wordWrap/>
        <w:overflowPunct/>
        <w:topLinePunct w:val="0"/>
        <w:bidi w:val="0"/>
        <w:adjustRightInd/>
        <w:spacing w:line="360" w:lineRule="auto"/>
        <w:ind w:left="141" w:leftChars="67" w:firstLine="315" w:firstLineChars="1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46F218C3">
      <w:pPr>
        <w:pStyle w:val="15"/>
        <w:keepNext w:val="0"/>
        <w:keepLines w:val="0"/>
        <w:pageBreakBefore w:val="0"/>
        <w:widowControl w:val="0"/>
        <w:tabs>
          <w:tab w:val="left" w:pos="939"/>
        </w:tabs>
        <w:kinsoku/>
        <w:wordWrap/>
        <w:overflowPunct/>
        <w:topLinePunct w:val="0"/>
        <w:bidi w:val="0"/>
        <w:adjustRightInd/>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注：如为联合体竞标，盖章处须加盖联合体各方公章，否则其响应文件按无效响应处理。</w:t>
      </w:r>
    </w:p>
    <w:p w14:paraId="7B461039">
      <w:pPr>
        <w:pStyle w:val="15"/>
        <w:keepNext w:val="0"/>
        <w:keepLines w:val="0"/>
        <w:pageBreakBefore w:val="0"/>
        <w:widowControl w:val="0"/>
        <w:tabs>
          <w:tab w:val="left" w:pos="939"/>
        </w:tabs>
        <w:kinsoku/>
        <w:wordWrap/>
        <w:overflowPunct/>
        <w:topLinePunct w:val="0"/>
        <w:bidi w:val="0"/>
        <w:adjustRightInd/>
        <w:spacing w:line="360" w:lineRule="auto"/>
        <w:ind w:left="0" w:leftChars="0" w:firstLine="420" w:firstLineChars="200"/>
        <w:textAlignment w:val="auto"/>
        <w:rPr>
          <w:rFonts w:hint="eastAsia" w:ascii="宋体" w:hAnsi="宋体" w:eastAsia="宋体" w:cs="宋体"/>
          <w:color w:val="auto"/>
          <w:szCs w:val="21"/>
          <w:highlight w:val="none"/>
        </w:rPr>
      </w:pPr>
    </w:p>
    <w:p w14:paraId="3A515289">
      <w:pPr>
        <w:keepNext w:val="0"/>
        <w:keepLines w:val="0"/>
        <w:pageBreakBefore w:val="0"/>
        <w:widowControl w:val="0"/>
        <w:kinsoku/>
        <w:wordWrap/>
        <w:overflowPunct/>
        <w:topLinePunct w:val="0"/>
        <w:autoSpaceDE w:val="0"/>
        <w:autoSpaceDN w:val="0"/>
        <w:bidi w:val="0"/>
        <w:adjustRightInd/>
        <w:spacing w:line="360" w:lineRule="auto"/>
        <w:ind w:left="4305" w:leftChars="1850" w:hanging="420" w:hangingChars="200"/>
        <w:textAlignment w:val="auto"/>
        <w:rPr>
          <w:rFonts w:hint="eastAsia" w:ascii="宋体" w:hAnsi="宋体" w:eastAsia="宋体" w:cs="宋体"/>
          <w:color w:val="auto"/>
          <w:kern w:val="0"/>
          <w:szCs w:val="21"/>
          <w:highlight w:val="none"/>
        </w:rPr>
      </w:pPr>
    </w:p>
    <w:p w14:paraId="3A422063">
      <w:pPr>
        <w:keepNext w:val="0"/>
        <w:keepLines w:val="0"/>
        <w:pageBreakBefore w:val="0"/>
        <w:widowControl w:val="0"/>
        <w:kinsoku/>
        <w:wordWrap/>
        <w:overflowPunct/>
        <w:topLinePunct w:val="0"/>
        <w:autoSpaceDE w:val="0"/>
        <w:autoSpaceDN w:val="0"/>
        <w:bidi w:val="0"/>
        <w:adjustRightInd/>
        <w:spacing w:line="360" w:lineRule="auto"/>
        <w:ind w:left="4305" w:leftChars="1850" w:hanging="420" w:hangingChars="200"/>
        <w:textAlignment w:val="auto"/>
        <w:rPr>
          <w:rFonts w:hint="eastAsia" w:ascii="宋体" w:hAnsi="宋体" w:eastAsia="宋体" w:cs="宋体"/>
          <w:color w:val="auto"/>
          <w:kern w:val="0"/>
          <w:szCs w:val="21"/>
          <w:highlight w:val="none"/>
        </w:rPr>
      </w:pPr>
    </w:p>
    <w:p w14:paraId="47AF5E0F">
      <w:pPr>
        <w:keepNext w:val="0"/>
        <w:keepLines w:val="0"/>
        <w:pageBreakBefore w:val="0"/>
        <w:widowControl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14EA9052">
      <w:pPr>
        <w:keepNext w:val="0"/>
        <w:keepLines w:val="0"/>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0E1FC2D">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7F1E1AFD">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539A7496">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0954F9A0">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792402E1">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1344F225">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73931E72">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29977904">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7C6E9AF5">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4B13C0F4">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4A5071AE">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5EDFA54C">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358DB3B1">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14B90BBC">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32A50861">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1C544FA5">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37091EB4">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794EB82C">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565068B7">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198A3F37">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3752082A">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55D9799C">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778B8198">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552FD54D">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6E27744B">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0935E836">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36A17D08">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4AB05EE9">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3453C196">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4D35BA0E">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23B8B765">
      <w:pPr>
        <w:pStyle w:val="7"/>
        <w:pageBreakBefore w:val="0"/>
        <w:kinsoku/>
        <w:wordWrap/>
        <w:topLinePunct w:val="0"/>
        <w:bidi w:val="0"/>
        <w:spacing w:line="360" w:lineRule="auto"/>
        <w:textAlignment w:val="auto"/>
        <w:rPr>
          <w:rFonts w:hint="eastAsia" w:ascii="宋体" w:hAnsi="宋体" w:eastAsia="宋体" w:cs="宋体"/>
          <w:color w:val="auto"/>
          <w:szCs w:val="21"/>
          <w:highlight w:val="none"/>
        </w:rPr>
      </w:pPr>
    </w:p>
    <w:p w14:paraId="004DE08E">
      <w:pPr>
        <w:pageBreakBefore w:val="0"/>
        <w:kinsoku/>
        <w:wordWrap/>
        <w:topLinePunct w:val="0"/>
        <w:bidi w:val="0"/>
        <w:spacing w:line="360" w:lineRule="auto"/>
        <w:contextualSpacing/>
        <w:jc w:val="center"/>
        <w:textAlignment w:val="auto"/>
        <w:rPr>
          <w:rFonts w:hint="eastAsia" w:ascii="宋体" w:hAnsi="宋体" w:eastAsia="宋体" w:cs="宋体"/>
          <w:b/>
          <w:color w:val="auto"/>
          <w:sz w:val="32"/>
          <w:szCs w:val="32"/>
          <w:highlight w:val="none"/>
        </w:rPr>
      </w:pPr>
    </w:p>
    <w:p w14:paraId="7F653048">
      <w:pPr>
        <w:pageBreakBefore w:val="0"/>
        <w:kinsoku/>
        <w:wordWrap/>
        <w:topLinePunct w:val="0"/>
        <w:bidi w:val="0"/>
        <w:spacing w:line="360" w:lineRule="auto"/>
        <w:contextualSpacing/>
        <w:jc w:val="center"/>
        <w:textAlignment w:val="auto"/>
        <w:rPr>
          <w:rFonts w:hint="eastAsia" w:ascii="宋体" w:hAnsi="宋体" w:eastAsia="宋体" w:cs="宋体"/>
          <w:b/>
          <w:color w:val="auto"/>
          <w:kern w:val="0"/>
          <w:sz w:val="30"/>
          <w:szCs w:val="30"/>
          <w:highlight w:val="none"/>
        </w:rPr>
      </w:pPr>
      <w:r>
        <w:rPr>
          <w:rFonts w:hint="eastAsia" w:ascii="宋体" w:hAnsi="宋体" w:eastAsia="宋体" w:cs="宋体"/>
          <w:b/>
          <w:color w:val="auto"/>
          <w:sz w:val="32"/>
          <w:szCs w:val="32"/>
          <w:highlight w:val="none"/>
        </w:rPr>
        <w:t>供应商直接控股、管理关系信息表</w:t>
      </w:r>
    </w:p>
    <w:p w14:paraId="243A64AE">
      <w:pPr>
        <w:pageBreakBefore w:val="0"/>
        <w:kinsoku/>
        <w:wordWrap/>
        <w:topLinePunct w:val="0"/>
        <w:bidi w:val="0"/>
        <w:spacing w:line="360" w:lineRule="auto"/>
        <w:contextualSpacing/>
        <w:jc w:val="center"/>
        <w:textAlignment w:val="auto"/>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供应商直接控股股东信息</w:t>
      </w:r>
    </w:p>
    <w:p w14:paraId="3D0433B8">
      <w:pPr>
        <w:pageBreakBefore w:val="0"/>
        <w:kinsoku/>
        <w:wordWrap/>
        <w:topLinePunct w:val="0"/>
        <w:bidi w:val="0"/>
        <w:spacing w:line="360" w:lineRule="auto"/>
        <w:contextualSpacing/>
        <w:jc w:val="center"/>
        <w:textAlignment w:val="auto"/>
        <w:rPr>
          <w:rFonts w:hint="eastAsia" w:ascii="宋体" w:hAnsi="宋体" w:eastAsia="宋体" w:cs="宋体"/>
          <w:b/>
          <w:color w:val="auto"/>
          <w:sz w:val="24"/>
          <w:highlight w:val="none"/>
        </w:rPr>
      </w:pPr>
    </w:p>
    <w:tbl>
      <w:tblPr>
        <w:tblStyle w:val="2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20C8D5C2">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2BC840">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D263F7">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5F2FC8">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8E876">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7784BF">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A71C09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D97981">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A93A2">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27F394">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BA82A2">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5002DE">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r w14:paraId="39DAA50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0A998B">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7F61E1">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C02C7D">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DF61F9">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0BBD67">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r w14:paraId="3966AD7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23AE25">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DA152C5">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6EF083">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F2847C">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E86C04">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r w14:paraId="66A2F5F8">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046326">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9BFA52A">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F8DBBB">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152DFD">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0DD8FF">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bl>
    <w:p w14:paraId="1026C253">
      <w:pPr>
        <w:pageBreakBefore w:val="0"/>
        <w:kinsoku/>
        <w:wordWrap/>
        <w:topLinePunct w:val="0"/>
        <w:bidi w:val="0"/>
        <w:spacing w:line="360" w:lineRule="auto"/>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0A31750">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273CA84">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24691545">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402A4984">
      <w:pPr>
        <w:pageBreakBefore w:val="0"/>
        <w:kinsoku/>
        <w:wordWrap/>
        <w:topLinePunct w:val="0"/>
        <w:bidi w:val="0"/>
        <w:snapToGrid w:val="0"/>
        <w:spacing w:line="360" w:lineRule="auto"/>
        <w:jc w:val="left"/>
        <w:textAlignment w:val="auto"/>
        <w:rPr>
          <w:rFonts w:hint="eastAsia" w:ascii="宋体" w:hAnsi="宋体" w:eastAsia="宋体" w:cs="宋体"/>
          <w:color w:val="auto"/>
          <w:sz w:val="24"/>
          <w:highlight w:val="none"/>
        </w:rPr>
      </w:pPr>
    </w:p>
    <w:p w14:paraId="1290D566">
      <w:pPr>
        <w:pageBreakBefore w:val="0"/>
        <w:kinsoku/>
        <w:wordWrap/>
        <w:topLinePunct w:val="0"/>
        <w:bidi w:val="0"/>
        <w:snapToGrid w:val="0"/>
        <w:spacing w:line="360" w:lineRule="auto"/>
        <w:jc w:val="left"/>
        <w:textAlignment w:val="auto"/>
        <w:rPr>
          <w:rFonts w:hint="eastAsia" w:ascii="宋体" w:hAnsi="宋体" w:eastAsia="宋体" w:cs="宋体"/>
          <w:color w:val="auto"/>
          <w:sz w:val="24"/>
          <w:highlight w:val="none"/>
        </w:rPr>
      </w:pPr>
    </w:p>
    <w:p w14:paraId="59AB3971">
      <w:pPr>
        <w:pageBreakBefore w:val="0"/>
        <w:kinsoku/>
        <w:wordWrap/>
        <w:topLinePunct w:val="0"/>
        <w:bidi w:val="0"/>
        <w:snapToGrid w:val="0"/>
        <w:spacing w:line="360" w:lineRule="auto"/>
        <w:jc w:val="left"/>
        <w:textAlignment w:val="auto"/>
        <w:rPr>
          <w:rFonts w:hint="eastAsia" w:ascii="宋体" w:hAnsi="宋体" w:eastAsia="宋体" w:cs="宋体"/>
          <w:color w:val="auto"/>
          <w:sz w:val="24"/>
          <w:highlight w:val="none"/>
        </w:rPr>
      </w:pPr>
    </w:p>
    <w:p w14:paraId="07538EC8">
      <w:pPr>
        <w:pageBreakBefore w:val="0"/>
        <w:kinsoku/>
        <w:wordWrap/>
        <w:topLinePunct w:val="0"/>
        <w:autoSpaceDE w:val="0"/>
        <w:autoSpaceDN w:val="0"/>
        <w:bidi w:val="0"/>
        <w:spacing w:line="360" w:lineRule="auto"/>
        <w:ind w:left="4365" w:leftChars="1850" w:hanging="480" w:hanging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B36A110">
      <w:pPr>
        <w:pageBreakBefore w:val="0"/>
        <w:kinsoku/>
        <w:wordWrap/>
        <w:topLinePunct w:val="0"/>
        <w:autoSpaceDE w:val="0"/>
        <w:autoSpaceDN w:val="0"/>
        <w:bidi w:val="0"/>
        <w:spacing w:line="360" w:lineRule="auto"/>
        <w:ind w:firstLine="6120" w:firstLineChars="2550"/>
        <w:textAlignment w:val="auto"/>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4ED62CE">
      <w:pPr>
        <w:pageBreakBefore w:val="0"/>
        <w:kinsoku/>
        <w:wordWrap/>
        <w:topLinePunct w:val="0"/>
        <w:bidi w:val="0"/>
        <w:snapToGrid w:val="0"/>
        <w:spacing w:line="360" w:lineRule="auto"/>
        <w:textAlignment w:val="auto"/>
        <w:rPr>
          <w:rFonts w:hint="eastAsia" w:ascii="宋体" w:hAnsi="宋体" w:eastAsia="宋体" w:cs="宋体"/>
          <w:b/>
          <w:color w:val="auto"/>
          <w:kern w:val="0"/>
          <w:sz w:val="30"/>
          <w:szCs w:val="30"/>
          <w:highlight w:val="none"/>
        </w:rPr>
      </w:pPr>
    </w:p>
    <w:p w14:paraId="5FDB2A7F">
      <w:pPr>
        <w:pageBreakBefore w:val="0"/>
        <w:kinsoku/>
        <w:wordWrap/>
        <w:topLinePunct w:val="0"/>
        <w:bidi w:val="0"/>
        <w:snapToGrid w:val="0"/>
        <w:spacing w:line="360" w:lineRule="auto"/>
        <w:jc w:val="center"/>
        <w:textAlignment w:val="auto"/>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br w:type="page"/>
      </w:r>
      <w:r>
        <w:rPr>
          <w:rFonts w:hint="eastAsia" w:ascii="宋体" w:hAnsi="宋体" w:eastAsia="宋体" w:cs="宋体"/>
          <w:b/>
          <w:color w:val="auto"/>
          <w:kern w:val="0"/>
          <w:sz w:val="30"/>
          <w:szCs w:val="30"/>
          <w:highlight w:val="none"/>
        </w:rPr>
        <w:t>供应商直接管理关系信息表</w:t>
      </w:r>
    </w:p>
    <w:p w14:paraId="74FCC0D5">
      <w:pPr>
        <w:pageBreakBefore w:val="0"/>
        <w:kinsoku/>
        <w:wordWrap/>
        <w:topLinePunct w:val="0"/>
        <w:bidi w:val="0"/>
        <w:snapToGrid w:val="0"/>
        <w:spacing w:line="360" w:lineRule="auto"/>
        <w:jc w:val="center"/>
        <w:textAlignment w:val="auto"/>
        <w:rPr>
          <w:rFonts w:hint="eastAsia" w:ascii="宋体" w:hAnsi="宋体" w:eastAsia="宋体" w:cs="宋体"/>
          <w:b/>
          <w:color w:val="auto"/>
          <w:sz w:val="24"/>
          <w:highlight w:val="none"/>
        </w:rPr>
      </w:pPr>
    </w:p>
    <w:tbl>
      <w:tblPr>
        <w:tblStyle w:val="2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7C17FC1">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2BB82E">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6468501">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34D4F4">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C5044C">
            <w:pPr>
              <w:pageBreakBefore w:val="0"/>
              <w:widowControl/>
              <w:kinsoku/>
              <w:wordWrap/>
              <w:topLinePunct w:val="0"/>
              <w:bidi w:val="0"/>
              <w:spacing w:line="360" w:lineRule="auto"/>
              <w:contextualSpacing/>
              <w:jc w:val="center"/>
              <w:textAlignment w:val="auto"/>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0751A34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A36121">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D96CFA">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BD99BB">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4D7394">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r w14:paraId="770ECF7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E5C4ED">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D62FD8">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D92A6D5">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D674B9">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r w14:paraId="4A71B3E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17AE9E">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F7A6B62">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21AEAC">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2F6A65">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r w14:paraId="642FB1C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79474C">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BF28A8">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AEA92B">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93AD9C">
            <w:pPr>
              <w:pageBreakBefore w:val="0"/>
              <w:widowControl/>
              <w:kinsoku/>
              <w:wordWrap/>
              <w:topLinePunct w:val="0"/>
              <w:bidi w:val="0"/>
              <w:spacing w:line="360" w:lineRule="auto"/>
              <w:contextualSpacing/>
              <w:jc w:val="center"/>
              <w:textAlignment w:val="auto"/>
              <w:rPr>
                <w:rFonts w:hint="eastAsia" w:ascii="宋体" w:hAnsi="宋体" w:eastAsia="宋体" w:cs="宋体"/>
                <w:color w:val="auto"/>
                <w:kern w:val="0"/>
                <w:sz w:val="24"/>
                <w:highlight w:val="none"/>
              </w:rPr>
            </w:pPr>
          </w:p>
        </w:tc>
      </w:tr>
    </w:tbl>
    <w:p w14:paraId="7B755361">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31F023D7">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00F402AC">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00B15BB6">
      <w:pPr>
        <w:pageBreakBefore w:val="0"/>
        <w:kinsoku/>
        <w:wordWrap/>
        <w:topLinePunct w:val="0"/>
        <w:bidi w:val="0"/>
        <w:spacing w:line="360" w:lineRule="auto"/>
        <w:ind w:firstLine="480" w:firstLineChars="200"/>
        <w:contextualSpacing/>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75B7A35D">
      <w:pPr>
        <w:pageBreakBefore w:val="0"/>
        <w:kinsoku/>
        <w:wordWrap/>
        <w:topLinePunct w:val="0"/>
        <w:bidi w:val="0"/>
        <w:spacing w:line="360" w:lineRule="auto"/>
        <w:contextualSpacing/>
        <w:jc w:val="left"/>
        <w:textAlignment w:val="auto"/>
        <w:rPr>
          <w:rFonts w:hint="eastAsia" w:ascii="宋体" w:hAnsi="宋体" w:eastAsia="宋体" w:cs="宋体"/>
          <w:color w:val="auto"/>
          <w:sz w:val="24"/>
          <w:highlight w:val="none"/>
        </w:rPr>
      </w:pPr>
    </w:p>
    <w:p w14:paraId="1C10BE19">
      <w:pPr>
        <w:pageBreakBefore w:val="0"/>
        <w:kinsoku/>
        <w:wordWrap/>
        <w:topLinePunct w:val="0"/>
        <w:autoSpaceDE w:val="0"/>
        <w:autoSpaceDN w:val="0"/>
        <w:bidi w:val="0"/>
        <w:spacing w:line="360" w:lineRule="auto"/>
        <w:ind w:left="4365" w:leftChars="1850" w:hanging="480" w:hanging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0A95F7">
      <w:pPr>
        <w:pageBreakBefore w:val="0"/>
        <w:kinsoku/>
        <w:wordWrap/>
        <w:topLinePunct w:val="0"/>
        <w:autoSpaceDE w:val="0"/>
        <w:autoSpaceDN w:val="0"/>
        <w:bidi w:val="0"/>
        <w:spacing w:line="360" w:lineRule="auto"/>
        <w:ind w:firstLine="6120" w:firstLineChars="2550"/>
        <w:textAlignment w:val="auto"/>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4065EC5D">
      <w:pPr>
        <w:pStyle w:val="7"/>
        <w:rPr>
          <w:rFonts w:hint="eastAsia" w:ascii="宋体" w:hAnsi="宋体" w:eastAsia="宋体" w:cs="宋体"/>
          <w:color w:val="auto"/>
          <w:highlight w:val="none"/>
          <w:lang w:val="zh-CN"/>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pPr>
    </w:p>
    <w:p w14:paraId="3F9B4ADB">
      <w:pPr>
        <w:pStyle w:val="7"/>
        <w:rPr>
          <w:rFonts w:hint="eastAsia" w:ascii="宋体" w:hAnsi="宋体" w:eastAsia="宋体" w:cs="宋体"/>
          <w:color w:val="auto"/>
          <w:highlight w:val="none"/>
          <w:lang w:val="zh-CN"/>
        </w:rPr>
      </w:pPr>
    </w:p>
    <w:p w14:paraId="7E2E21A2">
      <w:pPr>
        <w:spacing w:line="360" w:lineRule="auto"/>
        <w:rPr>
          <w:rFonts w:hint="eastAsia" w:ascii="宋体" w:hAnsi="宋体" w:eastAsia="宋体" w:cs="宋体"/>
          <w:color w:val="auto"/>
          <w:szCs w:val="21"/>
          <w:highlight w:val="none"/>
        </w:rPr>
      </w:pPr>
    </w:p>
    <w:p w14:paraId="04DB772E">
      <w:pPr>
        <w:jc w:val="center"/>
        <w:rPr>
          <w:rFonts w:hint="eastAsia" w:ascii="宋体" w:hAnsi="宋体" w:eastAsia="宋体" w:cs="宋体"/>
          <w:b/>
          <w:color w:val="auto"/>
          <w:sz w:val="32"/>
          <w:szCs w:val="32"/>
          <w:highlight w:val="none"/>
        </w:rPr>
      </w:pPr>
      <w:bookmarkStart w:id="49" w:name="_Toc71365926"/>
      <w:r>
        <w:rPr>
          <w:rFonts w:hint="eastAsia" w:ascii="宋体" w:hAnsi="宋体" w:eastAsia="宋体" w:cs="宋体"/>
          <w:b/>
          <w:color w:val="auto"/>
          <w:sz w:val="32"/>
          <w:szCs w:val="32"/>
          <w:highlight w:val="none"/>
        </w:rPr>
        <w:t>中小企业声明函（工程）</w:t>
      </w:r>
      <w:bookmarkEnd w:id="49"/>
    </w:p>
    <w:p w14:paraId="0B072DA5">
      <w:pPr>
        <w:pStyle w:val="13"/>
        <w:spacing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采购活动，工程的施工单位全部为符合政策要求的中小企业。相关企业（含联合体中的中小企业、签订分包意向协议的中小企业）的具体情况如下：</w:t>
      </w:r>
    </w:p>
    <w:p w14:paraId="27129F0D">
      <w:pPr>
        <w:tabs>
          <w:tab w:val="left" w:pos="1384"/>
          <w:tab w:val="left" w:pos="4562"/>
          <w:tab w:val="left" w:pos="6803"/>
        </w:tabs>
        <w:spacing w:before="13" w:line="500" w:lineRule="exact"/>
        <w:ind w:right="142" w:firstLine="772" w:firstLineChars="322"/>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；承建企业为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74E0CC">
      <w:pPr>
        <w:tabs>
          <w:tab w:val="left" w:pos="1065"/>
          <w:tab w:val="left" w:pos="4262"/>
          <w:tab w:val="left" w:pos="6477"/>
        </w:tabs>
        <w:spacing w:before="20" w:line="500" w:lineRule="exact"/>
        <w:ind w:right="84" w:firstLine="772" w:firstLineChars="32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；承建企业为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5467B0AD">
      <w:pPr>
        <w:pStyle w:val="13"/>
        <w:spacing w:before="34"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19F1B4F3">
      <w:pPr>
        <w:pStyle w:val="13"/>
        <w:spacing w:before="34"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37826618">
      <w:pPr>
        <w:pStyle w:val="13"/>
        <w:spacing w:before="25" w:line="500" w:lineRule="exact"/>
        <w:ind w:right="142" w:firstLine="705" w:firstLineChars="294"/>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30B064E">
      <w:pPr>
        <w:pStyle w:val="13"/>
        <w:spacing w:before="56" w:line="500" w:lineRule="exact"/>
        <w:ind w:right="650"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企业名称</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（盖</w:t>
      </w:r>
      <w:r>
        <w:rPr>
          <w:rFonts w:hint="eastAsia" w:ascii="宋体" w:hAnsi="宋体" w:eastAsia="宋体" w:cs="宋体"/>
          <w:color w:val="auto"/>
          <w:sz w:val="24"/>
          <w:highlight w:val="none"/>
          <w:lang w:val="en-US" w:eastAsia="zh-CN"/>
        </w:rPr>
        <w:t>电子公</w:t>
      </w:r>
      <w:r>
        <w:rPr>
          <w:rFonts w:hint="eastAsia" w:ascii="宋体" w:hAnsi="宋体" w:eastAsia="宋体" w:cs="宋体"/>
          <w:color w:val="auto"/>
          <w:sz w:val="24"/>
          <w:highlight w:val="none"/>
        </w:rPr>
        <w:t xml:space="preserve">章） </w:t>
      </w:r>
    </w:p>
    <w:p w14:paraId="27C09E18">
      <w:pPr>
        <w:pStyle w:val="13"/>
        <w:spacing w:before="56" w:line="500" w:lineRule="exact"/>
        <w:ind w:right="1808" w:firstLine="5625" w:firstLineChars="2344"/>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p>
    <w:p w14:paraId="5F6E986F">
      <w:pPr>
        <w:spacing w:line="5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注：1.对于联合体中由中小企业承担的部分，或者分包给中小企业的部分，供应商应当在声明函“项目名称”部分标明联合体中中小企业承担的具体内容或者中小企业的具体分包内容。</w:t>
      </w:r>
    </w:p>
    <w:p w14:paraId="246ABB09">
      <w:pPr>
        <w:spacing w:line="5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000C874">
      <w:pPr>
        <w:spacing w:line="52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503A292D">
      <w:pPr>
        <w:spacing w:line="52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残疾人福利性单位声明函</w:t>
      </w:r>
    </w:p>
    <w:p w14:paraId="66B46D99">
      <w:pPr>
        <w:spacing w:line="360" w:lineRule="auto"/>
        <w:contextualSpacing/>
        <w:rPr>
          <w:rFonts w:hint="eastAsia" w:ascii="宋体" w:hAnsi="宋体" w:eastAsia="宋体" w:cs="宋体"/>
          <w:color w:val="auto"/>
          <w:sz w:val="32"/>
          <w:szCs w:val="32"/>
          <w:highlight w:val="none"/>
        </w:rPr>
      </w:pPr>
    </w:p>
    <w:p w14:paraId="1611DBF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7FF0B05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17F2EF5C">
      <w:pPr>
        <w:spacing w:line="360" w:lineRule="auto"/>
        <w:contextualSpacing/>
        <w:rPr>
          <w:rFonts w:hint="eastAsia" w:ascii="宋体" w:hAnsi="宋体" w:eastAsia="宋体" w:cs="宋体"/>
          <w:color w:val="auto"/>
          <w:sz w:val="24"/>
          <w:highlight w:val="none"/>
        </w:rPr>
      </w:pPr>
    </w:p>
    <w:p w14:paraId="380DB081">
      <w:pPr>
        <w:spacing w:line="360" w:lineRule="auto"/>
        <w:contextualSpacing/>
        <w:rPr>
          <w:rFonts w:hint="eastAsia" w:ascii="宋体" w:hAnsi="宋体" w:eastAsia="宋体" w:cs="宋体"/>
          <w:color w:val="auto"/>
          <w:sz w:val="24"/>
          <w:highlight w:val="none"/>
        </w:rPr>
      </w:pPr>
    </w:p>
    <w:p w14:paraId="12595FE8">
      <w:pPr>
        <w:spacing w:line="360" w:lineRule="auto"/>
        <w:contextualSpacing/>
        <w:rPr>
          <w:rFonts w:hint="eastAsia" w:ascii="宋体" w:hAnsi="宋体" w:eastAsia="宋体" w:cs="宋体"/>
          <w:color w:val="auto"/>
          <w:sz w:val="24"/>
          <w:highlight w:val="none"/>
        </w:rPr>
      </w:pPr>
    </w:p>
    <w:p w14:paraId="68114ED4">
      <w:pPr>
        <w:spacing w:line="360" w:lineRule="auto"/>
        <w:ind w:firstLine="2400" w:firstLineChars="10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单位名称</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（盖</w:t>
      </w:r>
      <w:r>
        <w:rPr>
          <w:rFonts w:hint="eastAsia" w:ascii="宋体" w:hAnsi="宋体" w:eastAsia="宋体" w:cs="宋体"/>
          <w:color w:val="auto"/>
          <w:sz w:val="24"/>
          <w:highlight w:val="none"/>
          <w:lang w:val="en-US" w:eastAsia="zh-CN"/>
        </w:rPr>
        <w:t>电子公</w:t>
      </w:r>
      <w:r>
        <w:rPr>
          <w:rFonts w:hint="eastAsia" w:ascii="宋体" w:hAnsi="宋体" w:eastAsia="宋体" w:cs="宋体"/>
          <w:color w:val="auto"/>
          <w:sz w:val="24"/>
          <w:highlight w:val="none"/>
        </w:rPr>
        <w:t>章）</w:t>
      </w:r>
    </w:p>
    <w:p w14:paraId="72E98EAF">
      <w:pPr>
        <w:spacing w:line="360" w:lineRule="auto"/>
        <w:ind w:firstLine="3600" w:firstLineChars="15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p>
    <w:p w14:paraId="58EBC2BA">
      <w:pPr>
        <w:spacing w:line="360" w:lineRule="auto"/>
        <w:contextualSpacing/>
        <w:rPr>
          <w:rFonts w:hint="eastAsia" w:ascii="宋体" w:hAnsi="宋体" w:eastAsia="宋体" w:cs="宋体"/>
          <w:color w:val="auto"/>
          <w:sz w:val="24"/>
          <w:highlight w:val="none"/>
        </w:rPr>
      </w:pPr>
    </w:p>
    <w:p w14:paraId="4531DB8A">
      <w:pPr>
        <w:spacing w:line="360" w:lineRule="auto"/>
        <w:contextualSpacing/>
        <w:rPr>
          <w:rFonts w:hint="eastAsia" w:ascii="宋体" w:hAnsi="宋体" w:eastAsia="宋体" w:cs="宋体"/>
          <w:color w:val="auto"/>
          <w:sz w:val="24"/>
          <w:highlight w:val="none"/>
        </w:rPr>
      </w:pPr>
    </w:p>
    <w:p w14:paraId="084E8F63">
      <w:pPr>
        <w:spacing w:line="360" w:lineRule="auto"/>
        <w:contextualSpacing/>
        <w:rPr>
          <w:rFonts w:hint="eastAsia" w:ascii="宋体" w:hAnsi="宋体" w:eastAsia="宋体" w:cs="宋体"/>
          <w:color w:val="auto"/>
          <w:sz w:val="24"/>
          <w:highlight w:val="none"/>
        </w:rPr>
      </w:pPr>
    </w:p>
    <w:p w14:paraId="6C74A294">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5533B9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DEE783D">
      <w:pPr>
        <w:jc w:val="both"/>
        <w:outlineLvl w:val="9"/>
        <w:rPr>
          <w:rFonts w:hint="eastAsia" w:ascii="宋体" w:hAnsi="宋体" w:eastAsia="宋体" w:cs="宋体"/>
          <w:b w:val="0"/>
          <w:bCs w:val="0"/>
          <w:color w:val="auto"/>
          <w:highlight w:val="none"/>
        </w:rPr>
      </w:pPr>
      <w:bookmarkStart w:id="50" w:name="_Toc20562"/>
      <w:bookmarkStart w:id="51" w:name="_Toc15951"/>
    </w:p>
    <w:p w14:paraId="51D48411">
      <w:pPr>
        <w:outlineLvl w:val="9"/>
        <w:rPr>
          <w:rFonts w:hint="eastAsia" w:ascii="宋体" w:hAnsi="宋体" w:eastAsia="宋体" w:cs="宋体"/>
          <w:b w:val="0"/>
          <w:bCs w:val="0"/>
          <w:color w:val="auto"/>
          <w:highlight w:val="none"/>
        </w:rPr>
      </w:pPr>
    </w:p>
    <w:p w14:paraId="0C9212D9">
      <w:pPr>
        <w:outlineLvl w:val="9"/>
        <w:rPr>
          <w:rFonts w:hint="eastAsia" w:ascii="宋体" w:hAnsi="宋体" w:eastAsia="宋体" w:cs="宋体"/>
          <w:b w:val="0"/>
          <w:bCs w:val="0"/>
          <w:color w:val="auto"/>
          <w:highlight w:val="none"/>
        </w:rPr>
      </w:pPr>
    </w:p>
    <w:p w14:paraId="4DE6BF67">
      <w:pPr>
        <w:outlineLvl w:val="9"/>
        <w:rPr>
          <w:rFonts w:hint="eastAsia" w:ascii="宋体" w:hAnsi="宋体" w:eastAsia="宋体" w:cs="宋体"/>
          <w:b w:val="0"/>
          <w:bCs w:val="0"/>
          <w:color w:val="auto"/>
          <w:highlight w:val="none"/>
        </w:rPr>
      </w:pPr>
    </w:p>
    <w:p w14:paraId="2380114C">
      <w:pPr>
        <w:outlineLvl w:val="9"/>
        <w:rPr>
          <w:rFonts w:hint="eastAsia" w:ascii="宋体" w:hAnsi="宋体" w:eastAsia="宋体" w:cs="宋体"/>
          <w:b w:val="0"/>
          <w:bCs w:val="0"/>
          <w:color w:val="auto"/>
          <w:highlight w:val="none"/>
        </w:rPr>
      </w:pPr>
    </w:p>
    <w:p w14:paraId="166A63F7">
      <w:pPr>
        <w:outlineLvl w:val="9"/>
        <w:rPr>
          <w:rFonts w:hint="eastAsia" w:ascii="宋体" w:hAnsi="宋体" w:eastAsia="宋体" w:cs="宋体"/>
          <w:b w:val="0"/>
          <w:bCs w:val="0"/>
          <w:color w:val="auto"/>
          <w:highlight w:val="none"/>
        </w:rPr>
      </w:pPr>
    </w:p>
    <w:p w14:paraId="2BAA6559">
      <w:pPr>
        <w:pageBreakBefore w:val="0"/>
        <w:kinsoku/>
        <w:wordWrap/>
        <w:overflowPunct/>
        <w:topLinePunct w:val="0"/>
        <w:bidi w:val="0"/>
        <w:adjustRightInd/>
        <w:spacing w:line="360" w:lineRule="auto"/>
        <w:textAlignment w:val="auto"/>
        <w:outlineLvl w:val="9"/>
        <w:rPr>
          <w:rFonts w:hint="eastAsia" w:ascii="宋体" w:hAnsi="宋体" w:eastAsia="宋体" w:cs="宋体"/>
          <w:color w:val="auto"/>
          <w:sz w:val="24"/>
          <w:highlight w:val="none"/>
          <w:lang w:val="zh-CN"/>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pPr>
    </w:p>
    <w:bookmarkEnd w:id="50"/>
    <w:bookmarkEnd w:id="51"/>
    <w:p w14:paraId="5DB75745">
      <w:pPr>
        <w:pageBreakBefore w:val="0"/>
        <w:kinsoku/>
        <w:wordWrap/>
        <w:overflowPunct/>
        <w:topLinePunct w:val="0"/>
        <w:autoSpaceDE w:val="0"/>
        <w:autoSpaceDN w:val="0"/>
        <w:bidi w:val="0"/>
        <w:adjustRightInd/>
        <w:spacing w:line="360" w:lineRule="auto"/>
        <w:jc w:val="left"/>
        <w:textAlignment w:val="auto"/>
        <w:outlineLvl w:val="9"/>
        <w:rPr>
          <w:rFonts w:hint="eastAsia" w:ascii="宋体" w:hAnsi="宋体" w:eastAsia="宋体" w:cs="宋体"/>
          <w:b/>
          <w:bCs/>
          <w:color w:val="auto"/>
          <w:sz w:val="24"/>
          <w:highlight w:val="none"/>
        </w:rPr>
      </w:pPr>
    </w:p>
    <w:p w14:paraId="22C28B07">
      <w:pPr>
        <w:pStyle w:val="3"/>
        <w:pageBreakBefore w:val="0"/>
        <w:kinsoku/>
        <w:wordWrap/>
        <w:overflowPunct/>
        <w:topLinePunct w:val="0"/>
        <w:bidi w:val="0"/>
        <w:adjustRightInd/>
        <w:spacing w:line="360" w:lineRule="auto"/>
        <w:jc w:val="center"/>
        <w:textAlignment w:val="auto"/>
        <w:rPr>
          <w:rFonts w:hint="eastAsia" w:ascii="宋体" w:hAnsi="宋体" w:eastAsia="宋体" w:cs="宋体"/>
          <w:b/>
          <w:bCs/>
          <w:color w:val="auto"/>
          <w:highlight w:val="none"/>
        </w:rPr>
      </w:pPr>
      <w:bookmarkStart w:id="52" w:name="_Toc31035"/>
      <w:bookmarkStart w:id="53" w:name="_Toc12611"/>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二</w:t>
      </w:r>
      <w:r>
        <w:rPr>
          <w:rFonts w:hint="eastAsia" w:ascii="宋体" w:hAnsi="宋体" w:eastAsia="宋体" w:cs="宋体"/>
          <w:b/>
          <w:bCs/>
          <w:color w:val="auto"/>
          <w:highlight w:val="none"/>
        </w:rPr>
        <w:t xml:space="preserve">节 </w:t>
      </w:r>
      <w:bookmarkEnd w:id="52"/>
      <w:bookmarkEnd w:id="53"/>
      <w:r>
        <w:rPr>
          <w:rFonts w:hint="eastAsia" w:ascii="宋体" w:hAnsi="宋体" w:eastAsia="宋体" w:cs="宋体"/>
          <w:b/>
          <w:bCs/>
          <w:color w:val="auto"/>
          <w:highlight w:val="none"/>
        </w:rPr>
        <w:t>报价文件格式</w:t>
      </w:r>
    </w:p>
    <w:p w14:paraId="69C0F532">
      <w:pPr>
        <w:pStyle w:val="21"/>
        <w:pageBreakBefore w:val="0"/>
        <w:kinsoku/>
        <w:wordWrap/>
        <w:overflowPunct/>
        <w:topLinePunct w:val="0"/>
        <w:bidi w:val="0"/>
        <w:adjustRightInd/>
        <w:spacing w:line="360" w:lineRule="auto"/>
        <w:textAlignment w:val="auto"/>
        <w:rPr>
          <w:rFonts w:hint="eastAsia" w:ascii="宋体" w:hAnsi="宋体" w:eastAsia="宋体" w:cs="宋体"/>
          <w:color w:val="auto"/>
          <w:highlight w:val="none"/>
          <w:lang w:val="zh-CN"/>
        </w:rPr>
      </w:pPr>
      <w:r>
        <w:rPr>
          <w:rFonts w:hint="eastAsia" w:ascii="宋体" w:hAnsi="宋体" w:eastAsia="宋体" w:cs="宋体"/>
          <w:color w:val="auto"/>
          <w:sz w:val="24"/>
          <w:highlight w:val="none"/>
        </w:rPr>
        <w:t xml:space="preserve">  </w:t>
      </w:r>
      <w:r>
        <w:rPr>
          <w:rFonts w:hint="eastAsia" w:ascii="宋体" w:hAnsi="宋体" w:eastAsia="宋体" w:cs="宋体"/>
          <w:b/>
          <w:bCs/>
          <w:color w:val="auto"/>
          <w:sz w:val="28"/>
          <w:szCs w:val="28"/>
          <w:highlight w:val="none"/>
        </w:rPr>
        <w:t>报价文件封面的格式：</w:t>
      </w:r>
    </w:p>
    <w:p w14:paraId="12A469DE">
      <w:pPr>
        <w:pageBreakBefore w:val="0"/>
        <w:kinsoku/>
        <w:wordWrap/>
        <w:overflowPunct/>
        <w:topLinePunct w:val="0"/>
        <w:bidi w:val="0"/>
        <w:adjustRightInd/>
        <w:snapToGrid w:val="0"/>
        <w:spacing w:before="120" w:beforeLines="50" w:after="50"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2BD26419">
      <w:pPr>
        <w:pageBreakBefore w:val="0"/>
        <w:kinsoku/>
        <w:wordWrap/>
        <w:overflowPunct/>
        <w:topLinePunct w:val="0"/>
        <w:bidi w:val="0"/>
        <w:adjustRightInd/>
        <w:snapToGrid w:val="0"/>
        <w:spacing w:before="120" w:beforeLines="50" w:after="50" w:line="360" w:lineRule="auto"/>
        <w:ind w:firstLine="6720" w:firstLineChars="3200"/>
        <w:textAlignment w:val="auto"/>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全流程电子文件</w:t>
      </w:r>
    </w:p>
    <w:p w14:paraId="7D937636">
      <w:pPr>
        <w:pageBreakBefore w:val="0"/>
        <w:kinsoku/>
        <w:wordWrap/>
        <w:overflowPunct/>
        <w:topLinePunct w:val="0"/>
        <w:bidi w:val="0"/>
        <w:adjustRightInd/>
        <w:snapToGrid w:val="0"/>
        <w:spacing w:before="120" w:beforeLines="50" w:after="50" w:line="360" w:lineRule="auto"/>
        <w:textAlignment w:val="auto"/>
        <w:rPr>
          <w:rFonts w:hint="eastAsia" w:ascii="宋体" w:hAnsi="宋体" w:eastAsia="宋体" w:cs="宋体"/>
          <w:color w:val="auto"/>
          <w:sz w:val="24"/>
          <w:szCs w:val="20"/>
          <w:highlight w:val="none"/>
        </w:rPr>
      </w:pPr>
    </w:p>
    <w:p w14:paraId="146EB638">
      <w:pPr>
        <w:pageBreakBefore w:val="0"/>
        <w:kinsoku/>
        <w:wordWrap/>
        <w:overflowPunct/>
        <w:topLinePunct w:val="0"/>
        <w:bidi w:val="0"/>
        <w:adjustRightInd/>
        <w:snapToGrid w:val="0"/>
        <w:spacing w:before="120" w:beforeLines="50" w:after="50" w:line="360" w:lineRule="auto"/>
        <w:textAlignment w:val="auto"/>
        <w:rPr>
          <w:rFonts w:hint="eastAsia" w:ascii="宋体" w:hAnsi="宋体" w:eastAsia="宋体" w:cs="宋体"/>
          <w:color w:val="auto"/>
          <w:sz w:val="24"/>
          <w:szCs w:val="20"/>
          <w:highlight w:val="none"/>
        </w:rPr>
      </w:pPr>
    </w:p>
    <w:p w14:paraId="3539C71E">
      <w:pPr>
        <w:pageBreakBefore w:val="0"/>
        <w:kinsoku/>
        <w:wordWrap/>
        <w:overflowPunct/>
        <w:topLinePunct w:val="0"/>
        <w:bidi w:val="0"/>
        <w:adjustRightInd/>
        <w:snapToGrid w:val="0"/>
        <w:spacing w:before="120" w:beforeLines="50" w:after="50" w:line="360" w:lineRule="auto"/>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  价  文  件</w:t>
      </w:r>
    </w:p>
    <w:p w14:paraId="72EC1A6B">
      <w:pPr>
        <w:pageBreakBefore w:val="0"/>
        <w:kinsoku/>
        <w:wordWrap/>
        <w:overflowPunct/>
        <w:topLinePunct w:val="0"/>
        <w:bidi w:val="0"/>
        <w:adjustRightInd/>
        <w:snapToGrid w:val="0"/>
        <w:spacing w:before="120" w:beforeLines="50" w:after="50" w:line="360" w:lineRule="auto"/>
        <w:textAlignment w:val="auto"/>
        <w:rPr>
          <w:rFonts w:hint="eastAsia" w:ascii="宋体" w:hAnsi="宋体" w:eastAsia="宋体" w:cs="宋体"/>
          <w:bCs/>
          <w:color w:val="auto"/>
          <w:sz w:val="24"/>
          <w:szCs w:val="20"/>
          <w:highlight w:val="none"/>
        </w:rPr>
      </w:pPr>
    </w:p>
    <w:p w14:paraId="5EFB8227">
      <w:pPr>
        <w:pageBreakBefore w:val="0"/>
        <w:kinsoku/>
        <w:wordWrap/>
        <w:overflowPunct/>
        <w:topLinePunct w:val="0"/>
        <w:bidi w:val="0"/>
        <w:adjustRightInd/>
        <w:snapToGrid w:val="0"/>
        <w:spacing w:before="120" w:beforeLines="50" w:after="50" w:line="360" w:lineRule="auto"/>
        <w:textAlignment w:val="auto"/>
        <w:rPr>
          <w:rFonts w:hint="eastAsia" w:ascii="宋体" w:hAnsi="宋体" w:eastAsia="宋体" w:cs="宋体"/>
          <w:bCs/>
          <w:color w:val="auto"/>
          <w:sz w:val="24"/>
          <w:szCs w:val="20"/>
          <w:highlight w:val="none"/>
        </w:rPr>
      </w:pPr>
    </w:p>
    <w:p w14:paraId="5CD5AF0F">
      <w:pPr>
        <w:pageBreakBefore w:val="0"/>
        <w:kinsoku/>
        <w:wordWrap/>
        <w:overflowPunct/>
        <w:topLinePunct w:val="0"/>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101479B7">
      <w:pPr>
        <w:pageBreakBefore w:val="0"/>
        <w:kinsoku/>
        <w:wordWrap/>
        <w:overflowPunct/>
        <w:topLinePunct w:val="0"/>
        <w:bidi w:val="0"/>
        <w:adjustRightInd/>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p>
    <w:p w14:paraId="0F5D7576">
      <w:pPr>
        <w:pageBreakBefore w:val="0"/>
        <w:kinsoku/>
        <w:wordWrap/>
        <w:overflowPunct/>
        <w:topLinePunct w:val="0"/>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FAF8934">
      <w:pPr>
        <w:pageBreakBefore w:val="0"/>
        <w:kinsoku/>
        <w:wordWrap/>
        <w:overflowPunct/>
        <w:topLinePunct w:val="0"/>
        <w:bidi w:val="0"/>
        <w:adjustRightInd/>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E137027">
      <w:pPr>
        <w:pageBreakBefore w:val="0"/>
        <w:kinsoku/>
        <w:wordWrap/>
        <w:overflowPunct/>
        <w:topLinePunct w:val="0"/>
        <w:bidi w:val="0"/>
        <w:adjustRightInd/>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5566D1F3">
      <w:pPr>
        <w:pageBreakBefore w:val="0"/>
        <w:kinsoku/>
        <w:wordWrap/>
        <w:overflowPunct/>
        <w:topLinePunct w:val="0"/>
        <w:bidi w:val="0"/>
        <w:adjustRightInd/>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p>
    <w:p w14:paraId="603671A0">
      <w:pPr>
        <w:pStyle w:val="7"/>
        <w:pageBreakBefore w:val="0"/>
        <w:kinsoku/>
        <w:wordWrap/>
        <w:overflowPunct/>
        <w:topLinePunct w:val="0"/>
        <w:bidi w:val="0"/>
        <w:adjustRightInd/>
        <w:snapToGrid w:val="0"/>
        <w:spacing w:before="50" w:after="50" w:line="360" w:lineRule="auto"/>
        <w:ind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0AB4316E">
      <w:pPr>
        <w:pStyle w:val="7"/>
        <w:pageBreakBefore w:val="0"/>
        <w:kinsoku/>
        <w:wordWrap/>
        <w:overflowPunct/>
        <w:topLinePunct w:val="0"/>
        <w:bidi w:val="0"/>
        <w:adjustRightInd/>
        <w:snapToGrid w:val="0"/>
        <w:spacing w:before="50" w:after="50" w:line="360" w:lineRule="auto"/>
        <w:ind w:left="0" w:leftChars="0" w:firstLine="0" w:firstLineChars="0"/>
        <w:textAlignment w:val="auto"/>
        <w:rPr>
          <w:rFonts w:hint="eastAsia" w:ascii="宋体" w:hAnsi="宋体" w:eastAsia="宋体" w:cs="宋体"/>
          <w:bCs/>
          <w:color w:val="auto"/>
          <w:sz w:val="32"/>
          <w:szCs w:val="32"/>
          <w:highlight w:val="none"/>
        </w:rPr>
      </w:pPr>
    </w:p>
    <w:p w14:paraId="2F11F795">
      <w:pPr>
        <w:pageBreakBefore w:val="0"/>
        <w:kinsoku/>
        <w:wordWrap/>
        <w:overflowPunct/>
        <w:topLinePunct w:val="0"/>
        <w:bidi w:val="0"/>
        <w:adjustRightInd/>
        <w:snapToGrid w:val="0"/>
        <w:spacing w:before="120" w:beforeLines="50" w:after="50" w:line="360" w:lineRule="auto"/>
        <w:jc w:val="center"/>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65CEFC9">
      <w:pPr>
        <w:pageBreakBefore w:val="0"/>
        <w:kinsoku/>
        <w:wordWrap/>
        <w:overflowPunct/>
        <w:topLinePunct w:val="0"/>
        <w:bidi w:val="0"/>
        <w:adjustRightInd/>
        <w:snapToGrid w:val="0"/>
        <w:spacing w:before="120" w:beforeLines="50" w:after="50" w:line="36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28"/>
          <w:szCs w:val="28"/>
          <w:highlight w:val="none"/>
        </w:rPr>
        <w:t>报价文件目录</w:t>
      </w:r>
    </w:p>
    <w:p w14:paraId="3FDDE173">
      <w:pPr>
        <w:pageBreakBefore w:val="0"/>
        <w:kinsoku/>
        <w:wordWrap/>
        <w:overflowPunct/>
        <w:topLinePunct w:val="0"/>
        <w:bidi w:val="0"/>
        <w:adjustRightInd/>
        <w:snapToGrid w:val="0"/>
        <w:spacing w:before="50" w:after="120" w:afterLines="50" w:line="360" w:lineRule="auto"/>
        <w:jc w:val="left"/>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根据竞争性磋商文件规定及供应商提供的材料自行编写目录</w:t>
      </w:r>
      <w:r>
        <w:rPr>
          <w:rFonts w:hint="eastAsia" w:ascii="宋体" w:hAnsi="宋体" w:eastAsia="宋体" w:cs="宋体"/>
          <w:color w:val="auto"/>
          <w:kern w:val="0"/>
          <w:sz w:val="28"/>
          <w:szCs w:val="28"/>
          <w:highlight w:val="none"/>
        </w:rPr>
        <w:t>（部分格式后附）</w:t>
      </w:r>
      <w:r>
        <w:rPr>
          <w:rFonts w:hint="eastAsia" w:ascii="宋体" w:hAnsi="宋体" w:eastAsia="宋体" w:cs="宋体"/>
          <w:color w:val="auto"/>
          <w:sz w:val="28"/>
          <w:szCs w:val="28"/>
          <w:highlight w:val="none"/>
        </w:rPr>
        <w:t>。</w:t>
      </w:r>
    </w:p>
    <w:p w14:paraId="042D94BC">
      <w:pPr>
        <w:pageBreakBefore w:val="0"/>
        <w:kinsoku/>
        <w:wordWrap/>
        <w:overflowPunct/>
        <w:topLinePunct w:val="0"/>
        <w:bidi w:val="0"/>
        <w:adjustRightInd/>
        <w:spacing w:line="360" w:lineRule="auto"/>
        <w:textAlignment w:val="auto"/>
        <w:rPr>
          <w:rFonts w:hint="eastAsia" w:ascii="宋体" w:hAnsi="宋体" w:eastAsia="宋体" w:cs="宋体"/>
          <w:color w:val="auto"/>
          <w:sz w:val="24"/>
          <w:highlight w:val="none"/>
        </w:rPr>
      </w:pPr>
    </w:p>
    <w:p w14:paraId="3D34D7FB">
      <w:pPr>
        <w:pageBreakBefore w:val="0"/>
        <w:kinsoku/>
        <w:wordWrap/>
        <w:overflowPunct/>
        <w:topLinePunct w:val="0"/>
        <w:bidi w:val="0"/>
        <w:adjustRightInd/>
        <w:snapToGrid w:val="0"/>
        <w:spacing w:before="120" w:beforeLines="50" w:after="50" w:line="360" w:lineRule="auto"/>
        <w:ind w:left="142" w:firstLine="640" w:firstLineChars="200"/>
        <w:jc w:val="left"/>
        <w:textAlignment w:val="auto"/>
        <w:rPr>
          <w:rFonts w:hint="eastAsia" w:ascii="宋体" w:hAnsi="宋体" w:eastAsia="宋体" w:cs="宋体"/>
          <w:color w:val="auto"/>
          <w:sz w:val="32"/>
          <w:szCs w:val="32"/>
          <w:highlight w:val="none"/>
        </w:rPr>
      </w:pPr>
    </w:p>
    <w:p w14:paraId="108FCAB5">
      <w:pPr>
        <w:keepNext w:val="0"/>
        <w:keepLines w:val="0"/>
        <w:pageBreakBefore w:val="0"/>
        <w:widowControl w:val="0"/>
        <w:kinsoku/>
        <w:wordWrap/>
        <w:overflowPunct/>
        <w:topLinePunct w:val="0"/>
        <w:bidi w:val="0"/>
        <w:adjustRightInd/>
        <w:snapToGrid w:val="0"/>
        <w:spacing w:before="120" w:beforeLines="50" w:after="50" w:line="46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sz w:val="28"/>
          <w:szCs w:val="28"/>
          <w:highlight w:val="none"/>
          <w:lang w:val="en-US" w:eastAsia="zh-CN"/>
        </w:rPr>
        <w:t>响应函</w:t>
      </w:r>
      <w:r>
        <w:rPr>
          <w:rFonts w:hint="eastAsia" w:ascii="宋体" w:hAnsi="宋体" w:eastAsia="宋体" w:cs="宋体"/>
          <w:b/>
          <w:color w:val="auto"/>
          <w:sz w:val="28"/>
          <w:szCs w:val="28"/>
          <w:highlight w:val="none"/>
          <w:lang w:val="zh-CN"/>
        </w:rPr>
        <w:t>的格式：</w:t>
      </w:r>
    </w:p>
    <w:p w14:paraId="1211B197">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b/>
          <w:bCs/>
          <w:color w:val="auto"/>
          <w:kern w:val="0"/>
          <w:sz w:val="28"/>
          <w:szCs w:val="28"/>
          <w:highlight w:val="none"/>
          <w:lang w:val="en-US" w:eastAsia="zh-CN"/>
        </w:rPr>
        <w:t>响应函</w:t>
      </w:r>
    </w:p>
    <w:p w14:paraId="2142EE9A">
      <w:pPr>
        <w:pStyle w:val="105"/>
        <w:keepNext w:val="0"/>
        <w:keepLines w:val="0"/>
        <w:pageBreakBefore w:val="0"/>
        <w:widowControl w:val="0"/>
        <w:kinsoku/>
        <w:wordWrap/>
        <w:overflowPunct/>
        <w:topLinePunct/>
        <w:bidi w:val="0"/>
        <w:adjustRightInd/>
        <w:snapToGrid/>
        <w:spacing w:line="46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（采购人名称）：</w:t>
      </w:r>
    </w:p>
    <w:p w14:paraId="250DEB1B">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1、根据你方项目编号为</w:t>
      </w:r>
      <w:r>
        <w:rPr>
          <w:rFonts w:hint="eastAsia" w:ascii="宋体" w:hAnsi="宋体" w:eastAsia="宋体" w:cs="宋体"/>
          <w:color w:val="auto"/>
          <w:sz w:val="21"/>
          <w:szCs w:val="21"/>
          <w:highlight w:val="none"/>
          <w:u w:val="single"/>
        </w:rPr>
        <w:t xml:space="preserve"> （项目编号）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工程竞争性磋商文件（含补遗书），参照《政府采购竞争性磋商采购方式管理暂行办法》等有关规定，经踏勘项目现场和研究上述竞争性磋商文件的磋商须知、合同条款、图纸、工程建设标准和工程量清单及其他有关文件后，我方愿以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小写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元）的磋商报价并按上述图纸、合同条款、工程建设标准和工程量清单（如有时）的条件要求承包上述工程的施工、竣工，并承担任何质量缺陷保修责任。</w:t>
      </w:r>
    </w:p>
    <w:p w14:paraId="2AFC0650">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2、我方承诺在竞争性磋商文件规定的竞标有效期内不撤销响应文件。</w:t>
      </w:r>
    </w:p>
    <w:p w14:paraId="0D09E2CE">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质量要求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，合同履行期限（计划工期）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w:t>
      </w:r>
    </w:p>
    <w:p w14:paraId="3202A316">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4、我方已详细审核全部竞争性磋商文件，包括修改文件（如有时）及有关附件。</w:t>
      </w:r>
    </w:p>
    <w:p w14:paraId="5AB6EF73">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5、我方承认</w:t>
      </w:r>
      <w:r>
        <w:rPr>
          <w:rFonts w:hint="eastAsia" w:ascii="宋体" w:hAnsi="宋体" w:eastAsia="宋体" w:cs="宋体"/>
          <w:color w:val="auto"/>
          <w:sz w:val="21"/>
          <w:szCs w:val="21"/>
          <w:highlight w:val="none"/>
          <w:lang w:eastAsia="zh-CN"/>
        </w:rPr>
        <w:t>响应函</w:t>
      </w:r>
      <w:r>
        <w:rPr>
          <w:rFonts w:hint="eastAsia" w:ascii="宋体" w:hAnsi="宋体" w:eastAsia="宋体" w:cs="宋体"/>
          <w:color w:val="auto"/>
          <w:sz w:val="21"/>
          <w:szCs w:val="21"/>
          <w:highlight w:val="none"/>
        </w:rPr>
        <w:t>附录是我方</w:t>
      </w:r>
      <w:r>
        <w:rPr>
          <w:rFonts w:hint="eastAsia" w:ascii="宋体" w:hAnsi="宋体" w:eastAsia="宋体" w:cs="宋体"/>
          <w:color w:val="auto"/>
          <w:sz w:val="21"/>
          <w:szCs w:val="21"/>
          <w:highlight w:val="none"/>
          <w:lang w:eastAsia="zh-CN"/>
        </w:rPr>
        <w:t>响应函</w:t>
      </w:r>
      <w:r>
        <w:rPr>
          <w:rFonts w:hint="eastAsia" w:ascii="宋体" w:hAnsi="宋体" w:eastAsia="宋体" w:cs="宋体"/>
          <w:color w:val="auto"/>
          <w:sz w:val="21"/>
          <w:szCs w:val="21"/>
          <w:highlight w:val="none"/>
        </w:rPr>
        <w:t>的组成部分。</w:t>
      </w:r>
    </w:p>
    <w:p w14:paraId="35FA031D">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6、如果我方成交，我方将按照文件规定提交履约保证金作为履约担保。</w:t>
      </w:r>
    </w:p>
    <w:p w14:paraId="5EEB32FF">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7、我方同意所提交的响应文件在竞争性磋商文件的“磋商须知”中第 16.2 条规定的响应文件有效期内有效，在此期间内如果成交，我方将受此约束。</w:t>
      </w:r>
    </w:p>
    <w:p w14:paraId="1E30A68B">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8、除非另外达成协议并生效，你方的成交通知书和本响应文件将成为约束双方的合同文件的组成部分。</w:t>
      </w:r>
    </w:p>
    <w:p w14:paraId="429DEF17">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9、其他补充说明：</w:t>
      </w:r>
      <w:r>
        <w:rPr>
          <w:rFonts w:hint="eastAsia" w:ascii="宋体" w:hAnsi="宋体" w:eastAsia="宋体" w:cs="宋体"/>
          <w:color w:val="auto"/>
          <w:sz w:val="21"/>
          <w:szCs w:val="21"/>
          <w:highlight w:val="none"/>
          <w:u w:val="single"/>
        </w:rPr>
        <w:t xml:space="preserve">                                </w:t>
      </w:r>
    </w:p>
    <w:p w14:paraId="0E5798DD">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10、与本磋商有关的一切正式往来信函请寄：</w:t>
      </w:r>
    </w:p>
    <w:p w14:paraId="3385A867">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9537972">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324692CB">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68A3896C">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68072857">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7E1CE2D3">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440C5AFA">
      <w:pPr>
        <w:pStyle w:val="105"/>
        <w:keepNext w:val="0"/>
        <w:keepLines w:val="0"/>
        <w:pageBreakBefore w:val="0"/>
        <w:widowControl w:val="0"/>
        <w:kinsoku/>
        <w:wordWrap/>
        <w:overflowPunct/>
        <w:bidi w:val="0"/>
        <w:adjustRightInd/>
        <w:snapToGrid/>
        <w:spacing w:line="460" w:lineRule="exact"/>
        <w:ind w:firstLine="48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30CD3110">
      <w:pPr>
        <w:keepNext w:val="0"/>
        <w:keepLines w:val="0"/>
        <w:pageBreakBefore w:val="0"/>
        <w:widowControl w:val="0"/>
        <w:tabs>
          <w:tab w:val="left" w:pos="939"/>
        </w:tabs>
        <w:kinsoku/>
        <w:wordWrap/>
        <w:overflowPunct/>
        <w:bidi w:val="0"/>
        <w:adjustRightInd/>
        <w:snapToGrid/>
        <w:spacing w:line="4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38D173B3">
      <w:pPr>
        <w:keepNext w:val="0"/>
        <w:keepLines w:val="0"/>
        <w:pageBreakBefore w:val="0"/>
        <w:widowControl w:val="0"/>
        <w:kinsoku/>
        <w:wordWrap/>
        <w:overflowPunct/>
        <w:bidi w:val="0"/>
        <w:adjustRightInd/>
        <w:snapToGrid/>
        <w:spacing w:line="460" w:lineRule="exact"/>
        <w:contextualSpacing/>
        <w:jc w:val="left"/>
        <w:textAlignment w:val="auto"/>
        <w:rPr>
          <w:rFonts w:hint="eastAsia" w:ascii="宋体" w:hAnsi="宋体" w:eastAsia="宋体" w:cs="宋体"/>
          <w:color w:val="auto"/>
          <w:sz w:val="21"/>
          <w:szCs w:val="21"/>
          <w:highlight w:val="none"/>
        </w:rPr>
      </w:pPr>
    </w:p>
    <w:p w14:paraId="1648E415">
      <w:pPr>
        <w:keepNext w:val="0"/>
        <w:keepLines w:val="0"/>
        <w:pageBreakBefore w:val="0"/>
        <w:widowControl w:val="0"/>
        <w:kinsoku/>
        <w:wordWrap/>
        <w:overflowPunct/>
        <w:autoSpaceDE w:val="0"/>
        <w:autoSpaceDN w:val="0"/>
        <w:bidi w:val="0"/>
        <w:adjustRightInd/>
        <w:snapToGrid/>
        <w:spacing w:line="460" w:lineRule="exact"/>
        <w:ind w:left="4305" w:leftChars="1950" w:hanging="210" w:hangingChars="1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r>
        <w:rPr>
          <w:rFonts w:hint="eastAsia" w:ascii="宋体" w:hAnsi="宋体" w:eastAsia="宋体" w:cs="宋体"/>
          <w:color w:val="auto"/>
          <w:kern w:val="0"/>
          <w:sz w:val="21"/>
          <w:szCs w:val="21"/>
          <w:highlight w:val="none"/>
          <w:lang w:val="en-US" w:eastAsia="zh-CN"/>
        </w:rPr>
        <w:t>盖</w:t>
      </w:r>
      <w:r>
        <w:rPr>
          <w:rFonts w:hint="eastAsia" w:ascii="宋体" w:hAnsi="宋体" w:eastAsia="宋体" w:cs="宋体"/>
          <w:color w:val="auto"/>
          <w:kern w:val="0"/>
          <w:sz w:val="21"/>
          <w:szCs w:val="21"/>
          <w:highlight w:val="none"/>
        </w:rPr>
        <w:t>电子公章）：</w:t>
      </w:r>
    </w:p>
    <w:p w14:paraId="3CDCA322">
      <w:pPr>
        <w:keepNext w:val="0"/>
        <w:keepLines w:val="0"/>
        <w:pageBreakBefore w:val="0"/>
        <w:widowControl w:val="0"/>
        <w:kinsoku/>
        <w:wordWrap/>
        <w:overflowPunct/>
        <w:autoSpaceDE w:val="0"/>
        <w:autoSpaceDN w:val="0"/>
        <w:bidi w:val="0"/>
        <w:adjustRightInd/>
        <w:snapToGrid/>
        <w:spacing w:line="460" w:lineRule="exact"/>
        <w:ind w:left="4305" w:leftChars="1950" w:hanging="210" w:hangingChars="1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法定代表人或其委托代理人（签字/电子签名）：</w:t>
      </w:r>
    </w:p>
    <w:p w14:paraId="0AD8AB51">
      <w:pPr>
        <w:keepNext w:val="0"/>
        <w:keepLines w:val="0"/>
        <w:pageBreakBefore w:val="0"/>
        <w:widowControl w:val="0"/>
        <w:kinsoku/>
        <w:wordWrap/>
        <w:overflowPunct/>
        <w:autoSpaceDE w:val="0"/>
        <w:autoSpaceDN w:val="0"/>
        <w:bidi w:val="0"/>
        <w:adjustRightInd/>
        <w:snapToGrid/>
        <w:spacing w:line="460" w:lineRule="exact"/>
        <w:ind w:firstLine="5670" w:firstLineChars="2700"/>
        <w:textAlignment w:val="auto"/>
        <w:rPr>
          <w:rFonts w:hint="eastAsia" w:ascii="宋体" w:hAnsi="宋体" w:eastAsia="宋体" w:cs="宋体"/>
          <w:b/>
          <w:color w:val="auto"/>
          <w:sz w:val="30"/>
          <w:szCs w:val="30"/>
          <w:highlight w:val="none"/>
        </w:rPr>
      </w:pPr>
      <w:r>
        <w:rPr>
          <w:rFonts w:hint="eastAsia" w:ascii="宋体" w:hAnsi="宋体" w:eastAsia="宋体" w:cs="宋体"/>
          <w:color w:val="auto"/>
          <w:kern w:val="0"/>
          <w:sz w:val="21"/>
          <w:szCs w:val="21"/>
          <w:highlight w:val="none"/>
          <w:lang w:val="zh-CN"/>
        </w:rPr>
        <w:t>日期：  年  月   日</w:t>
      </w:r>
    </w:p>
    <w:p w14:paraId="0381A266">
      <w:pPr>
        <w:pageBreakBefore w:val="0"/>
        <w:kinsoku/>
        <w:wordWrap/>
        <w:overflowPunct/>
        <w:topLinePunct w:val="0"/>
        <w:bidi w:val="0"/>
        <w:adjustRightInd/>
        <w:spacing w:line="360" w:lineRule="auto"/>
        <w:textAlignment w:val="auto"/>
        <w:rPr>
          <w:rFonts w:hint="eastAsia" w:ascii="宋体" w:hAnsi="宋体" w:eastAsia="宋体" w:cs="宋体"/>
          <w:b/>
          <w:color w:val="auto"/>
          <w:szCs w:val="21"/>
          <w:highlight w:val="none"/>
        </w:rPr>
      </w:pPr>
    </w:p>
    <w:p w14:paraId="311997E1">
      <w:pPr>
        <w:keepNext w:val="0"/>
        <w:keepLines w:val="0"/>
        <w:pageBreakBefore w:val="0"/>
        <w:widowControl w:val="0"/>
        <w:kinsoku/>
        <w:wordWrap/>
        <w:overflowPunct/>
        <w:topLinePunct w:val="0"/>
        <w:bidi w:val="0"/>
        <w:adjustRightInd/>
        <w:snapToGrid w:val="0"/>
        <w:spacing w:before="120" w:beforeLines="50" w:after="50" w:line="460" w:lineRule="exact"/>
        <w:jc w:val="left"/>
        <w:textAlignment w:val="auto"/>
        <w:rPr>
          <w:rFonts w:hint="eastAsia" w:ascii="宋体" w:hAnsi="宋体" w:eastAsia="宋体" w:cs="宋体"/>
          <w:b w:val="0"/>
          <w:bCs w:val="0"/>
          <w:color w:val="auto"/>
          <w:highlight w:val="none"/>
        </w:rPr>
      </w:pPr>
      <w:r>
        <w:rPr>
          <w:rFonts w:hint="eastAsia" w:ascii="宋体" w:hAnsi="宋体" w:eastAsia="宋体" w:cs="宋体"/>
          <w:b/>
          <w:bCs/>
          <w:color w:val="auto"/>
          <w:sz w:val="28"/>
          <w:highlight w:val="none"/>
          <w:lang w:eastAsia="zh-CN"/>
        </w:rPr>
        <w:t>响应函</w:t>
      </w:r>
      <w:r>
        <w:rPr>
          <w:rFonts w:hint="eastAsia" w:ascii="宋体" w:hAnsi="宋体" w:eastAsia="宋体" w:cs="宋体"/>
          <w:b/>
          <w:color w:val="auto"/>
          <w:sz w:val="28"/>
          <w:szCs w:val="28"/>
          <w:highlight w:val="none"/>
          <w:lang w:val="zh-CN"/>
        </w:rPr>
        <w:t>附录</w:t>
      </w:r>
    </w:p>
    <w:p w14:paraId="404A4F42">
      <w:pPr>
        <w:spacing w:line="520" w:lineRule="exact"/>
        <w:jc w:val="center"/>
        <w:rPr>
          <w:rFonts w:hint="eastAsia" w:ascii="宋体" w:hAnsi="宋体" w:eastAsia="宋体" w:cs="宋体"/>
          <w:b/>
          <w:bCs/>
          <w:color w:val="auto"/>
          <w:kern w:val="0"/>
          <w:sz w:val="30"/>
          <w:szCs w:val="30"/>
          <w:highlight w:val="none"/>
        </w:rPr>
      </w:pPr>
      <w:r>
        <w:rPr>
          <w:rFonts w:hint="eastAsia" w:ascii="宋体" w:hAnsi="宋体" w:eastAsia="宋体" w:cs="宋体"/>
          <w:b/>
          <w:color w:val="auto"/>
          <w:sz w:val="32"/>
          <w:szCs w:val="32"/>
          <w:highlight w:val="none"/>
          <w:lang w:eastAsia="zh-CN"/>
        </w:rPr>
        <w:t>响应函</w:t>
      </w:r>
      <w:r>
        <w:rPr>
          <w:rFonts w:hint="eastAsia" w:ascii="宋体" w:hAnsi="宋体" w:eastAsia="宋体" w:cs="宋体"/>
          <w:b/>
          <w:color w:val="auto"/>
          <w:sz w:val="32"/>
          <w:szCs w:val="32"/>
          <w:highlight w:val="none"/>
        </w:rPr>
        <w:t>附录</w:t>
      </w:r>
    </w:p>
    <w:p w14:paraId="77FBE5C5">
      <w:pPr>
        <w:snapToGrid w:val="0"/>
        <w:spacing w:before="50" w:after="50" w:line="360" w:lineRule="auto"/>
        <w:rPr>
          <w:rFonts w:hint="eastAsia" w:ascii="宋体" w:hAnsi="宋体" w:eastAsia="宋体" w:cs="宋体"/>
          <w:color w:val="auto"/>
          <w:sz w:val="24"/>
          <w:highlight w:val="none"/>
        </w:rPr>
      </w:pPr>
    </w:p>
    <w:p w14:paraId="2FDB6F69">
      <w:pPr>
        <w:snapToGrid w:val="0"/>
        <w:spacing w:before="50" w:after="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1FAF67B1">
      <w:pPr>
        <w:snapToGrid w:val="0"/>
        <w:spacing w:before="50" w:after="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16E64CB">
      <w:pPr>
        <w:snapToGrid w:val="0"/>
        <w:spacing w:before="50" w:after="50"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所竞分标（如有则填写，无分标时填写“无”或者留空）：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 w:val="24"/>
          <w:highlight w:val="none"/>
        </w:rPr>
        <w:t xml:space="preserve">      </w:t>
      </w:r>
    </w:p>
    <w:p w14:paraId="57B4F845">
      <w:pPr>
        <w:snapToGrid w:val="0"/>
        <w:spacing w:before="50" w:after="50" w:line="360" w:lineRule="auto"/>
        <w:ind w:firstLine="480" w:firstLineChars="200"/>
        <w:rPr>
          <w:rFonts w:hint="eastAsia" w:ascii="宋体" w:hAnsi="宋体" w:eastAsia="宋体" w:cs="宋体"/>
          <w:color w:val="auto"/>
          <w:sz w:val="24"/>
          <w:highlight w:val="none"/>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49CA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B0154EE">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 号</w:t>
            </w:r>
          </w:p>
        </w:tc>
        <w:tc>
          <w:tcPr>
            <w:tcW w:w="1985" w:type="dxa"/>
            <w:noWrap w:val="0"/>
            <w:vAlign w:val="center"/>
          </w:tcPr>
          <w:p w14:paraId="11384D65">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条款内容</w:t>
            </w:r>
          </w:p>
        </w:tc>
        <w:tc>
          <w:tcPr>
            <w:tcW w:w="2126" w:type="dxa"/>
            <w:noWrap w:val="0"/>
            <w:vAlign w:val="center"/>
          </w:tcPr>
          <w:p w14:paraId="64402CCC">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合同条款号</w:t>
            </w:r>
          </w:p>
        </w:tc>
        <w:tc>
          <w:tcPr>
            <w:tcW w:w="1984" w:type="dxa"/>
            <w:noWrap w:val="0"/>
            <w:vAlign w:val="center"/>
          </w:tcPr>
          <w:p w14:paraId="2812BB11">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约定内容</w:t>
            </w:r>
          </w:p>
        </w:tc>
        <w:tc>
          <w:tcPr>
            <w:tcW w:w="1843" w:type="dxa"/>
            <w:noWrap w:val="0"/>
            <w:vAlign w:val="center"/>
          </w:tcPr>
          <w:p w14:paraId="6410339D">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06C1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64FEEB0">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985" w:type="dxa"/>
            <w:noWrap w:val="0"/>
            <w:vAlign w:val="center"/>
          </w:tcPr>
          <w:p w14:paraId="1B2E7078">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项目经理</w:t>
            </w:r>
          </w:p>
        </w:tc>
        <w:tc>
          <w:tcPr>
            <w:tcW w:w="2126" w:type="dxa"/>
            <w:noWrap w:val="0"/>
            <w:tcMar>
              <w:left w:w="170" w:type="dxa"/>
            </w:tcMar>
            <w:vAlign w:val="center"/>
          </w:tcPr>
          <w:p w14:paraId="6B18338C">
            <w:pPr>
              <w:wordWrap w:val="0"/>
              <w:jc w:val="center"/>
              <w:rPr>
                <w:rFonts w:hint="eastAsia" w:ascii="宋体" w:hAnsi="宋体" w:eastAsia="宋体" w:cs="宋体"/>
                <w:color w:val="auto"/>
                <w:sz w:val="21"/>
                <w:szCs w:val="21"/>
                <w:highlight w:val="none"/>
              </w:rPr>
            </w:pPr>
          </w:p>
        </w:tc>
        <w:tc>
          <w:tcPr>
            <w:tcW w:w="1984" w:type="dxa"/>
            <w:noWrap w:val="0"/>
            <w:vAlign w:val="center"/>
          </w:tcPr>
          <w:p w14:paraId="11C4DC80">
            <w:pPr>
              <w:wordWrap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rPr>
              <w:t xml:space="preserve">         </w:t>
            </w:r>
          </w:p>
        </w:tc>
        <w:tc>
          <w:tcPr>
            <w:tcW w:w="1843" w:type="dxa"/>
            <w:noWrap w:val="0"/>
            <w:vAlign w:val="center"/>
          </w:tcPr>
          <w:p w14:paraId="0B811B92">
            <w:pPr>
              <w:wordWrap w:val="0"/>
              <w:jc w:val="center"/>
              <w:rPr>
                <w:rFonts w:hint="eastAsia" w:ascii="宋体" w:hAnsi="宋体" w:eastAsia="宋体" w:cs="宋体"/>
                <w:color w:val="auto"/>
                <w:sz w:val="21"/>
                <w:szCs w:val="21"/>
                <w:highlight w:val="none"/>
              </w:rPr>
            </w:pPr>
          </w:p>
        </w:tc>
      </w:tr>
      <w:tr w14:paraId="1BE6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E52B04E">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985" w:type="dxa"/>
            <w:noWrap w:val="0"/>
            <w:vAlign w:val="center"/>
          </w:tcPr>
          <w:p w14:paraId="5DAD59A0">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竞标</w:t>
            </w:r>
            <w:r>
              <w:rPr>
                <w:rFonts w:hint="eastAsia" w:ascii="宋体" w:hAnsi="宋体" w:eastAsia="宋体" w:cs="宋体"/>
                <w:color w:val="auto"/>
                <w:sz w:val="21"/>
                <w:szCs w:val="21"/>
                <w:highlight w:val="none"/>
              </w:rPr>
              <w:t>有效期</w:t>
            </w:r>
          </w:p>
        </w:tc>
        <w:tc>
          <w:tcPr>
            <w:tcW w:w="2126" w:type="dxa"/>
            <w:noWrap w:val="0"/>
            <w:tcMar>
              <w:left w:w="170" w:type="dxa"/>
            </w:tcMar>
            <w:vAlign w:val="center"/>
          </w:tcPr>
          <w:p w14:paraId="040C6FD3">
            <w:pPr>
              <w:wordWrap w:val="0"/>
              <w:rPr>
                <w:rFonts w:hint="eastAsia" w:ascii="宋体" w:hAnsi="宋体" w:eastAsia="宋体" w:cs="宋体"/>
                <w:color w:val="auto"/>
                <w:sz w:val="21"/>
                <w:szCs w:val="21"/>
                <w:highlight w:val="none"/>
              </w:rPr>
            </w:pPr>
          </w:p>
        </w:tc>
        <w:tc>
          <w:tcPr>
            <w:tcW w:w="1984" w:type="dxa"/>
            <w:noWrap w:val="0"/>
            <w:vAlign w:val="center"/>
          </w:tcPr>
          <w:p w14:paraId="2A7F2303">
            <w:pPr>
              <w:wordWrap w:val="0"/>
              <w:jc w:val="center"/>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highlight w:val="none"/>
              </w:rPr>
              <w:t>自首次响应文件提交截止日起</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日历天</w:t>
            </w:r>
          </w:p>
        </w:tc>
        <w:tc>
          <w:tcPr>
            <w:tcW w:w="1843" w:type="dxa"/>
            <w:noWrap w:val="0"/>
            <w:vAlign w:val="center"/>
          </w:tcPr>
          <w:p w14:paraId="1663F47B">
            <w:pPr>
              <w:wordWrap w:val="0"/>
              <w:jc w:val="center"/>
              <w:rPr>
                <w:rFonts w:hint="eastAsia" w:ascii="宋体" w:hAnsi="宋体" w:eastAsia="宋体" w:cs="宋体"/>
                <w:color w:val="auto"/>
                <w:sz w:val="21"/>
                <w:szCs w:val="21"/>
                <w:highlight w:val="none"/>
              </w:rPr>
            </w:pPr>
          </w:p>
        </w:tc>
      </w:tr>
      <w:tr w14:paraId="2D4C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98628A1">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985" w:type="dxa"/>
            <w:noWrap w:val="0"/>
            <w:vAlign w:val="center"/>
          </w:tcPr>
          <w:p w14:paraId="76805DB3">
            <w:pPr>
              <w:wordWrap w:val="0"/>
              <w:jc w:val="center"/>
              <w:rPr>
                <w:rFonts w:hint="eastAsia" w:ascii="宋体" w:hAnsi="宋体" w:eastAsia="宋体" w:cs="宋体"/>
                <w:color w:val="auto"/>
                <w:kern w:val="56"/>
                <w:sz w:val="21"/>
                <w:szCs w:val="21"/>
                <w:highlight w:val="none"/>
              </w:rPr>
            </w:pPr>
            <w:r>
              <w:rPr>
                <w:rFonts w:hint="eastAsia" w:ascii="宋体" w:hAnsi="宋体" w:eastAsia="宋体" w:cs="宋体"/>
                <w:color w:val="auto"/>
                <w:kern w:val="56"/>
                <w:sz w:val="21"/>
                <w:szCs w:val="21"/>
                <w:highlight w:val="none"/>
              </w:rPr>
              <w:t>合同履行期限</w:t>
            </w:r>
          </w:p>
          <w:p w14:paraId="3760D539">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kern w:val="56"/>
                <w:sz w:val="21"/>
                <w:szCs w:val="21"/>
                <w:highlight w:val="none"/>
              </w:rPr>
              <w:t>（</w:t>
            </w:r>
            <w:r>
              <w:rPr>
                <w:rFonts w:hint="eastAsia" w:ascii="宋体" w:hAnsi="宋体" w:eastAsia="宋体" w:cs="宋体"/>
                <w:color w:val="auto"/>
                <w:kern w:val="56"/>
                <w:sz w:val="21"/>
                <w:szCs w:val="21"/>
                <w:highlight w:val="none"/>
                <w:lang w:val="en-US" w:eastAsia="zh-CN"/>
              </w:rPr>
              <w:t>计划</w:t>
            </w:r>
            <w:r>
              <w:rPr>
                <w:rFonts w:hint="eastAsia" w:ascii="宋体" w:hAnsi="宋体" w:eastAsia="宋体" w:cs="宋体"/>
                <w:color w:val="auto"/>
                <w:kern w:val="56"/>
                <w:sz w:val="21"/>
                <w:szCs w:val="21"/>
                <w:highlight w:val="none"/>
              </w:rPr>
              <w:t>工期）</w:t>
            </w:r>
          </w:p>
        </w:tc>
        <w:tc>
          <w:tcPr>
            <w:tcW w:w="2126" w:type="dxa"/>
            <w:noWrap w:val="0"/>
            <w:tcMar>
              <w:left w:w="170" w:type="dxa"/>
            </w:tcMar>
            <w:vAlign w:val="center"/>
          </w:tcPr>
          <w:p w14:paraId="400591E9">
            <w:pPr>
              <w:wordWrap w:val="0"/>
              <w:jc w:val="center"/>
              <w:rPr>
                <w:rFonts w:hint="eastAsia" w:ascii="宋体" w:hAnsi="宋体" w:eastAsia="宋体" w:cs="宋体"/>
                <w:color w:val="auto"/>
                <w:sz w:val="21"/>
                <w:szCs w:val="21"/>
                <w:highlight w:val="none"/>
              </w:rPr>
            </w:pPr>
          </w:p>
        </w:tc>
        <w:tc>
          <w:tcPr>
            <w:tcW w:w="1984" w:type="dxa"/>
            <w:noWrap w:val="0"/>
            <w:vAlign w:val="center"/>
          </w:tcPr>
          <w:p w14:paraId="7C1FB42D">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个</w:t>
            </w:r>
            <w:r>
              <w:rPr>
                <w:rFonts w:hint="eastAsia" w:ascii="宋体" w:hAnsi="宋体" w:eastAsia="宋体" w:cs="宋体"/>
                <w:color w:val="auto"/>
                <w:highlight w:val="none"/>
                <w:lang w:eastAsia="zh-CN"/>
              </w:rPr>
              <w:t>日历天</w:t>
            </w:r>
            <w:r>
              <w:rPr>
                <w:rFonts w:hint="eastAsia" w:ascii="宋体" w:hAnsi="宋体" w:eastAsia="宋体" w:cs="宋体"/>
                <w:color w:val="auto"/>
                <w:highlight w:val="none"/>
              </w:rPr>
              <w:t>内完工</w:t>
            </w:r>
          </w:p>
        </w:tc>
        <w:tc>
          <w:tcPr>
            <w:tcW w:w="1843" w:type="dxa"/>
            <w:noWrap w:val="0"/>
            <w:vAlign w:val="center"/>
          </w:tcPr>
          <w:p w14:paraId="0A1E54E5">
            <w:pPr>
              <w:wordWrap w:val="0"/>
              <w:jc w:val="center"/>
              <w:rPr>
                <w:rFonts w:hint="eastAsia" w:ascii="宋体" w:hAnsi="宋体" w:eastAsia="宋体" w:cs="宋体"/>
                <w:color w:val="auto"/>
                <w:sz w:val="21"/>
                <w:szCs w:val="21"/>
                <w:highlight w:val="none"/>
              </w:rPr>
            </w:pPr>
          </w:p>
        </w:tc>
      </w:tr>
      <w:tr w14:paraId="6274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20EBB02">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985" w:type="dxa"/>
            <w:noWrap w:val="0"/>
            <w:vAlign w:val="center"/>
          </w:tcPr>
          <w:p w14:paraId="50242F63">
            <w:pPr>
              <w:wordWrap w:val="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质量</w:t>
            </w:r>
            <w:r>
              <w:rPr>
                <w:rFonts w:hint="eastAsia" w:ascii="宋体" w:hAnsi="宋体" w:eastAsia="宋体" w:cs="宋体"/>
                <w:color w:val="auto"/>
                <w:sz w:val="21"/>
                <w:szCs w:val="21"/>
                <w:highlight w:val="none"/>
                <w:lang w:val="en-US" w:eastAsia="zh-CN"/>
              </w:rPr>
              <w:t>要求</w:t>
            </w:r>
          </w:p>
        </w:tc>
        <w:tc>
          <w:tcPr>
            <w:tcW w:w="2126" w:type="dxa"/>
            <w:noWrap w:val="0"/>
            <w:tcMar>
              <w:left w:w="170" w:type="dxa"/>
            </w:tcMar>
            <w:vAlign w:val="center"/>
          </w:tcPr>
          <w:p w14:paraId="5FC42BB8">
            <w:pPr>
              <w:wordWrap w:val="0"/>
              <w:jc w:val="center"/>
              <w:rPr>
                <w:rFonts w:hint="eastAsia" w:ascii="宋体" w:hAnsi="宋体" w:eastAsia="宋体" w:cs="宋体"/>
                <w:color w:val="auto"/>
                <w:sz w:val="21"/>
                <w:szCs w:val="21"/>
                <w:highlight w:val="none"/>
              </w:rPr>
            </w:pPr>
          </w:p>
        </w:tc>
        <w:tc>
          <w:tcPr>
            <w:tcW w:w="1984" w:type="dxa"/>
            <w:noWrap w:val="0"/>
            <w:vAlign w:val="center"/>
          </w:tcPr>
          <w:p w14:paraId="5176A9F7">
            <w:pPr>
              <w:wordWrap w:val="0"/>
              <w:jc w:val="center"/>
              <w:rPr>
                <w:rFonts w:hint="eastAsia" w:ascii="宋体" w:hAnsi="宋体" w:eastAsia="宋体" w:cs="宋体"/>
                <w:color w:val="auto"/>
                <w:sz w:val="21"/>
                <w:szCs w:val="21"/>
                <w:highlight w:val="none"/>
              </w:rPr>
            </w:pPr>
          </w:p>
        </w:tc>
        <w:tc>
          <w:tcPr>
            <w:tcW w:w="1843" w:type="dxa"/>
            <w:noWrap w:val="0"/>
            <w:vAlign w:val="center"/>
          </w:tcPr>
          <w:p w14:paraId="4EB79613">
            <w:pPr>
              <w:wordWrap w:val="0"/>
              <w:jc w:val="center"/>
              <w:rPr>
                <w:rFonts w:hint="eastAsia" w:ascii="宋体" w:hAnsi="宋体" w:eastAsia="宋体" w:cs="宋体"/>
                <w:color w:val="auto"/>
                <w:sz w:val="21"/>
                <w:szCs w:val="21"/>
                <w:highlight w:val="none"/>
              </w:rPr>
            </w:pPr>
          </w:p>
        </w:tc>
      </w:tr>
      <w:tr w14:paraId="3ABC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A509C9B">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985" w:type="dxa"/>
            <w:noWrap w:val="0"/>
            <w:vAlign w:val="center"/>
          </w:tcPr>
          <w:p w14:paraId="63F87856">
            <w:pPr>
              <w:wordWrap w:val="0"/>
              <w:jc w:val="center"/>
              <w:rPr>
                <w:rFonts w:hint="eastAsia" w:ascii="宋体" w:hAnsi="宋体" w:eastAsia="宋体" w:cs="宋体"/>
                <w:color w:val="auto"/>
                <w:sz w:val="21"/>
                <w:szCs w:val="21"/>
                <w:highlight w:val="none"/>
              </w:rPr>
            </w:pPr>
          </w:p>
        </w:tc>
        <w:tc>
          <w:tcPr>
            <w:tcW w:w="2126" w:type="dxa"/>
            <w:noWrap w:val="0"/>
            <w:tcMar>
              <w:left w:w="170" w:type="dxa"/>
            </w:tcMar>
            <w:vAlign w:val="center"/>
          </w:tcPr>
          <w:p w14:paraId="2B3BFD16">
            <w:pPr>
              <w:wordWrap w:val="0"/>
              <w:jc w:val="center"/>
              <w:rPr>
                <w:rFonts w:hint="eastAsia" w:ascii="宋体" w:hAnsi="宋体" w:eastAsia="宋体" w:cs="宋体"/>
                <w:color w:val="auto"/>
                <w:sz w:val="21"/>
                <w:szCs w:val="21"/>
                <w:highlight w:val="none"/>
              </w:rPr>
            </w:pPr>
          </w:p>
        </w:tc>
        <w:tc>
          <w:tcPr>
            <w:tcW w:w="1984" w:type="dxa"/>
            <w:noWrap w:val="0"/>
            <w:vAlign w:val="center"/>
          </w:tcPr>
          <w:p w14:paraId="045214C3">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tc>
        <w:tc>
          <w:tcPr>
            <w:tcW w:w="1843" w:type="dxa"/>
            <w:noWrap w:val="0"/>
            <w:vAlign w:val="center"/>
          </w:tcPr>
          <w:p w14:paraId="46E007FB">
            <w:pPr>
              <w:wordWrap w:val="0"/>
              <w:jc w:val="center"/>
              <w:rPr>
                <w:rFonts w:hint="eastAsia" w:ascii="宋体" w:hAnsi="宋体" w:eastAsia="宋体" w:cs="宋体"/>
                <w:color w:val="auto"/>
                <w:sz w:val="21"/>
                <w:szCs w:val="21"/>
                <w:highlight w:val="none"/>
              </w:rPr>
            </w:pPr>
          </w:p>
        </w:tc>
      </w:tr>
      <w:tr w14:paraId="22A5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83BFD02">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985" w:type="dxa"/>
            <w:noWrap w:val="0"/>
            <w:vAlign w:val="center"/>
          </w:tcPr>
          <w:p w14:paraId="326F9667">
            <w:pPr>
              <w:wordWrap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126" w:type="dxa"/>
            <w:noWrap w:val="0"/>
            <w:tcMar>
              <w:left w:w="170" w:type="dxa"/>
            </w:tcMar>
            <w:vAlign w:val="center"/>
          </w:tcPr>
          <w:p w14:paraId="3BE3D504">
            <w:pPr>
              <w:wordWrap w:val="0"/>
              <w:rPr>
                <w:rFonts w:hint="eastAsia" w:ascii="宋体" w:hAnsi="宋体" w:eastAsia="宋体" w:cs="宋体"/>
                <w:color w:val="auto"/>
                <w:sz w:val="21"/>
                <w:szCs w:val="21"/>
                <w:highlight w:val="none"/>
              </w:rPr>
            </w:pPr>
          </w:p>
        </w:tc>
        <w:tc>
          <w:tcPr>
            <w:tcW w:w="1984" w:type="dxa"/>
            <w:noWrap w:val="0"/>
            <w:vAlign w:val="center"/>
          </w:tcPr>
          <w:p w14:paraId="1F9110AC">
            <w:pPr>
              <w:wordWrap w:val="0"/>
              <w:jc w:val="center"/>
              <w:rPr>
                <w:rFonts w:hint="eastAsia" w:ascii="宋体" w:hAnsi="宋体" w:eastAsia="宋体" w:cs="宋体"/>
                <w:color w:val="auto"/>
                <w:sz w:val="21"/>
                <w:szCs w:val="21"/>
                <w:highlight w:val="none"/>
              </w:rPr>
            </w:pPr>
          </w:p>
        </w:tc>
        <w:tc>
          <w:tcPr>
            <w:tcW w:w="1843" w:type="dxa"/>
            <w:noWrap w:val="0"/>
            <w:vAlign w:val="center"/>
          </w:tcPr>
          <w:p w14:paraId="19C0BB33">
            <w:pPr>
              <w:wordWrap w:val="0"/>
              <w:jc w:val="center"/>
              <w:rPr>
                <w:rFonts w:hint="eastAsia" w:ascii="宋体" w:hAnsi="宋体" w:eastAsia="宋体" w:cs="宋体"/>
                <w:color w:val="auto"/>
                <w:sz w:val="21"/>
                <w:szCs w:val="21"/>
                <w:highlight w:val="none"/>
              </w:rPr>
            </w:pPr>
          </w:p>
        </w:tc>
      </w:tr>
      <w:tr w14:paraId="5CB3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064B8C8B">
            <w:pPr>
              <w:wordWrap w:val="0"/>
              <w:spacing w:line="360" w:lineRule="auto"/>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备注：供应商在响应竞争性磋商文件中规定的实质性要求和条件的基础上，可做出其他有利于采购单位的承诺。此类承诺可在本表中予以补充填写。</w:t>
            </w:r>
          </w:p>
        </w:tc>
      </w:tr>
    </w:tbl>
    <w:p w14:paraId="6A282D51">
      <w:pPr>
        <w:snapToGrid w:val="0"/>
        <w:spacing w:before="50" w:after="50" w:line="360" w:lineRule="auto"/>
        <w:rPr>
          <w:rFonts w:hint="eastAsia" w:ascii="宋体" w:hAnsi="宋体" w:eastAsia="宋体" w:cs="宋体"/>
          <w:color w:val="auto"/>
          <w:sz w:val="24"/>
          <w:highlight w:val="none"/>
        </w:rPr>
      </w:pPr>
    </w:p>
    <w:p w14:paraId="3D1681B9">
      <w:pPr>
        <w:snapToGrid w:val="0"/>
        <w:spacing w:before="50" w:after="50"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6FE9CB12">
      <w:pPr>
        <w:snapToGrid w:val="0"/>
        <w:spacing w:before="50" w:after="50" w:line="360" w:lineRule="auto"/>
        <w:rPr>
          <w:rFonts w:hint="eastAsia" w:ascii="宋体" w:hAnsi="宋体" w:eastAsia="宋体" w:cs="宋体"/>
          <w:color w:val="auto"/>
          <w:sz w:val="24"/>
          <w:highlight w:val="none"/>
        </w:rPr>
      </w:pPr>
    </w:p>
    <w:p w14:paraId="00B6F70D">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r>
        <w:rPr>
          <w:rFonts w:hint="eastAsia" w:ascii="宋体" w:hAnsi="宋体" w:eastAsia="宋体" w:cs="宋体"/>
          <w:color w:val="auto"/>
          <w:sz w:val="21"/>
          <w:szCs w:val="21"/>
          <w:highlight w:val="none"/>
          <w:lang w:val="en-US" w:eastAsia="zh-CN"/>
        </w:rPr>
        <w:t>盖电子</w:t>
      </w:r>
      <w:r>
        <w:rPr>
          <w:rFonts w:hint="eastAsia" w:ascii="宋体" w:hAnsi="宋体" w:eastAsia="宋体" w:cs="宋体"/>
          <w:color w:val="auto"/>
          <w:sz w:val="21"/>
          <w:szCs w:val="21"/>
          <w:highlight w:val="none"/>
        </w:rPr>
        <w:t>公章</w:t>
      </w:r>
      <w:r>
        <w:rPr>
          <w:rFonts w:hint="eastAsia" w:ascii="宋体" w:hAnsi="宋体" w:eastAsia="宋体" w:cs="宋体"/>
          <w:color w:val="auto"/>
          <w:kern w:val="0"/>
          <w:sz w:val="21"/>
          <w:szCs w:val="21"/>
          <w:highlight w:val="none"/>
        </w:rPr>
        <w:t>）：</w:t>
      </w:r>
    </w:p>
    <w:p w14:paraId="1061121C">
      <w:pPr>
        <w:autoSpaceDE w:val="0"/>
        <w:autoSpaceDN w:val="0"/>
        <w:spacing w:line="360" w:lineRule="auto"/>
        <w:ind w:left="4334" w:leftChars="1964"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法定代表人或委托代理人（签字/电子签名）：</w:t>
      </w:r>
    </w:p>
    <w:p w14:paraId="2BD3E149">
      <w:pPr>
        <w:pStyle w:val="105"/>
        <w:spacing w:line="500" w:lineRule="exact"/>
        <w:ind w:firstLine="5565" w:firstLineChars="265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日期：  年  月   日</w:t>
      </w:r>
    </w:p>
    <w:p w14:paraId="56166D42">
      <w:pPr>
        <w:keepNext w:val="0"/>
        <w:keepLines w:val="0"/>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4C600735">
      <w:pPr>
        <w:keepNext w:val="0"/>
        <w:keepLines w:val="0"/>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7283F04C">
      <w:pPr>
        <w:keepNext w:val="0"/>
        <w:keepLines w:val="0"/>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444E71A4">
      <w:pP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br w:type="page"/>
      </w:r>
    </w:p>
    <w:p w14:paraId="47E062C0">
      <w:pPr>
        <w:keepNext w:val="0"/>
        <w:keepLines w:val="0"/>
        <w:pageBreakBefore w:val="0"/>
        <w:kinsoku/>
        <w:wordWrap/>
        <w:overflowPunct/>
        <w:topLinePunct w:val="0"/>
        <w:bidi w:val="0"/>
        <w:adjustRightInd/>
        <w:spacing w:line="360" w:lineRule="auto"/>
        <w:textAlignment w:val="auto"/>
        <w:rPr>
          <w:rFonts w:hint="eastAsia" w:ascii="宋体" w:hAnsi="宋体" w:eastAsia="宋体" w:cs="宋体"/>
          <w:color w:val="auto"/>
          <w:highlight w:val="none"/>
        </w:rPr>
      </w:pPr>
      <w:r>
        <w:rPr>
          <w:rFonts w:hint="eastAsia" w:ascii="宋体" w:hAnsi="宋体" w:eastAsia="宋体" w:cs="宋体"/>
          <w:b/>
          <w:color w:val="auto"/>
          <w:sz w:val="28"/>
          <w:szCs w:val="28"/>
          <w:highlight w:val="none"/>
          <w:lang w:val="en-US" w:eastAsia="zh-CN"/>
        </w:rPr>
        <w:t>响应报价表</w:t>
      </w:r>
      <w:r>
        <w:rPr>
          <w:rFonts w:hint="eastAsia" w:ascii="宋体" w:hAnsi="宋体" w:eastAsia="宋体" w:cs="宋体"/>
          <w:b/>
          <w:color w:val="auto"/>
          <w:sz w:val="28"/>
          <w:szCs w:val="28"/>
          <w:highlight w:val="none"/>
          <w:lang w:val="zh-CN"/>
        </w:rPr>
        <w:t>的格式：</w:t>
      </w:r>
      <w:r>
        <w:rPr>
          <w:rFonts w:hint="eastAsia" w:ascii="宋体" w:hAnsi="宋体" w:eastAsia="宋体" w:cs="宋体"/>
          <w:b/>
          <w:color w:val="auto"/>
          <w:sz w:val="30"/>
          <w:szCs w:val="30"/>
          <w:highlight w:val="none"/>
          <w:lang w:val="zh-CN"/>
        </w:rPr>
        <w:t xml:space="preserve"> </w:t>
      </w:r>
    </w:p>
    <w:p w14:paraId="0D4D2291">
      <w:pPr>
        <w:keepNext w:val="0"/>
        <w:keepLines w:val="0"/>
        <w:pageBreakBefore w:val="0"/>
        <w:kinsoku/>
        <w:wordWrap/>
        <w:overflowPunct/>
        <w:topLinePunct w:val="0"/>
        <w:bidi w:val="0"/>
        <w:adjustRightIn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b/>
          <w:bCs/>
          <w:color w:val="auto"/>
          <w:sz w:val="32"/>
          <w:szCs w:val="32"/>
          <w:highlight w:val="none"/>
          <w:lang w:val="en-US" w:eastAsia="zh-CN"/>
        </w:rPr>
        <w:t>响应报价表</w:t>
      </w:r>
    </w:p>
    <w:p w14:paraId="2957F629">
      <w:pPr>
        <w:keepNext w:val="0"/>
        <w:keepLines w:val="0"/>
        <w:pageBreakBefore w:val="0"/>
        <w:kinsoku/>
        <w:wordWrap/>
        <w:overflowPunct/>
        <w:topLinePunct w:val="0"/>
        <w:bidi w:val="0"/>
        <w:adjustRightInd/>
        <w:snapToGrid w:val="0"/>
        <w:spacing w:before="50" w:after="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FF842EB">
      <w:pPr>
        <w:keepNext w:val="0"/>
        <w:keepLines w:val="0"/>
        <w:pageBreakBefore w:val="0"/>
        <w:kinsoku/>
        <w:wordWrap/>
        <w:overflowPunct/>
        <w:topLinePunct w:val="0"/>
        <w:bidi w:val="0"/>
        <w:adjustRightInd/>
        <w:snapToGrid w:val="0"/>
        <w:spacing w:before="50" w:after="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1D3066FD">
      <w:pPr>
        <w:keepNext w:val="0"/>
        <w:keepLines w:val="0"/>
        <w:pageBreakBefore w:val="0"/>
        <w:kinsoku/>
        <w:wordWrap/>
        <w:overflowPunct/>
        <w:topLinePunct w:val="0"/>
        <w:bidi w:val="0"/>
        <w:adjustRightInd/>
        <w:spacing w:line="360" w:lineRule="auto"/>
        <w:contextualSpacing/>
        <w:textAlignment w:val="auto"/>
        <w:rPr>
          <w:rFonts w:hint="eastAsia" w:ascii="宋体" w:hAnsi="宋体" w:eastAsia="宋体" w:cs="宋体"/>
          <w:color w:val="auto"/>
          <w:sz w:val="24"/>
          <w:highlight w:val="none"/>
          <w:u w:val="single"/>
        </w:rPr>
      </w:pPr>
      <w:r>
        <w:rPr>
          <w:rFonts w:hint="eastAsia" w:ascii="宋体" w:hAnsi="宋体" w:eastAsia="宋体" w:cs="宋体"/>
          <w:color w:val="auto"/>
          <w:szCs w:val="21"/>
          <w:highlight w:val="none"/>
        </w:rPr>
        <w:t>所竞分标（如有则填写，无分标时填写“无”或者留空）：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 w:val="24"/>
          <w:highlight w:val="none"/>
        </w:rPr>
        <w:t xml:space="preserve">            </w:t>
      </w:r>
    </w:p>
    <w:p w14:paraId="3D3A21C7">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 w:val="24"/>
          <w:highlight w:val="none"/>
        </w:rPr>
        <w:t xml:space="preserve">       </w:t>
      </w:r>
    </w:p>
    <w:tbl>
      <w:tblPr>
        <w:tblStyle w:val="29"/>
        <w:tblW w:w="0" w:type="auto"/>
        <w:jc w:val="center"/>
        <w:tblLayout w:type="fixed"/>
        <w:tblCellMar>
          <w:top w:w="0" w:type="dxa"/>
          <w:left w:w="0" w:type="dxa"/>
          <w:bottom w:w="0" w:type="dxa"/>
          <w:right w:w="0" w:type="dxa"/>
        </w:tblCellMar>
      </w:tblPr>
      <w:tblGrid>
        <w:gridCol w:w="1135"/>
        <w:gridCol w:w="4450"/>
        <w:gridCol w:w="3761"/>
      </w:tblGrid>
      <w:tr w14:paraId="7AE13F2F">
        <w:tblPrEx>
          <w:tblCellMar>
            <w:top w:w="0" w:type="dxa"/>
            <w:left w:w="0" w:type="dxa"/>
            <w:bottom w:w="0" w:type="dxa"/>
            <w:right w:w="0" w:type="dxa"/>
          </w:tblCellMar>
        </w:tblPrEx>
        <w:trPr>
          <w:trHeight w:val="1122"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4C61144">
            <w:pPr>
              <w:autoSpaceDE w:val="0"/>
              <w:spacing w:line="360" w:lineRule="auto"/>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16EF597D">
            <w:pPr>
              <w:autoSpaceDE w:val="0"/>
              <w:spacing w:line="360" w:lineRule="auto"/>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总报价（一）＋（二）＋(三)+…</w:t>
            </w:r>
          </w:p>
        </w:tc>
        <w:tc>
          <w:tcPr>
            <w:tcW w:w="3761" w:type="dxa"/>
            <w:tcBorders>
              <w:top w:val="single" w:color="000000" w:sz="4" w:space="0"/>
              <w:left w:val="nil"/>
              <w:bottom w:val="single" w:color="000000" w:sz="4" w:space="0"/>
              <w:right w:val="single" w:color="000000" w:sz="4" w:space="0"/>
            </w:tcBorders>
            <w:noWrap w:val="0"/>
            <w:vAlign w:val="center"/>
          </w:tcPr>
          <w:p w14:paraId="4AED741A">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00C2FA81">
        <w:tblPrEx>
          <w:tblCellMar>
            <w:top w:w="0" w:type="dxa"/>
            <w:left w:w="0" w:type="dxa"/>
            <w:bottom w:w="0" w:type="dxa"/>
            <w:right w:w="0" w:type="dxa"/>
          </w:tblCellMar>
        </w:tblPrEx>
        <w:trPr>
          <w:trHeight w:val="701"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11CA9247">
            <w:pPr>
              <w:autoSpaceDE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（一）</w:t>
            </w:r>
          </w:p>
        </w:tc>
        <w:tc>
          <w:tcPr>
            <w:tcW w:w="4450" w:type="dxa"/>
            <w:tcBorders>
              <w:top w:val="single" w:color="000000" w:sz="4" w:space="0"/>
              <w:left w:val="nil"/>
              <w:bottom w:val="single" w:color="000000" w:sz="4" w:space="0"/>
              <w:right w:val="single" w:color="000000" w:sz="4" w:space="0"/>
            </w:tcBorders>
            <w:noWrap w:val="0"/>
            <w:vAlign w:val="center"/>
          </w:tcPr>
          <w:p w14:paraId="146F5CF9">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44867FCA">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2A95A3C6">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6B6F7CE9">
            <w:pPr>
              <w:autoSpaceDE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（二）</w:t>
            </w:r>
          </w:p>
        </w:tc>
        <w:tc>
          <w:tcPr>
            <w:tcW w:w="4450" w:type="dxa"/>
            <w:tcBorders>
              <w:top w:val="single" w:color="000000" w:sz="4" w:space="0"/>
              <w:left w:val="nil"/>
              <w:bottom w:val="single" w:color="000000" w:sz="4" w:space="0"/>
              <w:right w:val="single" w:color="000000" w:sz="4" w:space="0"/>
            </w:tcBorders>
            <w:noWrap w:val="0"/>
            <w:vAlign w:val="center"/>
          </w:tcPr>
          <w:p w14:paraId="168D92EB">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40F57A9C">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2E2961C5">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EA3D6E7">
            <w:pPr>
              <w:autoSpaceDE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(三)</w:t>
            </w:r>
          </w:p>
        </w:tc>
        <w:tc>
          <w:tcPr>
            <w:tcW w:w="4450" w:type="dxa"/>
            <w:tcBorders>
              <w:top w:val="single" w:color="000000" w:sz="4" w:space="0"/>
              <w:left w:val="nil"/>
              <w:bottom w:val="single" w:color="000000" w:sz="4" w:space="0"/>
              <w:right w:val="single" w:color="000000" w:sz="4" w:space="0"/>
            </w:tcBorders>
            <w:noWrap w:val="0"/>
            <w:vAlign w:val="center"/>
          </w:tcPr>
          <w:p w14:paraId="248A75B4">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3ECF37B5">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70F83C9F">
        <w:tblPrEx>
          <w:tblCellMar>
            <w:top w:w="0" w:type="dxa"/>
            <w:left w:w="0" w:type="dxa"/>
            <w:bottom w:w="0" w:type="dxa"/>
            <w:right w:w="0" w:type="dxa"/>
          </w:tblCellMar>
        </w:tblPrEx>
        <w:trPr>
          <w:trHeight w:val="604"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BEE27ED">
            <w:pPr>
              <w:autoSpaceDE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4450" w:type="dxa"/>
            <w:tcBorders>
              <w:top w:val="single" w:color="000000" w:sz="4" w:space="0"/>
              <w:left w:val="nil"/>
              <w:bottom w:val="single" w:color="000000" w:sz="4" w:space="0"/>
              <w:right w:val="single" w:color="000000" w:sz="4" w:space="0"/>
            </w:tcBorders>
            <w:noWrap w:val="0"/>
            <w:vAlign w:val="center"/>
          </w:tcPr>
          <w:p w14:paraId="15EBF221">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0BD4C1BB">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29855D91">
        <w:tblPrEx>
          <w:tblCellMar>
            <w:top w:w="0" w:type="dxa"/>
            <w:left w:w="0" w:type="dxa"/>
            <w:bottom w:w="0" w:type="dxa"/>
            <w:right w:w="0" w:type="dxa"/>
          </w:tblCellMar>
        </w:tblPrEx>
        <w:trPr>
          <w:trHeight w:val="821" w:hRule="atLeast"/>
          <w:jc w:val="center"/>
        </w:trPr>
        <w:tc>
          <w:tcPr>
            <w:tcW w:w="1135" w:type="dxa"/>
            <w:vMerge w:val="restart"/>
            <w:tcBorders>
              <w:top w:val="nil"/>
              <w:left w:val="single" w:color="000000" w:sz="4" w:space="0"/>
              <w:bottom w:val="single" w:color="000000" w:sz="4" w:space="0"/>
              <w:right w:val="single" w:color="000000" w:sz="4" w:space="0"/>
            </w:tcBorders>
            <w:noWrap w:val="0"/>
            <w:vAlign w:val="center"/>
          </w:tcPr>
          <w:p w14:paraId="3F5CB9F1">
            <w:pPr>
              <w:autoSpaceDE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其中：</w:t>
            </w:r>
          </w:p>
        </w:tc>
        <w:tc>
          <w:tcPr>
            <w:tcW w:w="4450" w:type="dxa"/>
            <w:tcBorders>
              <w:top w:val="single" w:color="000000" w:sz="4" w:space="0"/>
              <w:left w:val="nil"/>
              <w:bottom w:val="single" w:color="000000" w:sz="4" w:space="0"/>
              <w:right w:val="single" w:color="000000" w:sz="4" w:space="0"/>
            </w:tcBorders>
            <w:noWrap w:val="0"/>
            <w:vAlign w:val="center"/>
          </w:tcPr>
          <w:p w14:paraId="335B376C">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635D7098">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37D1A394">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14E75B54">
            <w:pPr>
              <w:widowControl/>
              <w:autoSpaceDE w:val="0"/>
              <w:spacing w:line="360" w:lineRule="auto"/>
              <w:jc w:val="left"/>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147362BB">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6E304E1B">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2BDDAF85">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30432F68">
            <w:pPr>
              <w:widowControl/>
              <w:autoSpaceDE w:val="0"/>
              <w:spacing w:line="360" w:lineRule="auto"/>
              <w:jc w:val="left"/>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64B42450">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53686681">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r w14:paraId="38419342">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3DD42F56">
            <w:pPr>
              <w:widowControl/>
              <w:autoSpaceDE w:val="0"/>
              <w:spacing w:line="360" w:lineRule="auto"/>
              <w:jc w:val="left"/>
              <w:rPr>
                <w:rFonts w:hint="eastAsia" w:ascii="宋体" w:hAnsi="宋体" w:eastAsia="宋体" w:cs="宋体"/>
                <w:color w:val="auto"/>
                <w:sz w:val="24"/>
                <w:highlight w:val="none"/>
              </w:rPr>
            </w:pPr>
          </w:p>
        </w:tc>
        <w:tc>
          <w:tcPr>
            <w:tcW w:w="4450" w:type="dxa"/>
            <w:tcBorders>
              <w:top w:val="single" w:color="000000" w:sz="4" w:space="0"/>
              <w:left w:val="nil"/>
              <w:bottom w:val="single" w:color="000000" w:sz="4" w:space="0"/>
              <w:right w:val="single" w:color="000000" w:sz="4" w:space="0"/>
            </w:tcBorders>
            <w:noWrap w:val="0"/>
            <w:vAlign w:val="center"/>
          </w:tcPr>
          <w:p w14:paraId="730FDDD5">
            <w:pPr>
              <w:autoSpaceDE w:val="0"/>
              <w:spacing w:line="360" w:lineRule="auto"/>
              <w:rPr>
                <w:rFonts w:hint="eastAsia" w:ascii="宋体" w:hAnsi="宋体" w:eastAsia="宋体" w:cs="宋体"/>
                <w:color w:val="auto"/>
                <w:sz w:val="24"/>
                <w:highlight w:val="none"/>
              </w:rPr>
            </w:pPr>
          </w:p>
        </w:tc>
        <w:tc>
          <w:tcPr>
            <w:tcW w:w="3761" w:type="dxa"/>
            <w:tcBorders>
              <w:top w:val="single" w:color="000000" w:sz="4" w:space="0"/>
              <w:left w:val="nil"/>
              <w:bottom w:val="single" w:color="000000" w:sz="4" w:space="0"/>
              <w:right w:val="single" w:color="000000" w:sz="4" w:space="0"/>
            </w:tcBorders>
            <w:noWrap w:val="0"/>
            <w:vAlign w:val="center"/>
          </w:tcPr>
          <w:p w14:paraId="212EA672">
            <w:pPr>
              <w:autoSpaceDE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r>
    </w:tbl>
    <w:p w14:paraId="62E1A75E">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     </w:t>
      </w:r>
    </w:p>
    <w:p w14:paraId="66BB636C">
      <w:pPr>
        <w:keepNext w:val="0"/>
        <w:keepLines w:val="0"/>
        <w:pageBreakBefore w:val="0"/>
        <w:kinsoku/>
        <w:wordWrap/>
        <w:overflowPunct/>
        <w:topLinePunct w:val="0"/>
        <w:bidi w:val="0"/>
        <w:adjustRightInd/>
        <w:snapToGrid w:val="0"/>
        <w:spacing w:before="50" w:after="50" w:line="360" w:lineRule="auto"/>
        <w:ind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注： 1、供应商需按本表格式填写，不得自行更改，也不得留空（</w:t>
      </w:r>
      <w:r>
        <w:rPr>
          <w:rFonts w:hint="eastAsia" w:ascii="宋体" w:hAnsi="宋体" w:eastAsia="宋体" w:cs="宋体"/>
          <w:color w:val="auto"/>
          <w:szCs w:val="21"/>
          <w:highlight w:val="none"/>
        </w:rPr>
        <w:t>备注除外</w:t>
      </w:r>
      <w:r>
        <w:rPr>
          <w:rFonts w:hint="eastAsia" w:ascii="宋体" w:hAnsi="宋体" w:eastAsia="宋体" w:cs="宋体"/>
          <w:color w:val="auto"/>
          <w:kern w:val="0"/>
          <w:szCs w:val="21"/>
          <w:highlight w:val="none"/>
          <w:lang w:val="zh-CN"/>
        </w:rPr>
        <w:t>）, 如有多分标，按分标分别提供响应报价表，</w:t>
      </w:r>
      <w:r>
        <w:rPr>
          <w:rFonts w:hint="eastAsia" w:ascii="宋体" w:hAnsi="宋体" w:eastAsia="宋体" w:cs="宋体"/>
          <w:b/>
          <w:color w:val="auto"/>
          <w:kern w:val="0"/>
          <w:szCs w:val="21"/>
          <w:highlight w:val="none"/>
          <w:lang w:val="zh-CN"/>
        </w:rPr>
        <w:t>否则其响应按无效响应处理。</w:t>
      </w:r>
    </w:p>
    <w:p w14:paraId="717F4894">
      <w:pPr>
        <w:keepNext w:val="0"/>
        <w:keepLines w:val="0"/>
        <w:pageBreakBefore w:val="0"/>
        <w:kinsoku/>
        <w:wordWrap/>
        <w:overflowPunct/>
        <w:topLinePunct w:val="0"/>
        <w:bidi w:val="0"/>
        <w:adjustRightInd/>
        <w:snapToGrid w:val="0"/>
        <w:spacing w:before="50" w:after="50" w:line="360" w:lineRule="auto"/>
        <w:ind w:firstLine="420" w:firstLineChars="200"/>
        <w:jc w:val="left"/>
        <w:textAlignment w:val="auto"/>
        <w:rPr>
          <w:rFonts w:hint="eastAsia" w:ascii="宋体" w:hAnsi="宋体" w:eastAsia="宋体" w:cs="宋体"/>
          <w:b/>
          <w:color w:val="auto"/>
          <w:kern w:val="0"/>
          <w:szCs w:val="21"/>
          <w:highlight w:val="none"/>
          <w:lang w:val="zh-CN"/>
        </w:rPr>
      </w:pPr>
      <w:r>
        <w:rPr>
          <w:rFonts w:hint="eastAsia" w:ascii="宋体" w:hAnsi="宋体" w:eastAsia="宋体" w:cs="宋体"/>
          <w:color w:val="auto"/>
          <w:kern w:val="0"/>
          <w:szCs w:val="21"/>
          <w:highlight w:val="none"/>
          <w:lang w:val="zh-CN"/>
        </w:rPr>
        <w:t>2、如为联合体响应的，“供应商名称”处必须列明联合体各方名称，并标注联合体牵头人名称，且盖章处须加盖联合体各方公章，</w:t>
      </w:r>
      <w:r>
        <w:rPr>
          <w:rFonts w:hint="eastAsia" w:ascii="宋体" w:hAnsi="宋体" w:eastAsia="宋体" w:cs="宋体"/>
          <w:b/>
          <w:color w:val="auto"/>
          <w:kern w:val="0"/>
          <w:szCs w:val="21"/>
          <w:highlight w:val="none"/>
          <w:lang w:val="zh-CN"/>
        </w:rPr>
        <w:t>否则其响应按无效响应处理。</w:t>
      </w:r>
    </w:p>
    <w:p w14:paraId="1F6FF10E">
      <w:pPr>
        <w:keepNext w:val="0"/>
        <w:keepLines w:val="0"/>
        <w:pageBreakBefore w:val="0"/>
        <w:kinsoku/>
        <w:wordWrap/>
        <w:overflowPunct/>
        <w:topLinePunct w:val="0"/>
        <w:bidi w:val="0"/>
        <w:adjustRightInd/>
        <w:snapToGrid w:val="0"/>
        <w:spacing w:line="360" w:lineRule="auto"/>
        <w:ind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zh-CN"/>
        </w:rPr>
        <w:t>、特别提示：采购代理机构将对项目名称和项目编号，成交供应商名称、成交金额，</w:t>
      </w:r>
      <w:r>
        <w:rPr>
          <w:rFonts w:hint="eastAsia" w:ascii="宋体" w:hAnsi="宋体" w:eastAsia="宋体" w:cs="宋体"/>
          <w:color w:val="auto"/>
          <w:highlight w:val="none"/>
        </w:rPr>
        <w:t>工期</w:t>
      </w:r>
      <w:r>
        <w:rPr>
          <w:rFonts w:hint="eastAsia" w:ascii="宋体" w:hAnsi="宋体" w:eastAsia="宋体" w:cs="宋体"/>
          <w:color w:val="auto"/>
          <w:kern w:val="0"/>
          <w:szCs w:val="21"/>
          <w:highlight w:val="none"/>
          <w:lang w:val="zh-CN"/>
        </w:rPr>
        <w:t>、</w:t>
      </w:r>
      <w:r>
        <w:rPr>
          <w:rFonts w:hint="eastAsia" w:ascii="宋体" w:hAnsi="宋体" w:eastAsia="宋体" w:cs="宋体"/>
          <w:color w:val="auto"/>
          <w:highlight w:val="none"/>
        </w:rPr>
        <w:t>工程内容</w:t>
      </w:r>
      <w:r>
        <w:rPr>
          <w:rFonts w:hint="eastAsia" w:ascii="宋体" w:hAnsi="宋体" w:eastAsia="宋体" w:cs="宋体"/>
          <w:color w:val="auto"/>
          <w:kern w:val="0"/>
          <w:szCs w:val="21"/>
          <w:highlight w:val="none"/>
          <w:lang w:val="zh-CN"/>
        </w:rPr>
        <w:t>等予以公示。</w:t>
      </w:r>
    </w:p>
    <w:p w14:paraId="3C8BF03F">
      <w:pPr>
        <w:keepNext w:val="0"/>
        <w:keepLines w:val="0"/>
        <w:pageBreakBefore w:val="0"/>
        <w:kinsoku/>
        <w:wordWrap/>
        <w:overflowPunct/>
        <w:topLinePunct w:val="0"/>
        <w:bidi w:val="0"/>
        <w:adjustRightInd/>
        <w:snapToGrid w:val="0"/>
        <w:spacing w:line="360" w:lineRule="auto"/>
        <w:ind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zh-CN"/>
        </w:rPr>
        <w:t>、符合采购文件中列明的可享受中小企业扶持政策的供应商，请填写中小企业声明函。</w:t>
      </w:r>
    </w:p>
    <w:p w14:paraId="3113D7C5">
      <w:pPr>
        <w:keepNext w:val="0"/>
        <w:keepLines w:val="0"/>
        <w:pageBreakBefore w:val="0"/>
        <w:kinsoku/>
        <w:wordWrap/>
        <w:overflowPunct/>
        <w:topLinePunct w:val="0"/>
        <w:bidi w:val="0"/>
        <w:adjustRightInd/>
        <w:snapToGrid w:val="0"/>
        <w:spacing w:line="360" w:lineRule="auto"/>
        <w:ind w:firstLine="420" w:firstLineChars="200"/>
        <w:jc w:val="left"/>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5、供应商提供的中小企业声明函内容不实的，属于提供虚假材料谋取中标、成交，依照《中华人民共和国政府采购法》等国家有关规定追究相应责任。</w:t>
      </w:r>
    </w:p>
    <w:p w14:paraId="4DC3FC5F">
      <w:pPr>
        <w:keepNext w:val="0"/>
        <w:keepLines w:val="0"/>
        <w:pageBreakBefore w:val="0"/>
        <w:kinsoku/>
        <w:wordWrap/>
        <w:overflowPunct/>
        <w:topLinePunct w:val="0"/>
        <w:bidi w:val="0"/>
        <w:adjustRightInd/>
        <w:snapToGrid w:val="0"/>
        <w:spacing w:line="360" w:lineRule="auto"/>
        <w:ind w:firstLine="420" w:firstLineChars="20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lang w:val="zh-CN"/>
        </w:rPr>
        <w:t>总报价含建安劳保费</w:t>
      </w:r>
    </w:p>
    <w:p w14:paraId="4C0496CA">
      <w:pPr>
        <w:keepNext w:val="0"/>
        <w:keepLines w:val="0"/>
        <w:pageBreakBefore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盖电子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29EAA9BA">
      <w:pPr>
        <w:keepNext w:val="0"/>
        <w:keepLines w:val="0"/>
        <w:pageBreakBefore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b/>
          <w:color w:val="auto"/>
          <w:sz w:val="28"/>
          <w:szCs w:val="28"/>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D9F0E9C">
      <w:pPr>
        <w:pageBreakBefore w:val="0"/>
        <w:numPr>
          <w:ilvl w:val="0"/>
          <w:numId w:val="0"/>
        </w:numPr>
        <w:kinsoku/>
        <w:wordWrap/>
        <w:overflowPunct/>
        <w:topLinePunct w:val="0"/>
        <w:bidi w:val="0"/>
        <w:adjustRightIn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已标价工程量清单</w:t>
      </w:r>
    </w:p>
    <w:p w14:paraId="611E1881">
      <w:pPr>
        <w:spacing w:line="360" w:lineRule="auto"/>
        <w:ind w:firstLine="420" w:firstLineChars="200"/>
        <w:contextualSpacing/>
        <w:jc w:val="left"/>
        <w:rPr>
          <w:rFonts w:hint="eastAsia" w:ascii="宋体" w:hAnsi="宋体" w:eastAsia="宋体" w:cs="宋体"/>
          <w:color w:val="auto"/>
          <w:highlight w:val="none"/>
        </w:rPr>
      </w:pPr>
      <w:r>
        <w:rPr>
          <w:rFonts w:hint="eastAsia" w:ascii="宋体" w:hAnsi="宋体" w:eastAsia="宋体" w:cs="宋体"/>
          <w:color w:val="auto"/>
          <w:highlight w:val="none"/>
        </w:rPr>
        <w:t>供应商应按照第</w:t>
      </w:r>
      <w:r>
        <w:rPr>
          <w:rFonts w:hint="eastAsia" w:ascii="宋体" w:hAnsi="宋体" w:eastAsia="宋体" w:cs="宋体"/>
          <w:color w:val="auto"/>
          <w:highlight w:val="none"/>
          <w:lang w:eastAsia="zh-CN"/>
        </w:rPr>
        <w:t>七</w:t>
      </w:r>
      <w:r>
        <w:rPr>
          <w:rFonts w:hint="eastAsia" w:ascii="宋体" w:hAnsi="宋体" w:eastAsia="宋体" w:cs="宋体"/>
          <w:color w:val="auto"/>
          <w:highlight w:val="none"/>
        </w:rPr>
        <w:t>章“工程量清单、图纸”的要求逐项填报工程量清单，包括工程量清单说明、投标报价说明、计日工说明、其他说明及工程量清单各项表格。</w:t>
      </w:r>
    </w:p>
    <w:p w14:paraId="095E0EC3">
      <w:pPr>
        <w:spacing w:line="360" w:lineRule="auto"/>
        <w:ind w:firstLine="420" w:firstLineChars="200"/>
        <w:contextualSpacing/>
        <w:jc w:val="left"/>
        <w:rPr>
          <w:rFonts w:hint="eastAsia" w:ascii="宋体" w:hAnsi="宋体" w:eastAsia="宋体" w:cs="宋体"/>
          <w:color w:val="auto"/>
          <w:highlight w:val="none"/>
        </w:rPr>
      </w:pPr>
    </w:p>
    <w:p w14:paraId="5752A297">
      <w:pPr>
        <w:spacing w:line="360" w:lineRule="auto"/>
        <w:ind w:firstLine="420" w:firstLineChars="200"/>
        <w:contextualSpacing/>
        <w:jc w:val="left"/>
        <w:rPr>
          <w:rFonts w:hint="eastAsia" w:ascii="宋体" w:hAnsi="宋体" w:eastAsia="宋体" w:cs="宋体"/>
          <w:color w:val="auto"/>
          <w:highlight w:val="none"/>
        </w:rPr>
      </w:pPr>
    </w:p>
    <w:p w14:paraId="7C56558E">
      <w:pPr>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w:t>
      </w:r>
      <w:r>
        <w:rPr>
          <w:rFonts w:hint="eastAsia" w:ascii="宋体" w:hAnsi="宋体" w:eastAsia="宋体" w:cs="宋体"/>
          <w:b/>
          <w:color w:val="auto"/>
          <w:sz w:val="21"/>
          <w:szCs w:val="21"/>
          <w:highlight w:val="none"/>
        </w:rPr>
        <w:t>当本清单由多页构成时，需逐页加盖磋商供应商电子公章（CA签章）（属自然人的须逐页签字或个人CA签章）。</w:t>
      </w:r>
    </w:p>
    <w:p w14:paraId="55F8B349">
      <w:pPr>
        <w:spacing w:line="360" w:lineRule="auto"/>
        <w:ind w:firstLine="420" w:firstLineChars="200"/>
        <w:contextualSpacing/>
        <w:jc w:val="left"/>
        <w:rPr>
          <w:rFonts w:hint="eastAsia" w:ascii="宋体" w:hAnsi="宋体" w:eastAsia="宋体" w:cs="宋体"/>
          <w:color w:val="auto"/>
          <w:highlight w:val="none"/>
        </w:rPr>
      </w:pPr>
    </w:p>
    <w:p w14:paraId="15947EB3">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45C51FDB">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5F0EBE50">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5D240DCC">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64FC0974">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337D87E9">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31D70D1A">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1EFE10F3">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3081C5F4">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1CB4F294">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29A61647">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6DD04EB7">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149C0C6D">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636545D2">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3C09473F">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573A09AA">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10C6634B">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1730250D">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07FA23B2">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5AE44658">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0F9F6E07">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0425B81C">
      <w:pPr>
        <w:pageBreakBefore w:val="0"/>
        <w:kinsoku/>
        <w:wordWrap/>
        <w:overflowPunct/>
        <w:topLinePunct w:val="0"/>
        <w:bidi w:val="0"/>
        <w:adjustRightInd/>
        <w:spacing w:line="360" w:lineRule="auto"/>
        <w:textAlignment w:val="auto"/>
        <w:rPr>
          <w:rFonts w:hint="eastAsia" w:ascii="宋体" w:hAnsi="宋体" w:eastAsia="宋体" w:cs="宋体"/>
          <w:b/>
          <w:color w:val="auto"/>
          <w:sz w:val="28"/>
          <w:szCs w:val="28"/>
          <w:highlight w:val="none"/>
          <w:lang w:val="zh-CN"/>
        </w:rPr>
      </w:pPr>
    </w:p>
    <w:p w14:paraId="1F072BE1">
      <w:pPr>
        <w:pageBreakBefore w:val="0"/>
        <w:kinsoku/>
        <w:wordWrap/>
        <w:topLinePunct w:val="0"/>
        <w:bidi w:val="0"/>
        <w:spacing w:line="360" w:lineRule="auto"/>
        <w:jc w:val="both"/>
        <w:textAlignment w:val="auto"/>
        <w:outlineLvl w:val="9"/>
        <w:rPr>
          <w:rFonts w:hint="eastAsia" w:ascii="宋体" w:hAnsi="宋体" w:eastAsia="宋体" w:cs="宋体"/>
          <w:b/>
          <w:bCs w:val="0"/>
          <w:color w:val="auto"/>
          <w:highlight w:val="none"/>
        </w:rPr>
      </w:pPr>
      <w:bookmarkStart w:id="54" w:name="_Toc18482"/>
      <w:bookmarkStart w:id="55" w:name="_Toc13936"/>
    </w:p>
    <w:p w14:paraId="5F48A36D">
      <w:pPr>
        <w:pStyle w:val="3"/>
        <w:pageBreakBefore w:val="0"/>
        <w:kinsoku/>
        <w:wordWrap/>
        <w:topLinePunct w:val="0"/>
        <w:bidi w:val="0"/>
        <w:spacing w:line="360" w:lineRule="auto"/>
        <w:jc w:val="center"/>
        <w:textAlignment w:val="auto"/>
        <w:rPr>
          <w:rFonts w:hint="eastAsia" w:ascii="宋体" w:hAnsi="宋体" w:eastAsia="宋体" w:cs="宋体"/>
          <w:b/>
          <w:bCs w:val="0"/>
          <w:color w:val="auto"/>
          <w:highlight w:val="none"/>
        </w:rPr>
      </w:pPr>
      <w:r>
        <w:rPr>
          <w:rFonts w:hint="eastAsia" w:ascii="宋体" w:hAnsi="宋体" w:eastAsia="宋体" w:cs="宋体"/>
          <w:b/>
          <w:bCs w:val="0"/>
          <w:color w:val="auto"/>
          <w:highlight w:val="none"/>
        </w:rPr>
        <w:t>第</w:t>
      </w:r>
      <w:r>
        <w:rPr>
          <w:rFonts w:hint="eastAsia" w:ascii="宋体" w:hAnsi="宋体" w:eastAsia="宋体" w:cs="宋体"/>
          <w:b/>
          <w:bCs w:val="0"/>
          <w:color w:val="auto"/>
          <w:highlight w:val="none"/>
          <w:lang w:eastAsia="zh-CN"/>
        </w:rPr>
        <w:t>三</w:t>
      </w:r>
      <w:r>
        <w:rPr>
          <w:rFonts w:hint="eastAsia" w:ascii="宋体" w:hAnsi="宋体" w:eastAsia="宋体" w:cs="宋体"/>
          <w:b/>
          <w:bCs w:val="0"/>
          <w:color w:val="auto"/>
          <w:highlight w:val="none"/>
        </w:rPr>
        <w:t xml:space="preserve">节 </w:t>
      </w:r>
      <w:r>
        <w:rPr>
          <w:rFonts w:hint="eastAsia" w:ascii="宋体" w:hAnsi="宋体" w:eastAsia="宋体" w:cs="宋体"/>
          <w:b/>
          <w:bCs w:val="0"/>
          <w:color w:val="auto"/>
          <w:highlight w:val="none"/>
          <w:lang w:eastAsia="zh-CN"/>
        </w:rPr>
        <w:t>商务技术</w:t>
      </w:r>
      <w:r>
        <w:rPr>
          <w:rFonts w:hint="eastAsia" w:ascii="宋体" w:hAnsi="宋体" w:eastAsia="宋体" w:cs="宋体"/>
          <w:b/>
          <w:bCs w:val="0"/>
          <w:color w:val="auto"/>
          <w:highlight w:val="none"/>
        </w:rPr>
        <w:t>文件格式</w:t>
      </w:r>
    </w:p>
    <w:p w14:paraId="14AFE07D">
      <w:pPr>
        <w:pageBreakBefore w:val="0"/>
        <w:kinsoku/>
        <w:wordWrap/>
        <w:topLinePunct w:val="0"/>
        <w:bidi w:val="0"/>
        <w:snapToGrid w:val="0"/>
        <w:spacing w:before="120" w:beforeLines="50" w:after="50"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b/>
          <w:bCs/>
          <w:color w:val="auto"/>
          <w:sz w:val="28"/>
          <w:szCs w:val="28"/>
          <w:highlight w:val="none"/>
        </w:rPr>
        <w:t>商务技术文件封面的格式：</w:t>
      </w:r>
      <w:r>
        <w:rPr>
          <w:rFonts w:hint="eastAsia" w:ascii="宋体" w:hAnsi="宋体" w:eastAsia="宋体" w:cs="宋体"/>
          <w:color w:val="auto"/>
          <w:sz w:val="24"/>
          <w:highlight w:val="none"/>
        </w:rPr>
        <w:t xml:space="preserve">                                      </w:t>
      </w:r>
    </w:p>
    <w:p w14:paraId="7D94ACEC">
      <w:pPr>
        <w:pageBreakBefore w:val="0"/>
        <w:kinsoku/>
        <w:wordWrap/>
        <w:topLinePunct w:val="0"/>
        <w:bidi w:val="0"/>
        <w:snapToGrid w:val="0"/>
        <w:spacing w:before="120" w:beforeLines="50" w:after="50" w:line="360" w:lineRule="auto"/>
        <w:ind w:firstLine="6930" w:firstLineChars="3300"/>
        <w:textAlignment w:val="auto"/>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全流程电子文件</w:t>
      </w:r>
    </w:p>
    <w:p w14:paraId="4A8C34F1">
      <w:pPr>
        <w:pageBreakBefore w:val="0"/>
        <w:kinsoku/>
        <w:wordWrap/>
        <w:topLinePunct w:val="0"/>
        <w:bidi w:val="0"/>
        <w:snapToGrid w:val="0"/>
        <w:spacing w:before="120" w:beforeLines="50" w:after="50" w:line="360" w:lineRule="auto"/>
        <w:textAlignment w:val="auto"/>
        <w:rPr>
          <w:rFonts w:hint="eastAsia" w:ascii="宋体" w:hAnsi="宋体" w:eastAsia="宋体" w:cs="宋体"/>
          <w:color w:val="auto"/>
          <w:sz w:val="24"/>
          <w:szCs w:val="20"/>
          <w:highlight w:val="none"/>
        </w:rPr>
      </w:pPr>
    </w:p>
    <w:p w14:paraId="4DA1AA7D">
      <w:pPr>
        <w:pageBreakBefore w:val="0"/>
        <w:kinsoku/>
        <w:wordWrap/>
        <w:topLinePunct w:val="0"/>
        <w:bidi w:val="0"/>
        <w:snapToGrid w:val="0"/>
        <w:spacing w:before="120" w:beforeLines="50" w:after="50" w:line="360" w:lineRule="auto"/>
        <w:textAlignment w:val="auto"/>
        <w:rPr>
          <w:rFonts w:hint="eastAsia" w:ascii="宋体" w:hAnsi="宋体" w:eastAsia="宋体" w:cs="宋体"/>
          <w:color w:val="auto"/>
          <w:sz w:val="24"/>
          <w:szCs w:val="20"/>
          <w:highlight w:val="none"/>
        </w:rPr>
      </w:pPr>
    </w:p>
    <w:p w14:paraId="608A05A9">
      <w:pPr>
        <w:pageBreakBefore w:val="0"/>
        <w:kinsoku/>
        <w:wordWrap/>
        <w:topLinePunct w:val="0"/>
        <w:bidi w:val="0"/>
        <w:snapToGrid w:val="0"/>
        <w:spacing w:before="120" w:beforeLines="50" w:after="50" w:line="360" w:lineRule="auto"/>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lang w:eastAsia="zh-CN"/>
        </w:rPr>
        <w:t>商</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lang w:eastAsia="zh-CN"/>
        </w:rPr>
        <w:t>务</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lang w:eastAsia="zh-CN"/>
        </w:rPr>
        <w:t>技</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lang w:eastAsia="zh-CN"/>
        </w:rPr>
        <w:t>术</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文</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件</w:t>
      </w:r>
    </w:p>
    <w:p w14:paraId="7A1723C1">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3D13BD46">
      <w:pPr>
        <w:pageBreakBefore w:val="0"/>
        <w:kinsoku/>
        <w:wordWrap/>
        <w:topLinePunct w:val="0"/>
        <w:bidi w:val="0"/>
        <w:snapToGrid w:val="0"/>
        <w:spacing w:before="120" w:beforeLines="50" w:after="50" w:line="360" w:lineRule="auto"/>
        <w:textAlignment w:val="auto"/>
        <w:rPr>
          <w:rFonts w:hint="eastAsia" w:ascii="宋体" w:hAnsi="宋体" w:eastAsia="宋体" w:cs="宋体"/>
          <w:bCs/>
          <w:color w:val="auto"/>
          <w:sz w:val="24"/>
          <w:szCs w:val="20"/>
          <w:highlight w:val="none"/>
        </w:rPr>
      </w:pPr>
    </w:p>
    <w:p w14:paraId="5233C641">
      <w:pPr>
        <w:pageBreakBefore w:val="0"/>
        <w:kinsoku/>
        <w:wordWrap/>
        <w:topLinePunct w:val="0"/>
        <w:bidi w:val="0"/>
        <w:snapToGrid w:val="0"/>
        <w:spacing w:before="120" w:beforeLines="50" w:after="50" w:line="360" w:lineRule="auto"/>
        <w:ind w:firstLine="640" w:firstLineChars="200"/>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1D06053F">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p>
    <w:p w14:paraId="7E4CED9F">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3411AB57">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0F50C341">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10C7F89">
      <w:pPr>
        <w:pageBreakBefore w:val="0"/>
        <w:kinsoku/>
        <w:wordWrap/>
        <w:topLinePunct w:val="0"/>
        <w:bidi w:val="0"/>
        <w:snapToGrid w:val="0"/>
        <w:spacing w:before="120" w:beforeLines="50" w:after="50" w:line="360" w:lineRule="auto"/>
        <w:ind w:firstLine="720" w:firstLineChars="225"/>
        <w:textAlignment w:val="auto"/>
        <w:rPr>
          <w:rFonts w:hint="eastAsia" w:ascii="宋体" w:hAnsi="宋体" w:eastAsia="宋体" w:cs="宋体"/>
          <w:bCs/>
          <w:color w:val="auto"/>
          <w:sz w:val="32"/>
          <w:szCs w:val="32"/>
          <w:highlight w:val="none"/>
        </w:rPr>
      </w:pPr>
    </w:p>
    <w:p w14:paraId="14092009">
      <w:pPr>
        <w:pStyle w:val="7"/>
        <w:pageBreakBefore w:val="0"/>
        <w:kinsoku/>
        <w:wordWrap/>
        <w:topLinePunct w:val="0"/>
        <w:bidi w:val="0"/>
        <w:snapToGrid w:val="0"/>
        <w:spacing w:before="50" w:after="50" w:line="360" w:lineRule="auto"/>
        <w:ind w:firstLine="720" w:firstLineChars="225"/>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4976A02">
      <w:pPr>
        <w:pStyle w:val="7"/>
        <w:pageBreakBefore w:val="0"/>
        <w:kinsoku/>
        <w:wordWrap/>
        <w:topLinePunct w:val="0"/>
        <w:bidi w:val="0"/>
        <w:snapToGrid w:val="0"/>
        <w:spacing w:before="50" w:after="50" w:line="360" w:lineRule="auto"/>
        <w:ind w:firstLine="1280" w:firstLineChars="400"/>
        <w:textAlignment w:val="auto"/>
        <w:rPr>
          <w:rFonts w:hint="eastAsia" w:ascii="宋体" w:hAnsi="宋体" w:eastAsia="宋体" w:cs="宋体"/>
          <w:bCs/>
          <w:color w:val="auto"/>
          <w:sz w:val="32"/>
          <w:szCs w:val="32"/>
          <w:highlight w:val="none"/>
        </w:rPr>
      </w:pPr>
    </w:p>
    <w:p w14:paraId="4E71F9CE">
      <w:pPr>
        <w:pageBreakBefore w:val="0"/>
        <w:kinsoku/>
        <w:wordWrap/>
        <w:topLinePunct w:val="0"/>
        <w:bidi w:val="0"/>
        <w:snapToGrid w:val="0"/>
        <w:spacing w:before="120" w:beforeLines="50" w:after="50" w:line="360" w:lineRule="auto"/>
        <w:jc w:val="center"/>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1C8ED06">
      <w:pPr>
        <w:pageBreakBefore w:val="0"/>
        <w:kinsoku/>
        <w:wordWrap/>
        <w:topLinePunct w:val="0"/>
        <w:bidi w:val="0"/>
        <w:snapToGrid w:val="0"/>
        <w:spacing w:before="120" w:beforeLines="50" w:after="50" w:line="360" w:lineRule="auto"/>
        <w:jc w:val="center"/>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br w:type="page"/>
      </w:r>
    </w:p>
    <w:p w14:paraId="2B60DB82">
      <w:pPr>
        <w:pageBreakBefore w:val="0"/>
        <w:kinsoku/>
        <w:wordWrap/>
        <w:topLinePunct w:val="0"/>
        <w:bidi w:val="0"/>
        <w:snapToGrid w:val="0"/>
        <w:spacing w:before="120" w:beforeLines="50" w:after="50" w:line="360" w:lineRule="auto"/>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商务技术</w:t>
      </w:r>
      <w:r>
        <w:rPr>
          <w:rFonts w:hint="eastAsia" w:ascii="宋体" w:hAnsi="宋体" w:eastAsia="宋体" w:cs="宋体"/>
          <w:b/>
          <w:bCs/>
          <w:color w:val="auto"/>
          <w:sz w:val="28"/>
          <w:szCs w:val="28"/>
          <w:highlight w:val="none"/>
        </w:rPr>
        <w:t>文件目录</w:t>
      </w:r>
    </w:p>
    <w:p w14:paraId="45CF94CD">
      <w:pPr>
        <w:pageBreakBefore w:val="0"/>
        <w:kinsoku/>
        <w:wordWrap/>
        <w:topLinePunct w:val="0"/>
        <w:bidi w:val="0"/>
        <w:spacing w:line="360" w:lineRule="auto"/>
        <w:textAlignment w:val="auto"/>
        <w:rPr>
          <w:rFonts w:hint="eastAsia" w:ascii="宋体" w:hAnsi="宋体" w:eastAsia="宋体" w:cs="宋体"/>
          <w:b/>
          <w:bCs/>
          <w:color w:val="auto"/>
          <w:sz w:val="24"/>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4"/>
          <w:highlight w:val="none"/>
        </w:rPr>
        <w:t xml:space="preserve">  根据竞争性磋商文件规定及供应商提供的材料自行编写目录（部分格式后附）。</w:t>
      </w:r>
    </w:p>
    <w:p w14:paraId="3C2B185F">
      <w:pPr>
        <w:spacing w:line="400" w:lineRule="exact"/>
        <w:rPr>
          <w:rFonts w:hint="eastAsia" w:ascii="宋体" w:hAnsi="宋体" w:eastAsia="宋体" w:cs="宋体"/>
          <w:color w:val="auto"/>
          <w:sz w:val="32"/>
          <w:szCs w:val="32"/>
          <w:highlight w:val="none"/>
        </w:rPr>
      </w:pPr>
    </w:p>
    <w:p w14:paraId="36442852">
      <w:pPr>
        <w:spacing w:line="5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bCs/>
          <w:color w:val="auto"/>
          <w:sz w:val="32"/>
          <w:szCs w:val="32"/>
          <w:highlight w:val="none"/>
        </w:rPr>
        <w:t>无串通竞标行为的承诺函</w:t>
      </w:r>
    </w:p>
    <w:p w14:paraId="7E3E732A">
      <w:pPr>
        <w:keepNext w:val="0"/>
        <w:keepLines w:val="0"/>
        <w:pageBreakBefore w:val="0"/>
        <w:widowControl w:val="0"/>
        <w:kinsoku/>
        <w:wordWrap/>
        <w:overflowPunct/>
        <w:topLinePunct w:val="0"/>
        <w:autoSpaceDE/>
        <w:autoSpaceDN/>
        <w:bidi w:val="0"/>
        <w:adjustRightInd/>
        <w:spacing w:line="360" w:lineRule="auto"/>
        <w:ind w:firstLine="640" w:firstLineChars="200"/>
        <w:textAlignment w:val="auto"/>
        <w:rPr>
          <w:rFonts w:hint="eastAsia" w:ascii="宋体" w:hAnsi="宋体" w:eastAsia="宋体" w:cs="宋体"/>
          <w:color w:val="auto"/>
          <w:sz w:val="32"/>
          <w:szCs w:val="32"/>
          <w:highlight w:val="none"/>
        </w:rPr>
      </w:pPr>
    </w:p>
    <w:p w14:paraId="472CF1FD">
      <w:pPr>
        <w:keepNext w:val="0"/>
        <w:keepLines w:val="0"/>
        <w:pageBreakBefore w:val="0"/>
        <w:widowControl w:val="0"/>
        <w:kinsoku/>
        <w:wordWrap/>
        <w:overflowPunct/>
        <w:topLinePunct w:val="0"/>
        <w:autoSpaceDE/>
        <w:autoSpaceDN/>
        <w:bidi w:val="0"/>
        <w:adjustRightInd/>
        <w:spacing w:line="360" w:lineRule="auto"/>
        <w:ind w:firstLine="422" w:firstLineChars="200"/>
        <w:contextualSpacing/>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一、我方承诺无下列相互串通竞标的情形：</w:t>
      </w:r>
    </w:p>
    <w:p w14:paraId="741C45B9">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p>
    <w:p w14:paraId="549FAA29">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3E65AC32">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3.不同供应商的响应文件载明的项目管理员为同一个人；</w:t>
      </w:r>
    </w:p>
    <w:p w14:paraId="32E2E36E">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w:t>
      </w:r>
      <w:r>
        <w:rPr>
          <w:rFonts w:hint="eastAsia" w:ascii="宋体" w:hAnsi="宋体" w:eastAsia="宋体" w:cs="宋体"/>
          <w:color w:val="auto"/>
          <w:spacing w:val="-6"/>
          <w:szCs w:val="21"/>
          <w:highlight w:val="none"/>
        </w:rPr>
        <w:t>同供应商的响应文件异常一致或者响应报价呈规律性差异；</w:t>
      </w:r>
    </w:p>
    <w:p w14:paraId="74AC250B">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59F30DF8">
      <w:pPr>
        <w:pStyle w:val="13"/>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p>
    <w:p w14:paraId="769B12AD">
      <w:pPr>
        <w:keepNext w:val="0"/>
        <w:keepLines w:val="0"/>
        <w:pageBreakBefore w:val="0"/>
        <w:widowControl w:val="0"/>
        <w:kinsoku/>
        <w:wordWrap/>
        <w:overflowPunct/>
        <w:topLinePunct w:val="0"/>
        <w:autoSpaceDE/>
        <w:autoSpaceDN/>
        <w:bidi w:val="0"/>
        <w:adjustRightInd/>
        <w:spacing w:line="360" w:lineRule="auto"/>
        <w:ind w:firstLine="422" w:firstLineChars="200"/>
        <w:contextualSpacing/>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二、我方承诺无下列恶意串通的情形：</w:t>
      </w:r>
    </w:p>
    <w:p w14:paraId="7856E96E">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0BE80EC">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3B23E99E">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w:t>
      </w:r>
      <w:r>
        <w:rPr>
          <w:rFonts w:hint="eastAsia" w:ascii="宋体" w:hAnsi="宋体" w:eastAsia="宋体" w:cs="宋体"/>
          <w:color w:val="auto"/>
          <w:spacing w:val="-6"/>
          <w:szCs w:val="21"/>
          <w:highlight w:val="none"/>
        </w:rPr>
        <w:t>应商之间协商报价、技术方案等响应文件的实质性内容；</w:t>
      </w:r>
    </w:p>
    <w:p w14:paraId="1BC827DA">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523E738">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5.供应商之间事先约定一致抬高或者压低响应报价，或者在竞争性磋商项目中事先约定轮流以高价位或者低价位成交，或者事先约定由某一特定供应商成交，然后再参加竞标；</w:t>
      </w:r>
    </w:p>
    <w:p w14:paraId="3FD65A1B">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5106A7A6">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w:t>
      </w:r>
      <w:r>
        <w:rPr>
          <w:rFonts w:hint="eastAsia" w:ascii="宋体" w:hAnsi="宋体" w:eastAsia="宋体" w:cs="宋体"/>
          <w:color w:val="auto"/>
          <w:spacing w:val="-6"/>
          <w:szCs w:val="21"/>
          <w:highlight w:val="none"/>
        </w:rPr>
        <w:t>谋求特定供应商成交或者排斥其他供应商的其他串通行为。</w:t>
      </w:r>
    </w:p>
    <w:p w14:paraId="7E60287F">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Cs w:val="21"/>
          <w:highlight w:val="none"/>
        </w:rPr>
      </w:pPr>
    </w:p>
    <w:p w14:paraId="56909932">
      <w:pPr>
        <w:keepNext w:val="0"/>
        <w:keepLines w:val="0"/>
        <w:pageBreakBefore w:val="0"/>
        <w:widowControl w:val="0"/>
        <w:kinsoku/>
        <w:wordWrap/>
        <w:overflowPunct/>
        <w:topLinePunct w:val="0"/>
        <w:autoSpaceDE/>
        <w:autoSpaceDN/>
        <w:bidi w:val="0"/>
        <w:adjustRightInd/>
        <w:spacing w:line="360" w:lineRule="auto"/>
        <w:ind w:firstLine="422" w:firstLineChars="200"/>
        <w:contextualSpacing/>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以上情形一经核查属实，接受政府采购监管部门对我方认定存在围标串标行为，我方愿意承担一切后果，并不再寻求任何旨在减轻或者免除法律责任的辩解。</w:t>
      </w:r>
    </w:p>
    <w:p w14:paraId="79FF5480">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color w:val="auto"/>
          <w:sz w:val="21"/>
          <w:szCs w:val="21"/>
          <w:highlight w:val="none"/>
        </w:rPr>
      </w:pPr>
    </w:p>
    <w:p w14:paraId="6E93AA99">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color w:val="auto"/>
          <w:sz w:val="21"/>
          <w:szCs w:val="21"/>
          <w:highlight w:val="none"/>
        </w:rPr>
      </w:pPr>
    </w:p>
    <w:p w14:paraId="2FD87751">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color w:val="auto"/>
          <w:sz w:val="21"/>
          <w:szCs w:val="21"/>
          <w:highlight w:val="none"/>
        </w:rPr>
      </w:pPr>
    </w:p>
    <w:p w14:paraId="1323C43C">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color w:val="auto"/>
          <w:sz w:val="21"/>
          <w:szCs w:val="21"/>
          <w:highlight w:val="none"/>
        </w:rPr>
      </w:pPr>
    </w:p>
    <w:p w14:paraId="2F97F1E2">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color w:val="auto"/>
          <w:sz w:val="21"/>
          <w:szCs w:val="21"/>
          <w:highlight w:val="none"/>
        </w:rPr>
      </w:pPr>
    </w:p>
    <w:p w14:paraId="78585728">
      <w:pPr>
        <w:keepNext w:val="0"/>
        <w:keepLines w:val="0"/>
        <w:pageBreakBefore w:val="0"/>
        <w:widowControl w:val="0"/>
        <w:kinsoku/>
        <w:wordWrap/>
        <w:overflowPunct/>
        <w:topLinePunct w:val="0"/>
        <w:autoSpaceDE/>
        <w:autoSpaceDN/>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6FC69D5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02A0330">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Cs w:val="21"/>
          <w:highlight w:val="none"/>
        </w:rPr>
        <w:br w:type="page"/>
      </w:r>
      <w:r>
        <w:rPr>
          <w:rFonts w:hint="eastAsia" w:ascii="宋体" w:hAnsi="宋体" w:eastAsia="宋体" w:cs="宋体"/>
          <w:b/>
          <w:bCs/>
          <w:color w:val="auto"/>
          <w:sz w:val="28"/>
          <w:szCs w:val="28"/>
          <w:highlight w:val="none"/>
        </w:rPr>
        <w:t>法定代表人身份证明的格式：</w:t>
      </w:r>
    </w:p>
    <w:p w14:paraId="6F3ECEB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w:t>
      </w:r>
    </w:p>
    <w:p w14:paraId="57AAE678">
      <w:pPr>
        <w:keepNext w:val="0"/>
        <w:keepLines w:val="0"/>
        <w:pageBreakBefore w:val="0"/>
        <w:widowControl w:val="0"/>
        <w:kinsoku/>
        <w:wordWrap/>
        <w:overflowPunct/>
        <w:topLinePunct w:val="0"/>
        <w:autoSpaceDE/>
        <w:autoSpaceDN/>
        <w:bidi w:val="0"/>
        <w:adjustRightInd/>
        <w:spacing w:line="360" w:lineRule="auto"/>
        <w:ind w:left="540"/>
        <w:contextualSpacing/>
        <w:textAlignment w:val="auto"/>
        <w:rPr>
          <w:rFonts w:hint="eastAsia" w:ascii="宋体" w:hAnsi="宋体" w:eastAsia="宋体" w:cs="宋体"/>
          <w:color w:val="auto"/>
          <w:sz w:val="32"/>
          <w:szCs w:val="32"/>
          <w:highlight w:val="none"/>
        </w:rPr>
      </w:pPr>
    </w:p>
    <w:p w14:paraId="03585E28">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 应 商：</w:t>
      </w:r>
      <w:r>
        <w:rPr>
          <w:rFonts w:hint="eastAsia" w:ascii="宋体" w:hAnsi="宋体" w:eastAsia="宋体" w:cs="宋体"/>
          <w:color w:val="auto"/>
          <w:szCs w:val="21"/>
          <w:highlight w:val="none"/>
          <w:u w:val="single"/>
        </w:rPr>
        <w:t xml:space="preserve">                                                        </w:t>
      </w:r>
    </w:p>
    <w:p w14:paraId="766C50BD">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7CCFBC5A">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00FBE0A6">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A4B21BE">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rPr>
        <w:t xml:space="preserve">                                                        </w:t>
      </w:r>
    </w:p>
    <w:p w14:paraId="4825E5A9">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     别：</w:t>
      </w:r>
      <w:r>
        <w:rPr>
          <w:rFonts w:hint="eastAsia" w:ascii="宋体" w:hAnsi="宋体" w:eastAsia="宋体" w:cs="宋体"/>
          <w:color w:val="auto"/>
          <w:szCs w:val="21"/>
          <w:highlight w:val="none"/>
          <w:u w:val="single"/>
        </w:rPr>
        <w:t xml:space="preserve">                   </w:t>
      </w:r>
    </w:p>
    <w:p w14:paraId="2275BA58">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xml:space="preserve">                   </w:t>
      </w:r>
    </w:p>
    <w:p w14:paraId="176CB78D">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（供应商名称）的法定代表人。</w:t>
      </w:r>
    </w:p>
    <w:p w14:paraId="46B4AFAB">
      <w:pPr>
        <w:keepNext w:val="0"/>
        <w:keepLines w:val="0"/>
        <w:pageBreakBefore w:val="0"/>
        <w:widowControl w:val="0"/>
        <w:kinsoku/>
        <w:wordWrap/>
        <w:overflowPunct/>
        <w:topLinePunct w:val="0"/>
        <w:autoSpaceDE/>
        <w:autoSpaceDN/>
        <w:bidi w:val="0"/>
        <w:adjustRightInd/>
        <w:spacing w:line="360" w:lineRule="auto"/>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4227A3DC">
      <w:pPr>
        <w:keepNext w:val="0"/>
        <w:keepLines w:val="0"/>
        <w:pageBreakBefore w:val="0"/>
        <w:widowControl w:val="0"/>
        <w:kinsoku/>
        <w:wordWrap/>
        <w:overflowPunct/>
        <w:topLinePunct w:val="0"/>
        <w:autoSpaceDE/>
        <w:autoSpaceDN/>
        <w:bidi w:val="0"/>
        <w:adjustRightInd/>
        <w:spacing w:line="360" w:lineRule="auto"/>
        <w:ind w:left="540"/>
        <w:contextualSpacing/>
        <w:textAlignment w:val="auto"/>
        <w:rPr>
          <w:rFonts w:hint="eastAsia" w:ascii="宋体" w:hAnsi="宋体" w:eastAsia="宋体" w:cs="宋体"/>
          <w:color w:val="auto"/>
          <w:szCs w:val="21"/>
          <w:highlight w:val="none"/>
        </w:rPr>
      </w:pPr>
    </w:p>
    <w:p w14:paraId="77F058AE">
      <w:pPr>
        <w:keepNext w:val="0"/>
        <w:keepLines w:val="0"/>
        <w:pageBreakBefore w:val="0"/>
        <w:widowControl w:val="0"/>
        <w:kinsoku/>
        <w:wordWrap/>
        <w:overflowPunct/>
        <w:topLinePunct w:val="0"/>
        <w:autoSpaceDE/>
        <w:autoSpaceDN/>
        <w:bidi w:val="0"/>
        <w:adjustRightInd/>
        <w:spacing w:line="360" w:lineRule="auto"/>
        <w:ind w:left="540"/>
        <w:contextualSpacing/>
        <w:textAlignment w:val="auto"/>
        <w:rPr>
          <w:rFonts w:hint="eastAsia" w:ascii="宋体" w:hAnsi="宋体" w:eastAsia="宋体" w:cs="宋体"/>
          <w:color w:val="auto"/>
          <w:szCs w:val="21"/>
          <w:highlight w:val="none"/>
        </w:rPr>
      </w:pPr>
    </w:p>
    <w:p w14:paraId="671188DD">
      <w:pPr>
        <w:keepNext w:val="0"/>
        <w:keepLines w:val="0"/>
        <w:pageBreakBefore w:val="0"/>
        <w:widowControl w:val="0"/>
        <w:kinsoku/>
        <w:wordWrap/>
        <w:overflowPunct/>
        <w:topLinePunct w:val="0"/>
        <w:autoSpaceDE/>
        <w:autoSpaceDN/>
        <w:bidi w:val="0"/>
        <w:adjustRightInd/>
        <w:spacing w:line="360" w:lineRule="auto"/>
        <w:ind w:left="540"/>
        <w:contextualSpacing/>
        <w:textAlignment w:val="auto"/>
        <w:rPr>
          <w:rFonts w:hint="eastAsia" w:ascii="宋体" w:hAnsi="宋体" w:eastAsia="宋体" w:cs="宋体"/>
          <w:color w:val="auto"/>
          <w:szCs w:val="21"/>
          <w:highlight w:val="none"/>
        </w:rPr>
      </w:pPr>
    </w:p>
    <w:p w14:paraId="570176AC">
      <w:pPr>
        <w:keepNext w:val="0"/>
        <w:keepLines w:val="0"/>
        <w:pageBreakBefore w:val="0"/>
        <w:widowControl w:val="0"/>
        <w:kinsoku/>
        <w:wordWrap/>
        <w:overflowPunct/>
        <w:topLinePunct w:val="0"/>
        <w:autoSpaceDE/>
        <w:autoSpaceDN/>
        <w:bidi w:val="0"/>
        <w:adjustRightInd/>
        <w:spacing w:line="360" w:lineRule="auto"/>
        <w:ind w:left="540"/>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附件：法定代表人有效身份证正反面复印件</w:t>
      </w:r>
    </w:p>
    <w:p w14:paraId="63C60BCA">
      <w:pPr>
        <w:keepNext w:val="0"/>
        <w:keepLines w:val="0"/>
        <w:pageBreakBefore w:val="0"/>
        <w:widowControl w:val="0"/>
        <w:kinsoku/>
        <w:wordWrap/>
        <w:overflowPunct/>
        <w:topLinePunct w:val="0"/>
        <w:autoSpaceDE/>
        <w:autoSpaceDN/>
        <w:bidi w:val="0"/>
        <w:adjustRightInd/>
        <w:spacing w:line="360" w:lineRule="auto"/>
        <w:ind w:left="540"/>
        <w:contextualSpacing/>
        <w:textAlignment w:val="auto"/>
        <w:rPr>
          <w:rFonts w:hint="eastAsia" w:ascii="宋体" w:hAnsi="宋体" w:eastAsia="宋体" w:cs="宋体"/>
          <w:color w:val="auto"/>
          <w:szCs w:val="21"/>
          <w:highlight w:val="none"/>
        </w:rPr>
      </w:pPr>
    </w:p>
    <w:p w14:paraId="15EF73C4">
      <w:pPr>
        <w:keepNext w:val="0"/>
        <w:keepLines w:val="0"/>
        <w:pageBreakBefore w:val="0"/>
        <w:widowControl w:val="0"/>
        <w:kinsoku/>
        <w:wordWrap/>
        <w:overflowPunct/>
        <w:topLinePunct w:val="0"/>
        <w:autoSpaceDE/>
        <w:autoSpaceDN/>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36140E0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5FC93B6">
      <w:pPr>
        <w:keepNext w:val="0"/>
        <w:keepLines w:val="0"/>
        <w:pageBreakBefore w:val="0"/>
        <w:widowControl w:val="0"/>
        <w:kinsoku/>
        <w:wordWrap/>
        <w:overflowPunct/>
        <w:topLinePunct w:val="0"/>
        <w:autoSpaceDE/>
        <w:autoSpaceDN/>
        <w:bidi w:val="0"/>
        <w:adjustRightInd/>
        <w:spacing w:line="360" w:lineRule="auto"/>
        <w:contextualSpacing/>
        <w:jc w:val="left"/>
        <w:textAlignment w:val="auto"/>
        <w:rPr>
          <w:rFonts w:hint="eastAsia" w:ascii="宋体" w:hAnsi="宋体" w:eastAsia="宋体" w:cs="宋体"/>
          <w:color w:val="auto"/>
          <w:sz w:val="24"/>
          <w:highlight w:val="none"/>
        </w:rPr>
      </w:pPr>
    </w:p>
    <w:p w14:paraId="4C2ABE8D">
      <w:pPr>
        <w:keepNext w:val="0"/>
        <w:keepLines w:val="0"/>
        <w:pageBreakBefore w:val="0"/>
        <w:widowControl w:val="0"/>
        <w:kinsoku/>
        <w:wordWrap/>
        <w:overflowPunct/>
        <w:topLinePunct w:val="0"/>
        <w:autoSpaceDE/>
        <w:autoSpaceDN/>
        <w:bidi w:val="0"/>
        <w:adjustRightInd/>
        <w:spacing w:line="360" w:lineRule="auto"/>
        <w:contextualSpacing/>
        <w:jc w:val="left"/>
        <w:textAlignment w:val="auto"/>
        <w:rPr>
          <w:rFonts w:hint="eastAsia" w:ascii="宋体" w:hAnsi="宋体" w:eastAsia="宋体" w:cs="宋体"/>
          <w:color w:val="auto"/>
          <w:sz w:val="24"/>
          <w:highlight w:val="none"/>
        </w:rPr>
      </w:pPr>
    </w:p>
    <w:p w14:paraId="1DA2CBFD">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06B74754">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1.自然人竞标的无需提供，联合体竞标的只需牵头人出具。</w:t>
      </w:r>
    </w:p>
    <w:p w14:paraId="691F7484">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jc w:val="left"/>
        <w:textAlignment w:val="auto"/>
        <w:rPr>
          <w:rFonts w:hint="eastAsia" w:ascii="宋体" w:hAnsi="宋体" w:eastAsia="宋体" w:cs="宋体"/>
          <w:color w:val="auto"/>
          <w:szCs w:val="21"/>
          <w:highlight w:val="none"/>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5640E46">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5F24BCEB">
      <w:pPr>
        <w:adjustRightInd w:val="0"/>
        <w:snapToGrid w:val="0"/>
        <w:spacing w:line="300" w:lineRule="auto"/>
        <w:jc w:val="left"/>
        <w:rPr>
          <w:rFonts w:hint="eastAsia" w:ascii="宋体" w:hAnsi="宋体" w:eastAsia="宋体" w:cs="宋体"/>
          <w:b/>
          <w:color w:val="auto"/>
          <w:szCs w:val="21"/>
          <w:highlight w:val="none"/>
        </w:rPr>
      </w:pPr>
    </w:p>
    <w:tbl>
      <w:tblPr>
        <w:tblStyle w:val="29"/>
        <w:tblpPr w:leftFromText="180" w:rightFromText="180" w:vertAnchor="text" w:horzAnchor="page" w:tblpX="1957" w:tblpY="3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35DA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noWrap w:val="0"/>
            <w:vAlign w:val="top"/>
          </w:tcPr>
          <w:p w14:paraId="3113DB0C">
            <w:pPr>
              <w:spacing w:line="360" w:lineRule="auto"/>
              <w:rPr>
                <w:rFonts w:hint="eastAsia" w:ascii="宋体" w:hAnsi="宋体" w:eastAsia="宋体" w:cs="宋体"/>
                <w:b/>
                <w:color w:val="auto"/>
                <w:sz w:val="24"/>
                <w:highlight w:val="none"/>
              </w:rPr>
            </w:pPr>
          </w:p>
          <w:p w14:paraId="0351D79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法定代表人身份证复印件粘贴处（正、反面）</w:t>
            </w:r>
          </w:p>
        </w:tc>
      </w:tr>
    </w:tbl>
    <w:p w14:paraId="590FD2DE">
      <w:pPr>
        <w:spacing w:line="520" w:lineRule="exact"/>
        <w:ind w:firstLine="880"/>
        <w:jc w:val="left"/>
        <w:rPr>
          <w:rFonts w:hint="eastAsia" w:ascii="宋体" w:hAnsi="宋体" w:eastAsia="宋体" w:cs="宋体"/>
          <w:color w:val="auto"/>
          <w:szCs w:val="21"/>
          <w:highlight w:val="none"/>
        </w:rPr>
      </w:pPr>
    </w:p>
    <w:p w14:paraId="170B02BC">
      <w:pPr>
        <w:spacing w:line="520" w:lineRule="exact"/>
        <w:ind w:firstLine="880"/>
        <w:jc w:val="left"/>
        <w:rPr>
          <w:rFonts w:hint="eastAsia" w:ascii="宋体" w:hAnsi="宋体" w:eastAsia="宋体" w:cs="宋体"/>
          <w:color w:val="auto"/>
          <w:szCs w:val="21"/>
          <w:highlight w:val="none"/>
        </w:rPr>
      </w:pPr>
    </w:p>
    <w:p w14:paraId="152683C6">
      <w:pPr>
        <w:spacing w:line="520" w:lineRule="exact"/>
        <w:ind w:firstLine="880"/>
        <w:jc w:val="left"/>
        <w:rPr>
          <w:rFonts w:hint="eastAsia" w:ascii="宋体" w:hAnsi="宋体" w:eastAsia="宋体" w:cs="宋体"/>
          <w:color w:val="auto"/>
          <w:szCs w:val="21"/>
          <w:highlight w:val="none"/>
        </w:rPr>
      </w:pPr>
    </w:p>
    <w:p w14:paraId="04CC8531">
      <w:pPr>
        <w:spacing w:line="520" w:lineRule="exact"/>
        <w:ind w:firstLine="880"/>
        <w:jc w:val="left"/>
        <w:rPr>
          <w:rFonts w:hint="eastAsia" w:ascii="宋体" w:hAnsi="宋体" w:eastAsia="宋体" w:cs="宋体"/>
          <w:color w:val="auto"/>
          <w:szCs w:val="21"/>
          <w:highlight w:val="none"/>
        </w:rPr>
      </w:pPr>
    </w:p>
    <w:p w14:paraId="7086D8A1">
      <w:pPr>
        <w:spacing w:line="520" w:lineRule="exact"/>
        <w:ind w:firstLine="880"/>
        <w:jc w:val="left"/>
        <w:rPr>
          <w:rFonts w:hint="eastAsia" w:ascii="宋体" w:hAnsi="宋体" w:eastAsia="宋体" w:cs="宋体"/>
          <w:color w:val="auto"/>
          <w:szCs w:val="21"/>
          <w:highlight w:val="none"/>
        </w:rPr>
      </w:pPr>
    </w:p>
    <w:p w14:paraId="4F4C41C8">
      <w:pPr>
        <w:spacing w:line="520" w:lineRule="exact"/>
        <w:ind w:firstLine="880"/>
        <w:jc w:val="left"/>
        <w:rPr>
          <w:rFonts w:hint="eastAsia" w:ascii="宋体" w:hAnsi="宋体" w:eastAsia="宋体" w:cs="宋体"/>
          <w:color w:val="auto"/>
          <w:szCs w:val="21"/>
          <w:highlight w:val="none"/>
        </w:rPr>
      </w:pPr>
    </w:p>
    <w:p w14:paraId="7668F705">
      <w:pPr>
        <w:spacing w:line="520" w:lineRule="exact"/>
        <w:ind w:firstLine="880"/>
        <w:jc w:val="left"/>
        <w:rPr>
          <w:rFonts w:hint="eastAsia" w:ascii="宋体" w:hAnsi="宋体" w:eastAsia="宋体" w:cs="宋体"/>
          <w:color w:val="auto"/>
          <w:szCs w:val="21"/>
          <w:highlight w:val="none"/>
        </w:rPr>
      </w:pPr>
    </w:p>
    <w:p w14:paraId="167A8ED9">
      <w:pPr>
        <w:spacing w:line="520" w:lineRule="exact"/>
        <w:ind w:firstLine="880"/>
        <w:jc w:val="left"/>
        <w:rPr>
          <w:rFonts w:hint="eastAsia" w:ascii="宋体" w:hAnsi="宋体" w:eastAsia="宋体" w:cs="宋体"/>
          <w:color w:val="auto"/>
          <w:szCs w:val="21"/>
          <w:highlight w:val="none"/>
        </w:rPr>
      </w:pPr>
    </w:p>
    <w:p w14:paraId="1BC27634">
      <w:pPr>
        <w:spacing w:line="520" w:lineRule="exact"/>
        <w:ind w:firstLine="880"/>
        <w:jc w:val="left"/>
        <w:rPr>
          <w:rFonts w:hint="eastAsia" w:ascii="宋体" w:hAnsi="宋体" w:eastAsia="宋体" w:cs="宋体"/>
          <w:color w:val="auto"/>
          <w:szCs w:val="21"/>
          <w:highlight w:val="none"/>
        </w:rPr>
      </w:pPr>
    </w:p>
    <w:p w14:paraId="45C9E9F3">
      <w:pPr>
        <w:spacing w:line="520" w:lineRule="exact"/>
        <w:ind w:firstLine="880"/>
        <w:jc w:val="left"/>
        <w:rPr>
          <w:rFonts w:hint="eastAsia" w:ascii="宋体" w:hAnsi="宋体" w:eastAsia="宋体" w:cs="宋体"/>
          <w:color w:val="auto"/>
          <w:szCs w:val="21"/>
          <w:highlight w:val="none"/>
        </w:rPr>
      </w:pPr>
    </w:p>
    <w:p w14:paraId="1AB21311">
      <w:pPr>
        <w:spacing w:line="520" w:lineRule="exact"/>
        <w:ind w:firstLine="880"/>
        <w:jc w:val="left"/>
        <w:rPr>
          <w:rFonts w:hint="eastAsia" w:ascii="宋体" w:hAnsi="宋体" w:eastAsia="宋体" w:cs="宋体"/>
          <w:color w:val="auto"/>
          <w:szCs w:val="21"/>
          <w:highlight w:val="none"/>
        </w:rPr>
      </w:pPr>
    </w:p>
    <w:p w14:paraId="207BC477">
      <w:pPr>
        <w:spacing w:line="520" w:lineRule="exact"/>
        <w:ind w:firstLine="880"/>
        <w:jc w:val="left"/>
        <w:rPr>
          <w:rFonts w:hint="eastAsia" w:ascii="宋体" w:hAnsi="宋体" w:eastAsia="宋体" w:cs="宋体"/>
          <w:color w:val="auto"/>
          <w:szCs w:val="21"/>
          <w:highlight w:val="none"/>
        </w:rPr>
      </w:pPr>
    </w:p>
    <w:p w14:paraId="49D58E7A">
      <w:pPr>
        <w:spacing w:line="520" w:lineRule="exact"/>
        <w:ind w:firstLine="880"/>
        <w:jc w:val="left"/>
        <w:rPr>
          <w:rFonts w:hint="eastAsia" w:ascii="宋体" w:hAnsi="宋体" w:eastAsia="宋体" w:cs="宋体"/>
          <w:color w:val="auto"/>
          <w:szCs w:val="21"/>
          <w:highlight w:val="none"/>
        </w:rPr>
      </w:pPr>
    </w:p>
    <w:p w14:paraId="1994EA9F">
      <w:pPr>
        <w:spacing w:line="520" w:lineRule="exact"/>
        <w:ind w:firstLine="880"/>
        <w:jc w:val="left"/>
        <w:rPr>
          <w:rFonts w:hint="eastAsia" w:ascii="宋体" w:hAnsi="宋体" w:eastAsia="宋体" w:cs="宋体"/>
          <w:color w:val="auto"/>
          <w:szCs w:val="21"/>
          <w:highlight w:val="none"/>
        </w:rPr>
      </w:pPr>
    </w:p>
    <w:p w14:paraId="6C184AEE">
      <w:pPr>
        <w:spacing w:line="520" w:lineRule="exact"/>
        <w:ind w:firstLine="880"/>
        <w:jc w:val="left"/>
        <w:rPr>
          <w:rFonts w:hint="eastAsia" w:ascii="宋体" w:hAnsi="宋体" w:eastAsia="宋体" w:cs="宋体"/>
          <w:color w:val="auto"/>
          <w:szCs w:val="21"/>
          <w:highlight w:val="none"/>
        </w:rPr>
      </w:pPr>
    </w:p>
    <w:p w14:paraId="520C5ED0">
      <w:pPr>
        <w:spacing w:line="520" w:lineRule="exact"/>
        <w:ind w:firstLine="880"/>
        <w:jc w:val="left"/>
        <w:rPr>
          <w:rFonts w:hint="eastAsia" w:ascii="宋体" w:hAnsi="宋体" w:eastAsia="宋体" w:cs="宋体"/>
          <w:color w:val="auto"/>
          <w:szCs w:val="21"/>
          <w:highlight w:val="none"/>
        </w:rPr>
      </w:pPr>
    </w:p>
    <w:p w14:paraId="553CF82F">
      <w:pPr>
        <w:spacing w:line="520" w:lineRule="exact"/>
        <w:ind w:firstLine="880"/>
        <w:jc w:val="left"/>
        <w:rPr>
          <w:rFonts w:hint="eastAsia" w:ascii="宋体" w:hAnsi="宋体" w:eastAsia="宋体" w:cs="宋体"/>
          <w:color w:val="auto"/>
          <w:szCs w:val="21"/>
          <w:highlight w:val="none"/>
        </w:rPr>
      </w:pPr>
    </w:p>
    <w:p w14:paraId="4739F2B1">
      <w:pPr>
        <w:spacing w:line="520" w:lineRule="exact"/>
        <w:ind w:firstLine="880"/>
        <w:jc w:val="left"/>
        <w:rPr>
          <w:rFonts w:hint="eastAsia" w:ascii="宋体" w:hAnsi="宋体" w:eastAsia="宋体" w:cs="宋体"/>
          <w:color w:val="auto"/>
          <w:szCs w:val="21"/>
          <w:highlight w:val="none"/>
        </w:rPr>
      </w:pPr>
    </w:p>
    <w:p w14:paraId="1F16A2A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i w:val="0"/>
          <w:iCs w:val="0"/>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bCs/>
          <w:i w:val="0"/>
          <w:iCs w:val="0"/>
          <w:color w:val="auto"/>
          <w:sz w:val="28"/>
          <w:szCs w:val="28"/>
          <w:highlight w:val="none"/>
        </w:rPr>
        <w:t>法定代表人授权委托书的格式：</w:t>
      </w:r>
    </w:p>
    <w:p w14:paraId="396233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z w:val="44"/>
          <w:szCs w:val="44"/>
          <w:highlight w:val="none"/>
        </w:rPr>
      </w:pPr>
    </w:p>
    <w:p w14:paraId="3CC1E1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olor w:val="auto"/>
          <w:sz w:val="32"/>
          <w:szCs w:val="32"/>
          <w:highlight w:val="none"/>
        </w:rPr>
      </w:pPr>
      <w:r>
        <w:rPr>
          <w:rFonts w:hint="eastAsia" w:ascii="宋体" w:hAnsi="宋体" w:eastAsia="宋体" w:cs="宋体"/>
          <w:b/>
          <w:bCs/>
          <w:i w:val="0"/>
          <w:iCs w:val="0"/>
          <w:color w:val="auto"/>
          <w:sz w:val="32"/>
          <w:szCs w:val="32"/>
          <w:highlight w:val="none"/>
        </w:rPr>
        <w:t>授权委托书（非联合体竞标格式）</w:t>
      </w:r>
    </w:p>
    <w:p w14:paraId="5898B1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olor w:val="auto"/>
          <w:sz w:val="32"/>
          <w:szCs w:val="32"/>
          <w:highlight w:val="none"/>
        </w:rPr>
      </w:pPr>
      <w:r>
        <w:rPr>
          <w:rFonts w:hint="eastAsia" w:ascii="宋体" w:hAnsi="宋体" w:eastAsia="宋体" w:cs="宋体"/>
          <w:b/>
          <w:bCs/>
          <w:i w:val="0"/>
          <w:iCs w:val="0"/>
          <w:color w:val="auto"/>
          <w:sz w:val="32"/>
          <w:szCs w:val="32"/>
          <w:highlight w:val="none"/>
        </w:rPr>
        <w:t>（如有委托时）</w:t>
      </w:r>
    </w:p>
    <w:p w14:paraId="4F2BC8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 w:val="32"/>
          <w:szCs w:val="32"/>
          <w:highlight w:val="none"/>
        </w:rPr>
      </w:pPr>
    </w:p>
    <w:p w14:paraId="0F05CF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致：</w:t>
      </w:r>
      <w:r>
        <w:rPr>
          <w:rFonts w:hint="eastAsia" w:ascii="宋体" w:hAnsi="宋体" w:eastAsia="宋体" w:cs="宋体"/>
          <w:i w:val="0"/>
          <w:iCs w:val="0"/>
          <w:color w:val="auto"/>
          <w:szCs w:val="21"/>
          <w:highlight w:val="none"/>
          <w:u w:val="single"/>
        </w:rPr>
        <w:t>（采购人名称）</w:t>
      </w:r>
      <w:r>
        <w:rPr>
          <w:rFonts w:hint="eastAsia" w:ascii="宋体" w:hAnsi="宋体" w:eastAsia="宋体" w:cs="宋体"/>
          <w:i w:val="0"/>
          <w:iCs w:val="0"/>
          <w:color w:val="auto"/>
          <w:szCs w:val="21"/>
          <w:highlight w:val="none"/>
        </w:rPr>
        <w:t>：</w:t>
      </w:r>
    </w:p>
    <w:p w14:paraId="247189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我</w:t>
      </w:r>
      <w:r>
        <w:rPr>
          <w:rFonts w:hint="eastAsia" w:ascii="宋体" w:hAnsi="宋体" w:eastAsia="宋体" w:cs="宋体"/>
          <w:i w:val="0"/>
          <w:iCs w:val="0"/>
          <w:color w:val="auto"/>
          <w:szCs w:val="21"/>
          <w:highlight w:val="none"/>
          <w:u w:val="single"/>
        </w:rPr>
        <w:t xml:space="preserve">  （姓名）  </w:t>
      </w:r>
      <w:r>
        <w:rPr>
          <w:rFonts w:hint="eastAsia" w:ascii="宋体" w:hAnsi="宋体" w:eastAsia="宋体" w:cs="宋体"/>
          <w:i w:val="0"/>
          <w:iCs w:val="0"/>
          <w:color w:val="auto"/>
          <w:szCs w:val="21"/>
          <w:highlight w:val="none"/>
        </w:rPr>
        <w:t>系</w:t>
      </w:r>
      <w:r>
        <w:rPr>
          <w:rFonts w:hint="eastAsia" w:ascii="宋体" w:hAnsi="宋体" w:eastAsia="宋体" w:cs="宋体"/>
          <w:i w:val="0"/>
          <w:iCs w:val="0"/>
          <w:color w:val="auto"/>
          <w:szCs w:val="21"/>
          <w:highlight w:val="none"/>
          <w:u w:val="single"/>
        </w:rPr>
        <w:t xml:space="preserve">  （供应商名称）  </w:t>
      </w:r>
      <w:r>
        <w:rPr>
          <w:rFonts w:hint="eastAsia" w:ascii="宋体" w:hAnsi="宋体" w:eastAsia="宋体" w:cs="宋体"/>
          <w:i w:val="0"/>
          <w:iCs w:val="0"/>
          <w:color w:val="auto"/>
          <w:szCs w:val="21"/>
          <w:highlight w:val="none"/>
        </w:rPr>
        <w:t>的（</w:t>
      </w:r>
      <w:r>
        <w:rPr>
          <w:rFonts w:hint="eastAsia" w:ascii="宋体" w:hAnsi="宋体" w:eastAsia="宋体" w:cs="宋体"/>
          <w:i w:val="0"/>
          <w:iCs w:val="0"/>
          <w:color w:val="auto"/>
          <w:szCs w:val="21"/>
          <w:highlight w:val="none"/>
          <w:u w:val="single"/>
        </w:rPr>
        <w:t>□法定代表人/□负责人/</w:t>
      </w:r>
      <w:r>
        <w:rPr>
          <w:rFonts w:hint="eastAsia" w:ascii="宋体" w:hAnsi="宋体" w:eastAsia="宋体" w:cs="宋体"/>
          <w:i w:val="0"/>
          <w:iCs w:val="0"/>
          <w:color w:val="auto"/>
          <w:szCs w:val="21"/>
          <w:highlight w:val="none"/>
          <w:u w:val="single"/>
          <w:lang w:eastAsia="zh-CN"/>
        </w:rPr>
        <w:t>□</w:t>
      </w:r>
      <w:r>
        <w:rPr>
          <w:rFonts w:hint="eastAsia" w:ascii="宋体" w:hAnsi="宋体" w:eastAsia="宋体" w:cs="宋体"/>
          <w:i w:val="0"/>
          <w:iCs w:val="0"/>
          <w:color w:val="auto"/>
          <w:szCs w:val="21"/>
          <w:highlight w:val="none"/>
          <w:u w:val="single"/>
        </w:rPr>
        <w:t>自然人本人</w:t>
      </w:r>
      <w:r>
        <w:rPr>
          <w:rFonts w:hint="eastAsia" w:ascii="宋体" w:hAnsi="宋体" w:eastAsia="宋体" w:cs="宋体"/>
          <w:i w:val="0"/>
          <w:iCs w:val="0"/>
          <w:color w:val="auto"/>
          <w:szCs w:val="21"/>
          <w:highlight w:val="none"/>
        </w:rPr>
        <w:t>），现授权</w:t>
      </w:r>
      <w:r>
        <w:rPr>
          <w:rFonts w:hint="eastAsia" w:ascii="宋体" w:hAnsi="宋体" w:eastAsia="宋体" w:cs="宋体"/>
          <w:i w:val="0"/>
          <w:iCs w:val="0"/>
          <w:color w:val="auto"/>
          <w:szCs w:val="21"/>
          <w:highlight w:val="none"/>
          <w:u w:val="single"/>
        </w:rPr>
        <w:t xml:space="preserve"> （姓名） </w:t>
      </w:r>
      <w:r>
        <w:rPr>
          <w:rFonts w:hint="eastAsia" w:ascii="宋体" w:hAnsi="宋体" w:eastAsia="宋体" w:cs="宋体"/>
          <w:i w:val="0"/>
          <w:iCs w:val="0"/>
          <w:color w:val="auto"/>
          <w:szCs w:val="21"/>
          <w:highlight w:val="none"/>
        </w:rPr>
        <w:t>以我方的名义参加</w:t>
      </w:r>
      <w:r>
        <w:rPr>
          <w:rFonts w:hint="eastAsia" w:ascii="宋体" w:hAnsi="宋体" w:eastAsia="宋体" w:cs="宋体"/>
          <w:i w:val="0"/>
          <w:iCs w:val="0"/>
          <w:color w:val="auto"/>
          <w:szCs w:val="21"/>
          <w:highlight w:val="none"/>
          <w:u w:val="single"/>
        </w:rPr>
        <w:t xml:space="preserve">      （项目名称）        </w:t>
      </w:r>
      <w:r>
        <w:rPr>
          <w:rFonts w:hint="eastAsia" w:ascii="宋体" w:hAnsi="宋体" w:eastAsia="宋体" w:cs="宋体"/>
          <w:i w:val="0"/>
          <w:iCs w:val="0"/>
          <w:color w:val="auto"/>
          <w:szCs w:val="21"/>
          <w:highlight w:val="none"/>
        </w:rPr>
        <w:t>项目的竞标活动，并代表我方全权办理针对上述项目的所有采购程序和环节的具体事务和签署相关文件。</w:t>
      </w:r>
    </w:p>
    <w:p w14:paraId="64A5E1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    我方对委托代理人的签字事项负全部责任。</w:t>
      </w:r>
    </w:p>
    <w:p w14:paraId="55FED7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本授权书自签署之日起生效，在撤销授权的书面通知以前，本授权书一直有效。委托代理人在授权书有效期内签署的所有文件不因授权的撤销而失效。</w:t>
      </w:r>
    </w:p>
    <w:p w14:paraId="4AF656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委托代理人无转委托权，特此委托。</w:t>
      </w:r>
    </w:p>
    <w:p w14:paraId="64FBB8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附：委托代理人有效身份证正反面复印件</w:t>
      </w:r>
    </w:p>
    <w:p w14:paraId="35A26A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p>
    <w:p w14:paraId="30B1C8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委托代理人（签字）：         法定代表人（签字）：                    </w:t>
      </w:r>
    </w:p>
    <w:p w14:paraId="065040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委托代理人身份证号码：                              </w:t>
      </w:r>
    </w:p>
    <w:p w14:paraId="4DFF47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                                </w:t>
      </w:r>
    </w:p>
    <w:p w14:paraId="02923B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                         </w:t>
      </w:r>
      <w:r>
        <w:rPr>
          <w:rFonts w:hint="eastAsia" w:ascii="宋体" w:hAnsi="宋体" w:eastAsia="宋体" w:cs="宋体"/>
          <w:i w:val="0"/>
          <w:iCs w:val="0"/>
          <w:color w:val="auto"/>
          <w:kern w:val="0"/>
          <w:szCs w:val="21"/>
          <w:highlight w:val="none"/>
        </w:rPr>
        <w:t>供应商名称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i w:val="0"/>
          <w:iCs w:val="0"/>
          <w:color w:val="auto"/>
          <w:kern w:val="0"/>
          <w:szCs w:val="21"/>
          <w:highlight w:val="none"/>
        </w:rPr>
        <w:t>：</w:t>
      </w:r>
    </w:p>
    <w:p w14:paraId="2BC6C772">
      <w:pPr>
        <w:keepNext w:val="0"/>
        <w:keepLines w:val="0"/>
        <w:pageBreakBefore w:val="0"/>
        <w:widowControl w:val="0"/>
        <w:kinsoku/>
        <w:wordWrap/>
        <w:overflowPunct/>
        <w:topLinePunct w:val="0"/>
        <w:autoSpaceDE/>
        <w:autoSpaceDN/>
        <w:bidi w:val="0"/>
        <w:adjustRightInd/>
        <w:snapToGrid/>
        <w:spacing w:line="360" w:lineRule="auto"/>
        <w:contextualSpacing/>
        <w:jc w:val="center"/>
        <w:textAlignment w:val="auto"/>
        <w:rPr>
          <w:rFonts w:hint="eastAsia" w:ascii="宋体" w:hAnsi="宋体" w:eastAsia="宋体" w:cs="宋体"/>
          <w:b/>
          <w:i w:val="0"/>
          <w:iCs w:val="0"/>
          <w:color w:val="auto"/>
          <w:szCs w:val="21"/>
          <w:highlight w:val="none"/>
        </w:rPr>
      </w:pPr>
      <w:r>
        <w:rPr>
          <w:rFonts w:hint="eastAsia" w:ascii="宋体" w:hAnsi="宋体" w:eastAsia="宋体" w:cs="宋体"/>
          <w:i w:val="0"/>
          <w:iCs w:val="0"/>
          <w:color w:val="auto"/>
          <w:kern w:val="0"/>
          <w:szCs w:val="21"/>
          <w:highlight w:val="none"/>
          <w:lang w:val="zh-CN"/>
        </w:rPr>
        <w:t xml:space="preserve">                                                   日期：  年  月   日</w:t>
      </w:r>
    </w:p>
    <w:p w14:paraId="5D8D27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p>
    <w:p w14:paraId="272B2A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注：</w:t>
      </w:r>
    </w:p>
    <w:p w14:paraId="6E4279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1. 法定代表人和委托代理人必须在授权委托书上签字，</w:t>
      </w:r>
      <w:r>
        <w:rPr>
          <w:rFonts w:hint="eastAsia" w:ascii="宋体" w:hAnsi="宋体" w:eastAsia="宋体" w:cs="宋体"/>
          <w:b/>
          <w:i w:val="0"/>
          <w:iCs w:val="0"/>
          <w:color w:val="auto"/>
          <w:szCs w:val="21"/>
          <w:highlight w:val="none"/>
        </w:rPr>
        <w:t>否则其响应文件按无效响应处理。</w:t>
      </w:r>
    </w:p>
    <w:p w14:paraId="3BB84C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928E0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3. 法人、其他组织竞标时“我方”是指“我单位”，自然人竞标时“我方”是指“本人”。</w:t>
      </w:r>
    </w:p>
    <w:p w14:paraId="497A14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olor w:val="auto"/>
          <w:sz w:val="32"/>
          <w:szCs w:val="32"/>
          <w:highlight w:val="none"/>
        </w:rPr>
      </w:pPr>
      <w:r>
        <w:rPr>
          <w:rFonts w:hint="eastAsia" w:ascii="宋体" w:hAnsi="宋体" w:eastAsia="宋体" w:cs="宋体"/>
          <w:color w:val="auto"/>
          <w:szCs w:val="21"/>
          <w:highlight w:val="none"/>
        </w:rPr>
        <w:br w:type="page"/>
      </w:r>
      <w:r>
        <w:rPr>
          <w:rFonts w:hint="eastAsia" w:ascii="宋体" w:hAnsi="宋体" w:eastAsia="宋体" w:cs="宋体"/>
          <w:b/>
          <w:bCs/>
          <w:i w:val="0"/>
          <w:iCs w:val="0"/>
          <w:color w:val="auto"/>
          <w:sz w:val="32"/>
          <w:szCs w:val="32"/>
          <w:highlight w:val="none"/>
        </w:rPr>
        <w:t>授权委托书（联合体竞标格式）</w:t>
      </w:r>
    </w:p>
    <w:p w14:paraId="0FFB07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i w:val="0"/>
          <w:iCs w:val="0"/>
          <w:color w:val="auto"/>
          <w:sz w:val="32"/>
          <w:szCs w:val="32"/>
          <w:highlight w:val="none"/>
        </w:rPr>
      </w:pPr>
      <w:r>
        <w:rPr>
          <w:rFonts w:hint="eastAsia" w:ascii="宋体" w:hAnsi="宋体" w:eastAsia="宋体" w:cs="宋体"/>
          <w:b/>
          <w:bCs/>
          <w:i w:val="0"/>
          <w:iCs w:val="0"/>
          <w:color w:val="auto"/>
          <w:sz w:val="32"/>
          <w:szCs w:val="32"/>
          <w:highlight w:val="none"/>
        </w:rPr>
        <w:t>（如有委托时）</w:t>
      </w:r>
    </w:p>
    <w:p w14:paraId="22E9A7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z w:val="44"/>
          <w:szCs w:val="44"/>
          <w:highlight w:val="none"/>
        </w:rPr>
      </w:pPr>
    </w:p>
    <w:p w14:paraId="0D9E86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z w:val="32"/>
          <w:szCs w:val="32"/>
          <w:highlight w:val="none"/>
        </w:rPr>
      </w:pPr>
    </w:p>
    <w:p w14:paraId="5B6C79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本授权委托书声明：根据</w:t>
      </w:r>
      <w:r>
        <w:rPr>
          <w:rFonts w:hint="eastAsia" w:ascii="宋体" w:hAnsi="宋体" w:eastAsia="宋体" w:cs="宋体"/>
          <w:i w:val="0"/>
          <w:iCs w:val="0"/>
          <w:color w:val="auto"/>
          <w:szCs w:val="21"/>
          <w:highlight w:val="none"/>
          <w:u w:val="single"/>
        </w:rPr>
        <w:t xml:space="preserve">                </w:t>
      </w:r>
      <w:r>
        <w:rPr>
          <w:rFonts w:hint="eastAsia" w:ascii="宋体" w:hAnsi="宋体" w:eastAsia="宋体" w:cs="宋体"/>
          <w:i w:val="0"/>
          <w:iCs w:val="0"/>
          <w:color w:val="auto"/>
          <w:szCs w:val="21"/>
          <w:highlight w:val="none"/>
        </w:rPr>
        <w:t>（牵头人名称）与</w:t>
      </w:r>
      <w:r>
        <w:rPr>
          <w:rFonts w:hint="eastAsia" w:ascii="宋体" w:hAnsi="宋体" w:eastAsia="宋体" w:cs="宋体"/>
          <w:i w:val="0"/>
          <w:iCs w:val="0"/>
          <w:color w:val="auto"/>
          <w:szCs w:val="21"/>
          <w:highlight w:val="none"/>
          <w:u w:val="single"/>
        </w:rPr>
        <w:t xml:space="preserve">              </w:t>
      </w:r>
      <w:r>
        <w:rPr>
          <w:rFonts w:hint="eastAsia" w:ascii="宋体" w:hAnsi="宋体" w:eastAsia="宋体" w:cs="宋体"/>
          <w:i w:val="0"/>
          <w:iCs w:val="0"/>
          <w:color w:val="auto"/>
          <w:szCs w:val="21"/>
          <w:highlight w:val="none"/>
        </w:rPr>
        <w:t>（联合体其他成员名称）签订的《联合体竞标协议书》的内容，</w:t>
      </w:r>
      <w:r>
        <w:rPr>
          <w:rFonts w:hint="eastAsia" w:ascii="宋体" w:hAnsi="宋体" w:eastAsia="宋体" w:cs="宋体"/>
          <w:i w:val="0"/>
          <w:iCs w:val="0"/>
          <w:color w:val="auto"/>
          <w:szCs w:val="21"/>
          <w:highlight w:val="none"/>
          <w:u w:val="single"/>
        </w:rPr>
        <w:t xml:space="preserve">                       </w:t>
      </w:r>
      <w:r>
        <w:rPr>
          <w:rFonts w:hint="eastAsia" w:ascii="宋体" w:hAnsi="宋体" w:eastAsia="宋体" w:cs="宋体"/>
          <w:i w:val="0"/>
          <w:iCs w:val="0"/>
          <w:color w:val="auto"/>
          <w:szCs w:val="21"/>
          <w:highlight w:val="none"/>
        </w:rPr>
        <w:t>（牵头人名称）的法定代表人</w:t>
      </w:r>
      <w:r>
        <w:rPr>
          <w:rFonts w:hint="eastAsia" w:ascii="宋体" w:hAnsi="宋体" w:eastAsia="宋体" w:cs="宋体"/>
          <w:i w:val="0"/>
          <w:iCs w:val="0"/>
          <w:color w:val="auto"/>
          <w:szCs w:val="21"/>
          <w:highlight w:val="none"/>
          <w:u w:val="single"/>
        </w:rPr>
        <w:t xml:space="preserve">      （姓名）</w:t>
      </w:r>
      <w:r>
        <w:rPr>
          <w:rFonts w:hint="eastAsia" w:ascii="宋体" w:hAnsi="宋体" w:eastAsia="宋体" w:cs="宋体"/>
          <w:i w:val="0"/>
          <w:iCs w:val="0"/>
          <w:color w:val="auto"/>
          <w:szCs w:val="21"/>
          <w:highlight w:val="none"/>
        </w:rPr>
        <w:t>现授权</w:t>
      </w:r>
      <w:r>
        <w:rPr>
          <w:rFonts w:hint="eastAsia" w:ascii="宋体" w:hAnsi="宋体" w:eastAsia="宋体" w:cs="宋体"/>
          <w:i w:val="0"/>
          <w:iCs w:val="0"/>
          <w:color w:val="auto"/>
          <w:szCs w:val="21"/>
          <w:highlight w:val="none"/>
          <w:u w:val="single"/>
        </w:rPr>
        <w:t xml:space="preserve">      （姓名）</w:t>
      </w:r>
      <w:r>
        <w:rPr>
          <w:rFonts w:hint="eastAsia" w:ascii="宋体" w:hAnsi="宋体" w:eastAsia="宋体" w:cs="宋体"/>
          <w:i w:val="0"/>
          <w:iCs w:val="0"/>
          <w:color w:val="auto"/>
          <w:szCs w:val="21"/>
          <w:highlight w:val="none"/>
        </w:rPr>
        <w:t>为联合委托代理人，并代表我方全权办理针对上述项目的所有采购程序和环节的具体事务和签署相关文件。</w:t>
      </w:r>
    </w:p>
    <w:p w14:paraId="316D2E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我方对委托代理人的签字事项负全部责任。</w:t>
      </w:r>
    </w:p>
    <w:p w14:paraId="7B5172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本授权书自签署之日起生效，在撤销授权的书面通知以前，本授权书一直有效。委托代理人在授权书有效期内签署的所有文件不因授权的撤销而失效。</w:t>
      </w:r>
    </w:p>
    <w:p w14:paraId="5D13BF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委托代理人无转委托权，特此委托。</w:t>
      </w:r>
    </w:p>
    <w:p w14:paraId="5041B2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 xml:space="preserve">    </w:t>
      </w:r>
    </w:p>
    <w:p w14:paraId="6B8916C6">
      <w:pPr>
        <w:keepNext w:val="0"/>
        <w:keepLines w:val="0"/>
        <w:pageBreakBefore w:val="0"/>
        <w:widowControl w:val="0"/>
        <w:kinsoku/>
        <w:wordWrap/>
        <w:overflowPunct/>
        <w:topLinePunct w:val="0"/>
        <w:autoSpaceDE/>
        <w:autoSpaceDN/>
        <w:bidi w:val="0"/>
        <w:adjustRightInd/>
        <w:snapToGrid/>
        <w:spacing w:line="360" w:lineRule="auto"/>
        <w:ind w:firstLine="1365" w:firstLineChars="65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牵头人法定代表人（签字）：</w:t>
      </w:r>
    </w:p>
    <w:p w14:paraId="5A3EFCE2">
      <w:pPr>
        <w:keepNext w:val="0"/>
        <w:keepLines w:val="0"/>
        <w:pageBreakBefore w:val="0"/>
        <w:widowControl w:val="0"/>
        <w:kinsoku/>
        <w:wordWrap/>
        <w:overflowPunct/>
        <w:topLinePunct w:val="0"/>
        <w:autoSpaceDE/>
        <w:autoSpaceDN/>
        <w:bidi w:val="0"/>
        <w:adjustRightInd/>
        <w:snapToGrid/>
        <w:spacing w:line="360" w:lineRule="auto"/>
        <w:ind w:firstLine="2730" w:firstLineChars="13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牵头人名称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i w:val="0"/>
          <w:iCs w:val="0"/>
          <w:color w:val="auto"/>
          <w:szCs w:val="21"/>
          <w:highlight w:val="none"/>
        </w:rPr>
        <w:t>：</w:t>
      </w:r>
    </w:p>
    <w:p w14:paraId="27C25548">
      <w:pPr>
        <w:keepNext w:val="0"/>
        <w:keepLines w:val="0"/>
        <w:pageBreakBefore w:val="0"/>
        <w:widowControl w:val="0"/>
        <w:kinsoku/>
        <w:wordWrap/>
        <w:overflowPunct/>
        <w:topLinePunct w:val="0"/>
        <w:autoSpaceDE/>
        <w:autoSpaceDN/>
        <w:bidi w:val="0"/>
        <w:adjustRightInd/>
        <w:snapToGrid/>
        <w:spacing w:line="360" w:lineRule="auto"/>
        <w:ind w:firstLine="3360" w:firstLineChars="16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日期：    年   月   日</w:t>
      </w:r>
    </w:p>
    <w:p w14:paraId="382C45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p>
    <w:p w14:paraId="4B1209A5">
      <w:pPr>
        <w:keepNext w:val="0"/>
        <w:keepLines w:val="0"/>
        <w:pageBreakBefore w:val="0"/>
        <w:widowControl w:val="0"/>
        <w:kinsoku/>
        <w:wordWrap/>
        <w:overflowPunct/>
        <w:topLinePunct w:val="0"/>
        <w:autoSpaceDE/>
        <w:autoSpaceDN/>
        <w:bidi w:val="0"/>
        <w:adjustRightInd/>
        <w:snapToGrid/>
        <w:spacing w:line="360" w:lineRule="auto"/>
        <w:ind w:firstLine="2730" w:firstLineChars="13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委托代理人（签字）：</w:t>
      </w:r>
    </w:p>
    <w:p w14:paraId="2EAF00CD">
      <w:pPr>
        <w:keepNext w:val="0"/>
        <w:keepLines w:val="0"/>
        <w:pageBreakBefore w:val="0"/>
        <w:widowControl w:val="0"/>
        <w:kinsoku/>
        <w:wordWrap/>
        <w:overflowPunct/>
        <w:topLinePunct w:val="0"/>
        <w:autoSpaceDE/>
        <w:autoSpaceDN/>
        <w:bidi w:val="0"/>
        <w:adjustRightInd/>
        <w:snapToGrid/>
        <w:spacing w:line="360" w:lineRule="auto"/>
        <w:ind w:firstLine="3360" w:firstLineChars="16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日期：    年   月   日</w:t>
      </w:r>
    </w:p>
    <w:p w14:paraId="692910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zCs w:val="21"/>
          <w:highlight w:val="none"/>
        </w:rPr>
      </w:pPr>
    </w:p>
    <w:p w14:paraId="0B46D8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注：</w:t>
      </w:r>
    </w:p>
    <w:p w14:paraId="220BA9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1. 法定代表人和委托代理人必须在授权委托书上签字，</w:t>
      </w:r>
      <w:r>
        <w:rPr>
          <w:rFonts w:hint="eastAsia" w:ascii="宋体" w:hAnsi="宋体" w:eastAsia="宋体" w:cs="宋体"/>
          <w:b/>
          <w:i w:val="0"/>
          <w:iCs w:val="0"/>
          <w:color w:val="auto"/>
          <w:szCs w:val="21"/>
          <w:highlight w:val="none"/>
        </w:rPr>
        <w:t>否则其响应文件按无效响应处理。</w:t>
      </w:r>
    </w:p>
    <w:p w14:paraId="49F047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2.本授权委托书应由联合体牵头人的法定代表人按上述规定签署。</w:t>
      </w:r>
    </w:p>
    <w:p w14:paraId="0FD172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6F619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4.法人、其他组织竞标时“我方”是指“我单位”，自然人竞标时“我方”是指“本人”。</w:t>
      </w:r>
    </w:p>
    <w:p w14:paraId="6A45FF89">
      <w:pPr>
        <w:spacing w:line="360" w:lineRule="auto"/>
        <w:ind w:firstLine="420" w:firstLineChars="200"/>
        <w:jc w:val="left"/>
        <w:rPr>
          <w:rFonts w:hint="eastAsia" w:ascii="宋体" w:hAnsi="宋体" w:eastAsia="宋体" w:cs="宋体"/>
          <w:color w:val="auto"/>
          <w:szCs w:val="21"/>
          <w:highlight w:val="none"/>
        </w:rPr>
      </w:pPr>
    </w:p>
    <w:p w14:paraId="2DCE759C">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b/>
          <w:color w:val="auto"/>
          <w:sz w:val="30"/>
          <w:szCs w:val="30"/>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28"/>
          <w:szCs w:val="28"/>
          <w:highlight w:val="none"/>
        </w:rPr>
        <w:t>商务条款偏离表的格式：</w:t>
      </w:r>
    </w:p>
    <w:p w14:paraId="70D91404">
      <w:pPr>
        <w:pStyle w:val="21"/>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highlight w:val="none"/>
        </w:rPr>
      </w:pPr>
    </w:p>
    <w:p w14:paraId="3170D5A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商务条款偏离表</w:t>
      </w:r>
    </w:p>
    <w:p w14:paraId="29202C42">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 w:val="32"/>
          <w:szCs w:val="32"/>
          <w:highlight w:val="none"/>
        </w:rPr>
      </w:pPr>
    </w:p>
    <w:p w14:paraId="7B397232">
      <w:pPr>
        <w:keepNext w:val="0"/>
        <w:keepLines w:val="0"/>
        <w:pageBreakBefore w:val="0"/>
        <w:widowControl w:val="0"/>
        <w:kinsoku/>
        <w:wordWrap/>
        <w:overflowPunct/>
        <w:topLinePunct w:val="0"/>
        <w:autoSpaceDE/>
        <w:autoSpaceDN/>
        <w:bidi w:val="0"/>
        <w:adjustRightInd/>
        <w:spacing w:line="360" w:lineRule="auto"/>
        <w:contextualSpacing/>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58966CF6">
      <w:pPr>
        <w:keepNext w:val="0"/>
        <w:keepLines w:val="0"/>
        <w:pageBreakBefore w:val="0"/>
        <w:widowControl w:val="0"/>
        <w:kinsoku/>
        <w:wordWrap/>
        <w:overflowPunct/>
        <w:topLinePunct w:val="0"/>
        <w:autoSpaceDE/>
        <w:autoSpaceDN/>
        <w:bidi w:val="0"/>
        <w:adjustRightInd/>
        <w:spacing w:line="360" w:lineRule="auto"/>
        <w:contextualSpacing/>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p>
    <w:p w14:paraId="61059D3C">
      <w:pPr>
        <w:keepNext w:val="0"/>
        <w:keepLines w:val="0"/>
        <w:pageBreakBefore w:val="0"/>
        <w:widowControl w:val="0"/>
        <w:kinsoku/>
        <w:wordWrap/>
        <w:overflowPunct/>
        <w:topLinePunct w:val="0"/>
        <w:autoSpaceDE/>
        <w:autoSpaceDN/>
        <w:bidi w:val="0"/>
        <w:adjustRightInd/>
        <w:spacing w:line="360" w:lineRule="auto"/>
        <w:contextualSpacing/>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所竞分标（如有则填写，无分标时填写“无”或者留空）：</w:t>
      </w:r>
      <w:r>
        <w:rPr>
          <w:rFonts w:hint="eastAsia" w:ascii="宋体" w:hAnsi="宋体" w:eastAsia="宋体" w:cs="宋体"/>
          <w:color w:val="auto"/>
          <w:szCs w:val="21"/>
          <w:highlight w:val="none"/>
          <w:u w:val="single"/>
        </w:rPr>
        <w:t xml:space="preserve">                </w:t>
      </w:r>
    </w:p>
    <w:tbl>
      <w:tblPr>
        <w:tblStyle w:val="29"/>
        <w:tblpPr w:leftFromText="180" w:rightFromText="180" w:vertAnchor="text" w:horzAnchor="page" w:tblpX="1230" w:tblpY="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027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6557E5E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765C55B4">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23073C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6DDDC8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4EAE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4582441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47B811C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52E482C">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24FE8F53">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r>
      <w:tr w14:paraId="1F2E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736A831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121590A9">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754F5E7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B9F5FA9">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r>
      <w:tr w14:paraId="153A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3F124DB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5182C1D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4B8E397">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36B43549">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r>
      <w:tr w14:paraId="1F50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114820E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6D7232E7">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6F94C64C">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7AA938C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r>
      <w:tr w14:paraId="1B66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4E792A7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2C6AF7C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564F0F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683DE14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r>
      <w:tr w14:paraId="4F8C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3A248BE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7D425095">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7BC31FB2">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6926C692">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p>
        </w:tc>
      </w:tr>
    </w:tbl>
    <w:p w14:paraId="42CE764A">
      <w:pPr>
        <w:pStyle w:val="14"/>
        <w:keepNext w:val="0"/>
        <w:keepLines w:val="0"/>
        <w:pageBreakBefore w:val="0"/>
        <w:widowControl w:val="0"/>
        <w:kinsoku/>
        <w:wordWrap/>
        <w:overflowPunct/>
        <w:topLinePunct w:val="0"/>
        <w:autoSpaceDE/>
        <w:autoSpaceDN/>
        <w:bidi w:val="0"/>
        <w:adjustRightInd/>
        <w:spacing w:line="360" w:lineRule="auto"/>
        <w:ind w:firstLine="0" w:firstLineChars="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E7074B0">
      <w:pPr>
        <w:pStyle w:val="14"/>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1.应对照磋商文件“第二章 采购需求”中的商务条款逐条作出明确响应，并作出偏离说明。</w:t>
      </w:r>
    </w:p>
    <w:p w14:paraId="20E5D21C">
      <w:pPr>
        <w:pStyle w:val="14"/>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2.供应商应根据自身的承诺，对照磋商文件要求，在“偏离说明”中注明“正偏离”或者“负偏离”或者“无偏离”。既不属于“正偏离”也不属于“负偏离”即为“无偏离”。 当响应文件的商务内容低于竞争性磋商文件要求时，供应商应当如实写明“负偏离”，否则视为虚假应标</w:t>
      </w:r>
      <w:r>
        <w:rPr>
          <w:rFonts w:hint="eastAsia" w:ascii="宋体" w:hAnsi="宋体" w:eastAsia="宋体" w:cs="宋体"/>
          <w:color w:val="auto"/>
          <w:sz w:val="21"/>
          <w:szCs w:val="21"/>
          <w:highlight w:val="none"/>
          <w:lang w:eastAsia="zh-CN"/>
        </w:rPr>
        <w:t>。</w:t>
      </w:r>
    </w:p>
    <w:p w14:paraId="26E3E67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3.表格内容均需按要求填写，不得留空，</w:t>
      </w:r>
      <w:r>
        <w:rPr>
          <w:rFonts w:hint="eastAsia" w:ascii="宋体" w:hAnsi="宋体" w:eastAsia="宋体" w:cs="宋体"/>
          <w:b/>
          <w:bCs/>
          <w:color w:val="auto"/>
          <w:kern w:val="0"/>
          <w:szCs w:val="21"/>
          <w:highlight w:val="none"/>
        </w:rPr>
        <w:t>否则按竞标无效处理。</w:t>
      </w:r>
    </w:p>
    <w:p w14:paraId="24020071">
      <w:pPr>
        <w:keepNext w:val="0"/>
        <w:keepLines w:val="0"/>
        <w:pageBreakBefore w:val="0"/>
        <w:widowControl w:val="0"/>
        <w:kinsoku/>
        <w:wordWrap/>
        <w:overflowPunct/>
        <w:topLinePunct w:val="0"/>
        <w:autoSpaceDE/>
        <w:autoSpaceDN/>
        <w:bidi w:val="0"/>
        <w:adjustRightInd/>
        <w:spacing w:line="360" w:lineRule="auto"/>
        <w:ind w:firstLine="420" w:firstLineChars="200"/>
        <w:contextualSpacing/>
        <w:textAlignment w:val="auto"/>
        <w:rPr>
          <w:rFonts w:hint="eastAsia" w:ascii="宋体" w:hAnsi="宋体" w:eastAsia="宋体" w:cs="宋体"/>
          <w:color w:val="auto"/>
          <w:kern w:val="0"/>
          <w:szCs w:val="21"/>
          <w:highlight w:val="none"/>
        </w:rPr>
      </w:pPr>
    </w:p>
    <w:p w14:paraId="547F0ED7">
      <w:pPr>
        <w:keepNext w:val="0"/>
        <w:keepLines w:val="0"/>
        <w:pageBreakBefore w:val="0"/>
        <w:widowControl w:val="0"/>
        <w:kinsoku/>
        <w:wordWrap/>
        <w:overflowPunct/>
        <w:topLinePunct w:val="0"/>
        <w:autoSpaceDE/>
        <w:autoSpaceDN/>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3D25495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7C36437">
      <w:pPr>
        <w:snapToGrid w:val="0"/>
        <w:spacing w:line="360" w:lineRule="auto"/>
        <w:ind w:firstLine="602" w:firstLineChars="200"/>
        <w:rPr>
          <w:rFonts w:hint="eastAsia" w:ascii="宋体" w:hAnsi="宋体" w:eastAsia="宋体" w:cs="宋体"/>
          <w:b/>
          <w:color w:val="auto"/>
          <w:sz w:val="30"/>
          <w:szCs w:val="30"/>
          <w:highlight w:val="none"/>
        </w:rPr>
      </w:pPr>
    </w:p>
    <w:p w14:paraId="144D9927">
      <w:pPr>
        <w:snapToGrid w:val="0"/>
        <w:spacing w:line="360" w:lineRule="auto"/>
        <w:ind w:firstLine="602" w:firstLineChars="200"/>
        <w:rPr>
          <w:rFonts w:hint="eastAsia" w:ascii="宋体" w:hAnsi="宋体" w:eastAsia="宋体" w:cs="宋体"/>
          <w:b/>
          <w:color w:val="auto"/>
          <w:sz w:val="30"/>
          <w:szCs w:val="30"/>
          <w:highlight w:val="none"/>
        </w:rPr>
      </w:pPr>
    </w:p>
    <w:p w14:paraId="19F50133">
      <w:pPr>
        <w:pStyle w:val="7"/>
        <w:rPr>
          <w:rFonts w:hint="eastAsia" w:ascii="宋体" w:hAnsi="宋体" w:eastAsia="宋体" w:cs="宋体"/>
          <w:b/>
          <w:color w:val="auto"/>
          <w:sz w:val="30"/>
          <w:szCs w:val="30"/>
          <w:highlight w:val="none"/>
        </w:rPr>
      </w:pPr>
    </w:p>
    <w:p w14:paraId="2F9B251A">
      <w:pPr>
        <w:pStyle w:val="7"/>
        <w:rPr>
          <w:rFonts w:hint="eastAsia" w:ascii="宋体" w:hAnsi="宋体" w:eastAsia="宋体" w:cs="宋体"/>
          <w:b/>
          <w:color w:val="auto"/>
          <w:sz w:val="30"/>
          <w:szCs w:val="30"/>
          <w:highlight w:val="none"/>
        </w:rPr>
      </w:pPr>
    </w:p>
    <w:p w14:paraId="3085FD62">
      <w:pPr>
        <w:snapToGrid w:val="0"/>
        <w:spacing w:before="120" w:beforeLines="50" w:after="50"/>
        <w:rPr>
          <w:rFonts w:hint="eastAsia" w:ascii="宋体" w:hAnsi="宋体" w:eastAsia="宋体" w:cs="宋体"/>
          <w:b/>
          <w:color w:val="auto"/>
          <w:sz w:val="28"/>
          <w:szCs w:val="28"/>
          <w:highlight w:val="none"/>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pPr>
    </w:p>
    <w:p w14:paraId="0924ABF2">
      <w:pPr>
        <w:keepNext w:val="0"/>
        <w:keepLines w:val="0"/>
        <w:pageBreakBefore w:val="0"/>
        <w:widowControl w:val="0"/>
        <w:kinsoku/>
        <w:wordWrap/>
        <w:overflowPunct/>
        <w:topLinePunct w:val="0"/>
        <w:autoSpaceDE/>
        <w:autoSpaceDN/>
        <w:bidi w:val="0"/>
        <w:adjustRightInd/>
        <w:snapToGrid w:val="0"/>
        <w:spacing w:before="120" w:beforeLines="50" w:after="50"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建设工程项目管理承诺书的格式：</w:t>
      </w:r>
    </w:p>
    <w:p w14:paraId="2F37335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b/>
          <w:bCs/>
          <w:color w:val="auto"/>
          <w:sz w:val="28"/>
          <w:szCs w:val="28"/>
          <w:highlight w:val="none"/>
        </w:rPr>
      </w:pPr>
    </w:p>
    <w:p w14:paraId="20F028F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建设工程项目管理承诺书</w:t>
      </w:r>
    </w:p>
    <w:p w14:paraId="237CC7F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 w:val="24"/>
          <w:highlight w:val="none"/>
        </w:rPr>
      </w:pPr>
    </w:p>
    <w:p w14:paraId="2BD44476">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（采购人名称）：</w:t>
      </w:r>
    </w:p>
    <w:p w14:paraId="67E65AB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作为参与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（项目名称）项目的供应商，根据国家、自治区相关文件规定，我方在此向采购人承诺：</w:t>
      </w:r>
    </w:p>
    <w:p w14:paraId="0DC0863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一旦成交，我方保证按照政府相关部门的规定，在成交后7个工作日内，按照《保障农民工工资支付条例》规定及广西壮族自治区有关规定开设农民工工资专用账户，专项用于支付本工程提供劳动的农民工被拖欠的工资。按照与农民工依法约定的工资支付周期和具体支付日期支付工资，保证每月至少向农民工足额支付一次工资。</w:t>
      </w:r>
    </w:p>
    <w:p w14:paraId="3156C9C4">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0B7D89A9">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54FC5CE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66EA3C4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AD3FE6A">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p>
    <w:p w14:paraId="7252111F">
      <w:pPr>
        <w:keepNext w:val="0"/>
        <w:keepLines w:val="0"/>
        <w:pageBreakBefore w:val="0"/>
        <w:widowControl w:val="0"/>
        <w:kinsoku/>
        <w:wordWrap/>
        <w:overflowPunct/>
        <w:topLinePunct w:val="0"/>
        <w:autoSpaceDE/>
        <w:autoSpaceDN/>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1940E407">
      <w:pPr>
        <w:keepNext w:val="0"/>
        <w:keepLines w:val="0"/>
        <w:pageBreakBefore w:val="0"/>
        <w:widowControl w:val="0"/>
        <w:kinsoku/>
        <w:wordWrap/>
        <w:overflowPunct/>
        <w:topLinePunct w:val="0"/>
        <w:autoSpaceDE/>
        <w:autoSpaceDN/>
        <w:bidi w:val="0"/>
        <w:adjustRightInd/>
        <w:spacing w:line="360" w:lineRule="auto"/>
        <w:ind w:firstLine="420" w:firstLineChars="200"/>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rPr>
        <w:br w:type="page"/>
      </w:r>
      <w:r>
        <w:rPr>
          <w:rFonts w:hint="eastAsia" w:ascii="宋体" w:hAnsi="宋体" w:eastAsia="宋体" w:cs="宋体"/>
          <w:b/>
          <w:bCs/>
          <w:color w:val="auto"/>
          <w:szCs w:val="21"/>
          <w:highlight w:val="none"/>
        </w:rPr>
        <w:t>广西壮族自治区建筑工程安全文明施工措施项目清单内容</w:t>
      </w:r>
    </w:p>
    <w:p w14:paraId="63B1C51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（桂建质〔2015〕16号文附件一）</w:t>
      </w:r>
    </w:p>
    <w:p w14:paraId="335D9E80">
      <w:pPr>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广西壮族自治区</w:t>
      </w:r>
    </w:p>
    <w:p w14:paraId="0141C384">
      <w:pPr>
        <w:jc w:val="center"/>
        <w:rPr>
          <w:rFonts w:hint="eastAsia" w:ascii="宋体" w:hAnsi="宋体" w:eastAsia="宋体" w:cs="宋体"/>
          <w:b/>
          <w:bCs/>
          <w:color w:val="auto"/>
          <w:w w:val="90"/>
          <w:szCs w:val="21"/>
          <w:highlight w:val="none"/>
        </w:rPr>
      </w:pPr>
      <w:r>
        <w:rPr>
          <w:rFonts w:hint="eastAsia" w:ascii="宋体" w:hAnsi="宋体" w:eastAsia="宋体" w:cs="宋体"/>
          <w:b/>
          <w:bCs/>
          <w:color w:val="auto"/>
          <w:w w:val="90"/>
          <w:szCs w:val="21"/>
          <w:highlight w:val="none"/>
        </w:rPr>
        <w:t>建设工程安全文明施工措施项目清单内容</w:t>
      </w:r>
    </w:p>
    <w:p w14:paraId="369C633F">
      <w:pPr>
        <w:rPr>
          <w:rFonts w:hint="eastAsia" w:ascii="宋体" w:hAnsi="宋体" w:eastAsia="宋体" w:cs="宋体"/>
          <w:b/>
          <w:bCs/>
          <w:color w:val="auto"/>
          <w:w w:val="90"/>
          <w:szCs w:val="21"/>
          <w:highlight w:val="none"/>
        </w:rPr>
      </w:pPr>
    </w:p>
    <w:tbl>
      <w:tblPr>
        <w:tblStyle w:val="29"/>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2CB7EA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501" w:hRule="exact"/>
        </w:trPr>
        <w:tc>
          <w:tcPr>
            <w:tcW w:w="738" w:type="dxa"/>
            <w:tcBorders>
              <w:top w:val="single" w:color="auto" w:sz="12" w:space="0"/>
            </w:tcBorders>
            <w:noWrap w:val="0"/>
            <w:vAlign w:val="center"/>
          </w:tcPr>
          <w:p w14:paraId="799F4FF0">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2070" w:type="dxa"/>
            <w:gridSpan w:val="2"/>
            <w:tcBorders>
              <w:top w:val="single" w:color="auto" w:sz="12" w:space="0"/>
            </w:tcBorders>
            <w:noWrap w:val="0"/>
            <w:vAlign w:val="center"/>
          </w:tcPr>
          <w:p w14:paraId="1A4248FA">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项目名称</w:t>
            </w:r>
          </w:p>
        </w:tc>
        <w:tc>
          <w:tcPr>
            <w:tcW w:w="6645" w:type="dxa"/>
            <w:tcBorders>
              <w:top w:val="single" w:color="auto" w:sz="12" w:space="0"/>
            </w:tcBorders>
            <w:noWrap w:val="0"/>
            <w:vAlign w:val="center"/>
          </w:tcPr>
          <w:p w14:paraId="01869C37">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主要内容和要求</w:t>
            </w:r>
          </w:p>
        </w:tc>
      </w:tr>
      <w:tr w14:paraId="44E69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5D5B1B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文明</w:t>
            </w:r>
          </w:p>
          <w:p w14:paraId="777E16E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w:t>
            </w:r>
          </w:p>
          <w:p w14:paraId="2BD95F5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w:t>
            </w:r>
          </w:p>
          <w:p w14:paraId="3ECCED6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环境</w:t>
            </w:r>
          </w:p>
          <w:p w14:paraId="78C17E2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保护</w:t>
            </w:r>
          </w:p>
        </w:tc>
        <w:tc>
          <w:tcPr>
            <w:tcW w:w="2070" w:type="dxa"/>
            <w:gridSpan w:val="2"/>
            <w:noWrap w:val="0"/>
            <w:vAlign w:val="center"/>
          </w:tcPr>
          <w:p w14:paraId="7C3A25E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安全警示</w:t>
            </w:r>
          </w:p>
          <w:p w14:paraId="653D5A5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标志牌</w:t>
            </w:r>
          </w:p>
        </w:tc>
        <w:tc>
          <w:tcPr>
            <w:tcW w:w="6645" w:type="dxa"/>
            <w:noWrap w:val="0"/>
            <w:vAlign w:val="center"/>
          </w:tcPr>
          <w:p w14:paraId="733C226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在易发伤亡事故（或危险）处设置明显的、符合国家标准要求的安全警示标志牌。</w:t>
            </w:r>
          </w:p>
        </w:tc>
      </w:tr>
      <w:tr w14:paraId="611DB7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8FBCF36">
            <w:pPr>
              <w:rPr>
                <w:rFonts w:hint="eastAsia" w:ascii="宋体" w:hAnsi="宋体" w:eastAsia="宋体" w:cs="宋体"/>
                <w:color w:val="auto"/>
                <w:szCs w:val="21"/>
                <w:highlight w:val="none"/>
              </w:rPr>
            </w:pPr>
          </w:p>
        </w:tc>
        <w:tc>
          <w:tcPr>
            <w:tcW w:w="2070" w:type="dxa"/>
            <w:gridSpan w:val="2"/>
            <w:noWrap w:val="0"/>
            <w:vAlign w:val="center"/>
          </w:tcPr>
          <w:p w14:paraId="2BFCF51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现场围挡</w:t>
            </w:r>
          </w:p>
        </w:tc>
        <w:tc>
          <w:tcPr>
            <w:tcW w:w="6645" w:type="dxa"/>
            <w:noWrap w:val="0"/>
            <w:vAlign w:val="center"/>
          </w:tcPr>
          <w:p w14:paraId="2633F0E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现场采用封闭围挡，高度不小于1.8m。</w:t>
            </w:r>
          </w:p>
          <w:p w14:paraId="12BA145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围挡材料可用彩色、定型钢板，砌块等墙体。</w:t>
            </w:r>
          </w:p>
        </w:tc>
      </w:tr>
      <w:tr w14:paraId="0D3B7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821C1D3">
            <w:pPr>
              <w:rPr>
                <w:rFonts w:hint="eastAsia" w:ascii="宋体" w:hAnsi="宋体" w:eastAsia="宋体" w:cs="宋体"/>
                <w:color w:val="auto"/>
                <w:szCs w:val="21"/>
                <w:highlight w:val="none"/>
              </w:rPr>
            </w:pPr>
          </w:p>
        </w:tc>
        <w:tc>
          <w:tcPr>
            <w:tcW w:w="2070" w:type="dxa"/>
            <w:gridSpan w:val="2"/>
            <w:noWrap w:val="0"/>
            <w:vAlign w:val="center"/>
          </w:tcPr>
          <w:p w14:paraId="5BA09D7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七牌二图</w:t>
            </w:r>
          </w:p>
        </w:tc>
        <w:tc>
          <w:tcPr>
            <w:tcW w:w="6645" w:type="dxa"/>
            <w:noWrap w:val="0"/>
            <w:vAlign w:val="center"/>
          </w:tcPr>
          <w:p w14:paraId="680FF71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26047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6CB1193D">
            <w:pPr>
              <w:rPr>
                <w:rFonts w:hint="eastAsia" w:ascii="宋体" w:hAnsi="宋体" w:eastAsia="宋体" w:cs="宋体"/>
                <w:color w:val="auto"/>
                <w:szCs w:val="21"/>
                <w:highlight w:val="none"/>
              </w:rPr>
            </w:pPr>
          </w:p>
        </w:tc>
        <w:tc>
          <w:tcPr>
            <w:tcW w:w="2070" w:type="dxa"/>
            <w:gridSpan w:val="2"/>
            <w:noWrap w:val="0"/>
            <w:vAlign w:val="center"/>
          </w:tcPr>
          <w:p w14:paraId="65EC52B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企业标志</w:t>
            </w:r>
          </w:p>
        </w:tc>
        <w:tc>
          <w:tcPr>
            <w:tcW w:w="6645" w:type="dxa"/>
            <w:noWrap w:val="0"/>
            <w:vAlign w:val="center"/>
          </w:tcPr>
          <w:p w14:paraId="53EC802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现场出入的大门应设有本企业标志或企业标识。</w:t>
            </w:r>
          </w:p>
        </w:tc>
      </w:tr>
      <w:tr w14:paraId="42A955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002D2D3">
            <w:pPr>
              <w:rPr>
                <w:rFonts w:hint="eastAsia" w:ascii="宋体" w:hAnsi="宋体" w:eastAsia="宋体" w:cs="宋体"/>
                <w:color w:val="auto"/>
                <w:szCs w:val="21"/>
                <w:highlight w:val="none"/>
              </w:rPr>
            </w:pPr>
          </w:p>
        </w:tc>
        <w:tc>
          <w:tcPr>
            <w:tcW w:w="2070" w:type="dxa"/>
            <w:gridSpan w:val="2"/>
            <w:noWrap w:val="0"/>
            <w:vAlign w:val="center"/>
          </w:tcPr>
          <w:p w14:paraId="2C4413F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场容场貌</w:t>
            </w:r>
          </w:p>
        </w:tc>
        <w:tc>
          <w:tcPr>
            <w:tcW w:w="6645" w:type="dxa"/>
            <w:noWrap w:val="0"/>
            <w:vAlign w:val="center"/>
          </w:tcPr>
          <w:p w14:paraId="728A473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道路畅通。</w:t>
            </w:r>
          </w:p>
          <w:p w14:paraId="3B64A02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排水设施齐全畅通。</w:t>
            </w:r>
          </w:p>
          <w:p w14:paraId="5096EE6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工地地面硬化处理（办公区、生活区、现场道路、材料堆放、混凝土搅拌、砂浆搅拌、钢筋加工等场地和外脚手架基础等）。</w:t>
            </w:r>
          </w:p>
        </w:tc>
      </w:tr>
      <w:tr w14:paraId="69C7A4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5556882">
            <w:pPr>
              <w:rPr>
                <w:rFonts w:hint="eastAsia" w:ascii="宋体" w:hAnsi="宋体" w:eastAsia="宋体" w:cs="宋体"/>
                <w:color w:val="auto"/>
                <w:szCs w:val="21"/>
                <w:highlight w:val="none"/>
              </w:rPr>
            </w:pPr>
          </w:p>
        </w:tc>
        <w:tc>
          <w:tcPr>
            <w:tcW w:w="2070" w:type="dxa"/>
            <w:gridSpan w:val="2"/>
            <w:noWrap w:val="0"/>
            <w:vAlign w:val="center"/>
          </w:tcPr>
          <w:p w14:paraId="430BE67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材料堆放</w:t>
            </w:r>
          </w:p>
        </w:tc>
        <w:tc>
          <w:tcPr>
            <w:tcW w:w="6645" w:type="dxa"/>
            <w:noWrap w:val="0"/>
            <w:vAlign w:val="center"/>
          </w:tcPr>
          <w:p w14:paraId="1690F99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材料、构件、料具等堆放时，应有名称、品种、规格等标牌。</w:t>
            </w:r>
          </w:p>
          <w:p w14:paraId="38C3ECA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水泥和其它易飞扬细颗粒建筑材料应封闭存放或采取覆盖等措施。</w:t>
            </w:r>
          </w:p>
          <w:p w14:paraId="4B0AC77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易燃、易爆和有毒有害物品分类存放。</w:t>
            </w:r>
          </w:p>
        </w:tc>
      </w:tr>
      <w:tr w14:paraId="714BAD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3B9E491">
            <w:pPr>
              <w:rPr>
                <w:rFonts w:hint="eastAsia" w:ascii="宋体" w:hAnsi="宋体" w:eastAsia="宋体" w:cs="宋体"/>
                <w:color w:val="auto"/>
                <w:szCs w:val="21"/>
                <w:highlight w:val="none"/>
              </w:rPr>
            </w:pPr>
          </w:p>
        </w:tc>
        <w:tc>
          <w:tcPr>
            <w:tcW w:w="2070" w:type="dxa"/>
            <w:gridSpan w:val="2"/>
            <w:noWrap w:val="0"/>
            <w:vAlign w:val="center"/>
          </w:tcPr>
          <w:p w14:paraId="55953E7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现场防火</w:t>
            </w:r>
          </w:p>
        </w:tc>
        <w:tc>
          <w:tcPr>
            <w:tcW w:w="6645" w:type="dxa"/>
            <w:noWrap w:val="0"/>
            <w:vAlign w:val="center"/>
          </w:tcPr>
          <w:p w14:paraId="38D65F6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消防器材配置合理，符合消防要求。</w:t>
            </w:r>
          </w:p>
        </w:tc>
      </w:tr>
      <w:tr w14:paraId="04D40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52B78DE">
            <w:pPr>
              <w:rPr>
                <w:rFonts w:hint="eastAsia" w:ascii="宋体" w:hAnsi="宋体" w:eastAsia="宋体" w:cs="宋体"/>
                <w:color w:val="auto"/>
                <w:szCs w:val="21"/>
                <w:highlight w:val="none"/>
              </w:rPr>
            </w:pPr>
          </w:p>
        </w:tc>
        <w:tc>
          <w:tcPr>
            <w:tcW w:w="2070" w:type="dxa"/>
            <w:gridSpan w:val="2"/>
            <w:noWrap w:val="0"/>
            <w:vAlign w:val="center"/>
          </w:tcPr>
          <w:p w14:paraId="77AFE13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垃圾清运</w:t>
            </w:r>
          </w:p>
        </w:tc>
        <w:tc>
          <w:tcPr>
            <w:tcW w:w="6645" w:type="dxa"/>
            <w:noWrap w:val="0"/>
            <w:vAlign w:val="center"/>
          </w:tcPr>
          <w:p w14:paraId="69A99D6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施工现场应设置密闭式垃圾站，施工垃圾、生活垃圾应分类存放。</w:t>
            </w:r>
          </w:p>
          <w:p w14:paraId="67F4148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施工垃圾必须采用相应容器或管道运输。</w:t>
            </w:r>
          </w:p>
        </w:tc>
      </w:tr>
      <w:tr w14:paraId="262ED8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1054CC6">
            <w:pPr>
              <w:rPr>
                <w:rFonts w:hint="eastAsia" w:ascii="宋体" w:hAnsi="宋体" w:eastAsia="宋体" w:cs="宋体"/>
                <w:color w:val="auto"/>
                <w:szCs w:val="21"/>
                <w:highlight w:val="none"/>
              </w:rPr>
            </w:pPr>
          </w:p>
        </w:tc>
        <w:tc>
          <w:tcPr>
            <w:tcW w:w="2070" w:type="dxa"/>
            <w:gridSpan w:val="2"/>
            <w:noWrap w:val="0"/>
            <w:vAlign w:val="center"/>
          </w:tcPr>
          <w:p w14:paraId="70295CA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宣传栏、环保及不扰民措施</w:t>
            </w:r>
          </w:p>
        </w:tc>
        <w:tc>
          <w:tcPr>
            <w:tcW w:w="6645" w:type="dxa"/>
            <w:noWrap w:val="0"/>
            <w:vAlign w:val="center"/>
          </w:tcPr>
          <w:p w14:paraId="78F03F4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宣传栏、安全宣传标语等，洗车（防止污染市区道路）、粉尘、噪声控制和排污（污水、废气）措施等。</w:t>
            </w:r>
          </w:p>
        </w:tc>
      </w:tr>
      <w:tr w14:paraId="4FD30D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15DFABC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临时设施</w:t>
            </w:r>
          </w:p>
        </w:tc>
        <w:tc>
          <w:tcPr>
            <w:tcW w:w="2070" w:type="dxa"/>
            <w:gridSpan w:val="2"/>
            <w:noWrap w:val="0"/>
            <w:vAlign w:val="center"/>
          </w:tcPr>
          <w:p w14:paraId="46B477A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现场办公</w:t>
            </w:r>
          </w:p>
          <w:p w14:paraId="0C65147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生活设施</w:t>
            </w:r>
          </w:p>
        </w:tc>
        <w:tc>
          <w:tcPr>
            <w:tcW w:w="6645" w:type="dxa"/>
            <w:noWrap w:val="0"/>
            <w:vAlign w:val="center"/>
          </w:tcPr>
          <w:p w14:paraId="37012F9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施工现场办公、生活区与作业区分开设置，保持安全距离。</w:t>
            </w:r>
          </w:p>
          <w:p w14:paraId="7874F72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工地办公室、现场宿舍、食堂、厕所、饮水、沐浴、休息场所等符合卫生、消防安全要求。</w:t>
            </w:r>
          </w:p>
        </w:tc>
      </w:tr>
      <w:tr w14:paraId="06529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FEFF7E8">
            <w:pPr>
              <w:rPr>
                <w:rFonts w:hint="eastAsia" w:ascii="宋体" w:hAnsi="宋体" w:eastAsia="宋体" w:cs="宋体"/>
                <w:color w:val="auto"/>
                <w:szCs w:val="21"/>
                <w:highlight w:val="none"/>
              </w:rPr>
            </w:pPr>
          </w:p>
        </w:tc>
        <w:tc>
          <w:tcPr>
            <w:tcW w:w="525" w:type="dxa"/>
            <w:vMerge w:val="restart"/>
            <w:noWrap w:val="0"/>
            <w:vAlign w:val="center"/>
          </w:tcPr>
          <w:p w14:paraId="5C12BA5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w:t>
            </w:r>
          </w:p>
          <w:p w14:paraId="319E552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临时用电</w:t>
            </w:r>
          </w:p>
        </w:tc>
        <w:tc>
          <w:tcPr>
            <w:tcW w:w="1545" w:type="dxa"/>
            <w:noWrap w:val="0"/>
            <w:vAlign w:val="center"/>
          </w:tcPr>
          <w:p w14:paraId="134266A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配电线路</w:t>
            </w:r>
          </w:p>
        </w:tc>
        <w:tc>
          <w:tcPr>
            <w:tcW w:w="6645" w:type="dxa"/>
            <w:noWrap w:val="0"/>
            <w:vAlign w:val="center"/>
          </w:tcPr>
          <w:p w14:paraId="23D3C3A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按照TN-S系统要求配备五芯电缆、四芯电缆和三芯电缆。</w:t>
            </w:r>
          </w:p>
          <w:p w14:paraId="4343C78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按要求架设临时用电线路的电杆、横担、瓷夹、瓷瓶等，或电缆埋地的地沟。</w:t>
            </w:r>
          </w:p>
          <w:p w14:paraId="3156F18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对靠近施工现场的外电线路，设置木质、塑料等绝缘体的防护设施。</w:t>
            </w:r>
          </w:p>
        </w:tc>
      </w:tr>
      <w:tr w14:paraId="0BD385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64F7616">
            <w:pPr>
              <w:rPr>
                <w:rFonts w:hint="eastAsia" w:ascii="宋体" w:hAnsi="宋体" w:eastAsia="宋体" w:cs="宋体"/>
                <w:color w:val="auto"/>
                <w:szCs w:val="21"/>
                <w:highlight w:val="none"/>
              </w:rPr>
            </w:pPr>
          </w:p>
        </w:tc>
        <w:tc>
          <w:tcPr>
            <w:tcW w:w="525" w:type="dxa"/>
            <w:vMerge w:val="continue"/>
            <w:noWrap w:val="0"/>
            <w:vAlign w:val="center"/>
          </w:tcPr>
          <w:p w14:paraId="2F4B132C">
            <w:pPr>
              <w:rPr>
                <w:rFonts w:hint="eastAsia" w:ascii="宋体" w:hAnsi="宋体" w:eastAsia="宋体" w:cs="宋体"/>
                <w:color w:val="auto"/>
                <w:szCs w:val="21"/>
                <w:highlight w:val="none"/>
              </w:rPr>
            </w:pPr>
          </w:p>
        </w:tc>
        <w:tc>
          <w:tcPr>
            <w:tcW w:w="1545" w:type="dxa"/>
            <w:noWrap w:val="0"/>
            <w:vAlign w:val="center"/>
          </w:tcPr>
          <w:p w14:paraId="0AE4619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配电箱</w:t>
            </w:r>
          </w:p>
          <w:p w14:paraId="682FA11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开关箱</w:t>
            </w:r>
          </w:p>
        </w:tc>
        <w:tc>
          <w:tcPr>
            <w:tcW w:w="6645" w:type="dxa"/>
            <w:noWrap w:val="0"/>
            <w:vAlign w:val="center"/>
          </w:tcPr>
          <w:p w14:paraId="684F983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按三级配电要求，配备总配电箱、分配电箱、开关箱三类（铁质）标准电箱，开关箱应符合“一机、一箱、一闸、一漏”，三类电箱中的各类电器应是合格品。</w:t>
            </w:r>
          </w:p>
          <w:p w14:paraId="7AEB75E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按两级保护的要求，选取符合容量要求和质量合格的总配电箱和开关箱中的漏电保护器。</w:t>
            </w:r>
          </w:p>
          <w:p w14:paraId="3138623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对大型、落地式分配电箱、开关箱设置防护棚和通透式围挡。</w:t>
            </w:r>
          </w:p>
        </w:tc>
      </w:tr>
      <w:tr w14:paraId="10D6E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585875E1">
            <w:pPr>
              <w:rPr>
                <w:rFonts w:hint="eastAsia" w:ascii="宋体" w:hAnsi="宋体" w:eastAsia="宋体" w:cs="宋体"/>
                <w:color w:val="auto"/>
                <w:szCs w:val="21"/>
                <w:highlight w:val="none"/>
              </w:rPr>
            </w:pPr>
          </w:p>
        </w:tc>
        <w:tc>
          <w:tcPr>
            <w:tcW w:w="525" w:type="dxa"/>
            <w:vMerge w:val="continue"/>
            <w:noWrap w:val="0"/>
            <w:vAlign w:val="center"/>
          </w:tcPr>
          <w:p w14:paraId="24EB9CE4">
            <w:pPr>
              <w:rPr>
                <w:rFonts w:hint="eastAsia" w:ascii="宋体" w:hAnsi="宋体" w:eastAsia="宋体" w:cs="宋体"/>
                <w:color w:val="auto"/>
                <w:szCs w:val="21"/>
                <w:highlight w:val="none"/>
              </w:rPr>
            </w:pPr>
          </w:p>
        </w:tc>
        <w:tc>
          <w:tcPr>
            <w:tcW w:w="1545" w:type="dxa"/>
            <w:noWrap w:val="0"/>
            <w:vAlign w:val="center"/>
          </w:tcPr>
          <w:p w14:paraId="0D9657C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接地装置</w:t>
            </w:r>
          </w:p>
        </w:tc>
        <w:tc>
          <w:tcPr>
            <w:tcW w:w="6645" w:type="dxa"/>
            <w:noWrap w:val="0"/>
            <w:vAlign w:val="center"/>
          </w:tcPr>
          <w:p w14:paraId="53A2692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施工现场应设置不少于三处的重复接地装置。</w:t>
            </w:r>
          </w:p>
        </w:tc>
      </w:tr>
      <w:tr w14:paraId="2027F6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021C48F7">
            <w:pPr>
              <w:rPr>
                <w:rFonts w:hint="eastAsia" w:ascii="宋体" w:hAnsi="宋体" w:eastAsia="宋体" w:cs="宋体"/>
                <w:color w:val="auto"/>
                <w:szCs w:val="21"/>
                <w:highlight w:val="none"/>
              </w:rPr>
            </w:pPr>
          </w:p>
        </w:tc>
        <w:tc>
          <w:tcPr>
            <w:tcW w:w="525" w:type="dxa"/>
            <w:vMerge w:val="continue"/>
            <w:noWrap w:val="0"/>
            <w:vAlign w:val="center"/>
          </w:tcPr>
          <w:p w14:paraId="21D2C7FD">
            <w:pPr>
              <w:rPr>
                <w:rFonts w:hint="eastAsia" w:ascii="宋体" w:hAnsi="宋体" w:eastAsia="宋体" w:cs="宋体"/>
                <w:color w:val="auto"/>
                <w:szCs w:val="21"/>
                <w:highlight w:val="none"/>
              </w:rPr>
            </w:pPr>
          </w:p>
        </w:tc>
        <w:tc>
          <w:tcPr>
            <w:tcW w:w="1545" w:type="dxa"/>
            <w:noWrap w:val="0"/>
            <w:vAlign w:val="center"/>
          </w:tcPr>
          <w:p w14:paraId="2253B54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现场变配电装置</w:t>
            </w:r>
          </w:p>
        </w:tc>
        <w:tc>
          <w:tcPr>
            <w:tcW w:w="6645" w:type="dxa"/>
            <w:noWrap w:val="0"/>
            <w:vAlign w:val="center"/>
          </w:tcPr>
          <w:p w14:paraId="7F85957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总配电房建筑材料必须达到消防防火要求，室内做硬地坪、电缆沟。</w:t>
            </w:r>
          </w:p>
        </w:tc>
      </w:tr>
      <w:tr w14:paraId="7E101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738" w:type="dxa"/>
            <w:noWrap w:val="0"/>
            <w:vAlign w:val="center"/>
          </w:tcPr>
          <w:p w14:paraId="217E45AF">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2070" w:type="dxa"/>
            <w:gridSpan w:val="2"/>
            <w:noWrap w:val="0"/>
            <w:vAlign w:val="center"/>
          </w:tcPr>
          <w:p w14:paraId="799DE6EE">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项目名称</w:t>
            </w:r>
          </w:p>
        </w:tc>
        <w:tc>
          <w:tcPr>
            <w:tcW w:w="6645" w:type="dxa"/>
            <w:noWrap w:val="0"/>
            <w:vAlign w:val="center"/>
          </w:tcPr>
          <w:p w14:paraId="55F6D51B">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主要内容和要求</w:t>
            </w:r>
          </w:p>
        </w:tc>
      </w:tr>
      <w:tr w14:paraId="6253C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30F4BB6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安全施工</w:t>
            </w:r>
          </w:p>
        </w:tc>
        <w:tc>
          <w:tcPr>
            <w:tcW w:w="525" w:type="dxa"/>
            <w:vMerge w:val="restart"/>
            <w:noWrap w:val="0"/>
            <w:vAlign w:val="center"/>
          </w:tcPr>
          <w:p w14:paraId="6389D30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高处作业防护</w:t>
            </w:r>
          </w:p>
        </w:tc>
        <w:tc>
          <w:tcPr>
            <w:tcW w:w="1545" w:type="dxa"/>
            <w:noWrap w:val="0"/>
            <w:vAlign w:val="center"/>
          </w:tcPr>
          <w:p w14:paraId="27C33E5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楼层、屋面、阳台等临边</w:t>
            </w:r>
          </w:p>
        </w:tc>
        <w:tc>
          <w:tcPr>
            <w:tcW w:w="6645" w:type="dxa"/>
            <w:noWrap w:val="0"/>
            <w:vAlign w:val="center"/>
          </w:tcPr>
          <w:p w14:paraId="00F0899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设两道防护栏杆和18cm高的踢脚板，用密目式安全立网全封闭。</w:t>
            </w:r>
          </w:p>
        </w:tc>
      </w:tr>
      <w:tr w14:paraId="5EDB48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9296E93">
            <w:pPr>
              <w:rPr>
                <w:rFonts w:hint="eastAsia" w:ascii="宋体" w:hAnsi="宋体" w:eastAsia="宋体" w:cs="宋体"/>
                <w:color w:val="auto"/>
                <w:szCs w:val="21"/>
                <w:highlight w:val="none"/>
              </w:rPr>
            </w:pPr>
          </w:p>
        </w:tc>
        <w:tc>
          <w:tcPr>
            <w:tcW w:w="525" w:type="dxa"/>
            <w:vMerge w:val="continue"/>
            <w:noWrap w:val="0"/>
            <w:vAlign w:val="center"/>
          </w:tcPr>
          <w:p w14:paraId="6678D8D3">
            <w:pPr>
              <w:rPr>
                <w:rFonts w:hint="eastAsia" w:ascii="宋体" w:hAnsi="宋体" w:eastAsia="宋体" w:cs="宋体"/>
                <w:color w:val="auto"/>
                <w:szCs w:val="21"/>
                <w:highlight w:val="none"/>
              </w:rPr>
            </w:pPr>
          </w:p>
        </w:tc>
        <w:tc>
          <w:tcPr>
            <w:tcW w:w="1545" w:type="dxa"/>
            <w:noWrap w:val="0"/>
            <w:vAlign w:val="center"/>
          </w:tcPr>
          <w:p w14:paraId="4F89197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通道口</w:t>
            </w:r>
          </w:p>
        </w:tc>
        <w:tc>
          <w:tcPr>
            <w:tcW w:w="6645" w:type="dxa"/>
            <w:noWrap w:val="0"/>
            <w:vAlign w:val="center"/>
          </w:tcPr>
          <w:p w14:paraId="107D157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设防护棚，防护棚应为不小于5cm厚的木板或两道相距50cm的竹笆。两侧应沿栏杆架用密目式安全网封闭。</w:t>
            </w:r>
          </w:p>
        </w:tc>
      </w:tr>
      <w:tr w14:paraId="04F2C5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2076AF9">
            <w:pPr>
              <w:rPr>
                <w:rFonts w:hint="eastAsia" w:ascii="宋体" w:hAnsi="宋体" w:eastAsia="宋体" w:cs="宋体"/>
                <w:color w:val="auto"/>
                <w:szCs w:val="21"/>
                <w:highlight w:val="none"/>
              </w:rPr>
            </w:pPr>
          </w:p>
        </w:tc>
        <w:tc>
          <w:tcPr>
            <w:tcW w:w="525" w:type="dxa"/>
            <w:vMerge w:val="continue"/>
            <w:noWrap w:val="0"/>
            <w:vAlign w:val="center"/>
          </w:tcPr>
          <w:p w14:paraId="058ADBB2">
            <w:pPr>
              <w:rPr>
                <w:rFonts w:hint="eastAsia" w:ascii="宋体" w:hAnsi="宋体" w:eastAsia="宋体" w:cs="宋体"/>
                <w:color w:val="auto"/>
                <w:szCs w:val="21"/>
                <w:highlight w:val="none"/>
              </w:rPr>
            </w:pPr>
          </w:p>
        </w:tc>
        <w:tc>
          <w:tcPr>
            <w:tcW w:w="1545" w:type="dxa"/>
            <w:noWrap w:val="0"/>
            <w:vAlign w:val="center"/>
          </w:tcPr>
          <w:p w14:paraId="3403F88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预留洞口</w:t>
            </w:r>
          </w:p>
        </w:tc>
        <w:tc>
          <w:tcPr>
            <w:tcW w:w="6645" w:type="dxa"/>
            <w:noWrap w:val="0"/>
            <w:vAlign w:val="center"/>
          </w:tcPr>
          <w:p w14:paraId="1E60F53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用硬质材料全封闭，短边超过1.5m长的洞口，除封闭外四周还应设有防护栏杆。</w:t>
            </w:r>
          </w:p>
        </w:tc>
      </w:tr>
      <w:tr w14:paraId="34E586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53CC23EC">
            <w:pPr>
              <w:rPr>
                <w:rFonts w:hint="eastAsia" w:ascii="宋体" w:hAnsi="宋体" w:eastAsia="宋体" w:cs="宋体"/>
                <w:color w:val="auto"/>
                <w:szCs w:val="21"/>
                <w:highlight w:val="none"/>
              </w:rPr>
            </w:pPr>
          </w:p>
        </w:tc>
        <w:tc>
          <w:tcPr>
            <w:tcW w:w="525" w:type="dxa"/>
            <w:vMerge w:val="continue"/>
            <w:noWrap w:val="0"/>
            <w:vAlign w:val="center"/>
          </w:tcPr>
          <w:p w14:paraId="4481C3CB">
            <w:pPr>
              <w:rPr>
                <w:rFonts w:hint="eastAsia" w:ascii="宋体" w:hAnsi="宋体" w:eastAsia="宋体" w:cs="宋体"/>
                <w:color w:val="auto"/>
                <w:szCs w:val="21"/>
                <w:highlight w:val="none"/>
              </w:rPr>
            </w:pPr>
          </w:p>
        </w:tc>
        <w:tc>
          <w:tcPr>
            <w:tcW w:w="1545" w:type="dxa"/>
            <w:noWrap w:val="0"/>
            <w:vAlign w:val="center"/>
          </w:tcPr>
          <w:p w14:paraId="087287D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电梯井口</w:t>
            </w:r>
          </w:p>
        </w:tc>
        <w:tc>
          <w:tcPr>
            <w:tcW w:w="6645" w:type="dxa"/>
            <w:noWrap w:val="0"/>
            <w:vAlign w:val="center"/>
          </w:tcPr>
          <w:p w14:paraId="2406216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设置定型化、工具化的防护门，在电梯井内每隔2层（不大于10m）设置一道水平防护。</w:t>
            </w:r>
          </w:p>
        </w:tc>
      </w:tr>
      <w:tr w14:paraId="25460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716BE47">
            <w:pPr>
              <w:rPr>
                <w:rFonts w:hint="eastAsia" w:ascii="宋体" w:hAnsi="宋体" w:eastAsia="宋体" w:cs="宋体"/>
                <w:color w:val="auto"/>
                <w:szCs w:val="21"/>
                <w:highlight w:val="none"/>
              </w:rPr>
            </w:pPr>
          </w:p>
        </w:tc>
        <w:tc>
          <w:tcPr>
            <w:tcW w:w="525" w:type="dxa"/>
            <w:vMerge w:val="continue"/>
            <w:noWrap w:val="0"/>
            <w:vAlign w:val="center"/>
          </w:tcPr>
          <w:p w14:paraId="48A2120D">
            <w:pPr>
              <w:rPr>
                <w:rFonts w:hint="eastAsia" w:ascii="宋体" w:hAnsi="宋体" w:eastAsia="宋体" w:cs="宋体"/>
                <w:color w:val="auto"/>
                <w:szCs w:val="21"/>
                <w:highlight w:val="none"/>
              </w:rPr>
            </w:pPr>
          </w:p>
        </w:tc>
        <w:tc>
          <w:tcPr>
            <w:tcW w:w="1545" w:type="dxa"/>
            <w:noWrap w:val="0"/>
            <w:vAlign w:val="center"/>
          </w:tcPr>
          <w:p w14:paraId="5325DD6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楼梯边</w:t>
            </w:r>
          </w:p>
        </w:tc>
        <w:tc>
          <w:tcPr>
            <w:tcW w:w="6645" w:type="dxa"/>
            <w:noWrap w:val="0"/>
            <w:vAlign w:val="center"/>
          </w:tcPr>
          <w:p w14:paraId="3C96D2C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设1.2m高的定型化、工具化的防护栏，18cm高的踢脚板。</w:t>
            </w:r>
          </w:p>
        </w:tc>
      </w:tr>
      <w:tr w14:paraId="06D3E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27451A3">
            <w:pPr>
              <w:rPr>
                <w:rFonts w:hint="eastAsia" w:ascii="宋体" w:hAnsi="宋体" w:eastAsia="宋体" w:cs="宋体"/>
                <w:color w:val="auto"/>
                <w:szCs w:val="21"/>
                <w:highlight w:val="none"/>
              </w:rPr>
            </w:pPr>
          </w:p>
        </w:tc>
        <w:tc>
          <w:tcPr>
            <w:tcW w:w="525" w:type="dxa"/>
            <w:vMerge w:val="continue"/>
            <w:noWrap w:val="0"/>
            <w:vAlign w:val="center"/>
          </w:tcPr>
          <w:p w14:paraId="6456D1B6">
            <w:pPr>
              <w:rPr>
                <w:rFonts w:hint="eastAsia" w:ascii="宋体" w:hAnsi="宋体" w:eastAsia="宋体" w:cs="宋体"/>
                <w:color w:val="auto"/>
                <w:szCs w:val="21"/>
                <w:highlight w:val="none"/>
              </w:rPr>
            </w:pPr>
          </w:p>
        </w:tc>
        <w:tc>
          <w:tcPr>
            <w:tcW w:w="1545" w:type="dxa"/>
            <w:noWrap w:val="0"/>
            <w:vAlign w:val="center"/>
          </w:tcPr>
          <w:p w14:paraId="2C57883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垂直方向交叉作业</w:t>
            </w:r>
          </w:p>
        </w:tc>
        <w:tc>
          <w:tcPr>
            <w:tcW w:w="6645" w:type="dxa"/>
            <w:noWrap w:val="0"/>
            <w:vAlign w:val="center"/>
          </w:tcPr>
          <w:p w14:paraId="2545753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设置防护隔离棚或其它设施。</w:t>
            </w:r>
          </w:p>
        </w:tc>
      </w:tr>
      <w:tr w14:paraId="221C6F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037D3C9">
            <w:pPr>
              <w:rPr>
                <w:rFonts w:hint="eastAsia" w:ascii="宋体" w:hAnsi="宋体" w:eastAsia="宋体" w:cs="宋体"/>
                <w:color w:val="auto"/>
                <w:szCs w:val="21"/>
                <w:highlight w:val="none"/>
              </w:rPr>
            </w:pPr>
          </w:p>
        </w:tc>
        <w:tc>
          <w:tcPr>
            <w:tcW w:w="525" w:type="dxa"/>
            <w:vMerge w:val="continue"/>
            <w:noWrap w:val="0"/>
            <w:vAlign w:val="center"/>
          </w:tcPr>
          <w:p w14:paraId="14006947">
            <w:pPr>
              <w:rPr>
                <w:rFonts w:hint="eastAsia" w:ascii="宋体" w:hAnsi="宋体" w:eastAsia="宋体" w:cs="宋体"/>
                <w:color w:val="auto"/>
                <w:szCs w:val="21"/>
                <w:highlight w:val="none"/>
              </w:rPr>
            </w:pPr>
          </w:p>
        </w:tc>
        <w:tc>
          <w:tcPr>
            <w:tcW w:w="1545" w:type="dxa"/>
            <w:noWrap w:val="0"/>
            <w:vAlign w:val="center"/>
          </w:tcPr>
          <w:p w14:paraId="573F38A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w:t>
            </w:r>
          </w:p>
        </w:tc>
        <w:tc>
          <w:tcPr>
            <w:tcW w:w="6645" w:type="dxa"/>
            <w:noWrap w:val="0"/>
            <w:vAlign w:val="center"/>
          </w:tcPr>
          <w:p w14:paraId="26A5CFF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有悬挂安全带的悬索或其它设施，有操作平台，有上下的梯子或其它形式的通道。</w:t>
            </w:r>
          </w:p>
        </w:tc>
      </w:tr>
      <w:tr w14:paraId="31C9C8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50321DA">
            <w:pPr>
              <w:rPr>
                <w:rFonts w:hint="eastAsia" w:ascii="宋体" w:hAnsi="宋体" w:eastAsia="宋体" w:cs="宋体"/>
                <w:color w:val="auto"/>
                <w:szCs w:val="21"/>
                <w:highlight w:val="none"/>
              </w:rPr>
            </w:pPr>
          </w:p>
        </w:tc>
        <w:tc>
          <w:tcPr>
            <w:tcW w:w="525" w:type="dxa"/>
            <w:vMerge w:val="continue"/>
            <w:noWrap w:val="0"/>
            <w:vAlign w:val="center"/>
          </w:tcPr>
          <w:p w14:paraId="76BDB0F5">
            <w:pPr>
              <w:rPr>
                <w:rFonts w:hint="eastAsia" w:ascii="宋体" w:hAnsi="宋体" w:eastAsia="宋体" w:cs="宋体"/>
                <w:color w:val="auto"/>
                <w:szCs w:val="21"/>
                <w:highlight w:val="none"/>
              </w:rPr>
            </w:pPr>
          </w:p>
        </w:tc>
        <w:tc>
          <w:tcPr>
            <w:tcW w:w="1545" w:type="dxa"/>
            <w:noWrap w:val="0"/>
            <w:vAlign w:val="center"/>
          </w:tcPr>
          <w:p w14:paraId="54AD277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基坑、物料平台</w:t>
            </w:r>
          </w:p>
        </w:tc>
        <w:tc>
          <w:tcPr>
            <w:tcW w:w="6645" w:type="dxa"/>
            <w:noWrap w:val="0"/>
            <w:vAlign w:val="center"/>
          </w:tcPr>
          <w:p w14:paraId="665072E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设1.2m高标准化的防护栏，用密目式安全立网封闭，悬挂标识。</w:t>
            </w:r>
          </w:p>
        </w:tc>
      </w:tr>
      <w:tr w14:paraId="0BD36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A260DD5">
            <w:pPr>
              <w:rPr>
                <w:rFonts w:hint="eastAsia" w:ascii="宋体" w:hAnsi="宋体" w:eastAsia="宋体" w:cs="宋体"/>
                <w:color w:val="auto"/>
                <w:szCs w:val="21"/>
                <w:highlight w:val="none"/>
              </w:rPr>
            </w:pPr>
          </w:p>
        </w:tc>
        <w:tc>
          <w:tcPr>
            <w:tcW w:w="2070" w:type="dxa"/>
            <w:gridSpan w:val="2"/>
            <w:noWrap w:val="0"/>
            <w:vAlign w:val="center"/>
          </w:tcPr>
          <w:p w14:paraId="24CF9AD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安全防护用品</w:t>
            </w:r>
          </w:p>
        </w:tc>
        <w:tc>
          <w:tcPr>
            <w:tcW w:w="6645" w:type="dxa"/>
            <w:noWrap w:val="0"/>
            <w:vAlign w:val="center"/>
          </w:tcPr>
          <w:p w14:paraId="663B13F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安全帽、安全带、特种作业人员（电工、焊工、架子工等）防护服装、用品等。</w:t>
            </w:r>
          </w:p>
        </w:tc>
      </w:tr>
      <w:tr w14:paraId="29CFAE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436DA06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w:t>
            </w:r>
          </w:p>
        </w:tc>
        <w:tc>
          <w:tcPr>
            <w:tcW w:w="525" w:type="dxa"/>
            <w:vMerge w:val="restart"/>
            <w:noWrap w:val="0"/>
            <w:vAlign w:val="center"/>
          </w:tcPr>
          <w:p w14:paraId="545CE98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机械设备防护</w:t>
            </w:r>
          </w:p>
        </w:tc>
        <w:tc>
          <w:tcPr>
            <w:tcW w:w="1545" w:type="dxa"/>
            <w:noWrap w:val="0"/>
            <w:vAlign w:val="center"/>
          </w:tcPr>
          <w:p w14:paraId="3E77503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中小型机械</w:t>
            </w:r>
          </w:p>
        </w:tc>
        <w:tc>
          <w:tcPr>
            <w:tcW w:w="6645" w:type="dxa"/>
            <w:noWrap w:val="0"/>
            <w:vAlign w:val="center"/>
          </w:tcPr>
          <w:p w14:paraId="56C0B45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设防护棚（同通道口防护并有防雨措施）。</w:t>
            </w:r>
          </w:p>
        </w:tc>
      </w:tr>
      <w:tr w14:paraId="24FE4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F01ED01">
            <w:pPr>
              <w:rPr>
                <w:rFonts w:hint="eastAsia" w:ascii="宋体" w:hAnsi="宋体" w:eastAsia="宋体" w:cs="宋体"/>
                <w:color w:val="auto"/>
                <w:szCs w:val="21"/>
                <w:highlight w:val="none"/>
              </w:rPr>
            </w:pPr>
          </w:p>
        </w:tc>
        <w:tc>
          <w:tcPr>
            <w:tcW w:w="525" w:type="dxa"/>
            <w:vMerge w:val="continue"/>
            <w:noWrap w:val="0"/>
            <w:vAlign w:val="center"/>
          </w:tcPr>
          <w:p w14:paraId="136674FC">
            <w:pPr>
              <w:rPr>
                <w:rFonts w:hint="eastAsia" w:ascii="宋体" w:hAnsi="宋体" w:eastAsia="宋体" w:cs="宋体"/>
                <w:color w:val="auto"/>
                <w:szCs w:val="21"/>
                <w:highlight w:val="none"/>
              </w:rPr>
            </w:pPr>
          </w:p>
        </w:tc>
        <w:tc>
          <w:tcPr>
            <w:tcW w:w="1545" w:type="dxa"/>
            <w:noWrap w:val="0"/>
            <w:vAlign w:val="center"/>
          </w:tcPr>
          <w:p w14:paraId="2D3F9CA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垂直运输设备</w:t>
            </w:r>
          </w:p>
        </w:tc>
        <w:tc>
          <w:tcPr>
            <w:tcW w:w="6645" w:type="dxa"/>
            <w:noWrap w:val="0"/>
            <w:vAlign w:val="center"/>
          </w:tcPr>
          <w:p w14:paraId="07FFF43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垂直运输设备检测、检验、日常维护、保养等。</w:t>
            </w:r>
          </w:p>
          <w:p w14:paraId="257B0E6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物料提升机、施工电梯等物料平台搭设、外侧用密目式安全立网全封闭，有安全通道、安全防护门、防护棚等。</w:t>
            </w:r>
          </w:p>
        </w:tc>
      </w:tr>
      <w:tr w14:paraId="0B4D5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69B0BC74">
            <w:pPr>
              <w:rPr>
                <w:rFonts w:hint="eastAsia" w:ascii="宋体" w:hAnsi="宋体" w:eastAsia="宋体" w:cs="宋体"/>
                <w:color w:val="auto"/>
                <w:szCs w:val="21"/>
                <w:highlight w:val="none"/>
              </w:rPr>
            </w:pPr>
          </w:p>
        </w:tc>
        <w:tc>
          <w:tcPr>
            <w:tcW w:w="2070" w:type="dxa"/>
            <w:gridSpan w:val="2"/>
            <w:noWrap w:val="0"/>
            <w:vAlign w:val="center"/>
          </w:tcPr>
          <w:p w14:paraId="0509F90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专家论证审查</w:t>
            </w:r>
          </w:p>
        </w:tc>
        <w:tc>
          <w:tcPr>
            <w:tcW w:w="6645" w:type="dxa"/>
            <w:noWrap w:val="0"/>
            <w:vAlign w:val="center"/>
          </w:tcPr>
          <w:p w14:paraId="6CC2FBB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超过一定规模的危险性较大分部分项工程专家论证审查。</w:t>
            </w:r>
          </w:p>
        </w:tc>
      </w:tr>
      <w:tr w14:paraId="71B1E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83B921A">
            <w:pPr>
              <w:rPr>
                <w:rFonts w:hint="eastAsia" w:ascii="宋体" w:hAnsi="宋体" w:eastAsia="宋体" w:cs="宋体"/>
                <w:color w:val="auto"/>
                <w:szCs w:val="21"/>
                <w:highlight w:val="none"/>
              </w:rPr>
            </w:pPr>
          </w:p>
        </w:tc>
        <w:tc>
          <w:tcPr>
            <w:tcW w:w="2070" w:type="dxa"/>
            <w:gridSpan w:val="2"/>
            <w:noWrap w:val="0"/>
            <w:vAlign w:val="center"/>
          </w:tcPr>
          <w:p w14:paraId="3ADB4D6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应急救援预案</w:t>
            </w:r>
          </w:p>
        </w:tc>
        <w:tc>
          <w:tcPr>
            <w:tcW w:w="6645" w:type="dxa"/>
            <w:noWrap w:val="0"/>
            <w:vAlign w:val="center"/>
          </w:tcPr>
          <w:p w14:paraId="7A08FDE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救援器材准备及演练等。</w:t>
            </w:r>
          </w:p>
        </w:tc>
      </w:tr>
      <w:tr w14:paraId="360C4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bottom w:val="single" w:color="auto" w:sz="12" w:space="0"/>
            </w:tcBorders>
            <w:noWrap w:val="0"/>
            <w:vAlign w:val="center"/>
          </w:tcPr>
          <w:p w14:paraId="7F7CCD3D">
            <w:pPr>
              <w:rPr>
                <w:rFonts w:hint="eastAsia" w:ascii="宋体" w:hAnsi="宋体" w:eastAsia="宋体" w:cs="宋体"/>
                <w:color w:val="auto"/>
                <w:szCs w:val="21"/>
                <w:highlight w:val="none"/>
              </w:rPr>
            </w:pPr>
          </w:p>
        </w:tc>
        <w:tc>
          <w:tcPr>
            <w:tcW w:w="2070" w:type="dxa"/>
            <w:gridSpan w:val="2"/>
            <w:tcBorders>
              <w:bottom w:val="single" w:color="auto" w:sz="12" w:space="0"/>
            </w:tcBorders>
            <w:noWrap w:val="0"/>
            <w:vAlign w:val="center"/>
          </w:tcPr>
          <w:p w14:paraId="54FB60B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非正常情况施工</w:t>
            </w:r>
          </w:p>
        </w:tc>
        <w:tc>
          <w:tcPr>
            <w:tcW w:w="6645" w:type="dxa"/>
            <w:tcBorders>
              <w:bottom w:val="single" w:color="auto" w:sz="12" w:space="0"/>
            </w:tcBorders>
            <w:noWrap w:val="0"/>
            <w:vAlign w:val="center"/>
          </w:tcPr>
          <w:p w14:paraId="6FDB390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其它特殊情况下的防护费用，如：城市主干道、人流密集、河边等处施工及文物、古建筑、古树保护等。</w:t>
            </w:r>
          </w:p>
        </w:tc>
      </w:tr>
    </w:tbl>
    <w:p w14:paraId="6ECA4B88">
      <w:pPr>
        <w:rPr>
          <w:rFonts w:hint="eastAsia" w:ascii="宋体" w:hAnsi="宋体" w:eastAsia="宋体" w:cs="宋体"/>
          <w:b/>
          <w:bCs/>
          <w:color w:val="auto"/>
          <w:w w:val="90"/>
          <w:szCs w:val="21"/>
          <w:highlight w:val="none"/>
        </w:rPr>
      </w:pPr>
    </w:p>
    <w:p w14:paraId="4564E50A">
      <w:pPr>
        <w:rPr>
          <w:rFonts w:hint="eastAsia" w:ascii="宋体" w:hAnsi="宋体" w:eastAsia="宋体" w:cs="宋体"/>
          <w:color w:val="auto"/>
          <w:szCs w:val="21"/>
          <w:highlight w:val="none"/>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color w:val="auto"/>
          <w:szCs w:val="21"/>
          <w:highlight w:val="none"/>
        </w:rPr>
        <w:t>注：本表所列建筑工程安全文明施工费，是依据现行法律法规及标准规范确定的。如法律法规和标准规范修订，本表所列项目应按照修订后的法律法规和标准规范进行调整。</w:t>
      </w:r>
    </w:p>
    <w:p w14:paraId="0707F382">
      <w:pPr>
        <w:snapToGrid w:val="0"/>
        <w:spacing w:line="360" w:lineRule="auto"/>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技术需求偏离表的格式：</w:t>
      </w:r>
    </w:p>
    <w:p w14:paraId="583A9B24">
      <w:pPr>
        <w:spacing w:line="5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技术需求偏离表</w:t>
      </w:r>
    </w:p>
    <w:p w14:paraId="734C97B9">
      <w:pPr>
        <w:spacing w:line="5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(注：按采购需求具体条款修改)</w:t>
      </w:r>
    </w:p>
    <w:p w14:paraId="13DDB34D">
      <w:pPr>
        <w:spacing w:line="360" w:lineRule="auto"/>
        <w:contextualSpacing/>
        <w:jc w:val="left"/>
        <w:rPr>
          <w:rFonts w:hint="eastAsia" w:ascii="宋体" w:hAnsi="宋体" w:eastAsia="宋体" w:cs="宋体"/>
          <w:color w:val="auto"/>
          <w:sz w:val="24"/>
          <w:highlight w:val="none"/>
        </w:rPr>
      </w:pPr>
    </w:p>
    <w:p w14:paraId="171DF64F">
      <w:pPr>
        <w:spacing w:line="360" w:lineRule="auto"/>
        <w:ind w:firstLine="720" w:firstLineChars="30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2F581493">
      <w:pPr>
        <w:spacing w:line="360" w:lineRule="auto"/>
        <w:ind w:firstLine="720" w:firstLineChars="3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rPr>
        <w:t xml:space="preserve">                 </w:t>
      </w:r>
    </w:p>
    <w:p w14:paraId="7CFAA3C6">
      <w:pPr>
        <w:spacing w:line="360" w:lineRule="auto"/>
        <w:ind w:firstLine="720" w:firstLineChars="30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所竞分标（如有则填写，无分标时填写“无”或者留空）：</w:t>
      </w:r>
      <w:r>
        <w:rPr>
          <w:rFonts w:hint="eastAsia" w:ascii="宋体" w:hAnsi="宋体" w:eastAsia="宋体" w:cs="宋体"/>
          <w:color w:val="auto"/>
          <w:sz w:val="24"/>
          <w:highlight w:val="none"/>
          <w:u w:val="single"/>
        </w:rPr>
        <w:t xml:space="preserve">              </w:t>
      </w:r>
    </w:p>
    <w:tbl>
      <w:tblPr>
        <w:tblStyle w:val="29"/>
        <w:tblpPr w:leftFromText="180" w:rightFromText="180" w:vertAnchor="text" w:horzAnchor="page" w:tblpX="1586" w:tblpY="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EE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3CC40D75">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4A1ACE2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竞争性磋商文件的</w:t>
            </w:r>
            <w:bookmarkStart w:id="56" w:name="OLE_LINK44"/>
            <w:r>
              <w:rPr>
                <w:rFonts w:hint="eastAsia" w:ascii="宋体" w:hAnsi="宋体" w:eastAsia="宋体" w:cs="宋体"/>
                <w:color w:val="auto"/>
                <w:szCs w:val="21"/>
                <w:highlight w:val="none"/>
              </w:rPr>
              <w:t>技术要求</w:t>
            </w:r>
            <w:bookmarkEnd w:id="56"/>
          </w:p>
        </w:tc>
        <w:tc>
          <w:tcPr>
            <w:tcW w:w="3589" w:type="dxa"/>
            <w:tcBorders>
              <w:top w:val="single" w:color="auto" w:sz="4" w:space="0"/>
              <w:left w:val="single" w:color="auto" w:sz="4" w:space="0"/>
              <w:bottom w:val="single" w:color="auto" w:sz="4" w:space="0"/>
              <w:right w:val="single" w:color="auto" w:sz="4" w:space="0"/>
            </w:tcBorders>
            <w:noWrap w:val="0"/>
            <w:vAlign w:val="center"/>
          </w:tcPr>
          <w:p w14:paraId="76A88A83">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响应文件承诺的技术要求</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2238F377">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3430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72381251">
            <w:pPr>
              <w:spacing w:line="340" w:lineRule="exact"/>
              <w:jc w:val="center"/>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5AB2D8E6">
            <w:pPr>
              <w:spacing w:line="340" w:lineRule="exact"/>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7B702043">
            <w:pPr>
              <w:spacing w:line="340" w:lineRule="exact"/>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62DA18C4">
            <w:pPr>
              <w:spacing w:line="300" w:lineRule="exact"/>
              <w:rPr>
                <w:rFonts w:hint="eastAsia" w:ascii="宋体" w:hAnsi="宋体" w:eastAsia="宋体" w:cs="宋体"/>
                <w:color w:val="auto"/>
                <w:szCs w:val="21"/>
                <w:highlight w:val="none"/>
              </w:rPr>
            </w:pPr>
          </w:p>
        </w:tc>
      </w:tr>
      <w:tr w14:paraId="6976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3C6CBFEC">
            <w:pPr>
              <w:spacing w:line="340" w:lineRule="exact"/>
              <w:jc w:val="center"/>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48E65DAD">
            <w:pPr>
              <w:spacing w:line="340" w:lineRule="exact"/>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18C96A6D">
            <w:pPr>
              <w:spacing w:line="340" w:lineRule="exact"/>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30739AD4">
            <w:pPr>
              <w:spacing w:line="300" w:lineRule="exact"/>
              <w:rPr>
                <w:rFonts w:hint="eastAsia" w:ascii="宋体" w:hAnsi="宋体" w:eastAsia="宋体" w:cs="宋体"/>
                <w:color w:val="auto"/>
                <w:szCs w:val="21"/>
                <w:highlight w:val="none"/>
              </w:rPr>
            </w:pPr>
          </w:p>
        </w:tc>
      </w:tr>
      <w:tr w14:paraId="4C7E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0C557C87">
            <w:pPr>
              <w:spacing w:line="340" w:lineRule="exact"/>
              <w:jc w:val="center"/>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3EEA58BD">
            <w:pPr>
              <w:spacing w:line="340" w:lineRule="exact"/>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4DD0C8B">
            <w:pPr>
              <w:spacing w:line="340" w:lineRule="exact"/>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415F2322">
            <w:pPr>
              <w:spacing w:line="300" w:lineRule="exact"/>
              <w:rPr>
                <w:rFonts w:hint="eastAsia" w:ascii="宋体" w:hAnsi="宋体" w:eastAsia="宋体" w:cs="宋体"/>
                <w:color w:val="auto"/>
                <w:szCs w:val="21"/>
                <w:highlight w:val="none"/>
              </w:rPr>
            </w:pPr>
          </w:p>
        </w:tc>
      </w:tr>
      <w:tr w14:paraId="3C99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6118D6CA">
            <w:pPr>
              <w:spacing w:line="340" w:lineRule="exact"/>
              <w:jc w:val="center"/>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D4B406D">
            <w:pPr>
              <w:spacing w:line="340" w:lineRule="exact"/>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9E19767">
            <w:pPr>
              <w:spacing w:line="340" w:lineRule="exact"/>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36474B5">
            <w:pPr>
              <w:spacing w:line="300" w:lineRule="exact"/>
              <w:rPr>
                <w:rFonts w:hint="eastAsia" w:ascii="宋体" w:hAnsi="宋体" w:eastAsia="宋体" w:cs="宋体"/>
                <w:color w:val="auto"/>
                <w:szCs w:val="21"/>
                <w:highlight w:val="none"/>
              </w:rPr>
            </w:pPr>
          </w:p>
        </w:tc>
      </w:tr>
      <w:tr w14:paraId="2DA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6BE4F9F8">
            <w:pPr>
              <w:spacing w:line="340" w:lineRule="exact"/>
              <w:jc w:val="center"/>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A715294">
            <w:pPr>
              <w:spacing w:line="340" w:lineRule="exact"/>
              <w:rPr>
                <w:rFonts w:hint="eastAsia" w:ascii="宋体" w:hAnsi="宋体" w:eastAsia="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5C6F856">
            <w:pPr>
              <w:spacing w:line="340" w:lineRule="exact"/>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2A88A5BB">
            <w:pPr>
              <w:spacing w:line="300" w:lineRule="exact"/>
              <w:rPr>
                <w:rFonts w:hint="eastAsia" w:ascii="宋体" w:hAnsi="宋体" w:eastAsia="宋体" w:cs="宋体"/>
                <w:color w:val="auto"/>
                <w:szCs w:val="21"/>
                <w:highlight w:val="none"/>
              </w:rPr>
            </w:pPr>
          </w:p>
        </w:tc>
      </w:tr>
      <w:tr w14:paraId="21E0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91" w:type="dxa"/>
            <w:tcBorders>
              <w:top w:val="single" w:color="auto" w:sz="4" w:space="0"/>
              <w:left w:val="single" w:color="auto" w:sz="4" w:space="0"/>
              <w:bottom w:val="single" w:color="auto" w:sz="4" w:space="0"/>
              <w:right w:val="single" w:color="auto" w:sz="4" w:space="0"/>
            </w:tcBorders>
            <w:noWrap w:val="0"/>
            <w:vAlign w:val="center"/>
          </w:tcPr>
          <w:p w14:paraId="62C9E588">
            <w:pPr>
              <w:spacing w:line="340" w:lineRule="exact"/>
              <w:jc w:val="center"/>
              <w:rPr>
                <w:rFonts w:hint="eastAsia" w:ascii="宋体" w:hAnsi="宋体" w:eastAsia="宋体" w:cs="宋体"/>
                <w:color w:val="auto"/>
                <w:szCs w:val="21"/>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center"/>
          </w:tcPr>
          <w:p w14:paraId="62C1587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791198E0">
            <w:pPr>
              <w:spacing w:line="340" w:lineRule="exact"/>
              <w:rPr>
                <w:rFonts w:hint="eastAsia" w:ascii="宋体" w:hAnsi="宋体" w:eastAsia="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noWrap w:val="0"/>
            <w:vAlign w:val="center"/>
          </w:tcPr>
          <w:p w14:paraId="29493B3E">
            <w:pPr>
              <w:spacing w:line="300" w:lineRule="exact"/>
              <w:rPr>
                <w:rFonts w:hint="eastAsia" w:ascii="宋体" w:hAnsi="宋体" w:eastAsia="宋体" w:cs="宋体"/>
                <w:color w:val="auto"/>
                <w:szCs w:val="21"/>
                <w:highlight w:val="none"/>
              </w:rPr>
            </w:pPr>
          </w:p>
        </w:tc>
      </w:tr>
    </w:tbl>
    <w:p w14:paraId="7F66EDA8">
      <w:pPr>
        <w:pStyle w:val="12"/>
        <w:spacing w:after="0" w:line="360" w:lineRule="auto"/>
        <w:contextualSpacing/>
        <w:rPr>
          <w:rFonts w:hint="eastAsia" w:ascii="宋体" w:hAnsi="宋体" w:eastAsia="宋体" w:cs="宋体"/>
          <w:color w:val="auto"/>
          <w:kern w:val="0"/>
          <w:sz w:val="24"/>
          <w:szCs w:val="24"/>
          <w:highlight w:val="none"/>
        </w:rPr>
      </w:pPr>
    </w:p>
    <w:p w14:paraId="65A7F18F">
      <w:pPr>
        <w:pStyle w:val="12"/>
        <w:spacing w:after="0" w:line="480" w:lineRule="auto"/>
        <w:ind w:firstLine="420" w:firstLineChars="200"/>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537AF972">
      <w:pPr>
        <w:pStyle w:val="12"/>
        <w:spacing w:after="0" w:line="480" w:lineRule="auto"/>
        <w:ind w:firstLine="420" w:firstLineChars="200"/>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1.说明：应对照磋商文件“第二章”中“需求一览表”的技术要求逐条作出明确响应，并作出偏离说明。</w:t>
      </w:r>
    </w:p>
    <w:p w14:paraId="3F773298">
      <w:pPr>
        <w:pStyle w:val="14"/>
        <w:spacing w:line="48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2.供应商应根据自身的承诺，对照磋商文件要求，在“偏离说明”中注明“正偏离”或者“负偏离”或者“无偏离”。既不属于“正偏离”也不属于“负偏离”即为“无偏离”。 当响应文件的技术内容低于竞争性磋商文件要求时，供应商应当如实写明“负偏离”，否则视为虚假应标。</w:t>
      </w:r>
    </w:p>
    <w:p w14:paraId="4EA19D4E">
      <w:pPr>
        <w:spacing w:line="48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w:t>
      </w:r>
      <w:r>
        <w:rPr>
          <w:rFonts w:hint="eastAsia" w:ascii="宋体" w:hAnsi="宋体" w:eastAsia="宋体" w:cs="宋体"/>
          <w:b/>
          <w:bCs/>
          <w:color w:val="auto"/>
          <w:kern w:val="0"/>
          <w:szCs w:val="21"/>
          <w:highlight w:val="none"/>
        </w:rPr>
        <w:t>否则按竞标无效处理。</w:t>
      </w:r>
    </w:p>
    <w:p w14:paraId="2E16412C">
      <w:pPr>
        <w:pStyle w:val="14"/>
        <w:spacing w:line="480" w:lineRule="auto"/>
        <w:ind w:firstLine="42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4. 如技术偏离表中的竞标响应与佐证材料不一致的，以佐证材料为准。</w:t>
      </w:r>
    </w:p>
    <w:p w14:paraId="37D755FB">
      <w:pPr>
        <w:snapToGrid w:val="0"/>
        <w:spacing w:line="360" w:lineRule="auto"/>
        <w:ind w:firstLine="602" w:firstLineChars="200"/>
        <w:rPr>
          <w:rFonts w:hint="eastAsia" w:ascii="宋体" w:hAnsi="宋体" w:eastAsia="宋体" w:cs="宋体"/>
          <w:b/>
          <w:color w:val="auto"/>
          <w:sz w:val="30"/>
          <w:szCs w:val="30"/>
          <w:highlight w:val="none"/>
        </w:rPr>
      </w:pPr>
    </w:p>
    <w:p w14:paraId="0ECA5306">
      <w:pPr>
        <w:spacing w:line="400" w:lineRule="exact"/>
        <w:ind w:firstLine="4410" w:firstLineChars="21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5F707E76">
      <w:pPr>
        <w:snapToGrid w:val="0"/>
        <w:spacing w:line="360" w:lineRule="auto"/>
        <w:ind w:firstLine="420" w:firstLineChars="200"/>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A43F544">
      <w:pPr>
        <w:adjustRightInd w:val="0"/>
        <w:snapToGrid w:val="0"/>
        <w:spacing w:line="520" w:lineRule="exact"/>
        <w:jc w:val="center"/>
        <w:rPr>
          <w:rFonts w:hint="eastAsia" w:ascii="宋体" w:hAnsi="宋体" w:eastAsia="宋体" w:cs="宋体"/>
          <w:bCs/>
          <w:color w:val="auto"/>
          <w:sz w:val="44"/>
          <w:szCs w:val="44"/>
          <w:highlight w:val="none"/>
        </w:rPr>
      </w:pPr>
    </w:p>
    <w:p w14:paraId="1F718B4D">
      <w:pPr>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施工组织设计（格式自拟）</w:t>
      </w:r>
    </w:p>
    <w:p w14:paraId="2D51ECE5">
      <w:pPr>
        <w:keepLines w:val="0"/>
        <w:pageBreakBefore w:val="0"/>
        <w:widowControl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rPr>
      </w:pPr>
    </w:p>
    <w:p w14:paraId="6C3EC526">
      <w:pPr>
        <w:keepLines w:val="0"/>
        <w:pageBreakBefore w:val="0"/>
        <w:widowControl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rPr>
      </w:pPr>
    </w:p>
    <w:p w14:paraId="0C9F004B">
      <w:pPr>
        <w:keepLines w:val="0"/>
        <w:pageBreakBefore w:val="0"/>
        <w:widowControl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rPr>
      </w:pPr>
    </w:p>
    <w:p w14:paraId="08C1E85F">
      <w:pPr>
        <w:keepLines w:val="0"/>
        <w:pageBreakBefore w:val="0"/>
        <w:widowControl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338A98E8">
      <w:pPr>
        <w:keepLines w:val="0"/>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00284EE">
      <w:pPr>
        <w:keepLines w:val="0"/>
        <w:pageBreakBefore w:val="0"/>
        <w:widowControl w:val="0"/>
        <w:kinsoku/>
        <w:wordWrap/>
        <w:overflowPunct/>
        <w:topLinePunct w:val="0"/>
        <w:bidi w:val="0"/>
        <w:adjustRightInd/>
        <w:snapToGrid w:val="0"/>
        <w:spacing w:line="360" w:lineRule="auto"/>
        <w:textAlignment w:val="auto"/>
        <w:rPr>
          <w:rFonts w:hint="eastAsia" w:ascii="宋体" w:hAnsi="宋体" w:eastAsia="宋体" w:cs="宋体"/>
          <w:b/>
          <w:color w:val="auto"/>
          <w:sz w:val="30"/>
          <w:szCs w:val="30"/>
          <w:highlight w:val="none"/>
        </w:rPr>
      </w:pPr>
    </w:p>
    <w:p w14:paraId="737E3BB0">
      <w:pPr>
        <w:keepLines w:val="0"/>
        <w:pageBreakBefore w:val="0"/>
        <w:widowControl w:val="0"/>
        <w:kinsoku/>
        <w:wordWrap/>
        <w:overflowPunct/>
        <w:topLinePunct w:val="0"/>
        <w:bidi w:val="0"/>
        <w:adjustRightInd/>
        <w:snapToGrid w:val="0"/>
        <w:spacing w:line="360" w:lineRule="auto"/>
        <w:textAlignment w:val="auto"/>
        <w:rPr>
          <w:rFonts w:hint="eastAsia" w:ascii="宋体" w:hAnsi="宋体" w:eastAsia="宋体" w:cs="宋体"/>
          <w:b/>
          <w:color w:val="auto"/>
          <w:sz w:val="28"/>
          <w:szCs w:val="28"/>
          <w:highlight w:val="none"/>
        </w:rPr>
      </w:pPr>
    </w:p>
    <w:p w14:paraId="5B86A222">
      <w:pPr>
        <w:keepLines w:val="0"/>
        <w:pageBreakBefore w:val="0"/>
        <w:widowControl w:val="0"/>
        <w:kinsoku/>
        <w:wordWrap/>
        <w:overflowPunct/>
        <w:topLinePunct w:val="0"/>
        <w:bidi w:val="0"/>
        <w:adjustRightInd/>
        <w:snapToGrid w:val="0"/>
        <w:spacing w:line="360" w:lineRule="auto"/>
        <w:textAlignment w:val="auto"/>
        <w:rPr>
          <w:rFonts w:hint="eastAsia" w:ascii="宋体" w:hAnsi="宋体" w:eastAsia="宋体" w:cs="宋体"/>
          <w:b/>
          <w:color w:val="auto"/>
          <w:sz w:val="28"/>
          <w:szCs w:val="28"/>
          <w:highlight w:val="none"/>
        </w:rPr>
      </w:pPr>
    </w:p>
    <w:p w14:paraId="1E796412">
      <w:pPr>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项目管理机构配备情况表及主要人员简历表（格式自拟）</w:t>
      </w:r>
    </w:p>
    <w:p w14:paraId="0D885768">
      <w:pPr>
        <w:keepLines w:val="0"/>
        <w:pageBreakBefore w:val="0"/>
        <w:widowControl w:val="0"/>
        <w:kinsoku/>
        <w:wordWrap/>
        <w:overflowPunct/>
        <w:topLinePunct w:val="0"/>
        <w:bidi w:val="0"/>
        <w:adjustRightIn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（由供应商根据采购需求及采购文件要求编制）</w:t>
      </w:r>
    </w:p>
    <w:p w14:paraId="4BAAC084">
      <w:pPr>
        <w:pStyle w:val="21"/>
        <w:keepLines w:val="0"/>
        <w:pageBreakBefore w:val="0"/>
        <w:widowControl w:val="0"/>
        <w:kinsoku/>
        <w:wordWrap/>
        <w:overflowPunct/>
        <w:topLinePunct w:val="0"/>
        <w:bidi w:val="0"/>
        <w:adjustRightInd/>
        <w:spacing w:line="360" w:lineRule="auto"/>
        <w:textAlignment w:val="auto"/>
        <w:rPr>
          <w:rFonts w:hint="eastAsia" w:ascii="宋体" w:hAnsi="宋体" w:eastAsia="宋体" w:cs="宋体"/>
          <w:color w:val="auto"/>
          <w:highlight w:val="none"/>
        </w:rPr>
      </w:pPr>
    </w:p>
    <w:p w14:paraId="6BC16E7E">
      <w:pPr>
        <w:keepLines w:val="0"/>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p>
    <w:p w14:paraId="4FAE46E3">
      <w:pPr>
        <w:keepLines w:val="0"/>
        <w:pageBreakBefore w:val="0"/>
        <w:widowControl w:val="0"/>
        <w:kinsoku/>
        <w:wordWrap/>
        <w:overflowPunct/>
        <w:topLinePunct w:val="0"/>
        <w:bidi w:val="0"/>
        <w:adjustRightInd/>
        <w:spacing w:line="360" w:lineRule="auto"/>
        <w:ind w:firstLine="4410" w:firstLineChars="21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名称</w:t>
      </w:r>
      <w:r>
        <w:rPr>
          <w:rFonts w:hint="eastAsia" w:ascii="宋体" w:hAnsi="宋体" w:eastAsia="宋体" w:cs="宋体"/>
          <w:color w:val="auto"/>
          <w:szCs w:val="21"/>
          <w:highlight w:val="none"/>
        </w:rPr>
        <w:t>（盖</w:t>
      </w:r>
      <w:r>
        <w:rPr>
          <w:rFonts w:hint="eastAsia" w:ascii="宋体" w:hAnsi="宋体" w:eastAsia="宋体" w:cs="宋体"/>
          <w:color w:val="auto"/>
          <w:szCs w:val="21"/>
          <w:highlight w:val="none"/>
          <w:lang w:val="en-US" w:eastAsia="zh-CN"/>
        </w:rPr>
        <w:t>电子</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u w:val="single"/>
        </w:rPr>
        <w:t xml:space="preserve">                   </w:t>
      </w:r>
    </w:p>
    <w:p w14:paraId="0C369D40">
      <w:pPr>
        <w:keepLines w:val="0"/>
        <w:pageBreakBefore w:val="0"/>
        <w:widowControl w:val="0"/>
        <w:kinsoku/>
        <w:wordWrap/>
        <w:overflowPunct/>
        <w:topLinePunct w:val="0"/>
        <w:bidi w:val="0"/>
        <w:adjustRightInd/>
        <w:snapToGrid w:val="0"/>
        <w:spacing w:line="360" w:lineRule="auto"/>
        <w:ind w:firstLine="420" w:firstLineChars="200"/>
        <w:textAlignment w:val="auto"/>
        <w:rPr>
          <w:rFonts w:hint="eastAsia" w:ascii="宋体" w:hAnsi="宋体" w:eastAsia="宋体" w:cs="宋体"/>
          <w:b/>
          <w:color w:val="auto"/>
          <w:sz w:val="30"/>
          <w:szCs w:val="30"/>
          <w:highlight w:val="none"/>
        </w:rPr>
      </w:pPr>
      <w:r>
        <w:rPr>
          <w:rFonts w:hint="eastAsia" w:ascii="宋体" w:hAnsi="宋体" w:eastAsia="宋体" w:cs="宋体"/>
          <w:color w:val="auto"/>
          <w:szCs w:val="21"/>
          <w:highlight w:val="none"/>
        </w:rPr>
        <w:t xml:space="preserve">                                      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9A5DED2">
      <w:pPr>
        <w:jc w:val="both"/>
        <w:outlineLvl w:val="9"/>
        <w:rPr>
          <w:rFonts w:hint="eastAsia" w:ascii="宋体" w:hAnsi="宋体" w:eastAsia="宋体" w:cs="宋体"/>
          <w:b/>
          <w:bCs/>
          <w:color w:val="auto"/>
          <w:highlight w:val="none"/>
        </w:rPr>
      </w:pPr>
    </w:p>
    <w:p w14:paraId="73248728">
      <w:pPr>
        <w:outlineLvl w:val="9"/>
        <w:rPr>
          <w:rFonts w:hint="eastAsia" w:ascii="宋体" w:hAnsi="宋体" w:eastAsia="宋体" w:cs="宋体"/>
          <w:b/>
          <w:bCs/>
          <w:color w:val="auto"/>
          <w:highlight w:val="none"/>
        </w:rPr>
      </w:pPr>
    </w:p>
    <w:p w14:paraId="43A9EA94">
      <w:pPr>
        <w:outlineLvl w:val="9"/>
        <w:rPr>
          <w:rFonts w:hint="eastAsia" w:ascii="宋体" w:hAnsi="宋体" w:eastAsia="宋体" w:cs="宋体"/>
          <w:b/>
          <w:bCs/>
          <w:color w:val="auto"/>
          <w:highlight w:val="none"/>
        </w:rPr>
      </w:pPr>
    </w:p>
    <w:p w14:paraId="1E5DC1EA">
      <w:pPr>
        <w:outlineLvl w:val="9"/>
        <w:rPr>
          <w:rFonts w:hint="eastAsia" w:ascii="宋体" w:hAnsi="宋体" w:eastAsia="宋体" w:cs="宋体"/>
          <w:b/>
          <w:bCs/>
          <w:color w:val="auto"/>
          <w:highlight w:val="none"/>
        </w:rPr>
      </w:pPr>
    </w:p>
    <w:p w14:paraId="0ED1DF4D">
      <w:pPr>
        <w:jc w:val="center"/>
        <w:outlineLvl w:val="9"/>
        <w:rPr>
          <w:rFonts w:hint="eastAsia" w:ascii="宋体" w:hAnsi="宋体" w:eastAsia="宋体" w:cs="宋体"/>
          <w:b/>
          <w:bCs/>
          <w:color w:val="auto"/>
          <w:highlight w:val="none"/>
        </w:rPr>
      </w:pPr>
    </w:p>
    <w:p w14:paraId="17676597">
      <w:pPr>
        <w:outlineLvl w:val="9"/>
        <w:rPr>
          <w:rFonts w:hint="eastAsia" w:ascii="宋体" w:hAnsi="宋体" w:eastAsia="宋体" w:cs="宋体"/>
          <w:b/>
          <w:bCs/>
          <w:color w:val="auto"/>
          <w:highlight w:val="none"/>
        </w:rPr>
      </w:pPr>
    </w:p>
    <w:p w14:paraId="44AF8D24">
      <w:pPr>
        <w:outlineLvl w:val="9"/>
        <w:rPr>
          <w:rFonts w:hint="eastAsia" w:ascii="宋体" w:hAnsi="宋体" w:eastAsia="宋体" w:cs="宋体"/>
          <w:b/>
          <w:bCs/>
          <w:color w:val="auto"/>
          <w:highlight w:val="none"/>
        </w:rPr>
      </w:pPr>
    </w:p>
    <w:p w14:paraId="0FD5E2C2">
      <w:pPr>
        <w:outlineLvl w:val="9"/>
        <w:rPr>
          <w:rFonts w:hint="eastAsia" w:ascii="宋体" w:hAnsi="宋体" w:eastAsia="宋体" w:cs="宋体"/>
          <w:b/>
          <w:bCs/>
          <w:color w:val="auto"/>
          <w:highlight w:val="none"/>
        </w:rPr>
      </w:pPr>
    </w:p>
    <w:p w14:paraId="0B5BEF92">
      <w:pPr>
        <w:outlineLvl w:val="9"/>
        <w:rPr>
          <w:rFonts w:hint="eastAsia" w:ascii="宋体" w:hAnsi="宋体" w:eastAsia="宋体" w:cs="宋体"/>
          <w:b/>
          <w:bCs/>
          <w:color w:val="auto"/>
          <w:highlight w:val="none"/>
        </w:rPr>
      </w:pPr>
    </w:p>
    <w:p w14:paraId="0425671A">
      <w:pPr>
        <w:outlineLvl w:val="9"/>
        <w:rPr>
          <w:rFonts w:hint="eastAsia" w:ascii="宋体" w:hAnsi="宋体" w:eastAsia="宋体" w:cs="宋体"/>
          <w:b/>
          <w:bCs/>
          <w:color w:val="auto"/>
          <w:highlight w:val="none"/>
        </w:rPr>
      </w:pPr>
    </w:p>
    <w:p w14:paraId="2686A9F0">
      <w:pPr>
        <w:outlineLvl w:val="9"/>
        <w:rPr>
          <w:rFonts w:hint="eastAsia" w:ascii="宋体" w:hAnsi="宋体" w:eastAsia="宋体" w:cs="宋体"/>
          <w:b/>
          <w:bCs/>
          <w:color w:val="auto"/>
          <w:highlight w:val="none"/>
        </w:rPr>
      </w:pPr>
    </w:p>
    <w:p w14:paraId="367B2124">
      <w:pPr>
        <w:jc w:val="both"/>
        <w:outlineLvl w:val="9"/>
        <w:rPr>
          <w:rFonts w:hint="eastAsia" w:ascii="宋体" w:hAnsi="宋体" w:eastAsia="宋体" w:cs="宋体"/>
          <w:b/>
          <w:bCs/>
          <w:color w:val="auto"/>
          <w:highlight w:val="none"/>
        </w:rPr>
      </w:pPr>
    </w:p>
    <w:p w14:paraId="70735897">
      <w:pPr>
        <w:outlineLvl w:val="9"/>
        <w:rPr>
          <w:rFonts w:hint="eastAsia" w:ascii="宋体" w:hAnsi="宋体" w:eastAsia="宋体" w:cs="宋体"/>
          <w:b/>
          <w:bCs/>
          <w:color w:val="auto"/>
          <w:highlight w:val="none"/>
        </w:rPr>
      </w:pPr>
    </w:p>
    <w:p w14:paraId="685B38CB">
      <w:pPr>
        <w:outlineLvl w:val="9"/>
        <w:rPr>
          <w:rFonts w:hint="eastAsia" w:ascii="宋体" w:hAnsi="宋体" w:eastAsia="宋体" w:cs="宋体"/>
          <w:b/>
          <w:bCs/>
          <w:color w:val="auto"/>
          <w:highlight w:val="none"/>
        </w:rPr>
      </w:pPr>
    </w:p>
    <w:p w14:paraId="472E07F1">
      <w:pPr>
        <w:outlineLvl w:val="9"/>
        <w:rPr>
          <w:rFonts w:hint="eastAsia" w:ascii="宋体" w:hAnsi="宋体" w:eastAsia="宋体" w:cs="宋体"/>
          <w:b/>
          <w:bCs/>
          <w:color w:val="auto"/>
          <w:highlight w:val="none"/>
        </w:rPr>
      </w:pPr>
    </w:p>
    <w:p w14:paraId="260BF5FA">
      <w:pPr>
        <w:pStyle w:val="3"/>
        <w:jc w:val="center"/>
        <w:rPr>
          <w:rFonts w:hint="eastAsia" w:ascii="宋体" w:hAnsi="宋体" w:eastAsia="宋体" w:cs="宋体"/>
          <w:b w:val="0"/>
          <w:bCs/>
          <w:color w:val="auto"/>
          <w:highlight w:val="none"/>
        </w:rPr>
      </w:pPr>
      <w:r>
        <w:rPr>
          <w:rFonts w:hint="eastAsia" w:ascii="宋体" w:hAnsi="宋体" w:eastAsia="宋体" w:cs="宋体"/>
          <w:b/>
          <w:bCs/>
          <w:color w:val="auto"/>
          <w:highlight w:val="none"/>
        </w:rPr>
        <w:br w:type="page"/>
      </w:r>
      <w:r>
        <w:rPr>
          <w:rFonts w:hint="eastAsia" w:ascii="宋体" w:hAnsi="宋体" w:eastAsia="宋体" w:cs="宋体"/>
          <w:b/>
          <w:bCs/>
          <w:color w:val="auto"/>
          <w:highlight w:val="none"/>
        </w:rPr>
        <w:t>其他文书、文件格式</w:t>
      </w:r>
      <w:bookmarkEnd w:id="54"/>
      <w:bookmarkEnd w:id="55"/>
    </w:p>
    <w:p w14:paraId="13CF64CB">
      <w:pPr>
        <w:pStyle w:val="3"/>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建筑材料和设备节能环保要求承诺书</w:t>
      </w:r>
    </w:p>
    <w:p w14:paraId="4572B3AB">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lang w:val="en"/>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15980AEA">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lang w:val="en"/>
        </w:rPr>
        <w:t>备注：附拟</w:t>
      </w:r>
      <w:r>
        <w:rPr>
          <w:rFonts w:hint="eastAsia" w:ascii="宋体" w:hAnsi="宋体" w:cs="宋体"/>
          <w:color w:val="auto"/>
          <w:sz w:val="30"/>
          <w:szCs w:val="30"/>
          <w:highlight w:val="none"/>
          <w:lang w:val="en-US" w:eastAsia="zh-CN"/>
        </w:rPr>
        <w:t>竞标</w:t>
      </w:r>
      <w:r>
        <w:rPr>
          <w:rFonts w:hint="eastAsia" w:ascii="宋体" w:hAnsi="宋体" w:eastAsia="宋体" w:cs="宋体"/>
          <w:color w:val="auto"/>
          <w:sz w:val="30"/>
          <w:szCs w:val="30"/>
          <w:highlight w:val="none"/>
          <w:lang w:val="en"/>
        </w:rPr>
        <w:t>的政府强制采购的节能产品认证证书原件扫描件（如有）</w:t>
      </w:r>
    </w:p>
    <w:p w14:paraId="3B6698F9">
      <w:pPr>
        <w:pStyle w:val="120"/>
        <w:spacing w:line="520" w:lineRule="exact"/>
        <w:ind w:left="-10" w:firstLine="455" w:firstLineChars="217"/>
        <w:jc w:val="left"/>
        <w:rPr>
          <w:rStyle w:val="31"/>
          <w:rFonts w:ascii="Times New Roman" w:hAnsi="Times New Roman" w:eastAsia="宋体" w:cs="Times New Roman"/>
          <w:szCs w:val="21"/>
        </w:rPr>
      </w:pPr>
    </w:p>
    <w:p w14:paraId="7B7588CD">
      <w:pPr>
        <w:pStyle w:val="120"/>
        <w:spacing w:line="520" w:lineRule="exact"/>
        <w:ind w:left="-10" w:firstLine="455" w:firstLineChars="217"/>
        <w:jc w:val="left"/>
        <w:rPr>
          <w:rStyle w:val="31"/>
          <w:rFonts w:ascii="Times New Roman" w:hAnsi="Times New Roman" w:eastAsia="宋体" w:cs="Times New Roman"/>
          <w:szCs w:val="21"/>
        </w:rPr>
      </w:pPr>
    </w:p>
    <w:p w14:paraId="333A6361">
      <w:pPr>
        <w:snapToGrid w:val="0"/>
        <w:spacing w:line="360" w:lineRule="auto"/>
        <w:ind w:left="5477" w:leftChars="1736" w:hanging="1831" w:hangingChars="825"/>
        <w:rPr>
          <w:rFonts w:hint="eastAsia" w:ascii="宋体" w:hAnsi="宋体" w:eastAsia="宋体" w:cs="宋体"/>
          <w:color w:val="auto"/>
          <w:kern w:val="0"/>
          <w:sz w:val="24"/>
          <w:highlight w:val="none"/>
        </w:rPr>
      </w:pPr>
      <w:r>
        <w:rPr>
          <w:rStyle w:val="31"/>
          <w:rFonts w:hint="eastAsia" w:ascii="宋体" w:hAnsi="宋体" w:eastAsia="宋体" w:cs="Times New Roman"/>
          <w:spacing w:val="6"/>
          <w:szCs w:val="21"/>
        </w:rPr>
        <w:t xml:space="preserve">        </w:t>
      </w: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竞标人名称(电子签章)：</w:t>
      </w:r>
    </w:p>
    <w:p w14:paraId="0E53C29E">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00B2B2F7">
      <w:pPr>
        <w:pStyle w:val="120"/>
        <w:ind w:firstLine="444" w:firstLineChars="200"/>
        <w:jc w:val="right"/>
        <w:rPr>
          <w:rStyle w:val="31"/>
          <w:rFonts w:ascii="宋体" w:hAnsi="宋体" w:eastAsia="宋体" w:cs="Times New Roman"/>
          <w:spacing w:val="6"/>
          <w:szCs w:val="21"/>
        </w:rPr>
      </w:pPr>
    </w:p>
    <w:p w14:paraId="7A9DC56A">
      <w:pPr>
        <w:rPr>
          <w:rFonts w:hint="eastAsia" w:ascii="宋体" w:hAnsi="宋体" w:eastAsia="宋体" w:cs="宋体"/>
          <w:b/>
          <w:bCs/>
          <w:color w:val="auto"/>
          <w:sz w:val="32"/>
          <w:szCs w:val="32"/>
          <w:highlight w:val="none"/>
          <w:lang w:val="en"/>
        </w:rPr>
      </w:pPr>
    </w:p>
    <w:p w14:paraId="6DE2EDDA">
      <w:pP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br w:type="page"/>
      </w:r>
    </w:p>
    <w:p w14:paraId="33029A1E">
      <w:pPr>
        <w:jc w:val="cente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t>知识产权合规性声明</w:t>
      </w:r>
    </w:p>
    <w:p w14:paraId="6DE6B215">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17542A7C">
      <w:pPr>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rPr>
        <w:t xml:space="preserve">    本</w:t>
      </w:r>
      <w:r>
        <w:rPr>
          <w:rFonts w:hint="eastAsia" w:ascii="宋体" w:hAnsi="宋体" w:eastAsia="宋体" w:cs="宋体"/>
          <w:color w:val="auto"/>
          <w:sz w:val="30"/>
          <w:szCs w:val="30"/>
          <w:highlight w:val="none"/>
          <w:lang w:val="en"/>
        </w:rPr>
        <w:t>企业（单位）自愿参与政府投资政府采购的</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lang w:val="en"/>
        </w:rPr>
        <w:t>项目，</w:t>
      </w:r>
      <w:r>
        <w:rPr>
          <w:rFonts w:hint="eastAsia" w:ascii="宋体" w:hAnsi="宋体" w:eastAsia="宋体" w:cs="宋体"/>
          <w:b/>
          <w:bCs/>
          <w:color w:val="auto"/>
          <w:sz w:val="30"/>
          <w:szCs w:val="30"/>
          <w:highlight w:val="none"/>
          <w:lang w:val="en"/>
        </w:rPr>
        <w:t>在此郑重承诺：</w:t>
      </w:r>
      <w:r>
        <w:rPr>
          <w:rFonts w:hint="eastAsia" w:ascii="宋体" w:hAnsi="宋体" w:eastAsia="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宋体" w:hAnsi="宋体" w:eastAsia="宋体" w:cs="宋体"/>
          <w:color w:val="auto"/>
          <w:sz w:val="30"/>
          <w:szCs w:val="30"/>
          <w:highlight w:val="none"/>
        </w:rPr>
        <w:t>单位</w:t>
      </w:r>
      <w:r>
        <w:rPr>
          <w:rFonts w:hint="eastAsia" w:ascii="宋体" w:hAnsi="宋体" w:eastAsia="宋体" w:cs="宋体"/>
          <w:color w:val="auto"/>
          <w:sz w:val="30"/>
          <w:szCs w:val="30"/>
          <w:highlight w:val="none"/>
          <w:lang w:val="en"/>
        </w:rPr>
        <w:t>）将承担由此产生的全部责任。</w:t>
      </w:r>
    </w:p>
    <w:p w14:paraId="515A26CE">
      <w:pPr>
        <w:snapToGrid w:val="0"/>
        <w:spacing w:line="360" w:lineRule="auto"/>
        <w:ind w:left="5137" w:leftChars="1736" w:hanging="1491" w:hangingChars="825"/>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 xml:space="preserve">           </w:t>
      </w:r>
    </w:p>
    <w:p w14:paraId="3B810D11">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18376701">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0F68295F">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506F9998">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竞标人名称(电子签章)：</w:t>
      </w:r>
    </w:p>
    <w:p w14:paraId="0C641EB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1AB3AB03">
      <w:pPr>
        <w:widowControl/>
        <w:jc w:val="left"/>
        <w:rPr>
          <w:rFonts w:hint="eastAsia" w:ascii="宋体" w:hAnsi="宋体" w:eastAsia="宋体" w:cs="宋体"/>
          <w:color w:val="auto"/>
          <w:sz w:val="24"/>
          <w:highlight w:val="none"/>
        </w:rPr>
        <w:sectPr>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331" w:charSpace="0"/>
        </w:sectPr>
      </w:pPr>
    </w:p>
    <w:p w14:paraId="5E977E1D">
      <w:pPr>
        <w:spacing w:line="520" w:lineRule="exact"/>
        <w:rPr>
          <w:rFonts w:hint="eastAsia" w:ascii="宋体" w:hAnsi="宋体" w:eastAsia="宋体" w:cs="宋体"/>
          <w:color w:val="auto"/>
          <w:sz w:val="24"/>
          <w:highlight w:val="none"/>
        </w:rPr>
      </w:pPr>
    </w:p>
    <w:p w14:paraId="18600805">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653D77A1">
      <w:pPr>
        <w:spacing w:line="520" w:lineRule="exact"/>
        <w:rPr>
          <w:rFonts w:hint="eastAsia" w:ascii="宋体" w:hAnsi="宋体" w:eastAsia="宋体" w:cs="宋体"/>
          <w:color w:val="auto"/>
          <w:sz w:val="32"/>
          <w:szCs w:val="32"/>
          <w:highlight w:val="none"/>
        </w:rPr>
      </w:pPr>
    </w:p>
    <w:p w14:paraId="2307619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项目采购活动由本单位提供服务。</w:t>
      </w:r>
    </w:p>
    <w:p w14:paraId="4F4D92D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5A7434CD">
      <w:pPr>
        <w:spacing w:line="360" w:lineRule="auto"/>
        <w:rPr>
          <w:rFonts w:hint="eastAsia" w:ascii="宋体" w:hAnsi="宋体" w:eastAsia="宋体" w:cs="宋体"/>
          <w:color w:val="auto"/>
          <w:sz w:val="24"/>
          <w:highlight w:val="none"/>
        </w:rPr>
      </w:pPr>
    </w:p>
    <w:p w14:paraId="5B91634E">
      <w:pPr>
        <w:spacing w:line="360" w:lineRule="auto"/>
        <w:rPr>
          <w:rFonts w:hint="eastAsia" w:ascii="宋体" w:hAnsi="宋体" w:eastAsia="宋体" w:cs="宋体"/>
          <w:color w:val="auto"/>
          <w:sz w:val="24"/>
          <w:highlight w:val="none"/>
        </w:rPr>
      </w:pPr>
    </w:p>
    <w:p w14:paraId="68535763">
      <w:pPr>
        <w:spacing w:line="360" w:lineRule="auto"/>
        <w:rPr>
          <w:rFonts w:hint="eastAsia" w:ascii="宋体" w:hAnsi="宋体" w:eastAsia="宋体" w:cs="宋体"/>
          <w:color w:val="auto"/>
          <w:sz w:val="24"/>
          <w:highlight w:val="none"/>
        </w:rPr>
      </w:pPr>
    </w:p>
    <w:p w14:paraId="16B4B5B4">
      <w:pPr>
        <w:spacing w:line="360" w:lineRule="auto"/>
        <w:ind w:firstLine="2400" w:firstLineChars="1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0EA96D6F">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68D400DF">
      <w:pPr>
        <w:spacing w:line="360" w:lineRule="auto"/>
        <w:rPr>
          <w:rFonts w:hint="eastAsia" w:ascii="宋体" w:hAnsi="宋体" w:eastAsia="宋体" w:cs="宋体"/>
          <w:color w:val="auto"/>
          <w:sz w:val="24"/>
          <w:highlight w:val="none"/>
        </w:rPr>
      </w:pPr>
    </w:p>
    <w:p w14:paraId="71A819AE">
      <w:pPr>
        <w:spacing w:line="360" w:lineRule="auto"/>
        <w:rPr>
          <w:rFonts w:hint="eastAsia" w:ascii="宋体" w:hAnsi="宋体" w:eastAsia="宋体" w:cs="宋体"/>
          <w:color w:val="auto"/>
          <w:sz w:val="24"/>
          <w:highlight w:val="none"/>
        </w:rPr>
      </w:pPr>
    </w:p>
    <w:p w14:paraId="18159345">
      <w:pPr>
        <w:spacing w:line="360" w:lineRule="auto"/>
        <w:rPr>
          <w:rFonts w:hint="eastAsia" w:ascii="宋体" w:hAnsi="宋体" w:eastAsia="宋体" w:cs="宋体"/>
          <w:color w:val="auto"/>
          <w:sz w:val="24"/>
          <w:highlight w:val="none"/>
        </w:rPr>
      </w:pPr>
    </w:p>
    <w:p w14:paraId="4E29E60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w:t>
      </w:r>
      <w:r>
        <w:rPr>
          <w:rFonts w:hint="eastAsia" w:ascii="宋体" w:hAnsi="宋体" w:eastAsia="宋体" w:cs="宋体"/>
          <w:color w:val="auto"/>
          <w:sz w:val="24"/>
          <w:highlight w:val="none"/>
          <w:lang w:eastAsia="zh-CN"/>
        </w:rPr>
        <w:t>竞标人</w:t>
      </w:r>
      <w:r>
        <w:rPr>
          <w:rFonts w:hint="eastAsia" w:ascii="宋体" w:hAnsi="宋体" w:eastAsia="宋体" w:cs="宋体"/>
          <w:color w:val="auto"/>
          <w:sz w:val="24"/>
          <w:highlight w:val="none"/>
        </w:rPr>
        <w:t>提供由省级以上监狱管理局、戒毒管理局（含新疆生产建设兵团）出具的属于监狱企业证明文件的，视同为小型和微型企业。</w:t>
      </w:r>
    </w:p>
    <w:p w14:paraId="1BA78127">
      <w:pPr>
        <w:spacing w:line="520" w:lineRule="exact"/>
        <w:jc w:val="center"/>
        <w:rPr>
          <w:rFonts w:hint="eastAsia" w:ascii="宋体" w:hAnsi="宋体" w:eastAsia="宋体" w:cs="宋体"/>
          <w:color w:val="auto"/>
          <w:sz w:val="24"/>
          <w:highlight w:val="none"/>
        </w:rPr>
      </w:pPr>
    </w:p>
    <w:p w14:paraId="17410532">
      <w:pPr>
        <w:rPr>
          <w:rFonts w:hint="eastAsia" w:ascii="宋体" w:hAnsi="宋体" w:eastAsia="宋体" w:cs="宋体"/>
          <w:color w:val="auto"/>
          <w:szCs w:val="21"/>
          <w:highlight w:val="none"/>
        </w:rPr>
      </w:pPr>
      <w:r>
        <w:rPr>
          <w:rFonts w:hint="eastAsia" w:ascii="宋体" w:hAnsi="宋体" w:eastAsia="宋体" w:cs="宋体"/>
          <w:b/>
          <w:bCs/>
          <w:color w:val="auto"/>
          <w:kern w:val="0"/>
          <w:sz w:val="28"/>
          <w:szCs w:val="28"/>
          <w:highlight w:val="none"/>
        </w:rPr>
        <w:br w:type="page"/>
      </w:r>
    </w:p>
    <w:p w14:paraId="61666F6F">
      <w:pPr>
        <w:pStyle w:val="2"/>
        <w:numPr>
          <w:ilvl w:val="0"/>
          <w:numId w:val="3"/>
        </w:numPr>
        <w:jc w:val="center"/>
        <w:rPr>
          <w:rFonts w:hint="eastAsia" w:ascii="宋体" w:hAnsi="宋体" w:eastAsia="宋体" w:cs="宋体"/>
          <w:b w:val="0"/>
          <w:bCs w:val="0"/>
          <w:color w:val="auto"/>
          <w:highlight w:val="none"/>
        </w:rPr>
      </w:pPr>
      <w:bookmarkStart w:id="57" w:name="_Toc4005"/>
      <w:bookmarkStart w:id="58" w:name="_Toc15154"/>
      <w:bookmarkStart w:id="59" w:name="_Toc24786"/>
      <w:bookmarkStart w:id="60" w:name="_Toc9343"/>
      <w:bookmarkStart w:id="61" w:name="_Toc12748"/>
      <w:r>
        <w:rPr>
          <w:rFonts w:hint="eastAsia" w:ascii="宋体" w:hAnsi="宋体" w:eastAsia="宋体" w:cs="宋体"/>
          <w:b w:val="0"/>
          <w:bCs w:val="0"/>
          <w:color w:val="auto"/>
          <w:highlight w:val="none"/>
        </w:rPr>
        <w:t xml:space="preserve"> </w:t>
      </w:r>
      <w:bookmarkStart w:id="62" w:name="_Toc13046"/>
      <w:r>
        <w:rPr>
          <w:rFonts w:hint="eastAsia" w:ascii="宋体" w:hAnsi="宋体" w:eastAsia="宋体" w:cs="宋体"/>
          <w:b w:val="0"/>
          <w:bCs w:val="0"/>
          <w:color w:val="auto"/>
          <w:highlight w:val="none"/>
        </w:rPr>
        <w:t>合同文本</w:t>
      </w:r>
      <w:bookmarkEnd w:id="57"/>
      <w:bookmarkEnd w:id="58"/>
      <w:bookmarkEnd w:id="59"/>
      <w:bookmarkEnd w:id="60"/>
      <w:bookmarkEnd w:id="62"/>
    </w:p>
    <w:bookmarkEnd w:id="61"/>
    <w:p w14:paraId="388555B7">
      <w:pPr>
        <w:widowControl/>
        <w:shd w:val="clear" w:color="auto" w:fill="FFFFFF"/>
        <w:spacing w:before="100" w:beforeAutospacing="1" w:after="100" w:afterAutospacing="1"/>
        <w:ind w:firstLine="360"/>
        <w:jc w:val="left"/>
        <w:rPr>
          <w:rFonts w:hint="eastAsia" w:ascii="宋体" w:hAnsi="宋体" w:eastAsia="宋体" w:cs="宋体"/>
          <w:b/>
          <w:bCs/>
          <w:color w:val="auto"/>
          <w:sz w:val="28"/>
          <w:szCs w:val="28"/>
          <w:highlight w:val="none"/>
          <w:u w:val="none"/>
          <w:lang w:val="en-US" w:eastAsia="zh-CN"/>
        </w:rPr>
      </w:pPr>
      <w:bookmarkStart w:id="63" w:name="_Toc20394"/>
      <w:bookmarkStart w:id="64" w:name="_Toc122424485"/>
      <w:bookmarkStart w:id="65" w:name="_Toc122424236"/>
      <w:bookmarkStart w:id="66" w:name="_Toc19149"/>
      <w:r>
        <w:rPr>
          <w:rFonts w:hint="eastAsia" w:ascii="宋体" w:hAnsi="宋体" w:eastAsia="宋体" w:cs="宋体"/>
          <w:b/>
          <w:bCs/>
          <w:color w:val="auto"/>
          <w:sz w:val="28"/>
          <w:szCs w:val="28"/>
          <w:highlight w:val="none"/>
          <w:u w:val="none"/>
          <w:lang w:eastAsia="zh-CN"/>
        </w:rPr>
        <w:t>“</w:t>
      </w:r>
      <w:r>
        <w:rPr>
          <w:rFonts w:hint="eastAsia" w:ascii="宋体" w:hAnsi="宋体" w:eastAsia="宋体" w:cs="宋体"/>
          <w:b/>
          <w:bCs/>
          <w:color w:val="auto"/>
          <w:sz w:val="28"/>
          <w:szCs w:val="28"/>
          <w:highlight w:val="none"/>
          <w:u w:val="none"/>
          <w:lang w:val="en-US" w:eastAsia="zh-CN"/>
        </w:rPr>
        <w:t>广西政府采购云平台”平台合同编号：</w:t>
      </w:r>
    </w:p>
    <w:p w14:paraId="4890D624">
      <w:pPr>
        <w:widowControl/>
        <w:shd w:val="clear" w:color="auto" w:fill="FFFFFF"/>
        <w:spacing w:before="100" w:beforeAutospacing="1" w:after="100" w:afterAutospacing="1"/>
        <w:ind w:firstLine="360"/>
        <w:jc w:val="center"/>
        <w:rPr>
          <w:rFonts w:hint="eastAsia" w:ascii="宋体" w:hAnsi="宋体" w:eastAsia="宋体" w:cs="宋体"/>
          <w:b/>
          <w:bCs/>
          <w:color w:val="auto"/>
          <w:sz w:val="52"/>
          <w:szCs w:val="52"/>
          <w:highlight w:val="none"/>
        </w:rPr>
      </w:pPr>
    </w:p>
    <w:p w14:paraId="38535E55">
      <w:pPr>
        <w:widowControl/>
        <w:shd w:val="clear" w:color="auto" w:fill="FFFFFF"/>
        <w:spacing w:before="100" w:beforeAutospacing="1" w:after="100" w:afterAutospacing="1"/>
        <w:ind w:firstLine="360"/>
        <w:jc w:val="center"/>
        <w:rPr>
          <w:rFonts w:hint="eastAsia" w:ascii="宋体" w:hAnsi="宋体" w:eastAsia="宋体" w:cs="宋体"/>
          <w:b/>
          <w:bCs/>
          <w:color w:val="auto"/>
          <w:sz w:val="52"/>
          <w:szCs w:val="52"/>
          <w:highlight w:val="none"/>
          <w:lang w:val="en-US"/>
        </w:rPr>
      </w:pPr>
      <w:r>
        <w:rPr>
          <w:rFonts w:hint="eastAsia" w:ascii="宋体" w:hAnsi="宋体" w:eastAsia="宋体" w:cs="宋体"/>
          <w:b/>
          <w:bCs/>
          <w:color w:val="auto"/>
          <w:sz w:val="52"/>
          <w:szCs w:val="52"/>
          <w:highlight w:val="none"/>
        </w:rPr>
        <w:t>南</w:t>
      </w:r>
      <w:r>
        <w:rPr>
          <w:rFonts w:hint="eastAsia" w:ascii="宋体" w:hAnsi="宋体" w:eastAsia="宋体" w:cs="宋体"/>
          <w:b/>
          <w:bCs/>
          <w:color w:val="auto"/>
          <w:sz w:val="52"/>
          <w:szCs w:val="52"/>
          <w:highlight w:val="none"/>
          <w:lang w:val="en-US" w:eastAsia="zh-CN"/>
        </w:rPr>
        <w:t xml:space="preserve"> </w:t>
      </w:r>
      <w:r>
        <w:rPr>
          <w:rFonts w:hint="eastAsia" w:ascii="宋体" w:hAnsi="宋体" w:eastAsia="宋体" w:cs="宋体"/>
          <w:b/>
          <w:bCs/>
          <w:color w:val="auto"/>
          <w:sz w:val="52"/>
          <w:szCs w:val="52"/>
          <w:highlight w:val="none"/>
        </w:rPr>
        <w:t>宁</w:t>
      </w:r>
      <w:r>
        <w:rPr>
          <w:rFonts w:hint="eastAsia" w:ascii="宋体" w:hAnsi="宋体" w:eastAsia="宋体" w:cs="宋体"/>
          <w:b/>
          <w:bCs/>
          <w:color w:val="auto"/>
          <w:sz w:val="52"/>
          <w:szCs w:val="52"/>
          <w:highlight w:val="none"/>
          <w:lang w:val="en-US" w:eastAsia="zh-CN"/>
        </w:rPr>
        <w:t xml:space="preserve"> </w:t>
      </w:r>
      <w:r>
        <w:rPr>
          <w:rFonts w:hint="eastAsia" w:ascii="宋体" w:hAnsi="宋体" w:eastAsia="宋体" w:cs="宋体"/>
          <w:b/>
          <w:bCs/>
          <w:color w:val="auto"/>
          <w:sz w:val="52"/>
          <w:szCs w:val="52"/>
          <w:highlight w:val="none"/>
        </w:rPr>
        <w:t>市</w:t>
      </w:r>
      <w:r>
        <w:rPr>
          <w:rFonts w:hint="eastAsia" w:ascii="宋体" w:hAnsi="宋体" w:eastAsia="宋体" w:cs="宋体"/>
          <w:b/>
          <w:bCs/>
          <w:color w:val="auto"/>
          <w:sz w:val="52"/>
          <w:szCs w:val="52"/>
          <w:highlight w:val="none"/>
          <w:lang w:val="en-US" w:eastAsia="zh-CN"/>
        </w:rPr>
        <w:t xml:space="preserve"> 政 府 采 购</w:t>
      </w:r>
    </w:p>
    <w:p w14:paraId="38666D38">
      <w:pPr>
        <w:spacing w:line="360" w:lineRule="auto"/>
        <w:jc w:val="center"/>
        <w:rPr>
          <w:rFonts w:hint="eastAsia" w:ascii="宋体" w:hAnsi="宋体" w:eastAsia="宋体" w:cs="宋体"/>
          <w:b/>
          <w:bCs/>
          <w:color w:val="auto"/>
          <w:sz w:val="44"/>
          <w:szCs w:val="44"/>
          <w:highlight w:val="none"/>
          <w:lang w:val="en-US" w:eastAsia="zh-CN"/>
        </w:rPr>
      </w:pPr>
    </w:p>
    <w:p w14:paraId="23EAD39C">
      <w:pPr>
        <w:spacing w:line="360" w:lineRule="auto"/>
        <w:jc w:val="center"/>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u w:val="single"/>
          <w:lang w:val="en-US" w:eastAsia="zh-CN"/>
        </w:rPr>
        <w:t xml:space="preserve">                </w:t>
      </w:r>
      <w:r>
        <w:rPr>
          <w:rFonts w:hint="eastAsia" w:ascii="宋体" w:hAnsi="宋体" w:eastAsia="宋体" w:cs="宋体"/>
          <w:b/>
          <w:bCs/>
          <w:color w:val="auto"/>
          <w:sz w:val="44"/>
          <w:szCs w:val="44"/>
          <w:highlight w:val="none"/>
          <w:lang w:val="en-US" w:eastAsia="zh-CN"/>
        </w:rPr>
        <w:t>施工合同</w:t>
      </w:r>
    </w:p>
    <w:p w14:paraId="483DF03E">
      <w:pPr>
        <w:widowControl/>
        <w:shd w:val="clear" w:color="auto" w:fill="FFFFFF"/>
        <w:spacing w:before="100" w:beforeAutospacing="1" w:after="100" w:afterAutospacing="1"/>
        <w:ind w:firstLine="360"/>
        <w:jc w:val="center"/>
        <w:rPr>
          <w:rFonts w:hint="eastAsia" w:ascii="宋体" w:hAnsi="宋体" w:eastAsia="宋体" w:cs="宋体"/>
          <w:b/>
          <w:bCs/>
          <w:color w:val="auto"/>
          <w:sz w:val="32"/>
          <w:szCs w:val="32"/>
          <w:highlight w:val="none"/>
          <w:lang w:val="en-US" w:eastAsia="zh-CN"/>
        </w:rPr>
      </w:pPr>
    </w:p>
    <w:p w14:paraId="2D11112E">
      <w:pPr>
        <w:widowControl/>
        <w:shd w:val="clear" w:color="auto" w:fill="FFFFFF"/>
        <w:spacing w:before="100" w:beforeAutospacing="1" w:after="100" w:afterAutospacing="1"/>
        <w:ind w:firstLine="360"/>
        <w:jc w:val="center"/>
        <w:rPr>
          <w:rFonts w:hint="eastAsia" w:ascii="宋体" w:hAnsi="宋体" w:eastAsia="宋体" w:cs="宋体"/>
          <w:b/>
          <w:bCs/>
          <w:color w:val="auto"/>
          <w:sz w:val="32"/>
          <w:szCs w:val="32"/>
          <w:highlight w:val="none"/>
          <w:lang w:val="en-US" w:eastAsia="zh-CN"/>
        </w:rPr>
      </w:pPr>
    </w:p>
    <w:p w14:paraId="3F93343B">
      <w:pPr>
        <w:widowControl/>
        <w:shd w:val="clear" w:color="auto" w:fill="FFFFFF"/>
        <w:spacing w:before="100" w:beforeAutospacing="1" w:after="100" w:afterAutospacing="1"/>
        <w:ind w:firstLine="1690" w:firstLineChars="526"/>
        <w:jc w:val="both"/>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采购项目编号：</w:t>
      </w:r>
      <w:r>
        <w:rPr>
          <w:rFonts w:hint="eastAsia" w:ascii="宋体" w:hAnsi="宋体" w:cs="宋体"/>
          <w:b/>
          <w:bCs/>
          <w:color w:val="auto"/>
          <w:sz w:val="32"/>
          <w:szCs w:val="32"/>
          <w:highlight w:val="none"/>
          <w:u w:val="single"/>
          <w:lang w:val="en-US" w:eastAsia="zh-CN"/>
        </w:rPr>
        <w:t>NNZC2026-C2-070037-GXGG</w:t>
      </w:r>
    </w:p>
    <w:p w14:paraId="63A51B4E">
      <w:pPr>
        <w:widowControl/>
        <w:shd w:val="clear" w:color="auto" w:fill="FFFFFF"/>
        <w:spacing w:before="100" w:beforeAutospacing="1" w:after="100" w:afterAutospacing="1"/>
        <w:ind w:firstLine="1606" w:firstLineChars="500"/>
        <w:jc w:val="left"/>
        <w:rPr>
          <w:rFonts w:hint="default" w:ascii="宋体" w:hAnsi="宋体" w:eastAsia="宋体" w:cs="宋体"/>
          <w:color w:val="auto"/>
          <w:sz w:val="32"/>
          <w:szCs w:val="32"/>
          <w:highlight w:val="none"/>
          <w:lang w:val="en-US"/>
        </w:rPr>
      </w:pPr>
      <w:r>
        <w:rPr>
          <w:rFonts w:hint="eastAsia" w:ascii="宋体" w:hAnsi="宋体" w:eastAsia="宋体" w:cs="宋体"/>
          <w:b/>
          <w:bCs/>
          <w:color w:val="auto"/>
          <w:sz w:val="32"/>
          <w:szCs w:val="32"/>
          <w:highlight w:val="none"/>
          <w:lang w:val="en-US" w:eastAsia="zh-CN"/>
        </w:rPr>
        <w:t>采购计划编号：</w:t>
      </w:r>
      <w:r>
        <w:rPr>
          <w:rFonts w:hint="eastAsia" w:ascii="宋体" w:hAnsi="宋体" w:cs="宋体"/>
          <w:b/>
          <w:bCs/>
          <w:color w:val="auto"/>
          <w:sz w:val="32"/>
          <w:szCs w:val="32"/>
          <w:highlight w:val="none"/>
          <w:u w:val="single"/>
          <w:lang w:val="en-US" w:eastAsia="zh-CN"/>
        </w:rPr>
        <w:t xml:space="preserve"> </w:t>
      </w:r>
      <w:r>
        <w:rPr>
          <w:rFonts w:hint="eastAsia" w:ascii="宋体" w:hAnsi="宋体" w:eastAsia="宋体" w:cs="宋体"/>
          <w:b/>
          <w:bCs/>
          <w:color w:val="auto"/>
          <w:sz w:val="32"/>
          <w:szCs w:val="32"/>
          <w:highlight w:val="none"/>
          <w:u w:val="single"/>
          <w:lang w:val="en-US" w:eastAsia="zh-CN"/>
        </w:rPr>
        <w:t>XXTZC[2026]1217号</w:t>
      </w:r>
      <w:r>
        <w:rPr>
          <w:rFonts w:hint="eastAsia" w:ascii="宋体" w:hAnsi="宋体" w:cs="宋体"/>
          <w:b/>
          <w:bCs/>
          <w:color w:val="auto"/>
          <w:sz w:val="32"/>
          <w:szCs w:val="32"/>
          <w:highlight w:val="none"/>
          <w:u w:val="single"/>
          <w:lang w:val="en-US" w:eastAsia="zh-CN"/>
        </w:rPr>
        <w:t xml:space="preserve"> </w:t>
      </w:r>
    </w:p>
    <w:p w14:paraId="4E42FE70">
      <w:pPr>
        <w:widowControl/>
        <w:shd w:val="clear" w:color="auto" w:fill="FFFFFF"/>
        <w:spacing w:before="100" w:beforeAutospacing="1" w:after="100" w:afterAutospacing="1"/>
        <w:ind w:firstLine="140"/>
        <w:rPr>
          <w:rFonts w:hint="eastAsia" w:ascii="宋体" w:hAnsi="宋体" w:eastAsia="宋体" w:cs="宋体"/>
          <w:color w:val="auto"/>
          <w:sz w:val="32"/>
          <w:szCs w:val="32"/>
          <w:highlight w:val="none"/>
        </w:rPr>
      </w:pPr>
    </w:p>
    <w:p w14:paraId="3EAA30CC">
      <w:pPr>
        <w:widowControl/>
        <w:shd w:val="clear" w:color="auto" w:fill="FFFFFF"/>
        <w:spacing w:before="100" w:beforeAutospacing="1" w:after="100" w:afterAutospacing="1"/>
        <w:ind w:firstLine="140"/>
        <w:rPr>
          <w:rFonts w:hint="eastAsia" w:ascii="宋体" w:hAnsi="宋体" w:eastAsia="宋体" w:cs="宋体"/>
          <w:color w:val="auto"/>
          <w:sz w:val="32"/>
          <w:szCs w:val="32"/>
          <w:highlight w:val="none"/>
        </w:rPr>
      </w:pPr>
    </w:p>
    <w:p w14:paraId="04F533BD">
      <w:pPr>
        <w:widowControl/>
        <w:shd w:val="clear" w:color="auto" w:fill="FFFFFF"/>
        <w:spacing w:before="100" w:beforeAutospacing="1" w:after="100" w:afterAutospacing="1"/>
        <w:ind w:firstLine="14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w:t>
      </w:r>
    </w:p>
    <w:p w14:paraId="3AA653E5">
      <w:pPr>
        <w:widowControl/>
        <w:shd w:val="clear" w:color="auto" w:fill="FFFFFF"/>
        <w:spacing w:before="100" w:beforeAutospacing="1" w:after="100" w:afterAutospacing="1"/>
        <w:ind w:left="745" w:leftChars="50" w:hanging="640" w:hangingChars="200"/>
        <w:rPr>
          <w:rFonts w:hint="eastAsia" w:ascii="宋体" w:hAnsi="宋体" w:eastAsia="宋体" w:cs="宋体"/>
          <w:b w:val="0"/>
          <w:bCs w:val="0"/>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采  购  人</w:t>
      </w:r>
      <w:r>
        <w:rPr>
          <w:rFonts w:hint="eastAsia" w:ascii="宋体" w:hAnsi="宋体" w:eastAsia="宋体" w:cs="宋体"/>
          <w:b w:val="0"/>
          <w:bCs w:val="0"/>
          <w:color w:val="auto"/>
          <w:sz w:val="32"/>
          <w:szCs w:val="32"/>
          <w:highlight w:val="none"/>
        </w:rPr>
        <w:t>：</w:t>
      </w:r>
      <w:r>
        <w:rPr>
          <w:rFonts w:hint="eastAsia" w:ascii="宋体" w:hAnsi="宋体" w:eastAsia="宋体" w:cs="宋体"/>
          <w:b w:val="0"/>
          <w:bCs w:val="0"/>
          <w:color w:val="auto"/>
          <w:sz w:val="32"/>
          <w:szCs w:val="32"/>
          <w:highlight w:val="none"/>
          <w:u w:val="single"/>
        </w:rPr>
        <w:t xml:space="preserve"> </w:t>
      </w:r>
      <w:r>
        <w:rPr>
          <w:rFonts w:hint="eastAsia" w:ascii="宋体" w:hAnsi="宋体" w:cs="宋体"/>
          <w:b w:val="0"/>
          <w:bCs w:val="0"/>
          <w:color w:val="auto"/>
          <w:sz w:val="32"/>
          <w:szCs w:val="32"/>
          <w:highlight w:val="none"/>
          <w:u w:val="single"/>
          <w:lang w:val="en-US" w:eastAsia="zh-CN"/>
        </w:rPr>
        <w:t>南宁市第三幼儿园</w:t>
      </w:r>
      <w:r>
        <w:rPr>
          <w:rFonts w:hint="eastAsia" w:ascii="宋体" w:hAnsi="宋体" w:eastAsia="宋体" w:cs="宋体"/>
          <w:b w:val="0"/>
          <w:bCs w:val="0"/>
          <w:color w:val="auto"/>
          <w:sz w:val="32"/>
          <w:szCs w:val="32"/>
          <w:highlight w:val="none"/>
          <w:u w:val="single"/>
        </w:rPr>
        <w:t xml:space="preserve"> </w:t>
      </w:r>
      <w:r>
        <w:rPr>
          <w:rFonts w:hint="eastAsia" w:ascii="宋体" w:hAnsi="宋体" w:eastAsia="宋体" w:cs="宋体"/>
          <w:b w:val="0"/>
          <w:bCs w:val="0"/>
          <w:color w:val="auto"/>
          <w:sz w:val="32"/>
          <w:szCs w:val="32"/>
          <w:highlight w:val="none"/>
        </w:rPr>
        <w:t xml:space="preserve"> </w:t>
      </w:r>
    </w:p>
    <w:p w14:paraId="3552C78B">
      <w:pPr>
        <w:widowControl/>
        <w:shd w:val="clear" w:color="auto" w:fill="FFFFFF"/>
        <w:spacing w:before="100" w:beforeAutospacing="1" w:after="100" w:afterAutospacing="1"/>
        <w:ind w:firstLine="1747" w:firstLineChars="546"/>
        <w:rPr>
          <w:rFonts w:hint="eastAsia" w:ascii="宋体" w:hAnsi="宋体" w:eastAsia="宋体" w:cs="宋体"/>
          <w:color w:val="auto"/>
          <w:sz w:val="32"/>
          <w:szCs w:val="32"/>
          <w:highlight w:val="none"/>
          <w:u w:val="single"/>
        </w:rPr>
      </w:pPr>
      <w:r>
        <w:rPr>
          <w:rFonts w:hint="eastAsia" w:ascii="宋体" w:hAnsi="宋体" w:eastAsia="宋体" w:cs="宋体"/>
          <w:b w:val="0"/>
          <w:bCs w:val="0"/>
          <w:color w:val="auto"/>
          <w:sz w:val="32"/>
          <w:szCs w:val="32"/>
          <w:highlight w:val="none"/>
          <w:lang w:val="en-US" w:eastAsia="zh-CN"/>
        </w:rPr>
        <w:t>成交供应商</w:t>
      </w:r>
      <w:r>
        <w:rPr>
          <w:rFonts w:hint="eastAsia" w:ascii="宋体" w:hAnsi="宋体" w:eastAsia="宋体" w:cs="宋体"/>
          <w:b w:val="0"/>
          <w:bCs w:val="0"/>
          <w:color w:val="auto"/>
          <w:sz w:val="32"/>
          <w:szCs w:val="32"/>
          <w:highlight w:val="none"/>
        </w:rPr>
        <w:t>：</w:t>
      </w:r>
      <w:r>
        <w:rPr>
          <w:rFonts w:hint="eastAsia" w:ascii="宋体" w:hAnsi="宋体" w:eastAsia="宋体" w:cs="宋体"/>
          <w:b w:val="0"/>
          <w:bCs w:val="0"/>
          <w:color w:val="auto"/>
          <w:sz w:val="32"/>
          <w:szCs w:val="32"/>
          <w:highlight w:val="none"/>
          <w:u w:val="single"/>
        </w:rPr>
        <w:t xml:space="preserve">   </w:t>
      </w: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u w:val="single"/>
          <w:lang w:val="en-US" w:eastAsia="zh-CN"/>
        </w:rPr>
        <w:t xml:space="preserve">         </w:t>
      </w:r>
      <w:r>
        <w:rPr>
          <w:rFonts w:hint="eastAsia" w:ascii="宋体" w:hAnsi="宋体" w:eastAsia="宋体" w:cs="宋体"/>
          <w:b/>
          <w:bCs/>
          <w:color w:val="auto"/>
          <w:sz w:val="32"/>
          <w:szCs w:val="32"/>
          <w:highlight w:val="none"/>
          <w:u w:val="single"/>
        </w:rPr>
        <w:t xml:space="preserve">   </w:t>
      </w:r>
    </w:p>
    <w:p w14:paraId="39EDCF42">
      <w:pPr>
        <w:widowControl/>
        <w:shd w:val="clear" w:color="auto" w:fill="FFFFFF"/>
        <w:spacing w:before="100" w:beforeAutospacing="1" w:after="100" w:afterAutospacing="1"/>
        <w:ind w:firstLine="694"/>
        <w:rPr>
          <w:rFonts w:hint="eastAsia" w:ascii="宋体" w:hAnsi="宋体" w:eastAsia="宋体" w:cs="宋体"/>
          <w:color w:val="auto"/>
          <w:highlight w:val="none"/>
        </w:rPr>
      </w:pPr>
      <w:r>
        <w:rPr>
          <w:rFonts w:hint="eastAsia" w:ascii="宋体" w:hAnsi="宋体" w:eastAsia="宋体" w:cs="宋体"/>
          <w:color w:val="auto"/>
          <w:sz w:val="27"/>
          <w:szCs w:val="27"/>
          <w:highlight w:val="none"/>
        </w:rPr>
        <w:br w:type="page"/>
      </w:r>
    </w:p>
    <w:p w14:paraId="6D12CBE2">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依照《</w:t>
      </w:r>
      <w:r>
        <w:rPr>
          <w:rFonts w:hint="eastAsia" w:ascii="宋体" w:hAnsi="宋体" w:eastAsia="宋体" w:cs="宋体"/>
          <w:color w:val="auto"/>
          <w:sz w:val="24"/>
          <w:szCs w:val="24"/>
          <w:highlight w:val="none"/>
          <w:lang w:eastAsia="zh-CN"/>
        </w:rPr>
        <w:t>中华人民共和国民法典</w:t>
      </w:r>
      <w:r>
        <w:rPr>
          <w:rFonts w:hint="eastAsia" w:ascii="宋体" w:hAnsi="宋体" w:eastAsia="宋体" w:cs="宋体"/>
          <w:color w:val="auto"/>
          <w:sz w:val="24"/>
          <w:szCs w:val="24"/>
          <w:highlight w:val="none"/>
        </w:rPr>
        <w:t>》及有关建筑工程的法律规定条款，遵循平等、自愿、公平和诚信的原则，经双方协商一致，就本工程施工事项签订本合同。</w:t>
      </w:r>
    </w:p>
    <w:p w14:paraId="440C8BC1">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一、工程概况</w:t>
      </w:r>
    </w:p>
    <w:p w14:paraId="107D9261">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工程名称：</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eastAsia="zh-CN"/>
        </w:rPr>
        <w:t>南宁市第三幼儿园教学楼维修工程</w:t>
      </w:r>
      <w:r>
        <w:rPr>
          <w:rFonts w:hint="eastAsia" w:ascii="宋体" w:hAnsi="宋体" w:eastAsia="宋体" w:cs="宋体"/>
          <w:b w:val="0"/>
          <w:bCs w:val="0"/>
          <w:color w:val="auto"/>
          <w:sz w:val="24"/>
          <w:szCs w:val="24"/>
          <w:highlight w:val="none"/>
          <w:u w:val="single"/>
          <w:lang w:val="en-US" w:eastAsia="zh-CN"/>
        </w:rPr>
        <w:t xml:space="preserve"> </w:t>
      </w:r>
    </w:p>
    <w:p w14:paraId="28531246">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工程地址：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5A85190">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工程内容：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C60E4E6">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二、承包范围及承包方式</w:t>
      </w:r>
    </w:p>
    <w:p w14:paraId="71FD019E">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1．承包范围：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39928C38">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2．承包方式：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包工包料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3C175FEC">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三、合同期限：</w:t>
      </w:r>
    </w:p>
    <w:p w14:paraId="041559C1">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        年     月      日（确切开工日期以双方商定日为准）</w:t>
      </w:r>
    </w:p>
    <w:p w14:paraId="4C9B5015">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竣工日期：        年     月      日</w:t>
      </w:r>
    </w:p>
    <w:p w14:paraId="00D2F810">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合同工期：        日历天数。</w:t>
      </w:r>
    </w:p>
    <w:p w14:paraId="5A72027B">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四、质量标准</w:t>
      </w:r>
    </w:p>
    <w:p w14:paraId="364E8449">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符合国家现行建设工程施工质量评定标准和施工技术规范验收标准。承包方施工质量达不到合格时应无条件返工，由此产生的一切费用由承包人承担。</w:t>
      </w:r>
    </w:p>
    <w:p w14:paraId="31AEA339">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五、安全施工</w:t>
      </w:r>
    </w:p>
    <w:p w14:paraId="089AF492">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1．承包方应遵守工程建设安全生产有关管理规定，严格按安全标准组织施工，采用必要的安全防护措施，消除事故隐患。</w:t>
      </w:r>
    </w:p>
    <w:p w14:paraId="0806B234">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2．承包人应设立安全员对工作人员进行安全教育，对施工现场和过程进行监督检查，确保施工安全。如果在施工过程中发生安全或意外事故，一切责任由承包人承担，与发包人无关。</w:t>
      </w:r>
    </w:p>
    <w:p w14:paraId="5FA12EE3">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六、合同价款与支付</w:t>
      </w:r>
    </w:p>
    <w:p w14:paraId="0E0FBED2">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（一）合同价款</w:t>
      </w:r>
    </w:p>
    <w:p w14:paraId="048D12CB">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.签约合同价为：</w:t>
      </w:r>
    </w:p>
    <w:p w14:paraId="52EF8A93">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人民币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元）</w:t>
      </w:r>
    </w:p>
    <w:p w14:paraId="2B306C4C">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lang w:val="en-US" w:eastAsia="zh-CN"/>
        </w:rPr>
        <w:t>合同价格形式：</w:t>
      </w:r>
      <w:r>
        <w:rPr>
          <w:rFonts w:hint="eastAsia" w:ascii="宋体" w:hAnsi="宋体" w:eastAsia="宋体" w:cs="宋体"/>
          <w:color w:val="auto"/>
          <w:sz w:val="24"/>
          <w:szCs w:val="24"/>
          <w:highlight w:val="none"/>
          <w:u w:val="single"/>
          <w:lang w:val="en-US" w:eastAsia="zh-CN"/>
        </w:rPr>
        <w:t xml:space="preserve"> 固定综合单价 </w:t>
      </w:r>
      <w:r>
        <w:rPr>
          <w:rFonts w:hint="eastAsia" w:ascii="宋体" w:hAnsi="宋体" w:eastAsia="宋体" w:cs="宋体"/>
          <w:color w:val="auto"/>
          <w:sz w:val="24"/>
          <w:szCs w:val="24"/>
          <w:highlight w:val="none"/>
        </w:rPr>
        <w:t>。</w:t>
      </w:r>
    </w:p>
    <w:p w14:paraId="1F49B43E">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结算工程量以双方验收的实际完成工程量为准，该工程有施工内容或工程量变化的，必须事先经发包人同意，由发包人和承包人、监理方按《南宁市西乡塘区人民政府办公室关于加强政府投资项目工程变更管理的通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西府办〔2024〕2号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执行，未批复前不能擅自变更。</w:t>
      </w:r>
    </w:p>
    <w:p w14:paraId="020FE16E">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工程竣工结算文件经发承包双方签字确认，工程竣工结算由承包人编制，由发包人委托西乡塘区</w:t>
      </w:r>
      <w:r>
        <w:rPr>
          <w:rFonts w:hint="eastAsia" w:ascii="宋体" w:hAnsi="宋体" w:cs="宋体"/>
          <w:color w:val="auto"/>
          <w:sz w:val="24"/>
          <w:szCs w:val="24"/>
          <w:highlight w:val="none"/>
          <w:lang w:eastAsia="zh-CN"/>
        </w:rPr>
        <w:t>财政</w:t>
      </w:r>
      <w:r>
        <w:rPr>
          <w:rFonts w:hint="eastAsia" w:ascii="宋体" w:hAnsi="宋体" w:eastAsia="宋体" w:cs="宋体"/>
          <w:color w:val="auto"/>
          <w:sz w:val="24"/>
          <w:szCs w:val="24"/>
          <w:highlight w:val="none"/>
        </w:rPr>
        <w:t>局定点的具有相应资质的工程造价咨询机构审核，审核结论与承包人竣工结算文件不一致的，应该提交给承包人复核，承包人应在规定期限内将同意审核结论或不同意见的说明提交工程造价咨询机构，复核后仍有异议的，一个月内，可以向有关工程造价管理机构申请调解。</w:t>
      </w:r>
    </w:p>
    <w:p w14:paraId="6E6C1850">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．如承包人报送的工程结算总价过高，造成该结算审减率（审减率=(送审造价-审定造价)/送审造价×100%）超过8%以上的，则全额的审核费由承包人支付；审减率小于或等于8%时，全额的审核费由发包人支付。</w:t>
      </w:r>
    </w:p>
    <w:p w14:paraId="71A528AC">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（二）工程款支付方式：</w:t>
      </w:r>
    </w:p>
    <w:p w14:paraId="66154686">
      <w:pPr>
        <w:keepNext w:val="0"/>
        <w:keepLines w:val="0"/>
        <w:pageBreakBefore w:val="0"/>
        <w:kinsoku/>
        <w:wordWrap/>
        <w:overflowPunct/>
        <w:topLinePunct w:val="0"/>
        <w:autoSpaceDE w:val="0"/>
        <w:autoSpaceDN w:val="0"/>
        <w:bidi w:val="0"/>
        <w:adjustRightInd w:val="0"/>
        <w:snapToGrid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双方约定的工程款（进度款）的支付方式：工程进度款按</w:t>
      </w:r>
      <w:r>
        <w:rPr>
          <w:rFonts w:hint="eastAsia" w:ascii="宋体" w:hAnsi="宋体" w:eastAsia="宋体" w:cs="宋体"/>
          <w:color w:val="auto"/>
          <w:sz w:val="24"/>
          <w:szCs w:val="24"/>
          <w:highlight w:val="none"/>
          <w:lang w:val="en-US" w:eastAsia="zh-CN"/>
        </w:rPr>
        <w:t>进度申请</w:t>
      </w:r>
      <w:r>
        <w:rPr>
          <w:rFonts w:hint="eastAsia" w:ascii="宋体" w:hAnsi="宋体" w:eastAsia="宋体" w:cs="宋体"/>
          <w:color w:val="auto"/>
          <w:sz w:val="24"/>
          <w:szCs w:val="24"/>
          <w:highlight w:val="none"/>
        </w:rPr>
        <w:t>支付，合同价款内的进度款支付额为当</w:t>
      </w:r>
      <w:r>
        <w:rPr>
          <w:rFonts w:hint="eastAsia" w:ascii="宋体" w:hAnsi="宋体" w:eastAsia="宋体" w:cs="宋体"/>
          <w:color w:val="auto"/>
          <w:sz w:val="24"/>
          <w:szCs w:val="24"/>
          <w:highlight w:val="none"/>
          <w:lang w:val="en-US" w:eastAsia="zh-CN"/>
        </w:rPr>
        <w:t>期</w:t>
      </w:r>
      <w:r>
        <w:rPr>
          <w:rFonts w:hint="eastAsia" w:ascii="宋体" w:hAnsi="宋体" w:eastAsia="宋体" w:cs="宋体"/>
          <w:color w:val="auto"/>
          <w:sz w:val="24"/>
          <w:szCs w:val="24"/>
          <w:highlight w:val="none"/>
        </w:rPr>
        <w:t>实际完成工程量价款的80%，发包人在每</w:t>
      </w:r>
      <w:r>
        <w:rPr>
          <w:rFonts w:hint="eastAsia" w:ascii="宋体" w:hAnsi="宋体" w:eastAsia="宋体" w:cs="宋体"/>
          <w:color w:val="auto"/>
          <w:sz w:val="24"/>
          <w:szCs w:val="24"/>
          <w:highlight w:val="none"/>
          <w:lang w:val="en-US" w:eastAsia="zh-CN"/>
        </w:rPr>
        <w:t>期</w:t>
      </w:r>
      <w:r>
        <w:rPr>
          <w:rFonts w:hint="eastAsia" w:ascii="宋体" w:hAnsi="宋体" w:eastAsia="宋体" w:cs="宋体"/>
          <w:color w:val="auto"/>
          <w:sz w:val="24"/>
          <w:szCs w:val="24"/>
          <w:highlight w:val="none"/>
        </w:rPr>
        <w:t>已完成的工程价款中扣留20%作为保留金，保留金限额为合同价款的20%。合同价款外的进度款支付额为当</w:t>
      </w:r>
      <w:r>
        <w:rPr>
          <w:rFonts w:hint="eastAsia" w:ascii="宋体" w:hAnsi="宋体" w:eastAsia="宋体" w:cs="宋体"/>
          <w:color w:val="auto"/>
          <w:sz w:val="24"/>
          <w:szCs w:val="24"/>
          <w:highlight w:val="none"/>
          <w:lang w:val="en-US" w:eastAsia="zh-CN"/>
        </w:rPr>
        <w:t>期</w:t>
      </w:r>
      <w:r>
        <w:rPr>
          <w:rFonts w:hint="eastAsia" w:ascii="宋体" w:hAnsi="宋体" w:eastAsia="宋体" w:cs="宋体"/>
          <w:color w:val="auto"/>
          <w:sz w:val="24"/>
          <w:szCs w:val="24"/>
          <w:highlight w:val="none"/>
        </w:rPr>
        <w:t>实际完成工程量价款的60%。工程竣工结算经审核后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工程款支付至97%。</w:t>
      </w:r>
    </w:p>
    <w:p w14:paraId="7CD1B4A4">
      <w:pPr>
        <w:keepNext w:val="0"/>
        <w:keepLines w:val="0"/>
        <w:pageBreakBefore w:val="0"/>
        <w:kinsoku/>
        <w:wordWrap/>
        <w:overflowPunct/>
        <w:topLinePunct w:val="0"/>
        <w:autoSpaceDE w:val="0"/>
        <w:autoSpaceDN w:val="0"/>
        <w:bidi w:val="0"/>
        <w:adjustRightInd w:val="0"/>
        <w:snapToGrid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建设单位按工程价款的3%作为工程质量保修金，待工程质量保修期满后无息返还给施工单位。</w:t>
      </w:r>
    </w:p>
    <w:p w14:paraId="541FAF4B">
      <w:pPr>
        <w:pStyle w:val="116"/>
        <w:keepNext w:val="0"/>
        <w:keepLines w:val="0"/>
        <w:pageBreakBefore w:val="0"/>
        <w:kinsoku/>
        <w:wordWrap/>
        <w:overflowPunct/>
        <w:topLinePunct w:val="0"/>
        <w:bidi w:val="0"/>
        <w:spacing w:beforeAutospacing="0" w:afterAutospacing="0" w:line="4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工程竣工验收合格，结算金额经城区</w:t>
      </w:r>
      <w:r>
        <w:rPr>
          <w:rFonts w:hint="eastAsia" w:ascii="宋体" w:hAnsi="宋体" w:cs="宋体"/>
          <w:color w:val="auto"/>
          <w:sz w:val="24"/>
          <w:szCs w:val="24"/>
          <w:highlight w:val="none"/>
          <w:lang w:eastAsia="zh-CN"/>
        </w:rPr>
        <w:t>财政</w:t>
      </w:r>
      <w:r>
        <w:rPr>
          <w:rFonts w:hint="eastAsia" w:ascii="宋体" w:hAnsi="宋体" w:eastAsia="宋体" w:cs="宋体"/>
          <w:color w:val="auto"/>
          <w:sz w:val="24"/>
          <w:szCs w:val="24"/>
          <w:highlight w:val="none"/>
        </w:rPr>
        <w:t>部门对审核结论提出审核意见后，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15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个工作日内，付97%的工程款，余下3%的工程款的在质保期满后（具体已按照签订的工程质量保修书）后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15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个工作日内付清给承包人。</w:t>
      </w:r>
    </w:p>
    <w:p w14:paraId="74D2F9EC">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七、双方责任</w:t>
      </w:r>
    </w:p>
    <w:p w14:paraId="09871B13">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1．发包人工作</w:t>
      </w:r>
    </w:p>
    <w:p w14:paraId="149F303B">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（1）负责办理施工所需的证件、批文。</w:t>
      </w:r>
    </w:p>
    <w:p w14:paraId="12B4CA03">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（2）提供施工用水、用电的连接点及场地。</w:t>
      </w:r>
    </w:p>
    <w:p w14:paraId="151D82A9">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2．承包人工作</w:t>
      </w:r>
    </w:p>
    <w:p w14:paraId="7FB41C30">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（1）按施工图纸所列的内容。</w:t>
      </w:r>
    </w:p>
    <w:p w14:paraId="5926137F">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（2）按国家现行标准施工规范要求，再约定时间内完成所约定的工作内容。</w:t>
      </w:r>
    </w:p>
    <w:p w14:paraId="23D312E3">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八、违约责任</w:t>
      </w:r>
    </w:p>
    <w:p w14:paraId="6A72C96E">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1．本合同第三条、第四条约定承包人违约应承担的违约责任，每延误一天，按合同价款的万分之四支付违约金（由于发包人的原因引起的除外）。</w:t>
      </w:r>
    </w:p>
    <w:p w14:paraId="4D1CC988">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九、本合同条款未尽事宜，双方参照《</w:t>
      </w:r>
      <w:r>
        <w:rPr>
          <w:rFonts w:hint="eastAsia" w:ascii="宋体" w:hAnsi="宋体" w:eastAsia="宋体" w:cs="宋体"/>
          <w:b w:val="0"/>
          <w:bCs/>
          <w:color w:val="auto"/>
          <w:sz w:val="24"/>
          <w:szCs w:val="24"/>
          <w:highlight w:val="none"/>
          <w:lang w:eastAsia="zh-CN"/>
        </w:rPr>
        <w:t>中华人民共和国民法典</w:t>
      </w:r>
      <w:r>
        <w:rPr>
          <w:rFonts w:hint="eastAsia" w:ascii="宋体" w:hAnsi="宋体" w:eastAsia="宋体" w:cs="宋体"/>
          <w:b w:val="0"/>
          <w:bCs/>
          <w:color w:val="auto"/>
          <w:sz w:val="24"/>
          <w:szCs w:val="24"/>
          <w:highlight w:val="none"/>
        </w:rPr>
        <w:t>》协商解决。</w:t>
      </w:r>
    </w:p>
    <w:p w14:paraId="13AE83C5">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十、履行本合同过程中，如发生争议，由双方协商不成，由合同订立地有管辖权的人民法院裁决。</w:t>
      </w:r>
    </w:p>
    <w:p w14:paraId="3450FAA2">
      <w:pPr>
        <w:keepNext w:val="0"/>
        <w:keepLines w:val="0"/>
        <w:pageBreakBefore w:val="0"/>
        <w:widowControl/>
        <w:shd w:val="clear" w:color="auto" w:fill="FFFFFF"/>
        <w:kinsoku/>
        <w:wordWrap/>
        <w:overflowPunct/>
        <w:topLinePunct w:val="0"/>
        <w:bidi w:val="0"/>
        <w:spacing w:beforeAutospacing="0" w:afterAutospacing="0" w:line="400" w:lineRule="exact"/>
        <w:ind w:firstLine="57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十一、本合同一式肆份，双方各执壹份，自双方法定代表或委托代理人签字并加盖法人章后生效。</w:t>
      </w:r>
    </w:p>
    <w:p w14:paraId="43FC65C9">
      <w:pPr>
        <w:keepNext w:val="0"/>
        <w:keepLines w:val="0"/>
        <w:pageBreakBefore w:val="0"/>
        <w:widowControl/>
        <w:shd w:val="clear" w:color="auto" w:fill="FFFFFF"/>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E3B0C29">
      <w:pPr>
        <w:keepNext w:val="0"/>
        <w:keepLines w:val="0"/>
        <w:pageBreakBefore w:val="0"/>
        <w:widowControl/>
        <w:shd w:val="clear" w:color="auto" w:fill="FFFFFF"/>
        <w:kinsoku/>
        <w:wordWrap/>
        <w:overflowPunct/>
        <w:topLinePunct w:val="0"/>
        <w:bidi w:val="0"/>
        <w:spacing w:beforeAutospacing="0" w:afterAutospacing="0" w:line="400" w:lineRule="exact"/>
        <w:ind w:left="7741" w:hanging="7741"/>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发包人：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南宁市第三幼儿园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承包人：</w:t>
      </w:r>
      <w:r>
        <w:rPr>
          <w:rFonts w:hint="eastAsia" w:ascii="宋体" w:hAnsi="宋体" w:eastAsia="宋体" w:cs="宋体"/>
          <w:color w:val="auto"/>
          <w:sz w:val="24"/>
          <w:szCs w:val="24"/>
          <w:highlight w:val="none"/>
          <w:u w:val="single"/>
          <w:lang w:val="en-US" w:eastAsia="zh-CN"/>
        </w:rPr>
        <w:t xml:space="preserve">                        </w:t>
      </w:r>
    </w:p>
    <w:p w14:paraId="495332D3">
      <w:pPr>
        <w:keepNext w:val="0"/>
        <w:keepLines w:val="0"/>
        <w:pageBreakBefore w:val="0"/>
        <w:widowControl/>
        <w:shd w:val="clear" w:color="auto" w:fill="FFFFFF"/>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490DA1EC">
      <w:pPr>
        <w:keepNext w:val="0"/>
        <w:keepLines w:val="0"/>
        <w:pageBreakBefore w:val="0"/>
        <w:widowControl/>
        <w:shd w:val="clear" w:color="auto" w:fill="FFFFFF"/>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法人代表（委托代理人）：        法定代表（委托代理人）：</w:t>
      </w:r>
    </w:p>
    <w:p w14:paraId="4BE29FE4">
      <w:pPr>
        <w:keepNext w:val="0"/>
        <w:keepLines w:val="0"/>
        <w:pageBreakBefore w:val="0"/>
        <w:widowControl/>
        <w:shd w:val="clear" w:color="auto" w:fill="FFFFFF"/>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日期：    年  月   日</w:t>
      </w:r>
    </w:p>
    <w:p w14:paraId="741ACB51">
      <w:pPr>
        <w:pStyle w:val="116"/>
        <w:keepNext w:val="0"/>
        <w:keepLines w:val="0"/>
        <w:pageBreakBefore w:val="0"/>
        <w:kinsoku/>
        <w:wordWrap/>
        <w:overflowPunct/>
        <w:topLinePunct w:val="0"/>
        <w:bidi w:val="0"/>
        <w:spacing w:beforeAutospacing="0" w:afterAutospacing="0" w:line="400" w:lineRule="exact"/>
        <w:jc w:val="left"/>
        <w:textAlignment w:val="auto"/>
        <w:rPr>
          <w:rFonts w:hint="eastAsia" w:ascii="宋体" w:hAnsi="宋体" w:eastAsia="宋体" w:cs="宋体"/>
          <w:color w:val="auto"/>
          <w:sz w:val="24"/>
          <w:szCs w:val="24"/>
          <w:highlight w:val="none"/>
        </w:rPr>
      </w:pPr>
    </w:p>
    <w:p w14:paraId="3A7370A6">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D86DDC2">
      <w:pPr>
        <w:pStyle w:val="116"/>
        <w:keepNext w:val="0"/>
        <w:keepLines w:val="0"/>
        <w:pageBreakBefore w:val="0"/>
        <w:kinsoku/>
        <w:wordWrap/>
        <w:overflowPunct/>
        <w:topLinePunct w:val="0"/>
        <w:bidi w:val="0"/>
        <w:spacing w:beforeAutospacing="0" w:afterAutospacing="0"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附件1：</w:t>
      </w:r>
    </w:p>
    <w:p w14:paraId="57690635">
      <w:pPr>
        <w:pStyle w:val="116"/>
        <w:keepNext w:val="0"/>
        <w:keepLines w:val="0"/>
        <w:pageBreakBefore w:val="0"/>
        <w:kinsoku/>
        <w:wordWrap/>
        <w:overflowPunct/>
        <w:topLinePunct w:val="0"/>
        <w:bidi w:val="0"/>
        <w:spacing w:beforeAutospacing="0" w:afterAutospacing="0"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工程质量保修书（房屋建筑工程）</w:t>
      </w:r>
    </w:p>
    <w:p w14:paraId="19EA339A">
      <w:pPr>
        <w:pStyle w:val="116"/>
        <w:keepNext w:val="0"/>
        <w:keepLines w:val="0"/>
        <w:pageBreakBefore w:val="0"/>
        <w:kinsoku/>
        <w:wordWrap/>
        <w:overflowPunct/>
        <w:topLinePunct w:val="0"/>
        <w:bidi w:val="0"/>
        <w:spacing w:beforeAutospacing="0" w:afterAutospacing="0" w:line="400" w:lineRule="exact"/>
        <w:ind w:firstLine="420"/>
        <w:jc w:val="center"/>
        <w:textAlignment w:val="auto"/>
        <w:rPr>
          <w:rFonts w:hint="eastAsia" w:ascii="宋体" w:hAnsi="宋体" w:eastAsia="宋体" w:cs="宋体"/>
          <w:color w:val="auto"/>
          <w:sz w:val="24"/>
          <w:szCs w:val="24"/>
          <w:highlight w:val="none"/>
        </w:rPr>
      </w:pPr>
    </w:p>
    <w:p w14:paraId="38AFF9EF">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发包人（全称）：</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eastAsia="zh-CN"/>
        </w:rPr>
        <w:t>南宁市第三幼儿园</w:t>
      </w:r>
      <w:r>
        <w:rPr>
          <w:rFonts w:hint="eastAsia" w:ascii="宋体" w:hAnsi="宋体" w:eastAsia="宋体" w:cs="宋体"/>
          <w:b w:val="0"/>
          <w:bCs w:val="0"/>
          <w:color w:val="auto"/>
          <w:sz w:val="24"/>
          <w:szCs w:val="24"/>
          <w:highlight w:val="none"/>
          <w:u w:val="single"/>
          <w:lang w:val="en-US" w:eastAsia="zh-CN"/>
        </w:rPr>
        <w:t xml:space="preserve"> </w:t>
      </w:r>
    </w:p>
    <w:p w14:paraId="3E0CD77F">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p>
    <w:p w14:paraId="0DC20A18">
      <w:pPr>
        <w:pStyle w:val="116"/>
        <w:keepNext w:val="0"/>
        <w:keepLines w:val="0"/>
        <w:pageBreakBefore w:val="0"/>
        <w:kinsoku/>
        <w:wordWrap/>
        <w:overflowPunct/>
        <w:topLinePunct w:val="0"/>
        <w:bidi w:val="0"/>
        <w:spacing w:beforeAutospacing="0" w:afterAutospacing="0" w:line="400" w:lineRule="exact"/>
        <w:ind w:firstLine="420"/>
        <w:textAlignment w:val="auto"/>
        <w:rPr>
          <w:rFonts w:hint="eastAsia" w:ascii="宋体" w:hAnsi="宋体" w:eastAsia="宋体" w:cs="宋体"/>
          <w:color w:val="auto"/>
          <w:sz w:val="24"/>
          <w:szCs w:val="24"/>
          <w:highlight w:val="none"/>
        </w:rPr>
      </w:pPr>
    </w:p>
    <w:p w14:paraId="4A3BEE33">
      <w:pPr>
        <w:pStyle w:val="116"/>
        <w:keepNext w:val="0"/>
        <w:keepLines w:val="0"/>
        <w:pageBreakBefore w:val="0"/>
        <w:kinsoku/>
        <w:wordWrap/>
        <w:overflowPunct/>
        <w:topLinePunct w:val="0"/>
        <w:bidi w:val="0"/>
        <w:spacing w:beforeAutospacing="0" w:afterAutospacing="0" w:line="4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发包人和承包人根据《中华人民共和国建筑法》和《建设工程质量管理条例》，经协商一致就</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eastAsia="zh-CN"/>
        </w:rPr>
        <w:t>南宁市第三幼儿园教学楼维修工程</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（工程全称）签订工程质量保修书。</w:t>
      </w:r>
    </w:p>
    <w:p w14:paraId="3FC902CE">
      <w:pPr>
        <w:pStyle w:val="116"/>
        <w:keepNext w:val="0"/>
        <w:keepLines w:val="0"/>
        <w:pageBreakBefore w:val="0"/>
        <w:kinsoku/>
        <w:wordWrap/>
        <w:overflowPunct/>
        <w:topLinePunct w:val="0"/>
        <w:bidi w:val="0"/>
        <w:spacing w:beforeAutospacing="0" w:afterAutospacing="0" w:line="4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一、工程质量保修范围和内容</w:t>
      </w:r>
    </w:p>
    <w:p w14:paraId="1B885C74">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承包人在质量保修期内，按照有关法律规定和合同约定，承担工程质量保修责任。</w:t>
      </w:r>
    </w:p>
    <w:p w14:paraId="653E32E3">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　</w:t>
      </w:r>
      <w:r>
        <w:rPr>
          <w:rFonts w:hint="eastAsia" w:ascii="宋体" w:hAnsi="宋体" w:eastAsia="宋体" w:cs="宋体"/>
          <w:color w:val="auto"/>
          <w:sz w:val="24"/>
          <w:szCs w:val="24"/>
          <w:highlight w:val="none"/>
          <w:u w:val="single"/>
        </w:rPr>
        <w:t>按《建设工程质量管理条例》有关规定进行质量保修。保修范围：竣工图图示范围内（含变更部分）及招标文件要求纳入投标报价的全部工作内容。</w:t>
      </w:r>
    </w:p>
    <w:p w14:paraId="44F281BD">
      <w:pPr>
        <w:pStyle w:val="116"/>
        <w:keepNext w:val="0"/>
        <w:keepLines w:val="0"/>
        <w:pageBreakBefore w:val="0"/>
        <w:kinsoku/>
        <w:wordWrap/>
        <w:overflowPunct/>
        <w:topLinePunct w:val="0"/>
        <w:bidi w:val="0"/>
        <w:spacing w:beforeAutospacing="0" w:afterAutospacing="0" w:line="400" w:lineRule="exact"/>
        <w:ind w:firstLine="472" w:firstLineChars="196"/>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二、质量保修期</w:t>
      </w:r>
    </w:p>
    <w:p w14:paraId="75527826">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根据《建设工程质量管理条例》及有关规定，工程的质量保修期如下：</w:t>
      </w:r>
    </w:p>
    <w:p w14:paraId="5CAA8F1A">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1．地基基础工程和主体结构工程为设计文件规定的工程合理使用年限；</w:t>
      </w:r>
    </w:p>
    <w:p w14:paraId="0E92761D">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2．屋面防水工程、有防水要求的卫生间、房间和外墙面的防渗为</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年；</w:t>
      </w:r>
    </w:p>
    <w:p w14:paraId="1F40CFCC">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3．装修工程为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年；</w:t>
      </w:r>
    </w:p>
    <w:p w14:paraId="71C29FC8">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4．电气管线、给排水管道、设备安装工程为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年；</w:t>
      </w:r>
    </w:p>
    <w:p w14:paraId="09B24234">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5．供热与供冷系统为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个采暖期、供冷期；</w:t>
      </w:r>
    </w:p>
    <w:p w14:paraId="0ED96A59">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6．住宅小区内的给排水设施、道路等配套工程为</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年；</w:t>
      </w:r>
    </w:p>
    <w:p w14:paraId="3E2438EC">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7．其他项目保修期限约定如下：</w:t>
      </w:r>
      <w:r>
        <w:rPr>
          <w:rFonts w:hint="eastAsia" w:ascii="宋体" w:hAnsi="宋体" w:eastAsia="宋体" w:cs="宋体"/>
          <w:color w:val="auto"/>
          <w:sz w:val="24"/>
          <w:szCs w:val="24"/>
          <w:highlight w:val="none"/>
          <w:u w:val="single"/>
        </w:rPr>
        <w:t xml:space="preserve">2 </w:t>
      </w:r>
      <w:r>
        <w:rPr>
          <w:rFonts w:hint="eastAsia" w:ascii="宋体" w:hAnsi="宋体" w:eastAsia="宋体" w:cs="宋体"/>
          <w:color w:val="auto"/>
          <w:sz w:val="24"/>
          <w:szCs w:val="24"/>
          <w:highlight w:val="none"/>
        </w:rPr>
        <w:t>年</w:t>
      </w:r>
    </w:p>
    <w:p w14:paraId="4E89D441">
      <w:pPr>
        <w:pStyle w:val="116"/>
        <w:keepNext w:val="0"/>
        <w:keepLines w:val="0"/>
        <w:pageBreakBefore w:val="0"/>
        <w:kinsoku/>
        <w:wordWrap/>
        <w:overflowPunct/>
        <w:topLinePunct w:val="0"/>
        <w:bidi w:val="0"/>
        <w:spacing w:beforeAutospacing="0" w:afterAutospacing="0" w:line="400" w:lineRule="exact"/>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质量保修期自工程竣工验收合格之日起计算。</w:t>
      </w:r>
    </w:p>
    <w:p w14:paraId="5AF01BF7">
      <w:pPr>
        <w:pStyle w:val="116"/>
        <w:keepNext w:val="0"/>
        <w:keepLines w:val="0"/>
        <w:pageBreakBefore w:val="0"/>
        <w:kinsoku/>
        <w:wordWrap/>
        <w:overflowPunct/>
        <w:topLinePunct w:val="0"/>
        <w:bidi w:val="0"/>
        <w:spacing w:beforeAutospacing="0" w:afterAutospacing="0" w:line="4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三、缺陷责任期</w:t>
      </w:r>
    </w:p>
    <w:p w14:paraId="628628D9">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工程缺陷责任期为</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个月，缺陷责任期自工程竣工验收合格之日起计算。单位工程先于全部工程进行验收，单位工程缺陷责任期自单位工程验收合格之日起算。</w:t>
      </w:r>
    </w:p>
    <w:p w14:paraId="25574C99">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缺陷责任期终止后，发包人应退还剩余的质量保证金。</w:t>
      </w:r>
    </w:p>
    <w:p w14:paraId="6E5B3542">
      <w:pPr>
        <w:pStyle w:val="116"/>
        <w:keepNext w:val="0"/>
        <w:keepLines w:val="0"/>
        <w:pageBreakBefore w:val="0"/>
        <w:kinsoku/>
        <w:wordWrap/>
        <w:overflowPunct/>
        <w:topLinePunct w:val="0"/>
        <w:bidi w:val="0"/>
        <w:spacing w:beforeAutospacing="0" w:afterAutospacing="0" w:line="4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四、质量保修责任</w:t>
      </w:r>
    </w:p>
    <w:p w14:paraId="6099837C">
      <w:pPr>
        <w:pStyle w:val="116"/>
        <w:keepNext w:val="0"/>
        <w:keepLines w:val="0"/>
        <w:pageBreakBefore w:val="0"/>
        <w:kinsoku/>
        <w:wordWrap/>
        <w:overflowPunct/>
        <w:topLinePunct w:val="0"/>
        <w:bidi w:val="0"/>
        <w:spacing w:beforeAutospacing="0" w:afterAutospacing="0" w:line="400" w:lineRule="exact"/>
        <w:ind w:left="105" w:leftChars="50" w:firstLine="491" w:firstLineChars="20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1．属于保修范围、内容的项目，承包人应当在接到保修通知之日起7天内派人保修。承包人不在约定期限内派人保修的，发包人可以委托他人修理。</w:t>
      </w:r>
    </w:p>
    <w:p w14:paraId="196AB4F6">
      <w:pPr>
        <w:pStyle w:val="116"/>
        <w:keepNext w:val="0"/>
        <w:keepLines w:val="0"/>
        <w:pageBreakBefore w:val="0"/>
        <w:kinsoku/>
        <w:wordWrap/>
        <w:overflowPunct/>
        <w:topLinePunct w:val="0"/>
        <w:bidi w:val="0"/>
        <w:spacing w:beforeAutospacing="0" w:afterAutospacing="0" w:line="400" w:lineRule="exact"/>
        <w:ind w:left="105" w:leftChars="50" w:firstLine="491" w:firstLineChars="20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2．发生紧急事故需抢修的，承包人在接到事故通知后，应当立即到达事故现场抢修。</w:t>
      </w:r>
    </w:p>
    <w:p w14:paraId="18C8B3F7">
      <w:pPr>
        <w:pStyle w:val="116"/>
        <w:keepNext w:val="0"/>
        <w:keepLines w:val="0"/>
        <w:pageBreakBefore w:val="0"/>
        <w:kinsoku/>
        <w:wordWrap/>
        <w:overflowPunct/>
        <w:topLinePunct w:val="0"/>
        <w:bidi w:val="0"/>
        <w:spacing w:beforeAutospacing="0" w:afterAutospacing="0" w:line="400" w:lineRule="exact"/>
        <w:ind w:left="105" w:leftChars="50" w:firstLine="491" w:firstLineChars="20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DEA08D7">
      <w:pPr>
        <w:pStyle w:val="116"/>
        <w:keepNext w:val="0"/>
        <w:keepLines w:val="0"/>
        <w:pageBreakBefore w:val="0"/>
        <w:kinsoku/>
        <w:wordWrap/>
        <w:overflowPunct/>
        <w:topLinePunct w:val="0"/>
        <w:bidi w:val="0"/>
        <w:spacing w:beforeAutospacing="0" w:afterAutospacing="0" w:line="400" w:lineRule="exact"/>
        <w:ind w:left="420" w:leftChars="20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4．质量保修完成后，由发包人组织验收。</w:t>
      </w:r>
    </w:p>
    <w:p w14:paraId="1104F3E3">
      <w:pPr>
        <w:pStyle w:val="116"/>
        <w:keepNext w:val="0"/>
        <w:keepLines w:val="0"/>
        <w:pageBreakBefore w:val="0"/>
        <w:kinsoku/>
        <w:wordWrap/>
        <w:overflowPunct/>
        <w:topLinePunct w:val="0"/>
        <w:bidi w:val="0"/>
        <w:spacing w:beforeAutospacing="0" w:afterAutospacing="0" w:line="4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五、保修费用</w:t>
      </w:r>
    </w:p>
    <w:p w14:paraId="618FDE13">
      <w:pPr>
        <w:pStyle w:val="116"/>
        <w:keepNext w:val="0"/>
        <w:keepLines w:val="0"/>
        <w:pageBreakBefore w:val="0"/>
        <w:kinsoku/>
        <w:wordWrap/>
        <w:overflowPunct/>
        <w:topLinePunct w:val="0"/>
        <w:bidi w:val="0"/>
        <w:spacing w:beforeAutospacing="0" w:afterAutospacing="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保修费用由造成质量缺陷的责任方承担。</w:t>
      </w:r>
    </w:p>
    <w:p w14:paraId="4D3A758A">
      <w:pPr>
        <w:pStyle w:val="116"/>
        <w:keepNext w:val="0"/>
        <w:keepLines w:val="0"/>
        <w:pageBreakBefore w:val="0"/>
        <w:kinsoku/>
        <w:wordWrap/>
        <w:overflowPunct/>
        <w:topLinePunct w:val="0"/>
        <w:bidi w:val="0"/>
        <w:spacing w:beforeAutospacing="0" w:afterAutospacing="0" w:line="400" w:lineRule="exact"/>
        <w:ind w:firstLine="472" w:firstLineChars="196"/>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六、双方约定的其他工程质量保修事项：</w:t>
      </w:r>
    </w:p>
    <w:p w14:paraId="59404F3C">
      <w:pPr>
        <w:pStyle w:val="116"/>
        <w:keepNext w:val="0"/>
        <w:keepLines w:val="0"/>
        <w:pageBreakBefore w:val="0"/>
        <w:kinsoku/>
        <w:wordWrap/>
        <w:overflowPunct/>
        <w:topLinePunct w:val="0"/>
        <w:bidi w:val="0"/>
        <w:spacing w:beforeAutospacing="0" w:afterAutospacing="0" w:line="400" w:lineRule="exact"/>
        <w:ind w:firstLine="470" w:firstLineChars="196"/>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1．承包人未按照法律法规有关规定和合同约定履行质量保修义务的，发包人有权从质量保证金中扣留用于质量保修的各项支出。</w:t>
      </w:r>
    </w:p>
    <w:p w14:paraId="5B2822ED">
      <w:pPr>
        <w:pStyle w:val="116"/>
        <w:keepNext w:val="0"/>
        <w:keepLines w:val="0"/>
        <w:pageBreakBefore w:val="0"/>
        <w:kinsoku/>
        <w:wordWrap/>
        <w:overflowPunct/>
        <w:topLinePunct w:val="0"/>
        <w:bidi w:val="0"/>
        <w:spacing w:beforeAutospacing="0" w:afterAutospacing="0" w:line="400" w:lineRule="exact"/>
        <w:ind w:firstLine="470" w:firstLineChars="196"/>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质量保证金为结算总额的3%。质量保证金分两次返还承包人：第一返还的时间及金额：发包人在工程竣工验收合格之日起满两年后14天内将保证金的90%返回给承包人。第二次返还的时间及金额：发包人在竣工验收合格之日起满五年后14天内返还剩余部分。</w:t>
      </w:r>
    </w:p>
    <w:p w14:paraId="2E02DC5A">
      <w:pPr>
        <w:pStyle w:val="116"/>
        <w:keepNext w:val="0"/>
        <w:keepLines w:val="0"/>
        <w:pageBreakBefore w:val="0"/>
        <w:kinsoku/>
        <w:wordWrap/>
        <w:overflowPunct/>
        <w:topLinePunct w:val="0"/>
        <w:bidi w:val="0"/>
        <w:spacing w:beforeAutospacing="0" w:afterAutospacing="0" w:line="400" w:lineRule="exact"/>
        <w:ind w:firstLine="470" w:firstLineChars="196"/>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3．本协议未完善事宜由双方协商确定。</w:t>
      </w:r>
    </w:p>
    <w:p w14:paraId="5D340B14">
      <w:pPr>
        <w:pStyle w:val="116"/>
        <w:keepNext w:val="0"/>
        <w:keepLines w:val="0"/>
        <w:pageBreakBefore w:val="0"/>
        <w:kinsoku/>
        <w:wordWrap/>
        <w:overflowPunct/>
        <w:topLinePunct w:val="0"/>
        <w:bidi w:val="0"/>
        <w:spacing w:beforeAutospacing="0" w:afterAutospacing="0" w:line="400" w:lineRule="exact"/>
        <w:ind w:firstLine="470" w:firstLineChars="196"/>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工程质量保修书由发包人、承包人在工程竣工验收前共同签署，作为施工合同附件，其有效期限至保修期满。</w:t>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9"/>
        <w:gridCol w:w="4930"/>
      </w:tblGrid>
      <w:tr w14:paraId="769A1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1A45F79C">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发包人(公章)</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u w:val="none"/>
                <w:lang w:val="en-US" w:eastAsia="zh-CN"/>
              </w:rPr>
              <w:t>南宁市第三幼儿园</w:t>
            </w:r>
          </w:p>
        </w:tc>
        <w:tc>
          <w:tcPr>
            <w:tcW w:w="4930" w:type="dxa"/>
            <w:tcBorders>
              <w:tl2br w:val="nil"/>
              <w:tr2bl w:val="nil"/>
            </w:tcBorders>
            <w:vAlign w:val="top"/>
          </w:tcPr>
          <w:p w14:paraId="5A503803">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承包人(公章)：</w:t>
            </w:r>
          </w:p>
        </w:tc>
      </w:tr>
      <w:tr w14:paraId="76A68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23F47025">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地  址：</w:t>
            </w:r>
          </w:p>
        </w:tc>
        <w:tc>
          <w:tcPr>
            <w:tcW w:w="4930" w:type="dxa"/>
            <w:tcBorders>
              <w:tl2br w:val="nil"/>
              <w:tr2bl w:val="nil"/>
            </w:tcBorders>
            <w:vAlign w:val="top"/>
          </w:tcPr>
          <w:p w14:paraId="44421E6A">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地  址：</w:t>
            </w:r>
          </w:p>
        </w:tc>
      </w:tr>
      <w:tr w14:paraId="7156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65168300">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法定代表人(签字)：</w:t>
            </w:r>
          </w:p>
        </w:tc>
        <w:tc>
          <w:tcPr>
            <w:tcW w:w="4930" w:type="dxa"/>
            <w:tcBorders>
              <w:tl2br w:val="nil"/>
              <w:tr2bl w:val="nil"/>
            </w:tcBorders>
            <w:vAlign w:val="top"/>
          </w:tcPr>
          <w:p w14:paraId="50199E59">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法定代表人(签字)：</w:t>
            </w:r>
          </w:p>
        </w:tc>
      </w:tr>
      <w:tr w14:paraId="7FCC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48601086">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委托代理人(签字)：</w:t>
            </w:r>
          </w:p>
        </w:tc>
        <w:tc>
          <w:tcPr>
            <w:tcW w:w="4930" w:type="dxa"/>
            <w:tcBorders>
              <w:tl2br w:val="nil"/>
              <w:tr2bl w:val="nil"/>
            </w:tcBorders>
            <w:vAlign w:val="top"/>
          </w:tcPr>
          <w:p w14:paraId="436CC94B">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委托代理人(签字)：</w:t>
            </w:r>
          </w:p>
        </w:tc>
      </w:tr>
      <w:tr w14:paraId="0B46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75ED4A57">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rPr>
              <w:t>电  话</w:t>
            </w:r>
            <w:r>
              <w:rPr>
                <w:rFonts w:hint="eastAsia" w:ascii="宋体" w:hAnsi="宋体" w:cs="宋体"/>
                <w:color w:val="auto"/>
                <w:sz w:val="24"/>
                <w:szCs w:val="24"/>
                <w:highlight w:val="none"/>
                <w:lang w:eastAsia="zh-CN"/>
              </w:rPr>
              <w:t>：</w:t>
            </w:r>
          </w:p>
        </w:tc>
        <w:tc>
          <w:tcPr>
            <w:tcW w:w="4930" w:type="dxa"/>
            <w:tcBorders>
              <w:tl2br w:val="nil"/>
              <w:tr2bl w:val="nil"/>
            </w:tcBorders>
            <w:vAlign w:val="top"/>
          </w:tcPr>
          <w:p w14:paraId="5009E46C">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b/>
                <w:bCs/>
                <w:color w:val="auto"/>
                <w:sz w:val="24"/>
                <w:szCs w:val="24"/>
                <w:highlight w:val="none"/>
                <w:vertAlign w:val="baseline"/>
              </w:rPr>
            </w:pPr>
            <w:r>
              <w:rPr>
                <w:rFonts w:hint="eastAsia" w:ascii="宋体" w:hAnsi="宋体" w:eastAsia="宋体" w:cs="宋体"/>
                <w:color w:val="auto"/>
                <w:sz w:val="24"/>
                <w:szCs w:val="24"/>
                <w:highlight w:val="none"/>
              </w:rPr>
              <w:t>电  话</w:t>
            </w:r>
            <w:r>
              <w:rPr>
                <w:rFonts w:hint="eastAsia" w:ascii="宋体" w:hAnsi="宋体" w:cs="宋体"/>
                <w:color w:val="auto"/>
                <w:sz w:val="24"/>
                <w:szCs w:val="24"/>
                <w:highlight w:val="none"/>
                <w:lang w:eastAsia="zh-CN"/>
              </w:rPr>
              <w:t>：</w:t>
            </w:r>
          </w:p>
        </w:tc>
      </w:tr>
      <w:tr w14:paraId="41C93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166C79F8">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传  真：</w:t>
            </w:r>
          </w:p>
        </w:tc>
        <w:tc>
          <w:tcPr>
            <w:tcW w:w="4930" w:type="dxa"/>
            <w:tcBorders>
              <w:tl2br w:val="nil"/>
              <w:tr2bl w:val="nil"/>
            </w:tcBorders>
            <w:vAlign w:val="top"/>
          </w:tcPr>
          <w:p w14:paraId="27424209">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传  真：</w:t>
            </w:r>
          </w:p>
        </w:tc>
      </w:tr>
      <w:tr w14:paraId="66AF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7F7CD308">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开户银行：</w:t>
            </w:r>
          </w:p>
        </w:tc>
        <w:tc>
          <w:tcPr>
            <w:tcW w:w="4930" w:type="dxa"/>
            <w:tcBorders>
              <w:tl2br w:val="nil"/>
              <w:tr2bl w:val="nil"/>
            </w:tcBorders>
            <w:vAlign w:val="top"/>
          </w:tcPr>
          <w:p w14:paraId="0C8E6E1E">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开户银行：</w:t>
            </w:r>
          </w:p>
        </w:tc>
      </w:tr>
      <w:tr w14:paraId="1C51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7C5518E1">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账  号：</w:t>
            </w:r>
          </w:p>
        </w:tc>
        <w:tc>
          <w:tcPr>
            <w:tcW w:w="4930" w:type="dxa"/>
            <w:tcBorders>
              <w:tl2br w:val="nil"/>
              <w:tr2bl w:val="nil"/>
            </w:tcBorders>
            <w:vAlign w:val="top"/>
          </w:tcPr>
          <w:p w14:paraId="003B26B6">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rPr>
              <w:t>账  号：</w:t>
            </w:r>
          </w:p>
        </w:tc>
      </w:tr>
      <w:tr w14:paraId="194E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9" w:type="dxa"/>
            <w:tcBorders>
              <w:tl2br w:val="nil"/>
              <w:tr2bl w:val="nil"/>
            </w:tcBorders>
            <w:vAlign w:val="top"/>
          </w:tcPr>
          <w:p w14:paraId="0B3AB1A0">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4930" w:type="dxa"/>
            <w:tcBorders>
              <w:tl2br w:val="nil"/>
              <w:tr2bl w:val="nil"/>
            </w:tcBorders>
            <w:vAlign w:val="top"/>
          </w:tcPr>
          <w:p w14:paraId="74A8D978">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r>
    </w:tbl>
    <w:p w14:paraId="1DE3BD44">
      <w:pPr>
        <w:pStyle w:val="116"/>
        <w:keepNext w:val="0"/>
        <w:keepLines w:val="0"/>
        <w:pageBreakBefore w:val="0"/>
        <w:kinsoku/>
        <w:wordWrap/>
        <w:overflowPunct/>
        <w:topLinePunct w:val="0"/>
        <w:bidi w:val="0"/>
        <w:spacing w:beforeAutospacing="0" w:afterAutospacing="0" w:line="400" w:lineRule="exact"/>
        <w:textAlignment w:val="auto"/>
        <w:rPr>
          <w:rFonts w:hint="eastAsia" w:ascii="宋体" w:hAnsi="宋体" w:eastAsia="宋体" w:cs="宋体"/>
          <w:color w:val="auto"/>
          <w:sz w:val="24"/>
          <w:szCs w:val="24"/>
          <w:highlight w:val="none"/>
        </w:rPr>
      </w:pPr>
    </w:p>
    <w:p w14:paraId="65E5060B">
      <w:pPr>
        <w:spacing w:line="360" w:lineRule="auto"/>
        <w:jc w:val="both"/>
        <w:rPr>
          <w:rFonts w:hint="eastAsia" w:ascii="宋体" w:hAnsi="宋体" w:eastAsia="宋体" w:cs="宋体"/>
          <w:color w:val="auto"/>
          <w:sz w:val="24"/>
          <w:szCs w:val="24"/>
          <w:highlight w:val="none"/>
        </w:rPr>
      </w:pPr>
    </w:p>
    <w:p w14:paraId="386F24C8">
      <w:pPr>
        <w:pStyle w:val="2"/>
        <w:spacing w:before="0" w:after="0" w:line="240" w:lineRule="auto"/>
        <w:jc w:val="center"/>
        <w:rPr>
          <w:rFonts w:hint="eastAsia" w:ascii="宋体" w:hAnsi="宋体" w:eastAsia="宋体" w:cs="宋体"/>
          <w:b w:val="0"/>
          <w:bCs w:val="0"/>
          <w:color w:val="auto"/>
          <w:highlight w:val="none"/>
        </w:rPr>
      </w:pPr>
      <w:r>
        <w:rPr>
          <w:rFonts w:hint="eastAsia" w:ascii="宋体" w:hAnsi="宋体" w:eastAsia="宋体" w:cs="宋体"/>
          <w:color w:val="auto"/>
          <w:szCs w:val="21"/>
          <w:highlight w:val="none"/>
        </w:rPr>
        <w:br w:type="page"/>
      </w:r>
      <w:bookmarkEnd w:id="63"/>
      <w:bookmarkEnd w:id="64"/>
      <w:bookmarkEnd w:id="65"/>
      <w:bookmarkEnd w:id="66"/>
      <w:bookmarkStart w:id="67" w:name="_Toc29015"/>
      <w:bookmarkStart w:id="68" w:name="_Toc407135283"/>
      <w:bookmarkStart w:id="69" w:name="_Toc10491"/>
      <w:r>
        <w:rPr>
          <w:rFonts w:hint="eastAsia" w:ascii="宋体" w:hAnsi="宋体" w:eastAsia="宋体" w:cs="宋体"/>
          <w:b w:val="0"/>
          <w:bCs w:val="0"/>
          <w:color w:val="auto"/>
          <w:highlight w:val="none"/>
        </w:rPr>
        <w:t>第七章 工程量清单</w:t>
      </w:r>
      <w:bookmarkEnd w:id="67"/>
      <w:bookmarkEnd w:id="68"/>
      <w:r>
        <w:rPr>
          <w:rFonts w:hint="eastAsia" w:ascii="宋体" w:hAnsi="宋体" w:eastAsia="宋体" w:cs="宋体"/>
          <w:b w:val="0"/>
          <w:bCs w:val="0"/>
          <w:color w:val="auto"/>
          <w:highlight w:val="none"/>
        </w:rPr>
        <w:t>、图纸</w:t>
      </w:r>
      <w:bookmarkEnd w:id="69"/>
    </w:p>
    <w:p w14:paraId="01CB923A">
      <w:pPr>
        <w:spacing w:before="0" w:after="0" w:line="360" w:lineRule="auto"/>
        <w:jc w:val="center"/>
        <w:outlineLvl w:val="9"/>
        <w:rPr>
          <w:rFonts w:hint="eastAsia" w:ascii="宋体" w:hAnsi="宋体" w:eastAsia="宋体" w:cs="宋体"/>
          <w:color w:val="auto"/>
          <w:highlight w:val="none"/>
        </w:rPr>
      </w:pPr>
    </w:p>
    <w:p w14:paraId="13EBB0C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获取方式：网上下载。本项目不发放</w:t>
      </w:r>
      <w:r>
        <w:rPr>
          <w:rFonts w:hint="eastAsia" w:ascii="宋体" w:hAnsi="宋体" w:eastAsia="宋体" w:cs="宋体"/>
          <w:color w:val="auto"/>
          <w:highlight w:val="none"/>
          <w:lang w:eastAsia="zh-CN"/>
        </w:rPr>
        <w:t>纸质版的</w:t>
      </w:r>
      <w:r>
        <w:rPr>
          <w:rFonts w:hint="eastAsia" w:ascii="宋体" w:hAnsi="宋体" w:eastAsia="宋体" w:cs="宋体"/>
          <w:color w:val="auto"/>
          <w:highlight w:val="none"/>
        </w:rPr>
        <w:t>工程量清单及图纸，由潜在供应商自行在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下载。</w:t>
      </w:r>
    </w:p>
    <w:p w14:paraId="0BB71BAB">
      <w:pPr>
        <w:pStyle w:val="7"/>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highlight w:val="none"/>
        </w:rPr>
      </w:pPr>
    </w:p>
    <w:p w14:paraId="733D9A04">
      <w:pPr>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宋体" w:hAnsi="宋体" w:eastAsia="宋体" w:cs="宋体"/>
          <w:b w:val="0"/>
          <w:bCs/>
          <w:color w:val="auto"/>
          <w:highlight w:val="none"/>
        </w:rPr>
      </w:pPr>
      <w:bookmarkStart w:id="70" w:name="_Toc29624"/>
      <w:bookmarkStart w:id="71" w:name="_Toc4654"/>
      <w:bookmarkStart w:id="72" w:name="_Toc178"/>
      <w:bookmarkStart w:id="73" w:name="_Toc20915"/>
      <w:bookmarkStart w:id="74" w:name="_Toc28283"/>
      <w:bookmarkStart w:id="75" w:name="_Toc8963"/>
    </w:p>
    <w:p w14:paraId="0EEEBF20">
      <w:pPr>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宋体" w:hAnsi="宋体" w:eastAsia="宋体" w:cs="宋体"/>
          <w:b w:val="0"/>
          <w:bCs/>
          <w:color w:val="auto"/>
          <w:highlight w:val="none"/>
        </w:rPr>
      </w:pPr>
      <w:r>
        <w:rPr>
          <w:rFonts w:hint="eastAsia" w:ascii="宋体" w:hAnsi="宋体" w:eastAsia="宋体" w:cs="宋体"/>
          <w:b w:val="0"/>
          <w:bCs/>
          <w:color w:val="auto"/>
          <w:highlight w:val="none"/>
        </w:rPr>
        <w:br w:type="page"/>
      </w:r>
    </w:p>
    <w:p w14:paraId="444DFDFE">
      <w:pPr>
        <w:pStyle w:val="2"/>
        <w:numPr>
          <w:ilvl w:val="0"/>
          <w:numId w:val="3"/>
        </w:numPr>
        <w:spacing w:before="0" w:after="0" w:line="240" w:lineRule="auto"/>
        <w:ind w:left="0" w:leftChars="0" w:firstLine="0" w:firstLineChars="0"/>
        <w:jc w:val="center"/>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质疑、投诉材料格式</w:t>
      </w:r>
      <w:bookmarkEnd w:id="70"/>
      <w:bookmarkEnd w:id="71"/>
      <w:bookmarkEnd w:id="72"/>
      <w:bookmarkEnd w:id="73"/>
      <w:bookmarkEnd w:id="74"/>
      <w:bookmarkEnd w:id="75"/>
    </w:p>
    <w:p w14:paraId="19C9626A">
      <w:pPr>
        <w:widowControl w:val="0"/>
        <w:numPr>
          <w:ilvl w:val="0"/>
          <w:numId w:val="0"/>
        </w:numPr>
        <w:jc w:val="both"/>
        <w:rPr>
          <w:rFonts w:hint="eastAsia"/>
        </w:rPr>
      </w:pPr>
    </w:p>
    <w:p w14:paraId="16771335">
      <w:pPr>
        <w:widowControl w:val="0"/>
        <w:numPr>
          <w:ilvl w:val="0"/>
          <w:numId w:val="0"/>
        </w:numPr>
        <w:tabs>
          <w:tab w:val="left" w:pos="5581"/>
        </w:tabs>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27B880CC">
      <w:pPr>
        <w:keepNext w:val="0"/>
        <w:keepLines w:val="0"/>
        <w:pageBreakBefore w:val="0"/>
        <w:widowControl w:val="0"/>
        <w:kinsoku/>
        <w:wordWrap/>
        <w:overflowPunct/>
        <w:topLinePunct w:val="0"/>
        <w:autoSpaceDE/>
        <w:autoSpaceDN/>
        <w:bidi w:val="0"/>
        <w:adjustRightInd/>
        <w:snapToGrid/>
        <w:spacing w:line="380" w:lineRule="exact"/>
        <w:ind w:firstLine="482" w:firstLineChars="200"/>
        <w:contextualSpacing/>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 w:val="24"/>
          <w:highlight w:val="none"/>
        </w:rPr>
        <w:t>一</w:t>
      </w:r>
      <w:r>
        <w:rPr>
          <w:rFonts w:hint="eastAsia" w:ascii="宋体" w:hAnsi="宋体" w:eastAsia="宋体" w:cs="宋体"/>
          <w:b/>
          <w:bCs/>
          <w:color w:val="auto"/>
          <w:kern w:val="0"/>
          <w:szCs w:val="21"/>
          <w:highlight w:val="none"/>
        </w:rPr>
        <w:t>、质疑供应商基本信息：</w:t>
      </w:r>
    </w:p>
    <w:p w14:paraId="6F556F57">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质疑供应商：</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01D3A027">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地址：</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邮编：</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4E1B46C6">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联系人：</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联系电话：</w:t>
      </w:r>
      <w:r>
        <w:rPr>
          <w:rFonts w:hint="eastAsia" w:ascii="宋体" w:hAnsi="宋体" w:eastAsia="宋体" w:cs="宋体"/>
          <w:bCs/>
          <w:color w:val="auto"/>
          <w:kern w:val="0"/>
          <w:szCs w:val="21"/>
          <w:highlight w:val="none"/>
          <w:u w:val="single"/>
        </w:rPr>
        <w:t xml:space="preserve">                 </w:t>
      </w:r>
    </w:p>
    <w:p w14:paraId="5965379E">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授权代表：</w:t>
      </w:r>
      <w:r>
        <w:rPr>
          <w:rFonts w:hint="eastAsia" w:ascii="宋体" w:hAnsi="宋体" w:eastAsia="宋体" w:cs="宋体"/>
          <w:bCs/>
          <w:color w:val="auto"/>
          <w:kern w:val="0"/>
          <w:szCs w:val="21"/>
          <w:highlight w:val="none"/>
          <w:u w:val="single"/>
        </w:rPr>
        <w:t xml:space="preserve">                      </w:t>
      </w:r>
    </w:p>
    <w:p w14:paraId="0967EF7E">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联系电话：</w:t>
      </w:r>
      <w:r>
        <w:rPr>
          <w:rFonts w:hint="eastAsia" w:ascii="宋体" w:hAnsi="宋体" w:eastAsia="宋体" w:cs="宋体"/>
          <w:bCs/>
          <w:color w:val="auto"/>
          <w:kern w:val="0"/>
          <w:szCs w:val="21"/>
          <w:highlight w:val="none"/>
          <w:u w:val="single"/>
        </w:rPr>
        <w:t xml:space="preserve">                      </w:t>
      </w:r>
    </w:p>
    <w:p w14:paraId="36E25000">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地址：</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邮编：</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33A9F12B">
      <w:pPr>
        <w:keepNext w:val="0"/>
        <w:keepLines w:val="0"/>
        <w:pageBreakBefore w:val="0"/>
        <w:widowControl w:val="0"/>
        <w:kinsoku/>
        <w:wordWrap/>
        <w:overflowPunct/>
        <w:topLinePunct w:val="0"/>
        <w:autoSpaceDE/>
        <w:autoSpaceDN/>
        <w:bidi w:val="0"/>
        <w:adjustRightInd/>
        <w:snapToGrid/>
        <w:spacing w:line="380" w:lineRule="exact"/>
        <w:ind w:firstLine="422" w:firstLineChars="200"/>
        <w:contextualSpacing/>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二、质疑项目基本情况：</w:t>
      </w:r>
    </w:p>
    <w:p w14:paraId="46FCDCA2">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质疑</w:t>
      </w:r>
      <w:r>
        <w:rPr>
          <w:rFonts w:hint="eastAsia" w:ascii="宋体" w:hAnsi="宋体" w:eastAsia="宋体" w:cs="宋体"/>
          <w:color w:val="auto"/>
          <w:kern w:val="0"/>
          <w:szCs w:val="21"/>
          <w:highlight w:val="none"/>
        </w:rPr>
        <w:t>项目的名称：</w:t>
      </w:r>
      <w:r>
        <w:rPr>
          <w:rFonts w:hint="eastAsia" w:ascii="宋体" w:hAnsi="宋体" w:eastAsia="宋体" w:cs="宋体"/>
          <w:bCs/>
          <w:color w:val="auto"/>
          <w:kern w:val="0"/>
          <w:szCs w:val="21"/>
          <w:highlight w:val="none"/>
          <w:u w:val="single"/>
        </w:rPr>
        <w:t xml:space="preserve">                                     </w:t>
      </w:r>
    </w:p>
    <w:p w14:paraId="69C1F544">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质疑</w:t>
      </w:r>
      <w:r>
        <w:rPr>
          <w:rFonts w:hint="eastAsia" w:ascii="宋体" w:hAnsi="宋体" w:eastAsia="宋体" w:cs="宋体"/>
          <w:color w:val="auto"/>
          <w:kern w:val="0"/>
          <w:szCs w:val="21"/>
          <w:highlight w:val="none"/>
        </w:rPr>
        <w:t>项目的编号：</w:t>
      </w:r>
      <w:r>
        <w:rPr>
          <w:rFonts w:hint="eastAsia" w:ascii="宋体" w:hAnsi="宋体" w:eastAsia="宋体" w:cs="宋体"/>
          <w:bCs/>
          <w:color w:val="auto"/>
          <w:kern w:val="0"/>
          <w:szCs w:val="21"/>
          <w:highlight w:val="none"/>
          <w:u w:val="single"/>
        </w:rPr>
        <w:t xml:space="preserve">                                     </w:t>
      </w:r>
    </w:p>
    <w:p w14:paraId="143EF2AC">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采购人名称：</w:t>
      </w:r>
      <w:r>
        <w:rPr>
          <w:rFonts w:hint="eastAsia" w:ascii="宋体" w:hAnsi="宋体" w:eastAsia="宋体" w:cs="宋体"/>
          <w:bCs/>
          <w:color w:val="auto"/>
          <w:kern w:val="0"/>
          <w:szCs w:val="21"/>
          <w:highlight w:val="none"/>
          <w:u w:val="single"/>
        </w:rPr>
        <w:t xml:space="preserve">                                         </w:t>
      </w:r>
    </w:p>
    <w:p w14:paraId="52D23F58">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w:t>
      </w:r>
    </w:p>
    <w:p w14:paraId="07896BE4">
      <w:pPr>
        <w:keepNext w:val="0"/>
        <w:keepLines w:val="0"/>
        <w:pageBreakBefore w:val="0"/>
        <w:widowControl w:val="0"/>
        <w:kinsoku/>
        <w:wordWrap/>
        <w:overflowPunct/>
        <w:topLinePunct w:val="0"/>
        <w:autoSpaceDE/>
        <w:autoSpaceDN/>
        <w:bidi w:val="0"/>
        <w:adjustRightInd/>
        <w:snapToGrid/>
        <w:spacing w:line="380" w:lineRule="exact"/>
        <w:ind w:left="25" w:leftChars="12" w:firstLine="308" w:firstLineChars="14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□采购文件   采购文件获取日期：</w:t>
      </w:r>
      <w:r>
        <w:rPr>
          <w:rFonts w:hint="eastAsia" w:ascii="宋体" w:hAnsi="宋体" w:eastAsia="宋体" w:cs="宋体"/>
          <w:bCs/>
          <w:color w:val="auto"/>
          <w:kern w:val="0"/>
          <w:szCs w:val="21"/>
          <w:highlight w:val="none"/>
          <w:u w:val="single"/>
        </w:rPr>
        <w:t xml:space="preserve">                                   </w:t>
      </w:r>
    </w:p>
    <w:p w14:paraId="50902F4D">
      <w:pPr>
        <w:keepNext w:val="0"/>
        <w:keepLines w:val="0"/>
        <w:pageBreakBefore w:val="0"/>
        <w:widowControl w:val="0"/>
        <w:kinsoku/>
        <w:wordWrap/>
        <w:overflowPunct/>
        <w:topLinePunct w:val="0"/>
        <w:autoSpaceDE/>
        <w:autoSpaceDN/>
        <w:bidi w:val="0"/>
        <w:adjustRightInd/>
        <w:snapToGrid/>
        <w:spacing w:line="380" w:lineRule="exact"/>
        <w:ind w:left="25" w:leftChars="12" w:firstLine="308" w:firstLineChars="14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□采购过程   </w:t>
      </w:r>
    </w:p>
    <w:p w14:paraId="7FEA537E">
      <w:pPr>
        <w:keepNext w:val="0"/>
        <w:keepLines w:val="0"/>
        <w:pageBreakBefore w:val="0"/>
        <w:widowControl w:val="0"/>
        <w:kinsoku/>
        <w:wordWrap/>
        <w:overflowPunct/>
        <w:topLinePunct w:val="0"/>
        <w:autoSpaceDE/>
        <w:autoSpaceDN/>
        <w:bidi w:val="0"/>
        <w:adjustRightInd/>
        <w:snapToGrid/>
        <w:spacing w:line="380" w:lineRule="exact"/>
        <w:ind w:left="25" w:leftChars="12" w:firstLine="308" w:firstLineChars="147"/>
        <w:contextualSpacing/>
        <w:textAlignment w:val="auto"/>
        <w:rPr>
          <w:rFonts w:hint="eastAsia" w:ascii="宋体" w:hAnsi="宋体" w:eastAsia="宋体" w:cs="宋体"/>
          <w:bCs/>
          <w:color w:val="auto"/>
          <w:kern w:val="0"/>
          <w:szCs w:val="21"/>
          <w:highlight w:val="none"/>
          <w:u w:val="single"/>
        </w:rPr>
      </w:pPr>
      <w:r>
        <w:rPr>
          <w:rFonts w:hint="eastAsia" w:ascii="宋体" w:hAnsi="宋体" w:eastAsia="宋体" w:cs="宋体"/>
          <w:color w:val="auto"/>
          <w:kern w:val="0"/>
          <w:szCs w:val="21"/>
          <w:highlight w:val="none"/>
        </w:rPr>
        <w:t xml:space="preserve">□成交结果   </w:t>
      </w:r>
    </w:p>
    <w:p w14:paraId="640EAB62">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6"/>
        <w:contextualSpacing/>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三、质疑事项具体内容</w:t>
      </w:r>
    </w:p>
    <w:p w14:paraId="606F66FF">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质疑事项1：</w:t>
      </w:r>
      <w:r>
        <w:rPr>
          <w:rFonts w:hint="eastAsia" w:ascii="宋体" w:hAnsi="宋体" w:eastAsia="宋体" w:cs="宋体"/>
          <w:bCs/>
          <w:color w:val="auto"/>
          <w:kern w:val="0"/>
          <w:szCs w:val="21"/>
          <w:highlight w:val="none"/>
          <w:u w:val="single"/>
        </w:rPr>
        <w:t xml:space="preserve">                                                                    </w:t>
      </w:r>
    </w:p>
    <w:p w14:paraId="396CA77C">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事实依据：</w:t>
      </w:r>
      <w:r>
        <w:rPr>
          <w:rFonts w:hint="eastAsia" w:ascii="宋体" w:hAnsi="宋体" w:eastAsia="宋体" w:cs="宋体"/>
          <w:bCs/>
          <w:color w:val="auto"/>
          <w:kern w:val="0"/>
          <w:szCs w:val="21"/>
          <w:highlight w:val="none"/>
          <w:u w:val="single"/>
        </w:rPr>
        <w:t xml:space="preserve">                                                                      </w:t>
      </w:r>
    </w:p>
    <w:p w14:paraId="6FFAD3E5">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法律依据：</w:t>
      </w:r>
      <w:r>
        <w:rPr>
          <w:rFonts w:hint="eastAsia" w:ascii="宋体" w:hAnsi="宋体" w:eastAsia="宋体" w:cs="宋体"/>
          <w:color w:val="auto"/>
          <w:kern w:val="0"/>
          <w:szCs w:val="21"/>
          <w:highlight w:val="none"/>
          <w:u w:val="single"/>
        </w:rPr>
        <w:t xml:space="preserve">                                                        </w:t>
      </w:r>
      <w:r>
        <w:rPr>
          <w:rFonts w:hint="eastAsia" w:ascii="宋体" w:hAnsi="宋体" w:eastAsia="宋体" w:cs="宋体"/>
          <w:bCs/>
          <w:color w:val="auto"/>
          <w:kern w:val="0"/>
          <w:szCs w:val="21"/>
          <w:highlight w:val="none"/>
          <w:u w:val="single"/>
        </w:rPr>
        <w:t xml:space="preserve">               </w:t>
      </w:r>
    </w:p>
    <w:p w14:paraId="728B41D8">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质疑事项2</w:t>
      </w:r>
    </w:p>
    <w:p w14:paraId="2DA86291">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p w14:paraId="5DE81946">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四、与质疑事项相关的质疑请求：</w:t>
      </w:r>
    </w:p>
    <w:p w14:paraId="45D0CB98">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请求：</w:t>
      </w:r>
      <w:r>
        <w:rPr>
          <w:rFonts w:hint="eastAsia" w:ascii="宋体" w:hAnsi="宋体" w:eastAsia="宋体" w:cs="宋体"/>
          <w:bCs/>
          <w:color w:val="auto"/>
          <w:kern w:val="0"/>
          <w:szCs w:val="21"/>
          <w:highlight w:val="none"/>
          <w:u w:val="single"/>
        </w:rPr>
        <w:t xml:space="preserve">                                                                </w:t>
      </w:r>
    </w:p>
    <w:p w14:paraId="0F11589B">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签字（签章）：                                       公章：</w:t>
      </w:r>
    </w:p>
    <w:p w14:paraId="28BCEA06">
      <w:pPr>
        <w:keepNext w:val="0"/>
        <w:keepLines w:val="0"/>
        <w:pageBreakBefore w:val="0"/>
        <w:widowControl w:val="0"/>
        <w:kinsoku/>
        <w:wordWrap/>
        <w:overflowPunct/>
        <w:topLinePunct w:val="0"/>
        <w:autoSpaceDE/>
        <w:autoSpaceDN/>
        <w:bidi w:val="0"/>
        <w:adjustRightInd/>
        <w:snapToGrid/>
        <w:spacing w:line="380" w:lineRule="exact"/>
        <w:ind w:left="25" w:leftChars="12" w:firstLine="413" w:firstLineChars="197"/>
        <w:contextualSpacing/>
        <w:textAlignment w:val="auto"/>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日期：</w:t>
      </w:r>
    </w:p>
    <w:p w14:paraId="3D5AD9BD">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说明：</w:t>
      </w:r>
    </w:p>
    <w:p w14:paraId="0F4CDCC5">
      <w:pPr>
        <w:keepNext w:val="0"/>
        <w:keepLines w:val="0"/>
        <w:pageBreakBefore w:val="0"/>
        <w:widowControl w:val="0"/>
        <w:kinsoku/>
        <w:wordWrap/>
        <w:overflowPunct/>
        <w:topLinePunct w:val="0"/>
        <w:autoSpaceDE/>
        <w:autoSpaceDN/>
        <w:bidi w:val="0"/>
        <w:adjustRightInd/>
        <w:snapToGrid/>
        <w:spacing w:line="380" w:lineRule="exact"/>
        <w:ind w:left="25" w:leftChars="12" w:firstLine="310" w:firstLineChars="147"/>
        <w:contextualSpacing/>
        <w:textAlignment w:val="auto"/>
        <w:rPr>
          <w:rFonts w:hint="eastAsia" w:ascii="宋体" w:hAnsi="宋体" w:eastAsia="宋体" w:cs="宋体"/>
          <w:b/>
          <w:bCs/>
          <w:color w:val="auto"/>
          <w:kern w:val="0"/>
          <w:szCs w:val="21"/>
          <w:highlight w:val="none"/>
        </w:rPr>
      </w:pPr>
      <w:r>
        <w:rPr>
          <w:rFonts w:hint="eastAsia" w:ascii="宋体" w:hAnsi="宋体" w:eastAsia="宋体" w:cs="宋体"/>
          <w:b/>
          <w:color w:val="auto"/>
          <w:kern w:val="0"/>
          <w:szCs w:val="21"/>
          <w:highlight w:val="none"/>
        </w:rPr>
        <w:t>1.供应商提出质疑时，应提交质疑函和必要的证明材料</w:t>
      </w:r>
      <w:r>
        <w:rPr>
          <w:rFonts w:hint="eastAsia" w:ascii="宋体" w:hAnsi="宋体" w:eastAsia="宋体" w:cs="宋体"/>
          <w:b/>
          <w:bCs/>
          <w:color w:val="auto"/>
          <w:kern w:val="0"/>
          <w:szCs w:val="21"/>
          <w:highlight w:val="none"/>
        </w:rPr>
        <w:t>。</w:t>
      </w:r>
    </w:p>
    <w:p w14:paraId="2734EFE9">
      <w:pPr>
        <w:keepNext w:val="0"/>
        <w:keepLines w:val="0"/>
        <w:pageBreakBefore w:val="0"/>
        <w:widowControl w:val="0"/>
        <w:kinsoku/>
        <w:wordWrap/>
        <w:overflowPunct/>
        <w:topLinePunct w:val="0"/>
        <w:autoSpaceDE/>
        <w:autoSpaceDN/>
        <w:bidi w:val="0"/>
        <w:adjustRightInd/>
        <w:snapToGrid/>
        <w:spacing w:line="380" w:lineRule="exact"/>
        <w:ind w:left="25" w:leftChars="12" w:firstLine="310" w:firstLineChars="147"/>
        <w:contextualSpacing/>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E45A103">
      <w:pPr>
        <w:keepNext w:val="0"/>
        <w:keepLines w:val="0"/>
        <w:pageBreakBefore w:val="0"/>
        <w:widowControl w:val="0"/>
        <w:kinsoku/>
        <w:wordWrap/>
        <w:overflowPunct/>
        <w:topLinePunct w:val="0"/>
        <w:autoSpaceDE/>
        <w:autoSpaceDN/>
        <w:bidi w:val="0"/>
        <w:adjustRightInd/>
        <w:snapToGrid/>
        <w:spacing w:line="380" w:lineRule="exact"/>
        <w:ind w:left="25" w:leftChars="12" w:firstLine="310" w:firstLineChars="147"/>
        <w:contextualSpacing/>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3.质疑函的质疑事项应具体、明确，并有必要的事实依据和法律依据。</w:t>
      </w:r>
    </w:p>
    <w:p w14:paraId="00AB9C0B">
      <w:pPr>
        <w:keepNext w:val="0"/>
        <w:keepLines w:val="0"/>
        <w:pageBreakBefore w:val="0"/>
        <w:widowControl w:val="0"/>
        <w:kinsoku/>
        <w:wordWrap/>
        <w:overflowPunct/>
        <w:topLinePunct w:val="0"/>
        <w:autoSpaceDE/>
        <w:autoSpaceDN/>
        <w:bidi w:val="0"/>
        <w:adjustRightInd/>
        <w:snapToGrid/>
        <w:spacing w:line="380" w:lineRule="exact"/>
        <w:ind w:left="25" w:leftChars="12" w:firstLine="310" w:firstLineChars="147"/>
        <w:contextualSpacing/>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4.质疑函的质疑请求应与质疑事项相关。</w:t>
      </w:r>
    </w:p>
    <w:p w14:paraId="64E03B4C">
      <w:pPr>
        <w:keepNext w:val="0"/>
        <w:keepLines w:val="0"/>
        <w:pageBreakBefore w:val="0"/>
        <w:widowControl w:val="0"/>
        <w:kinsoku/>
        <w:wordWrap/>
        <w:overflowPunct/>
        <w:topLinePunct w:val="0"/>
        <w:autoSpaceDE/>
        <w:autoSpaceDN/>
        <w:bidi w:val="0"/>
        <w:adjustRightInd/>
        <w:snapToGrid/>
        <w:spacing w:line="380" w:lineRule="exact"/>
        <w:ind w:left="25" w:leftChars="12" w:firstLine="310" w:firstLineChars="147"/>
        <w:contextualSpacing/>
        <w:textAlignment w:val="auto"/>
        <w:rPr>
          <w:rFonts w:hint="eastAsia" w:ascii="宋体" w:hAnsi="宋体" w:eastAsia="宋体" w:cs="宋体"/>
          <w:color w:val="auto"/>
          <w:sz w:val="44"/>
          <w:highlight w:val="none"/>
        </w:rPr>
      </w:pPr>
      <w:r>
        <w:rPr>
          <w:rFonts w:hint="eastAsia" w:ascii="宋体" w:hAnsi="宋体" w:eastAsia="宋体" w:cs="宋体"/>
          <w:b/>
          <w:color w:val="auto"/>
          <w:kern w:val="0"/>
          <w:szCs w:val="21"/>
          <w:highlight w:val="none"/>
        </w:rPr>
        <w:t>5.质疑供应商为法人或者其他组织的，质疑函应由法定代表人、主要负责人，或者其授权代表签字或者盖章，并加盖公章。</w:t>
      </w:r>
      <w:r>
        <w:rPr>
          <w:rFonts w:hint="eastAsia" w:ascii="宋体" w:hAnsi="宋体" w:eastAsia="宋体" w:cs="宋体"/>
          <w:color w:val="auto"/>
          <w:sz w:val="44"/>
          <w:highlight w:val="none"/>
        </w:rPr>
        <w:br w:type="page"/>
      </w:r>
    </w:p>
    <w:p w14:paraId="4FD337AB">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4BD0683A">
      <w:pPr>
        <w:snapToGrid w:val="0"/>
        <w:spacing w:line="360" w:lineRule="auto"/>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一、投诉相关主体基本情况：</w:t>
      </w:r>
    </w:p>
    <w:p w14:paraId="67090462">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供应商：</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6717C3B6">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地址：</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邮编：</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4F4A3001">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法定代表人/主要负责人：</w:t>
      </w:r>
      <w:r>
        <w:rPr>
          <w:rFonts w:hint="eastAsia" w:ascii="宋体" w:hAnsi="宋体" w:eastAsia="宋体" w:cs="宋体"/>
          <w:bCs/>
          <w:color w:val="auto"/>
          <w:kern w:val="0"/>
          <w:szCs w:val="21"/>
          <w:highlight w:val="none"/>
          <w:u w:val="single"/>
        </w:rPr>
        <w:t xml:space="preserve">                                                         </w:t>
      </w:r>
    </w:p>
    <w:p w14:paraId="13E09124">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联系电话：</w:t>
      </w:r>
      <w:r>
        <w:rPr>
          <w:rFonts w:hint="eastAsia" w:ascii="宋体" w:hAnsi="宋体" w:eastAsia="宋体" w:cs="宋体"/>
          <w:bCs/>
          <w:color w:val="auto"/>
          <w:kern w:val="0"/>
          <w:szCs w:val="21"/>
          <w:highlight w:val="none"/>
          <w:u w:val="single"/>
        </w:rPr>
        <w:t xml:space="preserve">                                         </w:t>
      </w:r>
    </w:p>
    <w:p w14:paraId="69E13BB2">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授权代表：</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联系电话：</w:t>
      </w:r>
      <w:r>
        <w:rPr>
          <w:rFonts w:hint="eastAsia" w:ascii="宋体" w:hAnsi="宋体" w:eastAsia="宋体" w:cs="宋体"/>
          <w:bCs/>
          <w:color w:val="auto"/>
          <w:kern w:val="0"/>
          <w:szCs w:val="21"/>
          <w:highlight w:val="none"/>
          <w:u w:val="single"/>
        </w:rPr>
        <w:t xml:space="preserve">                   </w:t>
      </w:r>
    </w:p>
    <w:p w14:paraId="35D44F84">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地址：</w:t>
      </w:r>
      <w:r>
        <w:rPr>
          <w:rFonts w:hint="eastAsia" w:ascii="宋体" w:hAnsi="宋体" w:eastAsia="宋体" w:cs="宋体"/>
          <w:bCs/>
          <w:color w:val="auto"/>
          <w:kern w:val="0"/>
          <w:szCs w:val="21"/>
          <w:highlight w:val="none"/>
          <w:u w:val="single"/>
        </w:rPr>
        <w:t xml:space="preserve">                                                            </w:t>
      </w:r>
    </w:p>
    <w:p w14:paraId="585397A2">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邮编：</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03026B85">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被投诉人1：</w:t>
      </w:r>
    </w:p>
    <w:p w14:paraId="4C20CF9A">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地址：</w:t>
      </w:r>
      <w:r>
        <w:rPr>
          <w:rFonts w:hint="eastAsia" w:ascii="宋体" w:hAnsi="宋体" w:eastAsia="宋体" w:cs="宋体"/>
          <w:bCs/>
          <w:color w:val="auto"/>
          <w:kern w:val="0"/>
          <w:szCs w:val="21"/>
          <w:highlight w:val="none"/>
          <w:u w:val="single"/>
        </w:rPr>
        <w:t xml:space="preserve">                                                            </w:t>
      </w:r>
    </w:p>
    <w:p w14:paraId="452C772D">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邮编：</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4CA85687">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联系人：</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联系电话：</w:t>
      </w:r>
      <w:r>
        <w:rPr>
          <w:rFonts w:hint="eastAsia" w:ascii="宋体" w:hAnsi="宋体" w:eastAsia="宋体" w:cs="宋体"/>
          <w:bCs/>
          <w:color w:val="auto"/>
          <w:kern w:val="0"/>
          <w:szCs w:val="21"/>
          <w:highlight w:val="none"/>
          <w:u w:val="single"/>
        </w:rPr>
        <w:t xml:space="preserve">                </w:t>
      </w:r>
    </w:p>
    <w:p w14:paraId="56DB3FB6">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被投诉人2：</w:t>
      </w:r>
    </w:p>
    <w:p w14:paraId="128A16CC">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w:t>
      </w:r>
    </w:p>
    <w:p w14:paraId="1C5AD33C">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相关供应商：</w:t>
      </w:r>
      <w:r>
        <w:rPr>
          <w:rFonts w:hint="eastAsia" w:ascii="宋体" w:hAnsi="宋体" w:eastAsia="宋体" w:cs="宋体"/>
          <w:bCs/>
          <w:color w:val="auto"/>
          <w:kern w:val="0"/>
          <w:szCs w:val="21"/>
          <w:highlight w:val="none"/>
          <w:u w:val="single"/>
        </w:rPr>
        <w:t xml:space="preserve">                                                                       </w:t>
      </w:r>
    </w:p>
    <w:p w14:paraId="5241341C">
      <w:pPr>
        <w:snapToGrid w:val="0"/>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地址：</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邮编：</w:t>
      </w:r>
      <w:r>
        <w:rPr>
          <w:rFonts w:hint="eastAsia" w:ascii="宋体" w:hAnsi="宋体" w:eastAsia="宋体" w:cs="宋体"/>
          <w:bCs/>
          <w:color w:val="auto"/>
          <w:kern w:val="0"/>
          <w:szCs w:val="21"/>
          <w:highlight w:val="none"/>
          <w:u w:val="single"/>
        </w:rPr>
        <w:t xml:space="preserve">                         </w:t>
      </w:r>
    </w:p>
    <w:p w14:paraId="00AEA9A6">
      <w:pPr>
        <w:snapToGrid w:val="0"/>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联系人：</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联系电话：</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w:t>
      </w:r>
    </w:p>
    <w:p w14:paraId="14F4AC2E">
      <w:pPr>
        <w:snapToGrid w:val="0"/>
        <w:spacing w:line="360" w:lineRule="auto"/>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二、投诉项目基本情况：</w:t>
      </w:r>
    </w:p>
    <w:p w14:paraId="6A185616">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采购</w:t>
      </w:r>
      <w:r>
        <w:rPr>
          <w:rFonts w:hint="eastAsia" w:ascii="宋体" w:hAnsi="宋体" w:eastAsia="宋体" w:cs="宋体"/>
          <w:color w:val="auto"/>
          <w:kern w:val="0"/>
          <w:szCs w:val="21"/>
          <w:highlight w:val="none"/>
        </w:rPr>
        <w:t>项目的名称：</w:t>
      </w:r>
      <w:r>
        <w:rPr>
          <w:rFonts w:hint="eastAsia" w:ascii="宋体" w:hAnsi="宋体" w:eastAsia="宋体" w:cs="宋体"/>
          <w:bCs/>
          <w:color w:val="auto"/>
          <w:kern w:val="0"/>
          <w:szCs w:val="21"/>
          <w:highlight w:val="none"/>
          <w:u w:val="single"/>
        </w:rPr>
        <w:t xml:space="preserve">                                                                   </w:t>
      </w:r>
    </w:p>
    <w:p w14:paraId="27AFAFCB">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采购</w:t>
      </w:r>
      <w:r>
        <w:rPr>
          <w:rFonts w:hint="eastAsia" w:ascii="宋体" w:hAnsi="宋体" w:eastAsia="宋体" w:cs="宋体"/>
          <w:color w:val="auto"/>
          <w:kern w:val="0"/>
          <w:szCs w:val="21"/>
          <w:highlight w:val="none"/>
        </w:rPr>
        <w:t>项目的编号：</w:t>
      </w:r>
      <w:r>
        <w:rPr>
          <w:rFonts w:hint="eastAsia" w:ascii="宋体" w:hAnsi="宋体" w:eastAsia="宋体" w:cs="宋体"/>
          <w:bCs/>
          <w:color w:val="auto"/>
          <w:kern w:val="0"/>
          <w:szCs w:val="21"/>
          <w:highlight w:val="none"/>
          <w:u w:val="single"/>
        </w:rPr>
        <w:t xml:space="preserve">                                          </w:t>
      </w:r>
    </w:p>
    <w:p w14:paraId="42CC4D96">
      <w:pPr>
        <w:spacing w:line="360" w:lineRule="auto"/>
        <w:ind w:left="25" w:leftChars="12" w:firstLine="413" w:firstLineChars="197"/>
        <w:rPr>
          <w:rFonts w:hint="eastAsia" w:ascii="宋体" w:hAnsi="宋体" w:eastAsia="宋体" w:cs="宋体"/>
          <w:bCs/>
          <w:color w:val="auto"/>
          <w:kern w:val="0"/>
          <w:szCs w:val="21"/>
          <w:highlight w:val="none"/>
          <w:u w:val="single"/>
        </w:rPr>
      </w:pPr>
      <w:r>
        <w:rPr>
          <w:rFonts w:hint="eastAsia" w:ascii="宋体" w:hAnsi="宋体" w:eastAsia="宋体" w:cs="宋体"/>
          <w:color w:val="auto"/>
          <w:kern w:val="0"/>
          <w:szCs w:val="21"/>
          <w:highlight w:val="none"/>
        </w:rPr>
        <w:t>采购人名称：</w:t>
      </w:r>
      <w:r>
        <w:rPr>
          <w:rFonts w:hint="eastAsia" w:ascii="宋体" w:hAnsi="宋体" w:eastAsia="宋体" w:cs="宋体"/>
          <w:bCs/>
          <w:color w:val="auto"/>
          <w:kern w:val="0"/>
          <w:szCs w:val="21"/>
          <w:highlight w:val="none"/>
          <w:u w:val="single"/>
        </w:rPr>
        <w:t xml:space="preserve">                                                                        </w:t>
      </w:r>
    </w:p>
    <w:p w14:paraId="0961B3B9">
      <w:pPr>
        <w:spacing w:line="360" w:lineRule="auto"/>
        <w:ind w:left="25" w:leftChars="12" w:firstLine="413" w:firstLineChars="197"/>
        <w:rPr>
          <w:rFonts w:hint="eastAsia" w:ascii="宋体" w:hAnsi="宋体" w:eastAsia="宋体" w:cs="宋体"/>
          <w:bCs/>
          <w:color w:val="auto"/>
          <w:kern w:val="0"/>
          <w:szCs w:val="21"/>
          <w:highlight w:val="none"/>
          <w:u w:val="single"/>
        </w:rPr>
      </w:pPr>
      <w:r>
        <w:rPr>
          <w:rFonts w:hint="eastAsia" w:ascii="宋体" w:hAnsi="宋体" w:eastAsia="宋体" w:cs="宋体"/>
          <w:color w:val="auto"/>
          <w:kern w:val="0"/>
          <w:szCs w:val="21"/>
          <w:highlight w:val="none"/>
        </w:rPr>
        <w:t>代理机构名称：</w:t>
      </w:r>
      <w:r>
        <w:rPr>
          <w:rFonts w:hint="eastAsia" w:ascii="宋体" w:hAnsi="宋体" w:eastAsia="宋体" w:cs="宋体"/>
          <w:bCs/>
          <w:color w:val="auto"/>
          <w:kern w:val="0"/>
          <w:szCs w:val="21"/>
          <w:highlight w:val="none"/>
          <w:u w:val="single"/>
        </w:rPr>
        <w:t xml:space="preserve">                                                                      </w:t>
      </w:r>
    </w:p>
    <w:p w14:paraId="1703BCFA">
      <w:pPr>
        <w:spacing w:line="360" w:lineRule="auto"/>
        <w:ind w:left="25" w:leftChars="12" w:firstLine="413" w:firstLineChars="197"/>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采购文件公告：</w:t>
      </w:r>
      <w:r>
        <w:rPr>
          <w:rFonts w:hint="eastAsia" w:ascii="宋体" w:hAnsi="宋体" w:eastAsia="宋体" w:cs="宋体"/>
          <w:bCs/>
          <w:color w:val="auto"/>
          <w:kern w:val="0"/>
          <w:szCs w:val="21"/>
          <w:highlight w:val="none"/>
          <w:u w:val="single"/>
        </w:rPr>
        <w:t>是/否</w:t>
      </w:r>
      <w:r>
        <w:rPr>
          <w:rFonts w:hint="eastAsia" w:ascii="宋体" w:hAnsi="宋体" w:eastAsia="宋体" w:cs="宋体"/>
          <w:bCs/>
          <w:color w:val="auto"/>
          <w:kern w:val="0"/>
          <w:szCs w:val="21"/>
          <w:highlight w:val="none"/>
        </w:rPr>
        <w:t>公告期限：</w:t>
      </w:r>
      <w:r>
        <w:rPr>
          <w:rFonts w:hint="eastAsia" w:ascii="宋体" w:hAnsi="宋体" w:eastAsia="宋体" w:cs="宋体"/>
          <w:bCs/>
          <w:color w:val="auto"/>
          <w:kern w:val="0"/>
          <w:szCs w:val="21"/>
          <w:highlight w:val="none"/>
          <w:u w:val="single"/>
        </w:rPr>
        <w:t xml:space="preserve">                                                       </w:t>
      </w:r>
    </w:p>
    <w:p w14:paraId="0143327A">
      <w:pPr>
        <w:spacing w:line="360" w:lineRule="auto"/>
        <w:ind w:left="25" w:leftChars="12" w:firstLine="413" w:firstLineChars="197"/>
        <w:rPr>
          <w:rFonts w:hint="eastAsia" w:ascii="宋体" w:hAnsi="宋体" w:eastAsia="宋体" w:cs="宋体"/>
          <w:b/>
          <w:color w:val="auto"/>
          <w:kern w:val="0"/>
          <w:szCs w:val="21"/>
          <w:highlight w:val="none"/>
        </w:rPr>
      </w:pPr>
      <w:r>
        <w:rPr>
          <w:rFonts w:hint="eastAsia" w:ascii="宋体" w:hAnsi="宋体" w:eastAsia="宋体" w:cs="宋体"/>
          <w:bCs/>
          <w:color w:val="auto"/>
          <w:kern w:val="0"/>
          <w:szCs w:val="21"/>
          <w:highlight w:val="none"/>
        </w:rPr>
        <w:t>采购结果公告：</w:t>
      </w:r>
      <w:r>
        <w:rPr>
          <w:rFonts w:hint="eastAsia" w:ascii="宋体" w:hAnsi="宋体" w:eastAsia="宋体" w:cs="宋体"/>
          <w:bCs/>
          <w:color w:val="auto"/>
          <w:kern w:val="0"/>
          <w:szCs w:val="21"/>
          <w:highlight w:val="none"/>
          <w:u w:val="single"/>
        </w:rPr>
        <w:t>是/否</w:t>
      </w:r>
      <w:r>
        <w:rPr>
          <w:rFonts w:hint="eastAsia" w:ascii="宋体" w:hAnsi="宋体" w:eastAsia="宋体" w:cs="宋体"/>
          <w:bCs/>
          <w:color w:val="auto"/>
          <w:kern w:val="0"/>
          <w:szCs w:val="21"/>
          <w:highlight w:val="none"/>
        </w:rPr>
        <w:t>公告期限：</w:t>
      </w:r>
      <w:r>
        <w:rPr>
          <w:rFonts w:hint="eastAsia" w:ascii="宋体" w:hAnsi="宋体" w:eastAsia="宋体" w:cs="宋体"/>
          <w:bCs/>
          <w:color w:val="auto"/>
          <w:kern w:val="0"/>
          <w:szCs w:val="21"/>
          <w:highlight w:val="none"/>
          <w:u w:val="single"/>
        </w:rPr>
        <w:t xml:space="preserve">                                                       </w:t>
      </w:r>
    </w:p>
    <w:p w14:paraId="139D9317">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三、质疑基本情况</w:t>
      </w:r>
    </w:p>
    <w:p w14:paraId="6FB812A0">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投诉人于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日，向</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提出质疑，质疑事项为：</w:t>
      </w:r>
    </w:p>
    <w:p w14:paraId="16F6356A">
      <w:pPr>
        <w:spacing w:line="360" w:lineRule="auto"/>
        <w:ind w:firstLine="241"/>
        <w:rPr>
          <w:rFonts w:hint="eastAsia" w:ascii="宋体" w:hAnsi="宋体" w:eastAsia="宋体" w:cs="宋体"/>
          <w:bCs/>
          <w:color w:val="auto"/>
          <w:kern w:val="0"/>
          <w:szCs w:val="21"/>
          <w:highlight w:val="none"/>
          <w:u w:val="single"/>
        </w:rPr>
      </w:pPr>
      <w:r>
        <w:rPr>
          <w:rFonts w:hint="eastAsia" w:ascii="宋体" w:hAnsi="宋体" w:eastAsia="宋体" w:cs="宋体"/>
          <w:color w:val="auto"/>
          <w:kern w:val="0"/>
          <w:szCs w:val="21"/>
          <w:highlight w:val="none"/>
        </w:rPr>
        <w:t xml:space="preserve">    </w:t>
      </w:r>
      <w:r>
        <w:rPr>
          <w:rFonts w:hint="eastAsia" w:ascii="宋体" w:hAnsi="宋体" w:eastAsia="宋体" w:cs="宋体"/>
          <w:bCs/>
          <w:color w:val="auto"/>
          <w:kern w:val="0"/>
          <w:szCs w:val="21"/>
          <w:highlight w:val="none"/>
          <w:u w:val="single"/>
        </w:rPr>
        <w:t xml:space="preserve">                                                                                      </w:t>
      </w:r>
    </w:p>
    <w:p w14:paraId="12D7B281">
      <w:pPr>
        <w:spacing w:line="360" w:lineRule="auto"/>
        <w:ind w:firstLine="241"/>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 xml:space="preserve">    </w:t>
      </w:r>
      <w:r>
        <w:rPr>
          <w:rFonts w:hint="eastAsia" w:ascii="宋体" w:hAnsi="宋体" w:eastAsia="宋体" w:cs="宋体"/>
          <w:bCs/>
          <w:color w:val="auto"/>
          <w:kern w:val="0"/>
          <w:szCs w:val="21"/>
          <w:highlight w:val="none"/>
          <w:u w:val="single"/>
        </w:rPr>
        <w:t xml:space="preserve">                                                                                      </w:t>
      </w:r>
    </w:p>
    <w:p w14:paraId="726D081F">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u w:val="single"/>
        </w:rPr>
        <w:t>采购人/采购代理机构</w:t>
      </w:r>
      <w:r>
        <w:rPr>
          <w:rFonts w:hint="eastAsia" w:ascii="宋体" w:hAnsi="宋体" w:eastAsia="宋体" w:cs="宋体"/>
          <w:bCs/>
          <w:color w:val="auto"/>
          <w:kern w:val="0"/>
          <w:szCs w:val="21"/>
          <w:highlight w:val="none"/>
        </w:rPr>
        <w:t>于</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r>
        <w:rPr>
          <w:rFonts w:hint="eastAsia" w:ascii="宋体" w:hAnsi="宋体" w:eastAsia="宋体" w:cs="宋体"/>
          <w:bCs/>
          <w:color w:val="auto"/>
          <w:kern w:val="0"/>
          <w:szCs w:val="21"/>
          <w:highlight w:val="none"/>
        </w:rPr>
        <w:t xml:space="preserve">就质疑事项作出了答复/没有在法定期限内作出答复。                                                                                             </w:t>
      </w:r>
    </w:p>
    <w:p w14:paraId="7CB11BB4">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四、投诉事项具体内容</w:t>
      </w:r>
    </w:p>
    <w:p w14:paraId="7285E45A">
      <w:pPr>
        <w:spacing w:line="360" w:lineRule="auto"/>
        <w:ind w:left="25" w:leftChars="12" w:firstLine="413" w:firstLineChars="197"/>
        <w:rPr>
          <w:rFonts w:hint="eastAsia" w:ascii="宋体" w:hAnsi="宋体" w:eastAsia="宋体" w:cs="宋体"/>
          <w:bCs/>
          <w:color w:val="auto"/>
          <w:kern w:val="0"/>
          <w:szCs w:val="21"/>
          <w:highlight w:val="none"/>
          <w:u w:val="single"/>
        </w:rPr>
      </w:pPr>
      <w:r>
        <w:rPr>
          <w:rFonts w:hint="eastAsia" w:ascii="宋体" w:hAnsi="宋体" w:eastAsia="宋体" w:cs="宋体"/>
          <w:color w:val="auto"/>
          <w:kern w:val="0"/>
          <w:szCs w:val="21"/>
          <w:highlight w:val="none"/>
        </w:rPr>
        <w:t>投诉事项1：</w:t>
      </w:r>
      <w:r>
        <w:rPr>
          <w:rFonts w:hint="eastAsia" w:ascii="宋体" w:hAnsi="宋体" w:eastAsia="宋体" w:cs="宋体"/>
          <w:bCs/>
          <w:color w:val="auto"/>
          <w:kern w:val="0"/>
          <w:szCs w:val="21"/>
          <w:highlight w:val="none"/>
          <w:u w:val="single"/>
        </w:rPr>
        <w:t xml:space="preserve">                                                                           </w:t>
      </w:r>
    </w:p>
    <w:p w14:paraId="37768F74">
      <w:pPr>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事实依据：</w:t>
      </w:r>
      <w:r>
        <w:rPr>
          <w:rFonts w:hint="eastAsia" w:ascii="宋体" w:hAnsi="宋体" w:eastAsia="宋体" w:cs="宋体"/>
          <w:color w:val="auto"/>
          <w:kern w:val="0"/>
          <w:szCs w:val="21"/>
          <w:highlight w:val="none"/>
        </w:rPr>
        <w:t xml:space="preserve"> </w:t>
      </w:r>
      <w:r>
        <w:rPr>
          <w:rFonts w:hint="eastAsia" w:ascii="宋体" w:hAnsi="宋体" w:eastAsia="宋体" w:cs="宋体"/>
          <w:bCs/>
          <w:color w:val="auto"/>
          <w:kern w:val="0"/>
          <w:szCs w:val="21"/>
          <w:highlight w:val="none"/>
          <w:u w:val="single"/>
        </w:rPr>
        <w:t xml:space="preserve">                                                                                      </w:t>
      </w:r>
    </w:p>
    <w:p w14:paraId="0609D463">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u w:val="single"/>
        </w:rPr>
        <w:t xml:space="preserve">                                                                                        </w:t>
      </w:r>
    </w:p>
    <w:p w14:paraId="5A21E73B">
      <w:pPr>
        <w:spacing w:line="360" w:lineRule="auto"/>
        <w:ind w:firstLine="420" w:firstLineChars="200"/>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法律依据：</w:t>
      </w:r>
      <w:r>
        <w:rPr>
          <w:rFonts w:hint="eastAsia" w:ascii="宋体" w:hAnsi="宋体" w:eastAsia="宋体" w:cs="宋体"/>
          <w:color w:val="auto"/>
          <w:kern w:val="0"/>
          <w:szCs w:val="21"/>
          <w:highlight w:val="none"/>
        </w:rPr>
        <w:t xml:space="preserve"> </w:t>
      </w:r>
      <w:r>
        <w:rPr>
          <w:rFonts w:hint="eastAsia" w:ascii="宋体" w:hAnsi="宋体" w:eastAsia="宋体" w:cs="宋体"/>
          <w:bCs/>
          <w:color w:val="auto"/>
          <w:kern w:val="0"/>
          <w:szCs w:val="21"/>
          <w:highlight w:val="none"/>
          <w:u w:val="single"/>
        </w:rPr>
        <w:t xml:space="preserve">                                                                                      </w:t>
      </w:r>
    </w:p>
    <w:p w14:paraId="709A72A0">
      <w:pPr>
        <w:spacing w:line="360" w:lineRule="auto"/>
        <w:ind w:left="25" w:leftChars="12" w:firstLine="308" w:firstLineChars="147"/>
        <w:rPr>
          <w:rFonts w:hint="eastAsia" w:ascii="宋体" w:hAnsi="宋体" w:eastAsia="宋体" w:cs="宋体"/>
          <w:bCs/>
          <w:color w:val="auto"/>
          <w:kern w:val="0"/>
          <w:szCs w:val="21"/>
          <w:highlight w:val="none"/>
          <w:u w:val="single"/>
        </w:rPr>
      </w:pPr>
      <w:r>
        <w:rPr>
          <w:rFonts w:hint="eastAsia" w:ascii="宋体" w:hAnsi="宋体" w:eastAsia="宋体" w:cs="宋体"/>
          <w:bCs/>
          <w:color w:val="auto"/>
          <w:kern w:val="0"/>
          <w:szCs w:val="21"/>
          <w:highlight w:val="none"/>
        </w:rPr>
        <w:t xml:space="preserve"> </w:t>
      </w:r>
      <w:r>
        <w:rPr>
          <w:rFonts w:hint="eastAsia" w:ascii="宋体" w:hAnsi="宋体" w:eastAsia="宋体" w:cs="宋体"/>
          <w:bCs/>
          <w:color w:val="auto"/>
          <w:kern w:val="0"/>
          <w:szCs w:val="21"/>
          <w:highlight w:val="none"/>
          <w:u w:val="single"/>
        </w:rPr>
        <w:t xml:space="preserve">                                                                                        </w:t>
      </w:r>
    </w:p>
    <w:p w14:paraId="6E4C3676">
      <w:pPr>
        <w:spacing w:line="360" w:lineRule="auto"/>
        <w:ind w:left="25" w:leftChars="12" w:firstLine="413" w:firstLineChars="197"/>
        <w:rPr>
          <w:rFonts w:hint="eastAsia" w:ascii="宋体" w:hAnsi="宋体" w:eastAsia="宋体" w:cs="宋体"/>
          <w:bCs/>
          <w:color w:val="auto"/>
          <w:kern w:val="0"/>
          <w:szCs w:val="21"/>
          <w:highlight w:val="none"/>
        </w:rPr>
      </w:pPr>
      <w:r>
        <w:rPr>
          <w:rFonts w:hint="eastAsia" w:ascii="宋体" w:hAnsi="宋体" w:eastAsia="宋体" w:cs="宋体"/>
          <w:color w:val="auto"/>
          <w:kern w:val="0"/>
          <w:szCs w:val="21"/>
          <w:highlight w:val="none"/>
        </w:rPr>
        <w:t xml:space="preserve">投诉事项2  </w:t>
      </w:r>
      <w:r>
        <w:rPr>
          <w:rFonts w:hint="eastAsia" w:ascii="宋体" w:hAnsi="宋体" w:eastAsia="宋体" w:cs="宋体"/>
          <w:bCs/>
          <w:color w:val="auto"/>
          <w:kern w:val="0"/>
          <w:szCs w:val="21"/>
          <w:highlight w:val="none"/>
        </w:rPr>
        <w:t xml:space="preserve">   </w:t>
      </w:r>
    </w:p>
    <w:p w14:paraId="589A2516">
      <w:pPr>
        <w:spacing w:line="360" w:lineRule="auto"/>
        <w:ind w:left="25" w:leftChars="12" w:firstLine="413" w:firstLineChars="197"/>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w:t>
      </w:r>
    </w:p>
    <w:p w14:paraId="361B1933">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五、与投诉事项相关的投诉请求：</w:t>
      </w:r>
    </w:p>
    <w:p w14:paraId="231C4E5E">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请求：</w:t>
      </w:r>
      <w:r>
        <w:rPr>
          <w:rFonts w:hint="eastAsia" w:ascii="宋体" w:hAnsi="宋体" w:eastAsia="宋体" w:cs="宋体"/>
          <w:bCs/>
          <w:color w:val="auto"/>
          <w:kern w:val="0"/>
          <w:szCs w:val="21"/>
          <w:highlight w:val="none"/>
          <w:u w:val="single"/>
        </w:rPr>
        <w:t xml:space="preserve">                                                                                 </w:t>
      </w:r>
    </w:p>
    <w:p w14:paraId="4649598E">
      <w:pPr>
        <w:spacing w:line="360" w:lineRule="auto"/>
        <w:ind w:left="25" w:leftChars="12" w:firstLine="308" w:firstLineChars="147"/>
        <w:rPr>
          <w:rFonts w:hint="eastAsia" w:ascii="宋体" w:hAnsi="宋体" w:eastAsia="宋体" w:cs="宋体"/>
          <w:color w:val="auto"/>
          <w:kern w:val="0"/>
          <w:szCs w:val="21"/>
          <w:highlight w:val="none"/>
        </w:rPr>
      </w:pPr>
    </w:p>
    <w:p w14:paraId="031C1A0C">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签字（签章）：                                       公章：</w:t>
      </w:r>
    </w:p>
    <w:p w14:paraId="440DCD50">
      <w:pPr>
        <w:spacing w:line="360" w:lineRule="auto"/>
        <w:ind w:left="25" w:leftChars="12" w:firstLine="308" w:firstLineChars="147"/>
        <w:rPr>
          <w:rFonts w:hint="eastAsia" w:ascii="宋体" w:hAnsi="宋体" w:eastAsia="宋体" w:cs="宋体"/>
          <w:color w:val="auto"/>
          <w:kern w:val="0"/>
          <w:szCs w:val="21"/>
          <w:highlight w:val="none"/>
        </w:rPr>
      </w:pPr>
    </w:p>
    <w:p w14:paraId="0B84BC25">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日期：</w:t>
      </w:r>
    </w:p>
    <w:p w14:paraId="7888365B">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 xml:space="preserve">                                                                                 </w:t>
      </w:r>
    </w:p>
    <w:p w14:paraId="2F895523">
      <w:pPr>
        <w:snapToGrid w:val="0"/>
        <w:spacing w:line="360" w:lineRule="auto"/>
        <w:rPr>
          <w:rFonts w:hint="eastAsia" w:ascii="宋体" w:hAnsi="宋体" w:eastAsia="宋体" w:cs="宋体"/>
          <w:b/>
          <w:color w:val="auto"/>
          <w:kern w:val="0"/>
          <w:szCs w:val="21"/>
          <w:highlight w:val="none"/>
        </w:rPr>
      </w:pPr>
    </w:p>
    <w:p w14:paraId="227BF7E8">
      <w:pPr>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说明：</w:t>
      </w:r>
    </w:p>
    <w:p w14:paraId="0F2A3120">
      <w:pPr>
        <w:spacing w:line="360" w:lineRule="auto"/>
        <w:ind w:left="25" w:leftChars="12" w:firstLine="310" w:firstLineChars="147"/>
        <w:rPr>
          <w:rFonts w:hint="eastAsia" w:ascii="宋体" w:hAnsi="宋体" w:eastAsia="宋体" w:cs="宋体"/>
          <w:b/>
          <w:bCs/>
          <w:color w:val="auto"/>
          <w:kern w:val="0"/>
          <w:szCs w:val="21"/>
          <w:highlight w:val="none"/>
        </w:rPr>
      </w:pPr>
      <w:r>
        <w:rPr>
          <w:rFonts w:hint="eastAsia" w:ascii="宋体" w:hAnsi="宋体" w:eastAsia="宋体" w:cs="宋体"/>
          <w:b/>
          <w:color w:val="auto"/>
          <w:kern w:val="0"/>
          <w:szCs w:val="21"/>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kern w:val="0"/>
          <w:szCs w:val="21"/>
          <w:highlight w:val="none"/>
        </w:rPr>
        <w:t>。</w:t>
      </w:r>
    </w:p>
    <w:p w14:paraId="7E30AE7E">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BE15A67">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3.投诉书应简要列明质疑事项，质疑函、质疑答复等作为附件材料提供。</w:t>
      </w:r>
    </w:p>
    <w:p w14:paraId="39E1A538">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4.投诉书的投诉事项应具体、明确，并有必要的事实依据和法律依据。</w:t>
      </w:r>
    </w:p>
    <w:p w14:paraId="64EB9023">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5.投诉书的投诉请求应与投诉事项相关。</w:t>
      </w:r>
    </w:p>
    <w:p w14:paraId="7CD3F8F4">
      <w:pPr>
        <w:spacing w:line="360" w:lineRule="auto"/>
        <w:ind w:left="25" w:leftChars="12" w:firstLine="310" w:firstLineChars="147"/>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rPr>
        <w:t>6.投诉人为法人或者其他组织的，投诉书应由法定代表人、主要负责人，或者其授权代表签字或者盖章，并加盖公章。</w:t>
      </w:r>
    </w:p>
    <w:p w14:paraId="2263835C">
      <w:pPr>
        <w:rPr>
          <w:rFonts w:hint="eastAsia" w:ascii="宋体" w:hAnsi="宋体" w:eastAsia="宋体" w:cs="宋体"/>
          <w:color w:val="auto"/>
          <w:highlight w:val="none"/>
        </w:rPr>
      </w:pPr>
    </w:p>
    <w:p w14:paraId="2EBB00CB">
      <w:pPr>
        <w:spacing w:line="360" w:lineRule="auto"/>
        <w:jc w:val="center"/>
        <w:rPr>
          <w:rFonts w:hint="eastAsia" w:ascii="宋体" w:hAnsi="宋体" w:eastAsia="宋体" w:cs="宋体"/>
          <w:b/>
          <w:color w:val="auto"/>
          <w:highlight w:val="none"/>
        </w:rPr>
      </w:pPr>
    </w:p>
    <w:p w14:paraId="68546925">
      <w:pPr>
        <w:rPr>
          <w:rFonts w:hint="eastAsia" w:ascii="宋体" w:hAnsi="宋体" w:eastAsia="宋体" w:cs="宋体"/>
          <w:color w:val="auto"/>
          <w:highlight w:val="none"/>
        </w:rPr>
      </w:pPr>
    </w:p>
    <w:p w14:paraId="3D8F6D61">
      <w:pPr>
        <w:rPr>
          <w:rFonts w:hint="eastAsia" w:ascii="宋体" w:hAnsi="宋体" w:eastAsia="宋体" w:cs="宋体"/>
          <w:color w:val="auto"/>
          <w:highlight w:val="none"/>
        </w:rPr>
      </w:pPr>
    </w:p>
    <w:p w14:paraId="587164CE">
      <w:pPr>
        <w:rPr>
          <w:rFonts w:hint="eastAsia" w:ascii="宋体" w:hAnsi="宋体" w:eastAsia="宋体" w:cs="宋体"/>
          <w:color w:val="auto"/>
          <w:highlight w:val="none"/>
        </w:rPr>
      </w:pPr>
    </w:p>
    <w:p w14:paraId="5A565734">
      <w:pPr>
        <w:rPr>
          <w:rFonts w:hint="eastAsia" w:ascii="宋体" w:hAnsi="宋体" w:eastAsia="宋体" w:cs="宋体"/>
          <w:color w:val="auto"/>
          <w:highlight w:val="none"/>
        </w:rPr>
      </w:pPr>
    </w:p>
    <w:sectPr>
      <w:footerReference r:id="rId14" w:type="first"/>
      <w:headerReference r:id="rId12" w:type="default"/>
      <w:footerReference r:id="rId13" w:type="default"/>
      <w:pgSz w:w="11911" w:h="16838"/>
      <w:pgMar w:top="1134" w:right="1134" w:bottom="1134" w:left="1134" w:header="720" w:footer="720" w:gutter="0"/>
      <w:pgBorders>
        <w:top w:val="none" w:sz="0" w:space="0"/>
        <w:left w:val="none" w:sz="0" w:space="0"/>
        <w:bottom w:val="none" w:sz="0" w:space="0"/>
        <w:right w:val="none" w:sz="0" w:space="0"/>
      </w:pgBorders>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35B54">
    <w:pPr>
      <w:pStyle w:val="21"/>
      <w:jc w:val="center"/>
      <w:rPr>
        <w:rFonts w:hint="eastAsia" w:ascii="Calibri" w:hAnsi="Calibri"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7EAEE">
    <w:pPr>
      <w:pStyle w:val="21"/>
      <w:framePr w:wrap="around" w:vAnchor="text" w:hAnchor="margin" w:xAlign="center" w:y="1"/>
      <w:rPr>
        <w:rStyle w:val="33"/>
        <w:rFonts w:ascii="Calibri" w:hAnsi="Calibri" w:eastAsia="宋体" w:cs="Times New Roman"/>
        <w:sz w:val="21"/>
      </w:rPr>
    </w:pPr>
    <w:r>
      <w:rPr>
        <w:rFonts w:ascii="Calibri" w:hAnsi="Calibri" w:eastAsia="宋体" w:cs="Times New Roman"/>
        <w:sz w:val="21"/>
      </w:rPr>
      <w:fldChar w:fldCharType="begin"/>
    </w:r>
    <w:r>
      <w:rPr>
        <w:rStyle w:val="33"/>
        <w:rFonts w:ascii="Calibri" w:hAnsi="Calibri" w:eastAsia="宋体" w:cs="Times New Roman"/>
        <w:kern w:val="2"/>
        <w:sz w:val="21"/>
        <w:szCs w:val="24"/>
      </w:rPr>
      <w:instrText xml:space="preserve">PAGE  </w:instrText>
    </w:r>
    <w:r>
      <w:rPr>
        <w:rFonts w:ascii="Calibri" w:hAnsi="Calibri" w:eastAsia="宋体" w:cs="Times New Roman"/>
        <w:sz w:val="21"/>
      </w:rPr>
      <w:fldChar w:fldCharType="separate"/>
    </w:r>
    <w:r>
      <w:rPr>
        <w:rStyle w:val="33"/>
        <w:rFonts w:ascii="Calibri" w:hAnsi="Calibri" w:eastAsia="宋体" w:cs="Times New Roman"/>
        <w:kern w:val="2"/>
        <w:sz w:val="21"/>
        <w:szCs w:val="24"/>
      </w:rPr>
      <w:t>0</w:t>
    </w:r>
    <w:r>
      <w:rPr>
        <w:rFonts w:ascii="Calibri" w:hAnsi="Calibri" w:eastAsia="宋体" w:cs="Times New Roman"/>
        <w:sz w:val="21"/>
      </w:rPr>
      <w:fldChar w:fldCharType="end"/>
    </w:r>
  </w:p>
  <w:p w14:paraId="197E385A">
    <w:pPr>
      <w:pStyle w:val="21"/>
      <w:rPr>
        <w:rFonts w:ascii="Calibri" w:hAnsi="Calibri" w:eastAsia="宋体" w:cs="Times New Roman"/>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346B6">
    <w:pPr>
      <w:pStyle w:val="21"/>
      <w:tabs>
        <w:tab w:val="center" w:pos="4439"/>
        <w:tab w:val="clear" w:pos="4153"/>
      </w:tabs>
      <w:jc w:val="both"/>
      <w:rPr>
        <w:rFonts w:ascii="Calibri" w:hAnsi="Calibri" w:eastAsia="宋体" w:cs="Times New Roman"/>
      </w:rPr>
    </w:pPr>
    <w:r>
      <w:rPr>
        <w:rFonts w:ascii="Times New Roman" w:hAnsi="Times New Roman" w:eastAsia="宋体" w:cs="Times New Roma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CA0B33">
                          <w:pPr>
                            <w:pStyle w:val="2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1</w:t>
                          </w:r>
                          <w:r>
                            <w:rPr>
                              <w:rFonts w:hint="eastAsia"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CakDMsBAACcAwAADgAAAGRycy9lMm9Eb2MueG1srVPNjtMwEL4j8Q6W&#10;79RpxaI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vaHEcYsDv3z/dvnx6/LzK7lZ&#10;rl5mhfoANSbeB0xNwxs/4N7MfkBnJj6oaPMXKRGMo77nq75ySETkR+vVel1hSGBsviA+e3geIqS3&#10;0luSjYZGHGDRlZ/eQxpT55Rczfk7bUwZonF/ORAze1jufewxW2nYDxOhvW/PyKfH2TfU4apTYt45&#10;lDavyWzE2djPxjFEfejKHuV6EF4fEzZRessVRtipMA6tsJsWLG/Fn/eS9fB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AmpAzLAQAAnAMAAA4AAAAAAAAAAQAgAAAAHgEAAGRycy9lMm9E&#10;b2MueG1sUEsFBgAAAAAGAAYAWQEAAFsFAAAAAA==&#10;">
              <v:fill on="f" focussize="0,0"/>
              <v:stroke on="f"/>
              <v:imagedata o:title=""/>
              <o:lock v:ext="edit" aspectratio="f"/>
              <v:textbox inset="0mm,0mm,0mm,0mm" style="mso-fit-shape-to-text:t;">
                <w:txbxContent>
                  <w:p w14:paraId="34CA0B33">
                    <w:pPr>
                      <w:pStyle w:val="2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1</w:t>
                    </w:r>
                    <w:r>
                      <w:rPr>
                        <w:rFonts w:hint="eastAsia" w:ascii="Times New Roman" w:hAnsi="Times New Roman" w:eastAsia="宋体" w:cs="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44FCD">
    <w:pPr>
      <w:pStyle w:val="21"/>
      <w:tabs>
        <w:tab w:val="center" w:pos="4439"/>
        <w:tab w:val="clear" w:pos="4153"/>
      </w:tabs>
      <w:rPr>
        <w:rFonts w:ascii="Calibri" w:hAnsi="Calibri" w:eastAsia="宋体" w:cs="Times New Roman"/>
      </w:rPr>
    </w:pPr>
    <w:r>
      <w:rPr>
        <w:rFonts w:ascii="Calibri" w:hAnsi="Calibri" w:eastAsia="宋体" w:cs="Times New Roma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121967">
                          <w:pPr>
                            <w:rPr>
                              <w:rFonts w:ascii="Calibri" w:hAnsi="Calibri" w:eastAsia="宋体" w:cs="Times New Roman"/>
                            </w:rPr>
                          </w:pPr>
                        </w:p>
                      </w:txbxContent>
                    </wps:txbx>
                    <wps:bodyPr wrap="none" lIns="0" tIns="0" rIns="0" bIns="0" upright="0">
                      <a:spAutoFit/>
                    </wps:bodyPr>
                  </wps:wsp>
                </a:graphicData>
              </a:graphic>
            </wp:anchor>
          </w:drawing>
        </mc:Choice>
        <mc:Fallback>
          <w:pict>
            <v:shape id="文本框 51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y11OHLAQAAnAMAAA4AAAAAAAAAAQAgAAAAHgEAAGRycy9lMm9E&#10;b2MueG1sUEsFBgAAAAAGAAYAWQEAAFsFAAAAAA==&#10;">
              <v:fill on="f" focussize="0,0"/>
              <v:stroke on="f"/>
              <v:imagedata o:title=""/>
              <o:lock v:ext="edit" aspectratio="f"/>
              <v:textbox inset="0mm,0mm,0mm,0mm" style="mso-fit-shape-to-text:t;">
                <w:txbxContent>
                  <w:p w14:paraId="27121967">
                    <w:pPr>
                      <w:rPr>
                        <w:rFonts w:ascii="Calibri" w:hAnsi="Calibri" w:eastAsia="宋体" w:cs="Times New Roma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F9484">
    <w:pPr>
      <w:pStyle w:val="21"/>
      <w:jc w:val="center"/>
      <w:rPr>
        <w:rFonts w:ascii="Calibri" w:hAnsi="Calibri" w:eastAsia="宋体" w:cs="Times New Roman"/>
      </w:rPr>
    </w:pPr>
    <w:r>
      <w:rPr>
        <w:rFonts w:ascii="Times New Roman" w:hAnsi="Times New Roman" w:eastAsia="宋体" w:cs="Times New Roma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4BFFEC">
                          <w:pPr>
                            <w:pStyle w:val="2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2</w:t>
                          </w:r>
                          <w:r>
                            <w:rPr>
                              <w:rFonts w:hint="eastAsia"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文本框 51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5zKxfLAQAAnAMAAA4AAAAAAAAAAQAgAAAAHgEAAGRycy9lMm9E&#10;b2MueG1sUEsFBgAAAAAGAAYAWQEAAFsFAAAAAA==&#10;">
              <v:fill on="f" focussize="0,0"/>
              <v:stroke on="f"/>
              <v:imagedata o:title=""/>
              <o:lock v:ext="edit" aspectratio="f"/>
              <v:textbox inset="0mm,0mm,0mm,0mm" style="mso-fit-shape-to-text:t;">
                <w:txbxContent>
                  <w:p w14:paraId="724BFFEC">
                    <w:pPr>
                      <w:pStyle w:val="2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2</w:t>
                    </w:r>
                    <w:r>
                      <w:rPr>
                        <w:rFonts w:hint="eastAsia" w:ascii="Times New Roman" w:hAnsi="Times New Roman" w:eastAsia="宋体" w:cs="Times New Roman"/>
                      </w:rPr>
                      <w:fldChar w:fldCharType="end"/>
                    </w:r>
                  </w:p>
                </w:txbxContent>
              </v:textbox>
            </v:shape>
          </w:pict>
        </mc:Fallback>
      </mc:AlternateContent>
    </w:r>
  </w:p>
  <w:p w14:paraId="7A1B2B3B">
    <w:pPr>
      <w:pStyle w:val="21"/>
      <w:rPr>
        <w:rFonts w:ascii="Calibri" w:hAnsi="Calibri" w:eastAsia="宋体"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BC622">
    <w:pPr>
      <w:pStyle w:val="21"/>
      <w:rPr>
        <w:rFonts w:ascii="Calibri" w:hAnsi="Calibri" w:eastAsia="宋体" w:cs="Times New Roman"/>
      </w:rPr>
    </w:pPr>
    <w:r>
      <w:rPr>
        <w:rFonts w:ascii="Calibri" w:hAnsi="Calibri" w:eastAsia="宋体" w:cs="Times New Roma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764138">
                          <w:pPr>
                            <w:pStyle w:val="21"/>
                            <w:rPr>
                              <w:rFonts w:hint="eastAsia" w:ascii="Calibri" w:hAnsi="Calibri" w:eastAsia="宋体" w:cs="Times New Roman"/>
                            </w:rPr>
                          </w:pPr>
                          <w:r>
                            <w:rPr>
                              <w:rFonts w:hint="eastAsia" w:ascii="Calibri" w:hAnsi="Calibri" w:eastAsia="宋体" w:cs="Times New Roman"/>
                            </w:rPr>
                            <w:fldChar w:fldCharType="begin"/>
                          </w:r>
                          <w:r>
                            <w:rPr>
                              <w:rFonts w:hint="eastAsia" w:ascii="Calibri" w:hAnsi="Calibri" w:eastAsia="宋体" w:cs="Times New Roman"/>
                            </w:rPr>
                            <w:instrText xml:space="preserve"> PAGE  \* MERGEFORMAT </w:instrText>
                          </w:r>
                          <w:r>
                            <w:rPr>
                              <w:rFonts w:hint="eastAsia" w:ascii="Calibri" w:hAnsi="Calibri" w:eastAsia="宋体" w:cs="Times New Roman"/>
                            </w:rPr>
                            <w:fldChar w:fldCharType="separate"/>
                          </w:r>
                          <w:r>
                            <w:rPr>
                              <w:rFonts w:ascii="Calibri" w:hAnsi="Calibri" w:eastAsia="宋体" w:cs="Times New Roman"/>
                            </w:rPr>
                            <w:t>63</w:t>
                          </w:r>
                          <w:r>
                            <w:rPr>
                              <w:rFonts w:hint="eastAsia" w:ascii="Calibri" w:hAnsi="Calibri" w:eastAsia="宋体" w:cs="Times New Roman"/>
                            </w:rPr>
                            <w:fldChar w:fldCharType="end"/>
                          </w:r>
                        </w:p>
                      </w:txbxContent>
                    </wps:txbx>
                    <wps:bodyPr wrap="none" lIns="0" tIns="0" rIns="0" bIns="0" upright="0">
                      <a:spAutoFit/>
                    </wps:bodyPr>
                  </wps:wsp>
                </a:graphicData>
              </a:graphic>
            </wp:anchor>
          </w:drawing>
        </mc:Choice>
        <mc:Fallback>
          <w:pict>
            <v:shape id="文本框 51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d2kTcsBAACcAwAADgAAAGRycy9lMm9Eb2MueG1srVPNjtMwEL4j8Q6W&#10;79Rp0aI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fUmJ4xYHfvn+7fLj1+XnV3Kz&#10;XN1khfoANSbeB0xNwxs/4N7MfkBnJj6oaPMXKRGMo77nq75ySETkR+vVel1hSGBsviA+e3geIqS3&#10;0luSjYZGHGDRlZ/eQxpT55Rczfk7bUwZonF/ORAze1jufewxW2nYDxOhvW/PyKfH2TfU4apTYt45&#10;lDavyWzE2djPxjFEfejKHuV6EF4fEzZRessVRtipMA6tsJsWLG/Fn/eS9fB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dpE3LAQAAnAMAAA4AAAAAAAAAAQAgAAAAHgEAAGRycy9lMm9E&#10;b2MueG1sUEsFBgAAAAAGAAYAWQEAAFsFAAAAAA==&#10;">
              <v:fill on="f" focussize="0,0"/>
              <v:stroke on="f"/>
              <v:imagedata o:title=""/>
              <o:lock v:ext="edit" aspectratio="f"/>
              <v:textbox inset="0mm,0mm,0mm,0mm" style="mso-fit-shape-to-text:t;">
                <w:txbxContent>
                  <w:p w14:paraId="0E764138">
                    <w:pPr>
                      <w:pStyle w:val="21"/>
                      <w:rPr>
                        <w:rFonts w:hint="eastAsia" w:ascii="Calibri" w:hAnsi="Calibri" w:eastAsia="宋体" w:cs="Times New Roman"/>
                      </w:rPr>
                    </w:pPr>
                    <w:r>
                      <w:rPr>
                        <w:rFonts w:hint="eastAsia" w:ascii="Calibri" w:hAnsi="Calibri" w:eastAsia="宋体" w:cs="Times New Roman"/>
                      </w:rPr>
                      <w:fldChar w:fldCharType="begin"/>
                    </w:r>
                    <w:r>
                      <w:rPr>
                        <w:rFonts w:hint="eastAsia" w:ascii="Calibri" w:hAnsi="Calibri" w:eastAsia="宋体" w:cs="Times New Roman"/>
                      </w:rPr>
                      <w:instrText xml:space="preserve"> PAGE  \* MERGEFORMAT </w:instrText>
                    </w:r>
                    <w:r>
                      <w:rPr>
                        <w:rFonts w:hint="eastAsia" w:ascii="Calibri" w:hAnsi="Calibri" w:eastAsia="宋体" w:cs="Times New Roman"/>
                      </w:rPr>
                      <w:fldChar w:fldCharType="separate"/>
                    </w:r>
                    <w:r>
                      <w:rPr>
                        <w:rFonts w:ascii="Calibri" w:hAnsi="Calibri" w:eastAsia="宋体" w:cs="Times New Roman"/>
                      </w:rPr>
                      <w:t>63</w:t>
                    </w:r>
                    <w:r>
                      <w:rPr>
                        <w:rFonts w:hint="eastAsia" w:ascii="Calibri" w:hAnsi="Calibri" w:eastAsia="宋体" w:cs="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30071">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35D14C">
                          <w:pPr>
                            <w:pStyle w:val="21"/>
                            <w:jc w:val="center"/>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4IoM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3m9&#10;XC2zQn2AGhMfAqam4c4POXvyAzoz8UFFm79IiWAc9T1f9ZVDIiI/Wq/W6wpDAmPzBXHY4/MQIb2V&#10;3pJsNDTiAIuu/PQe0pg6p+Rqzt9rY9DPa+P+ciBm9rDc+9hjttKwH6bG9749I58eZ99Qh6tOiXnn&#10;UNq8JrMRZ2M/G8cQ9aEre5TrQbg9Jmyi9JYrjLBTYRxaY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peCKDLAQAAnAMAAA4AAAAAAAAAAQAgAAAAHgEAAGRycy9lMm9E&#10;b2MueG1sUEsFBgAAAAAGAAYAWQEAAFsFAAAAAA==&#10;">
              <v:fill on="f" focussize="0,0"/>
              <v:stroke on="f"/>
              <v:imagedata o:title=""/>
              <o:lock v:ext="edit" aspectratio="f"/>
              <v:textbox inset="0mm,0mm,0mm,0mm" style="mso-fit-shape-to-text:t;">
                <w:txbxContent>
                  <w:p w14:paraId="7235D14C">
                    <w:pPr>
                      <w:pStyle w:val="21"/>
                      <w:jc w:val="center"/>
                    </w:pPr>
                    <w:r>
                      <w:fldChar w:fldCharType="begin"/>
                    </w:r>
                    <w:r>
                      <w:instrText xml:space="preserve"> PAGE  \* MERGEFORMAT </w:instrText>
                    </w:r>
                    <w:r>
                      <w:fldChar w:fldCharType="separate"/>
                    </w:r>
                    <w:r>
                      <w:t>90</w:t>
                    </w:r>
                    <w:r>
                      <w:fldChar w:fldCharType="end"/>
                    </w:r>
                  </w:p>
                </w:txbxContent>
              </v:textbox>
            </v:shape>
          </w:pict>
        </mc:Fallback>
      </mc:AlternateContent>
    </w:r>
  </w:p>
  <w:p w14:paraId="7E794BBD">
    <w:pPr>
      <w:pStyle w:val="2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64291">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050BA2">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U7UoM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22VZ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VO1KDLAQAAnAMAAA4AAAAAAAAAAQAgAAAAHgEAAGRycy9lMm9E&#10;b2MueG1sUEsFBgAAAAAGAAYAWQEAAFsFAAAAAA==&#10;">
              <v:fill on="f" focussize="0,0"/>
              <v:stroke on="f"/>
              <v:imagedata o:title=""/>
              <o:lock v:ext="edit" aspectratio="f"/>
              <v:textbox inset="0mm,0mm,0mm,0mm" style="mso-fit-shape-to-text:t;">
                <w:txbxContent>
                  <w:p w14:paraId="0C050BA2">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4B1D7">
    <w:pPr>
      <w:pStyle w:val="22"/>
      <w:tabs>
        <w:tab w:val="center" w:pos="0"/>
        <w:tab w:val="clear" w:pos="4153"/>
      </w:tabs>
      <w:rPr>
        <w:rFonts w:ascii="Calibri" w:hAnsi="Calibri"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B4D6B">
    <w:pPr>
      <w:rPr>
        <w:rFonts w:hint="eastAsia"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D4F2">
    <w:pPr>
      <w:pStyle w:val="22"/>
      <w:tabs>
        <w:tab w:val="center" w:pos="0"/>
        <w:tab w:val="clear" w:pos="4153"/>
      </w:tabs>
      <w:rPr>
        <w:rFonts w:ascii="Calibri" w:hAnsi="Calibri" w:eastAsia="宋体" w:cs="Times New Roman"/>
      </w:rPr>
    </w:pPr>
    <w:r>
      <w:rPr>
        <w:rFonts w:hint="eastAsia" w:ascii="Calibri" w:hAnsi="Calibri" w:eastAsia="宋体" w:cs="Times New Roman"/>
      </w:rPr>
      <w:t>南宁市政府采购竞争性磋商采购文件（项目编号：NNZC2021-C3--KLZB）</w:t>
    </w:r>
  </w:p>
  <w:p w14:paraId="70EC8357">
    <w:pPr>
      <w:pStyle w:val="22"/>
      <w:pBdr>
        <w:bottom w:val="none" w:color="auto" w:sz="0" w:space="1"/>
      </w:pBdr>
      <w:rPr>
        <w:rFonts w:ascii="Calibri" w:hAnsi="Calibri"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E171A">
    <w:pPr>
      <w:pStyle w:val="22"/>
      <w:pBdr>
        <w:bottom w:val="double" w:color="auto" w:sz="8" w:space="1"/>
      </w:pBdr>
      <w:rPr>
        <w:rFonts w:hint="eastAsia" w:ascii="宋体" w:hAnsi="宋体" w:eastAsia="宋体" w:cs="宋体"/>
        <w:sz w:val="21"/>
        <w:szCs w:val="21"/>
        <w:lang w:val="en-US" w:eastAsia="zh-CN"/>
      </w:rPr>
    </w:pPr>
    <w:r>
      <w:rPr>
        <w:rFonts w:hint="eastAsia" w:ascii="宋体" w:hAnsi="宋体" w:cs="宋体"/>
        <w:sz w:val="21"/>
        <w:szCs w:val="21"/>
        <w:lang w:eastAsia="zh-CN"/>
      </w:rPr>
      <w:t>南宁市第三幼儿园教学楼维修工程</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1A3065"/>
    <w:multiLevelType w:val="singleLevel"/>
    <w:tmpl w:val="DC1A3065"/>
    <w:lvl w:ilvl="0" w:tentative="0">
      <w:start w:val="2"/>
      <w:numFmt w:val="decimal"/>
      <w:lvlText w:val="%1."/>
      <w:lvlJc w:val="left"/>
      <w:pPr>
        <w:tabs>
          <w:tab w:val="left" w:pos="312"/>
        </w:tabs>
      </w:pPr>
    </w:lvl>
  </w:abstractNum>
  <w:abstractNum w:abstractNumId="1">
    <w:nsid w:val="372AF652"/>
    <w:multiLevelType w:val="singleLevel"/>
    <w:tmpl w:val="372AF652"/>
    <w:lvl w:ilvl="0" w:tentative="0">
      <w:start w:val="6"/>
      <w:numFmt w:val="chineseCounting"/>
      <w:suff w:val="space"/>
      <w:lvlText w:val="第%1章"/>
      <w:lvlJc w:val="left"/>
      <w:rPr>
        <w:rFonts w:hint="eastAsia"/>
      </w:rPr>
    </w:lvl>
  </w:abstractNum>
  <w:abstractNum w:abstractNumId="2">
    <w:nsid w:val="508D7A92"/>
    <w:multiLevelType w:val="singleLevel"/>
    <w:tmpl w:val="508D7A92"/>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1,3,4,5,6,7"/>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yODFmOGU0Y2RhNTc1YzUzN2NjMTM5MGQ1YTJkOWMifQ=="/>
  </w:docVars>
  <w:rsids>
    <w:rsidRoot w:val="00F34B14"/>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00"/>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37DE2"/>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49CA"/>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41F"/>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12D2"/>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77E27"/>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7D1"/>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2E86"/>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851C90"/>
    <w:rsid w:val="01A033E5"/>
    <w:rsid w:val="01AF3D99"/>
    <w:rsid w:val="02511F9D"/>
    <w:rsid w:val="02F950B7"/>
    <w:rsid w:val="033678E4"/>
    <w:rsid w:val="03A314B8"/>
    <w:rsid w:val="03D82B98"/>
    <w:rsid w:val="03F83E8B"/>
    <w:rsid w:val="0420358E"/>
    <w:rsid w:val="05C56868"/>
    <w:rsid w:val="06AE3E0A"/>
    <w:rsid w:val="06C47189"/>
    <w:rsid w:val="06F537E7"/>
    <w:rsid w:val="07740BAF"/>
    <w:rsid w:val="07B72767"/>
    <w:rsid w:val="07CA07CF"/>
    <w:rsid w:val="08077E72"/>
    <w:rsid w:val="08882DD0"/>
    <w:rsid w:val="08A33831"/>
    <w:rsid w:val="09CC2AAC"/>
    <w:rsid w:val="09D26E76"/>
    <w:rsid w:val="0A652D3E"/>
    <w:rsid w:val="0A8C6210"/>
    <w:rsid w:val="0B326F2A"/>
    <w:rsid w:val="0B422D73"/>
    <w:rsid w:val="0BF71DAF"/>
    <w:rsid w:val="0C1E2888"/>
    <w:rsid w:val="0C870EFD"/>
    <w:rsid w:val="0C8C24F7"/>
    <w:rsid w:val="0C92213C"/>
    <w:rsid w:val="0CC46135"/>
    <w:rsid w:val="0D84032B"/>
    <w:rsid w:val="0E9E29B6"/>
    <w:rsid w:val="0F2A74C4"/>
    <w:rsid w:val="0F421593"/>
    <w:rsid w:val="0F50409B"/>
    <w:rsid w:val="0FD70482"/>
    <w:rsid w:val="10A27F31"/>
    <w:rsid w:val="113576B4"/>
    <w:rsid w:val="11927058"/>
    <w:rsid w:val="11D97125"/>
    <w:rsid w:val="12192C9D"/>
    <w:rsid w:val="13AF4F03"/>
    <w:rsid w:val="13B1314F"/>
    <w:rsid w:val="14736E66"/>
    <w:rsid w:val="147F458F"/>
    <w:rsid w:val="14D958EC"/>
    <w:rsid w:val="1534169A"/>
    <w:rsid w:val="15C03E03"/>
    <w:rsid w:val="162A25EB"/>
    <w:rsid w:val="16755F45"/>
    <w:rsid w:val="16FD2A55"/>
    <w:rsid w:val="17067C1A"/>
    <w:rsid w:val="17366761"/>
    <w:rsid w:val="177C01F0"/>
    <w:rsid w:val="17C73DF4"/>
    <w:rsid w:val="17CE6630"/>
    <w:rsid w:val="191C6CAD"/>
    <w:rsid w:val="19C74610"/>
    <w:rsid w:val="1AD522D3"/>
    <w:rsid w:val="1AFF0AFE"/>
    <w:rsid w:val="1B4F19F8"/>
    <w:rsid w:val="1B55264E"/>
    <w:rsid w:val="1B755924"/>
    <w:rsid w:val="1BF9262F"/>
    <w:rsid w:val="1C226F03"/>
    <w:rsid w:val="1CF66653"/>
    <w:rsid w:val="1DC43CB7"/>
    <w:rsid w:val="1DF105FE"/>
    <w:rsid w:val="1ECC44FA"/>
    <w:rsid w:val="1EEA04C4"/>
    <w:rsid w:val="1F063325"/>
    <w:rsid w:val="1F672950"/>
    <w:rsid w:val="1FBC5DF5"/>
    <w:rsid w:val="1FC63F00"/>
    <w:rsid w:val="1FF90588"/>
    <w:rsid w:val="20B373C6"/>
    <w:rsid w:val="20C3623F"/>
    <w:rsid w:val="21251CA1"/>
    <w:rsid w:val="21781212"/>
    <w:rsid w:val="21B83F86"/>
    <w:rsid w:val="221178A8"/>
    <w:rsid w:val="221213CF"/>
    <w:rsid w:val="22327A92"/>
    <w:rsid w:val="22446344"/>
    <w:rsid w:val="226A7D59"/>
    <w:rsid w:val="22B67E76"/>
    <w:rsid w:val="22D64075"/>
    <w:rsid w:val="231D53A2"/>
    <w:rsid w:val="23225648"/>
    <w:rsid w:val="236D5383"/>
    <w:rsid w:val="23B7504C"/>
    <w:rsid w:val="23E0247D"/>
    <w:rsid w:val="240B2482"/>
    <w:rsid w:val="24571307"/>
    <w:rsid w:val="24B6415E"/>
    <w:rsid w:val="25110A2A"/>
    <w:rsid w:val="256C0944"/>
    <w:rsid w:val="259C3C81"/>
    <w:rsid w:val="25B60BEB"/>
    <w:rsid w:val="25DF1492"/>
    <w:rsid w:val="26446DE3"/>
    <w:rsid w:val="269669E7"/>
    <w:rsid w:val="26D7699F"/>
    <w:rsid w:val="26F26F4A"/>
    <w:rsid w:val="27FE6547"/>
    <w:rsid w:val="28F17ED1"/>
    <w:rsid w:val="29AA742B"/>
    <w:rsid w:val="29D55086"/>
    <w:rsid w:val="2B774624"/>
    <w:rsid w:val="2BBC10DC"/>
    <w:rsid w:val="2C7A72BE"/>
    <w:rsid w:val="2C9A7D75"/>
    <w:rsid w:val="2CC17412"/>
    <w:rsid w:val="2D297497"/>
    <w:rsid w:val="2D3644A8"/>
    <w:rsid w:val="2E4E3659"/>
    <w:rsid w:val="2E60609A"/>
    <w:rsid w:val="2E635A59"/>
    <w:rsid w:val="2E9976CE"/>
    <w:rsid w:val="2EFE6E2D"/>
    <w:rsid w:val="2F401D3C"/>
    <w:rsid w:val="2F5B24E1"/>
    <w:rsid w:val="2FA95C88"/>
    <w:rsid w:val="3041370F"/>
    <w:rsid w:val="312B50A3"/>
    <w:rsid w:val="31F94BF2"/>
    <w:rsid w:val="3238172D"/>
    <w:rsid w:val="32453A27"/>
    <w:rsid w:val="3263064A"/>
    <w:rsid w:val="32A43132"/>
    <w:rsid w:val="32AC0C06"/>
    <w:rsid w:val="32BA306B"/>
    <w:rsid w:val="33344EF5"/>
    <w:rsid w:val="33FD242F"/>
    <w:rsid w:val="3537750C"/>
    <w:rsid w:val="3537798C"/>
    <w:rsid w:val="35973E3A"/>
    <w:rsid w:val="35C13FC9"/>
    <w:rsid w:val="364257B6"/>
    <w:rsid w:val="36794FEB"/>
    <w:rsid w:val="37EA5922"/>
    <w:rsid w:val="381D40B8"/>
    <w:rsid w:val="38276B93"/>
    <w:rsid w:val="38AC3431"/>
    <w:rsid w:val="392F2E16"/>
    <w:rsid w:val="39E00529"/>
    <w:rsid w:val="39E430C3"/>
    <w:rsid w:val="3A0B64A7"/>
    <w:rsid w:val="3A574DDA"/>
    <w:rsid w:val="3AA7333A"/>
    <w:rsid w:val="3AD3075A"/>
    <w:rsid w:val="3AF46316"/>
    <w:rsid w:val="3AF74C02"/>
    <w:rsid w:val="3B0B1FFB"/>
    <w:rsid w:val="3B7D6A94"/>
    <w:rsid w:val="3C0059A5"/>
    <w:rsid w:val="3C134E78"/>
    <w:rsid w:val="3C1D466B"/>
    <w:rsid w:val="3C5D26C1"/>
    <w:rsid w:val="3D693246"/>
    <w:rsid w:val="3DBE03D0"/>
    <w:rsid w:val="3DEC7285"/>
    <w:rsid w:val="3DF6345D"/>
    <w:rsid w:val="3E2B5515"/>
    <w:rsid w:val="3E4D4F28"/>
    <w:rsid w:val="3EE13701"/>
    <w:rsid w:val="3F1A4BB3"/>
    <w:rsid w:val="3FF04570"/>
    <w:rsid w:val="40192BA6"/>
    <w:rsid w:val="40923879"/>
    <w:rsid w:val="41766EA9"/>
    <w:rsid w:val="421C1463"/>
    <w:rsid w:val="42393F4E"/>
    <w:rsid w:val="42550A18"/>
    <w:rsid w:val="429D496A"/>
    <w:rsid w:val="42DA6073"/>
    <w:rsid w:val="42F473A1"/>
    <w:rsid w:val="43022B82"/>
    <w:rsid w:val="439F3C23"/>
    <w:rsid w:val="43A15B81"/>
    <w:rsid w:val="43F96667"/>
    <w:rsid w:val="441E62C0"/>
    <w:rsid w:val="44FC39B7"/>
    <w:rsid w:val="45325D14"/>
    <w:rsid w:val="45811C7C"/>
    <w:rsid w:val="45906116"/>
    <w:rsid w:val="468B3EFB"/>
    <w:rsid w:val="470A6193"/>
    <w:rsid w:val="47385210"/>
    <w:rsid w:val="47B8464C"/>
    <w:rsid w:val="47DC4F5C"/>
    <w:rsid w:val="47E2687B"/>
    <w:rsid w:val="480C5CBF"/>
    <w:rsid w:val="483D2FCF"/>
    <w:rsid w:val="48B40671"/>
    <w:rsid w:val="492139EC"/>
    <w:rsid w:val="499B5738"/>
    <w:rsid w:val="499F244D"/>
    <w:rsid w:val="49A07007"/>
    <w:rsid w:val="49D338FF"/>
    <w:rsid w:val="49D767A1"/>
    <w:rsid w:val="4A973F3F"/>
    <w:rsid w:val="4AF96BC7"/>
    <w:rsid w:val="4B5A416B"/>
    <w:rsid w:val="4B6F6A6A"/>
    <w:rsid w:val="4B862A85"/>
    <w:rsid w:val="4BAE76C0"/>
    <w:rsid w:val="4CEF36E2"/>
    <w:rsid w:val="4CEF4DC5"/>
    <w:rsid w:val="4D2C0BB1"/>
    <w:rsid w:val="4DE07F74"/>
    <w:rsid w:val="4E257655"/>
    <w:rsid w:val="4E8E7871"/>
    <w:rsid w:val="4F372380"/>
    <w:rsid w:val="4F372FFB"/>
    <w:rsid w:val="4F574EBE"/>
    <w:rsid w:val="4F762EAA"/>
    <w:rsid w:val="4F786B13"/>
    <w:rsid w:val="4F91332A"/>
    <w:rsid w:val="4FB25455"/>
    <w:rsid w:val="5001331F"/>
    <w:rsid w:val="5025116D"/>
    <w:rsid w:val="51B95FB0"/>
    <w:rsid w:val="523241A0"/>
    <w:rsid w:val="52395ECD"/>
    <w:rsid w:val="52C10D75"/>
    <w:rsid w:val="5308686A"/>
    <w:rsid w:val="53C27FF8"/>
    <w:rsid w:val="546F2DCE"/>
    <w:rsid w:val="549E1A80"/>
    <w:rsid w:val="54C658F4"/>
    <w:rsid w:val="550C4BD7"/>
    <w:rsid w:val="550F1D82"/>
    <w:rsid w:val="552C3D05"/>
    <w:rsid w:val="554C1D56"/>
    <w:rsid w:val="55572986"/>
    <w:rsid w:val="55C062DD"/>
    <w:rsid w:val="565340FA"/>
    <w:rsid w:val="56B21B93"/>
    <w:rsid w:val="5723343E"/>
    <w:rsid w:val="573D7EAB"/>
    <w:rsid w:val="57975881"/>
    <w:rsid w:val="57FE314A"/>
    <w:rsid w:val="5842734C"/>
    <w:rsid w:val="58D610C2"/>
    <w:rsid w:val="590E7F53"/>
    <w:rsid w:val="5A2F2CC8"/>
    <w:rsid w:val="5BA26962"/>
    <w:rsid w:val="5C10702D"/>
    <w:rsid w:val="5C152601"/>
    <w:rsid w:val="5C591F03"/>
    <w:rsid w:val="5C8A1B2F"/>
    <w:rsid w:val="5D914004"/>
    <w:rsid w:val="5E087BE1"/>
    <w:rsid w:val="5F561B72"/>
    <w:rsid w:val="5FA01F9D"/>
    <w:rsid w:val="606007BB"/>
    <w:rsid w:val="60AC7F66"/>
    <w:rsid w:val="6111015C"/>
    <w:rsid w:val="616D55C9"/>
    <w:rsid w:val="617D2BA3"/>
    <w:rsid w:val="61BF10D9"/>
    <w:rsid w:val="61DA3D4C"/>
    <w:rsid w:val="628E1C9B"/>
    <w:rsid w:val="62A635A4"/>
    <w:rsid w:val="62AC22DC"/>
    <w:rsid w:val="62F92629"/>
    <w:rsid w:val="63057A83"/>
    <w:rsid w:val="63770981"/>
    <w:rsid w:val="637833E8"/>
    <w:rsid w:val="63E61662"/>
    <w:rsid w:val="6477675E"/>
    <w:rsid w:val="64E45EF7"/>
    <w:rsid w:val="653F54CE"/>
    <w:rsid w:val="654237C0"/>
    <w:rsid w:val="65523A1C"/>
    <w:rsid w:val="656F7435"/>
    <w:rsid w:val="668A4527"/>
    <w:rsid w:val="6691014E"/>
    <w:rsid w:val="66C87CCE"/>
    <w:rsid w:val="677435B2"/>
    <w:rsid w:val="67A55390"/>
    <w:rsid w:val="67CB129B"/>
    <w:rsid w:val="67EF75F1"/>
    <w:rsid w:val="69124F16"/>
    <w:rsid w:val="694A5205"/>
    <w:rsid w:val="69CD5C14"/>
    <w:rsid w:val="69CF0D33"/>
    <w:rsid w:val="69F0323B"/>
    <w:rsid w:val="69F148BD"/>
    <w:rsid w:val="6B7C78A9"/>
    <w:rsid w:val="6B9946B3"/>
    <w:rsid w:val="6C0703C8"/>
    <w:rsid w:val="6C5F5E5C"/>
    <w:rsid w:val="6C640B9C"/>
    <w:rsid w:val="6C662189"/>
    <w:rsid w:val="6C7007C7"/>
    <w:rsid w:val="6CE93F71"/>
    <w:rsid w:val="6D2000FF"/>
    <w:rsid w:val="6DE76850"/>
    <w:rsid w:val="6E3522FC"/>
    <w:rsid w:val="6E684B25"/>
    <w:rsid w:val="6FB20BD4"/>
    <w:rsid w:val="6FB650F7"/>
    <w:rsid w:val="6FBA59BE"/>
    <w:rsid w:val="70296B3E"/>
    <w:rsid w:val="70611204"/>
    <w:rsid w:val="725E2B1E"/>
    <w:rsid w:val="72812503"/>
    <w:rsid w:val="73445350"/>
    <w:rsid w:val="73922C6D"/>
    <w:rsid w:val="73BF2E85"/>
    <w:rsid w:val="73F14D9C"/>
    <w:rsid w:val="74FA2C30"/>
    <w:rsid w:val="754D5C4B"/>
    <w:rsid w:val="75DC0687"/>
    <w:rsid w:val="76C240A7"/>
    <w:rsid w:val="76D31F1A"/>
    <w:rsid w:val="775246B7"/>
    <w:rsid w:val="781E69D1"/>
    <w:rsid w:val="78D828A4"/>
    <w:rsid w:val="79E214CC"/>
    <w:rsid w:val="7A263B6B"/>
    <w:rsid w:val="7A3E76AA"/>
    <w:rsid w:val="7AF46346"/>
    <w:rsid w:val="7B0F5EBF"/>
    <w:rsid w:val="7B130FB9"/>
    <w:rsid w:val="7BAE201A"/>
    <w:rsid w:val="7BF64EDE"/>
    <w:rsid w:val="7C400C1E"/>
    <w:rsid w:val="7CF0654C"/>
    <w:rsid w:val="7D636F6F"/>
    <w:rsid w:val="7D794B3F"/>
    <w:rsid w:val="7D8027B1"/>
    <w:rsid w:val="7DD11708"/>
    <w:rsid w:val="7DE2122D"/>
    <w:rsid w:val="7EBD579E"/>
    <w:rsid w:val="7EC167BD"/>
    <w:rsid w:val="7F272D9E"/>
    <w:rsid w:val="7F7338C5"/>
    <w:rsid w:val="7F7B4EF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54"/>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41"/>
    <w:unhideWhenUsed/>
    <w:qFormat/>
    <w:uiPriority w:val="0"/>
    <w:pPr>
      <w:keepNext/>
      <w:keepLines/>
      <w:spacing w:before="280" w:beforeLines="0" w:beforeAutospacing="0" w:after="290" w:afterLines="0" w:afterAutospacing="0" w:line="372" w:lineRule="auto"/>
      <w:outlineLvl w:val="3"/>
    </w:pPr>
    <w:rPr>
      <w:rFonts w:ascii="Arial" w:hAnsi="Arial" w:eastAsia="黑体" w:cs="Times New Roman"/>
      <w:b/>
      <w:sz w:val="28"/>
    </w:rPr>
  </w:style>
  <w:style w:type="paragraph" w:styleId="6">
    <w:name w:val="heading 5"/>
    <w:basedOn w:val="1"/>
    <w:next w:val="7"/>
    <w:link w:val="42"/>
    <w:unhideWhenUsed/>
    <w:qFormat/>
    <w:uiPriority w:val="0"/>
    <w:pPr>
      <w:keepNext/>
      <w:keepLines/>
      <w:spacing w:before="280" w:after="290" w:line="376" w:lineRule="auto"/>
      <w:outlineLvl w:val="4"/>
    </w:pPr>
    <w:rPr>
      <w:b/>
      <w:bCs/>
      <w:sz w:val="28"/>
      <w:szCs w:val="28"/>
    </w:rPr>
  </w:style>
  <w:style w:type="paragraph" w:styleId="8">
    <w:name w:val="heading 8"/>
    <w:basedOn w:val="1"/>
    <w:next w:val="1"/>
    <w:link w:val="43"/>
    <w:unhideWhenUsed/>
    <w:qFormat/>
    <w:uiPriority w:val="0"/>
    <w:pPr>
      <w:keepNext/>
      <w:keepLines/>
      <w:spacing w:before="240" w:after="64" w:line="320" w:lineRule="auto"/>
      <w:outlineLvl w:val="7"/>
    </w:pPr>
    <w:rPr>
      <w:rFonts w:ascii="等线 Light" w:hAnsi="等线 Light" w:eastAsia="等线 Light"/>
      <w:sz w:val="24"/>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9">
    <w:name w:val="index 8"/>
    <w:next w:val="1"/>
    <w:qFormat/>
    <w:uiPriority w:val="0"/>
    <w:pPr>
      <w:widowControl w:val="0"/>
      <w:ind w:left="2940"/>
      <w:jc w:val="both"/>
    </w:pPr>
    <w:rPr>
      <w:rFonts w:ascii="Times New Roman" w:hAnsi="Times New Roman" w:eastAsia="宋体" w:cs="Times New Roman"/>
      <w:kern w:val="2"/>
      <w:sz w:val="21"/>
      <w:szCs w:val="24"/>
      <w:lang w:val="en-US" w:eastAsia="zh-CN" w:bidi="ar-SA"/>
    </w:rPr>
  </w:style>
  <w:style w:type="paragraph" w:styleId="10">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1">
    <w:name w:val="annotation text"/>
    <w:basedOn w:val="1"/>
    <w:link w:val="44"/>
    <w:qFormat/>
    <w:uiPriority w:val="0"/>
    <w:pPr>
      <w:jc w:val="left"/>
    </w:pPr>
  </w:style>
  <w:style w:type="paragraph" w:styleId="12">
    <w:name w:val="Body Text 3"/>
    <w:basedOn w:val="1"/>
    <w:link w:val="45"/>
    <w:qFormat/>
    <w:uiPriority w:val="0"/>
    <w:pPr>
      <w:spacing w:after="120"/>
    </w:pPr>
    <w:rPr>
      <w:sz w:val="16"/>
      <w:szCs w:val="16"/>
    </w:rPr>
  </w:style>
  <w:style w:type="paragraph" w:styleId="13">
    <w:name w:val="Body Text"/>
    <w:basedOn w:val="1"/>
    <w:link w:val="46"/>
    <w:qFormat/>
    <w:uiPriority w:val="0"/>
    <w:pPr>
      <w:spacing w:after="120"/>
    </w:pPr>
  </w:style>
  <w:style w:type="paragraph" w:styleId="14">
    <w:name w:val="Body Text Indent"/>
    <w:basedOn w:val="1"/>
    <w:link w:val="47"/>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contextualSpacing/>
    </w:pPr>
  </w:style>
  <w:style w:type="paragraph" w:styleId="16">
    <w:name w:val="toc 3"/>
    <w:basedOn w:val="1"/>
    <w:next w:val="1"/>
    <w:qFormat/>
    <w:uiPriority w:val="0"/>
    <w:pPr>
      <w:ind w:left="840" w:leftChars="400"/>
    </w:pPr>
  </w:style>
  <w:style w:type="paragraph" w:styleId="17">
    <w:name w:val="Plain Text"/>
    <w:basedOn w:val="1"/>
    <w:next w:val="1"/>
    <w:link w:val="48"/>
    <w:qFormat/>
    <w:uiPriority w:val="0"/>
    <w:rPr>
      <w:rFonts w:ascii="宋体" w:hAnsi="Courier New"/>
      <w:kern w:val="0"/>
      <w:sz w:val="20"/>
      <w:szCs w:val="21"/>
    </w:rPr>
  </w:style>
  <w:style w:type="paragraph" w:styleId="18">
    <w:name w:val="Date"/>
    <w:basedOn w:val="1"/>
    <w:next w:val="1"/>
    <w:link w:val="49"/>
    <w:qFormat/>
    <w:uiPriority w:val="0"/>
    <w:pPr>
      <w:ind w:left="100" w:leftChars="2500"/>
    </w:pPr>
  </w:style>
  <w:style w:type="paragraph" w:styleId="19">
    <w:name w:val="Body Text Indent 2"/>
    <w:qFormat/>
    <w:uiPriority w:val="99"/>
    <w:pPr>
      <w:widowControl w:val="0"/>
      <w:spacing w:after="120" w:line="480" w:lineRule="auto"/>
      <w:ind w:left="420" w:leftChars="200"/>
      <w:jc w:val="both"/>
    </w:pPr>
    <w:rPr>
      <w:rFonts w:ascii="Times New Roman" w:hAnsi="Times New Roman" w:eastAsia="宋体" w:cs="Times New Roman"/>
      <w:kern w:val="2"/>
      <w:sz w:val="24"/>
      <w:szCs w:val="24"/>
      <w:lang w:val="en-US" w:eastAsia="zh-CN" w:bidi="ar-SA"/>
    </w:rPr>
  </w:style>
  <w:style w:type="paragraph" w:styleId="20">
    <w:name w:val="Balloon Text"/>
    <w:basedOn w:val="1"/>
    <w:link w:val="50"/>
    <w:qFormat/>
    <w:uiPriority w:val="0"/>
    <w:rPr>
      <w:sz w:val="18"/>
      <w:szCs w:val="18"/>
    </w:rPr>
  </w:style>
  <w:style w:type="paragraph" w:styleId="21">
    <w:name w:val="footer"/>
    <w:basedOn w:val="1"/>
    <w:link w:val="51"/>
    <w:qFormat/>
    <w:uiPriority w:val="0"/>
    <w:pPr>
      <w:tabs>
        <w:tab w:val="center" w:pos="4153"/>
        <w:tab w:val="right" w:pos="8306"/>
      </w:tabs>
      <w:snapToGrid w:val="0"/>
      <w:jc w:val="left"/>
    </w:pPr>
    <w:rPr>
      <w:kern w:val="0"/>
      <w:sz w:val="18"/>
      <w:szCs w:val="18"/>
    </w:rPr>
  </w:style>
  <w:style w:type="paragraph" w:styleId="22">
    <w:name w:val="header"/>
    <w:basedOn w:val="1"/>
    <w:link w:val="52"/>
    <w:qFormat/>
    <w:uiPriority w:val="0"/>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qFormat/>
    <w:uiPriority w:val="0"/>
  </w:style>
  <w:style w:type="paragraph" w:styleId="24">
    <w:name w:val="List"/>
    <w:basedOn w:val="1"/>
    <w:qFormat/>
    <w:uiPriority w:val="0"/>
    <w:pPr>
      <w:ind w:left="200" w:hanging="200" w:hangingChars="200"/>
      <w:contextualSpacing/>
    </w:pPr>
  </w:style>
  <w:style w:type="paragraph" w:styleId="25">
    <w:name w:val="footnote text"/>
    <w:qFormat/>
    <w:uiPriority w:val="0"/>
    <w:pPr>
      <w:widowControl w:val="0"/>
      <w:adjustRightInd w:val="0"/>
      <w:spacing w:line="312" w:lineRule="atLeast"/>
      <w:jc w:val="left"/>
      <w:textAlignment w:val="baseline"/>
    </w:pPr>
    <w:rPr>
      <w:rFonts w:ascii="Times New Roman" w:hAnsi="Times New Roman" w:eastAsia="宋体" w:cs="Times New Roman"/>
      <w:kern w:val="0"/>
      <w:sz w:val="18"/>
      <w:szCs w:val="18"/>
      <w:lang w:val="en-US" w:eastAsia="zh-CN" w:bidi="ar-SA"/>
    </w:rPr>
  </w:style>
  <w:style w:type="paragraph" w:styleId="26">
    <w:name w:val="toc 2"/>
    <w:basedOn w:val="1"/>
    <w:next w:val="1"/>
    <w:qFormat/>
    <w:uiPriority w:val="0"/>
    <w:pPr>
      <w:tabs>
        <w:tab w:val="right" w:leader="dot" w:pos="8296"/>
      </w:tabs>
      <w:ind w:left="420" w:leftChars="200"/>
    </w:pPr>
  </w:style>
  <w:style w:type="paragraph" w:styleId="27">
    <w:name w:val="Normal (Web)"/>
    <w:basedOn w:val="1"/>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8">
    <w:name w:val="annotation subject"/>
    <w:basedOn w:val="11"/>
    <w:next w:val="11"/>
    <w:link w:val="53"/>
    <w:qFormat/>
    <w:uiPriority w:val="0"/>
    <w:rPr>
      <w:b/>
      <w:bCs/>
    </w:rPr>
  </w:style>
  <w:style w:type="table" w:styleId="30">
    <w:name w:val="Table Grid"/>
    <w:basedOn w:val="2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endnote reference"/>
    <w:qFormat/>
    <w:uiPriority w:val="0"/>
    <w:rPr>
      <w:vertAlign w:val="superscript"/>
    </w:rPr>
  </w:style>
  <w:style w:type="character" w:styleId="33">
    <w:name w:val="page number"/>
    <w:qFormat/>
    <w:uiPriority w:val="0"/>
  </w:style>
  <w:style w:type="character" w:styleId="34">
    <w:name w:val="FollowedHyperlink"/>
    <w:qFormat/>
    <w:uiPriority w:val="0"/>
    <w:rPr>
      <w:color w:val="800080"/>
      <w:u w:val="single"/>
    </w:rPr>
  </w:style>
  <w:style w:type="character" w:styleId="35">
    <w:name w:val="Hyperlink"/>
    <w:qFormat/>
    <w:uiPriority w:val="0"/>
    <w:rPr>
      <w:color w:val="0000FF"/>
      <w:u w:val="single"/>
    </w:rPr>
  </w:style>
  <w:style w:type="character" w:styleId="36">
    <w:name w:val="annotation reference"/>
    <w:qFormat/>
    <w:uiPriority w:val="0"/>
    <w:rPr>
      <w:sz w:val="21"/>
      <w:szCs w:val="21"/>
    </w:rPr>
  </w:style>
  <w:style w:type="character" w:styleId="37">
    <w:name w:val="footnote reference"/>
    <w:unhideWhenUsed/>
    <w:qFormat/>
    <w:uiPriority w:val="0"/>
    <w:rPr>
      <w:vertAlign w:val="superscript"/>
    </w:rPr>
  </w:style>
  <w:style w:type="character" w:customStyle="1" w:styleId="38">
    <w:name w:val="标题 1 字符2"/>
    <w:link w:val="2"/>
    <w:qFormat/>
    <w:uiPriority w:val="9"/>
    <w:rPr>
      <w:b/>
      <w:bCs/>
      <w:kern w:val="44"/>
      <w:sz w:val="44"/>
      <w:szCs w:val="44"/>
    </w:rPr>
  </w:style>
  <w:style w:type="character" w:customStyle="1" w:styleId="39">
    <w:name w:val="标题 2 字符1"/>
    <w:link w:val="3"/>
    <w:qFormat/>
    <w:uiPriority w:val="9"/>
    <w:rPr>
      <w:rFonts w:ascii="Cambria" w:hAnsi="Cambria" w:eastAsia="宋体" w:cs="Times New Roman"/>
      <w:b/>
      <w:bCs/>
      <w:kern w:val="2"/>
      <w:sz w:val="32"/>
      <w:szCs w:val="32"/>
    </w:rPr>
  </w:style>
  <w:style w:type="character" w:customStyle="1" w:styleId="40">
    <w:name w:val="标题 3 字符1"/>
    <w:link w:val="4"/>
    <w:qFormat/>
    <w:uiPriority w:val="9"/>
    <w:rPr>
      <w:b/>
      <w:bCs/>
      <w:kern w:val="2"/>
      <w:sz w:val="32"/>
      <w:szCs w:val="32"/>
    </w:rPr>
  </w:style>
  <w:style w:type="character" w:customStyle="1" w:styleId="41">
    <w:name w:val="标题 4 Char"/>
    <w:link w:val="5"/>
    <w:qFormat/>
    <w:uiPriority w:val="0"/>
    <w:rPr>
      <w:rFonts w:ascii="Arial" w:hAnsi="Arial" w:eastAsia="黑体" w:cs="Times New Roman"/>
      <w:b/>
      <w:sz w:val="28"/>
    </w:rPr>
  </w:style>
  <w:style w:type="character" w:customStyle="1" w:styleId="42">
    <w:name w:val="标题 5 字符1"/>
    <w:link w:val="6"/>
    <w:qFormat/>
    <w:uiPriority w:val="9"/>
    <w:rPr>
      <w:rFonts w:ascii="Times New Roman" w:hAnsi="Times New Roman"/>
      <w:b/>
      <w:bCs/>
      <w:kern w:val="2"/>
      <w:sz w:val="28"/>
      <w:szCs w:val="28"/>
    </w:rPr>
  </w:style>
  <w:style w:type="character" w:customStyle="1" w:styleId="43">
    <w:name w:val="标题 8 字符1"/>
    <w:link w:val="8"/>
    <w:qFormat/>
    <w:uiPriority w:val="9"/>
    <w:rPr>
      <w:rFonts w:ascii="等线 Light" w:hAnsi="等线 Light" w:eastAsia="等线 Light" w:cs="Times New Roman"/>
      <w:kern w:val="2"/>
      <w:sz w:val="24"/>
      <w:szCs w:val="24"/>
    </w:rPr>
  </w:style>
  <w:style w:type="character" w:customStyle="1" w:styleId="44">
    <w:name w:val="批注文字 字符3"/>
    <w:link w:val="11"/>
    <w:qFormat/>
    <w:uiPriority w:val="0"/>
    <w:rPr>
      <w:rFonts w:ascii="Times New Roman" w:hAnsi="Times New Roman"/>
      <w:kern w:val="2"/>
      <w:sz w:val="21"/>
      <w:szCs w:val="24"/>
    </w:rPr>
  </w:style>
  <w:style w:type="character" w:customStyle="1" w:styleId="45">
    <w:name w:val="正文文本 3 字符1"/>
    <w:link w:val="12"/>
    <w:qFormat/>
    <w:uiPriority w:val="99"/>
    <w:rPr>
      <w:kern w:val="2"/>
      <w:sz w:val="16"/>
      <w:szCs w:val="16"/>
    </w:rPr>
  </w:style>
  <w:style w:type="character" w:customStyle="1" w:styleId="46">
    <w:name w:val="正文文本 字符2"/>
    <w:link w:val="13"/>
    <w:qFormat/>
    <w:uiPriority w:val="0"/>
    <w:rPr>
      <w:rFonts w:ascii="Times New Roman" w:hAnsi="Times New Roman"/>
      <w:kern w:val="2"/>
      <w:sz w:val="21"/>
      <w:szCs w:val="24"/>
    </w:rPr>
  </w:style>
  <w:style w:type="character" w:customStyle="1" w:styleId="47">
    <w:name w:val="正文文本缩进 字符1"/>
    <w:link w:val="14"/>
    <w:qFormat/>
    <w:uiPriority w:val="0"/>
    <w:rPr>
      <w:rFonts w:ascii="仿宋_GB2312" w:hAnsi="Times New Roman" w:eastAsia="仿宋_GB2312" w:cs="Times New Roman"/>
      <w:sz w:val="32"/>
      <w:szCs w:val="20"/>
    </w:rPr>
  </w:style>
  <w:style w:type="character" w:customStyle="1" w:styleId="48">
    <w:name w:val="纯文本 字符4"/>
    <w:link w:val="17"/>
    <w:qFormat/>
    <w:uiPriority w:val="0"/>
    <w:rPr>
      <w:rFonts w:ascii="宋体" w:hAnsi="Courier New" w:eastAsia="宋体" w:cs="Courier New"/>
      <w:szCs w:val="21"/>
    </w:rPr>
  </w:style>
  <w:style w:type="character" w:customStyle="1" w:styleId="49">
    <w:name w:val="日期 字符1"/>
    <w:link w:val="18"/>
    <w:qFormat/>
    <w:uiPriority w:val="99"/>
    <w:rPr>
      <w:rFonts w:ascii="Times New Roman" w:hAnsi="Times New Roman"/>
      <w:kern w:val="2"/>
      <w:sz w:val="21"/>
      <w:szCs w:val="24"/>
    </w:rPr>
  </w:style>
  <w:style w:type="character" w:customStyle="1" w:styleId="50">
    <w:name w:val="批注框文本 字符"/>
    <w:link w:val="20"/>
    <w:semiHidden/>
    <w:qFormat/>
    <w:uiPriority w:val="99"/>
    <w:rPr>
      <w:kern w:val="2"/>
      <w:sz w:val="18"/>
      <w:szCs w:val="18"/>
    </w:rPr>
  </w:style>
  <w:style w:type="character" w:customStyle="1" w:styleId="51">
    <w:name w:val="页脚 字符1"/>
    <w:link w:val="21"/>
    <w:qFormat/>
    <w:uiPriority w:val="99"/>
    <w:rPr>
      <w:sz w:val="18"/>
      <w:szCs w:val="18"/>
    </w:rPr>
  </w:style>
  <w:style w:type="character" w:customStyle="1" w:styleId="52">
    <w:name w:val="页眉 字符1"/>
    <w:link w:val="22"/>
    <w:qFormat/>
    <w:uiPriority w:val="99"/>
    <w:rPr>
      <w:sz w:val="18"/>
      <w:szCs w:val="18"/>
    </w:rPr>
  </w:style>
  <w:style w:type="character" w:customStyle="1" w:styleId="53">
    <w:name w:val="批注主题 字符1"/>
    <w:link w:val="28"/>
    <w:qFormat/>
    <w:uiPriority w:val="99"/>
    <w:rPr>
      <w:rFonts w:ascii="Times New Roman" w:hAnsi="Times New Roman"/>
      <w:b/>
      <w:bCs/>
      <w:kern w:val="2"/>
      <w:sz w:val="21"/>
      <w:szCs w:val="24"/>
    </w:rPr>
  </w:style>
  <w:style w:type="character" w:customStyle="1" w:styleId="54">
    <w:name w:val="标题 3 Char"/>
    <w:link w:val="4"/>
    <w:qFormat/>
    <w:uiPriority w:val="0"/>
    <w:rPr>
      <w:rFonts w:ascii="宋体" w:hAnsi="宋体" w:eastAsia="宋体" w:cs="宋体"/>
      <w:b/>
      <w:sz w:val="28"/>
    </w:rPr>
  </w:style>
  <w:style w:type="character" w:customStyle="1" w:styleId="55">
    <w:name w:val="纯文本 字符2"/>
    <w:qFormat/>
    <w:uiPriority w:val="0"/>
    <w:rPr>
      <w:rFonts w:ascii="宋体" w:hAnsi="Courier New" w:eastAsia="宋体" w:cs="Courier New"/>
      <w:szCs w:val="21"/>
    </w:rPr>
  </w:style>
  <w:style w:type="character" w:customStyle="1" w:styleId="56">
    <w:name w:val="apple-style-span"/>
    <w:qFormat/>
    <w:uiPriority w:val="0"/>
  </w:style>
  <w:style w:type="character" w:customStyle="1" w:styleId="57">
    <w:name w:val="标题 2 Char"/>
    <w:qFormat/>
    <w:uiPriority w:val="9"/>
    <w:rPr>
      <w:rFonts w:ascii="Cambria" w:hAnsi="Cambria" w:eastAsia="宋体" w:cs="Times New Roman"/>
      <w:b/>
      <w:bCs/>
      <w:kern w:val="2"/>
      <w:sz w:val="32"/>
      <w:szCs w:val="32"/>
    </w:rPr>
  </w:style>
  <w:style w:type="character" w:customStyle="1" w:styleId="58">
    <w:name w:val="纯文本 字符"/>
    <w:qFormat/>
    <w:uiPriority w:val="0"/>
    <w:rPr>
      <w:rFonts w:ascii="宋体" w:hAnsi="Courier New" w:eastAsia="宋体" w:cs="Courier New"/>
      <w:szCs w:val="21"/>
    </w:rPr>
  </w:style>
  <w:style w:type="character" w:customStyle="1" w:styleId="59">
    <w:name w:val="纯文本 字符1"/>
    <w:qFormat/>
    <w:uiPriority w:val="0"/>
    <w:rPr>
      <w:rFonts w:ascii="宋体" w:hAnsi="Courier New"/>
    </w:rPr>
  </w:style>
  <w:style w:type="character" w:customStyle="1" w:styleId="60">
    <w:name w:val="标题 8 Char"/>
    <w:qFormat/>
    <w:uiPriority w:val="0"/>
    <w:rPr>
      <w:rFonts w:ascii="Arial" w:hAnsi="Arial" w:eastAsia="黑体"/>
      <w:kern w:val="2"/>
      <w:sz w:val="24"/>
      <w:szCs w:val="24"/>
    </w:rPr>
  </w:style>
  <w:style w:type="character" w:customStyle="1" w:styleId="61">
    <w:name w:val="纯文本 Char"/>
    <w:qFormat/>
    <w:uiPriority w:val="0"/>
    <w:rPr>
      <w:rFonts w:ascii="宋体" w:hAnsi="Courier New" w:eastAsia="宋体" w:cs="Courier New"/>
      <w:szCs w:val="21"/>
    </w:rPr>
  </w:style>
  <w:style w:type="character" w:customStyle="1" w:styleId="62">
    <w:name w:val="正文文本 Char"/>
    <w:qFormat/>
    <w:uiPriority w:val="0"/>
    <w:rPr>
      <w:rFonts w:ascii="Times New Roman" w:hAnsi="Times New Roman"/>
      <w:kern w:val="2"/>
      <w:sz w:val="21"/>
      <w:szCs w:val="24"/>
    </w:rPr>
  </w:style>
  <w:style w:type="character" w:customStyle="1" w:styleId="63">
    <w:name w:val="批注文字 字符1"/>
    <w:qFormat/>
    <w:uiPriority w:val="0"/>
    <w:rPr>
      <w:rFonts w:ascii="Times New Roman" w:hAnsi="Times New Roman"/>
      <w:kern w:val="2"/>
      <w:sz w:val="21"/>
      <w:szCs w:val="24"/>
    </w:rPr>
  </w:style>
  <w:style w:type="character" w:customStyle="1" w:styleId="64">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5">
    <w:name w:val="标题 1 字符1"/>
    <w:qFormat/>
    <w:uiPriority w:val="0"/>
    <w:rPr>
      <w:b/>
      <w:bCs/>
      <w:kern w:val="44"/>
      <w:sz w:val="44"/>
      <w:szCs w:val="44"/>
    </w:rPr>
  </w:style>
  <w:style w:type="character" w:customStyle="1" w:styleId="66">
    <w:name w:val="正文文本 字符"/>
    <w:qFormat/>
    <w:uiPriority w:val="0"/>
    <w:rPr>
      <w:rFonts w:ascii="Times New Roman" w:hAnsi="Times New Roman"/>
      <w:kern w:val="2"/>
      <w:sz w:val="21"/>
      <w:szCs w:val="24"/>
    </w:rPr>
  </w:style>
  <w:style w:type="character" w:customStyle="1" w:styleId="67">
    <w:name w:val="批注文字 字符"/>
    <w:qFormat/>
    <w:uiPriority w:val="0"/>
    <w:rPr>
      <w:rFonts w:ascii="Times New Roman" w:hAnsi="Times New Roman"/>
      <w:kern w:val="2"/>
      <w:sz w:val="21"/>
      <w:szCs w:val="24"/>
    </w:rPr>
  </w:style>
  <w:style w:type="character" w:customStyle="1" w:styleId="68">
    <w:name w:val="textcontents"/>
    <w:qFormat/>
    <w:uiPriority w:val="0"/>
  </w:style>
  <w:style w:type="character" w:customStyle="1" w:styleId="69">
    <w:name w:val="批注文字 Char"/>
    <w:qFormat/>
    <w:uiPriority w:val="0"/>
    <w:rPr>
      <w:rFonts w:ascii="Times New Roman" w:hAnsi="Times New Roman"/>
      <w:kern w:val="2"/>
      <w:sz w:val="21"/>
      <w:szCs w:val="24"/>
    </w:rPr>
  </w:style>
  <w:style w:type="paragraph" w:customStyle="1" w:styleId="70">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71">
    <w:name w:val="List Paragraph"/>
    <w:basedOn w:val="1"/>
    <w:qFormat/>
    <w:uiPriority w:val="34"/>
    <w:pPr>
      <w:ind w:firstLine="420" w:firstLineChars="200"/>
    </w:pPr>
  </w:style>
  <w:style w:type="paragraph" w:customStyle="1" w:styleId="72">
    <w:name w:val="默认段落字体 Para Char Char Char Char Char Char Char Char Char1 Char Char Char Char"/>
    <w:basedOn w:val="1"/>
    <w:qFormat/>
    <w:uiPriority w:val="99"/>
    <w:rPr>
      <w:rFonts w:ascii="Tahoma" w:hAnsi="Tahoma"/>
      <w:sz w:val="24"/>
      <w:szCs w:val="20"/>
    </w:rPr>
  </w:style>
  <w:style w:type="paragraph" w:customStyle="1" w:styleId="73">
    <w:name w:val="Table Paragraph"/>
    <w:basedOn w:val="1"/>
    <w:qFormat/>
    <w:uiPriority w:val="1"/>
    <w:pPr>
      <w:jc w:val="left"/>
    </w:pPr>
    <w:rPr>
      <w:rFonts w:ascii="Calibri" w:hAnsi="Calibri"/>
      <w:kern w:val="0"/>
      <w:sz w:val="22"/>
      <w:szCs w:val="22"/>
      <w:lang w:eastAsia="en-US"/>
    </w:rPr>
  </w:style>
  <w:style w:type="paragraph" w:customStyle="1" w:styleId="74">
    <w:name w:val="Char Char Char Char"/>
    <w:basedOn w:val="1"/>
    <w:qFormat/>
    <w:uiPriority w:val="99"/>
    <w:pPr>
      <w:widowControl/>
      <w:spacing w:after="160" w:line="240" w:lineRule="exact"/>
      <w:jc w:val="left"/>
    </w:pPr>
  </w:style>
  <w:style w:type="character" w:customStyle="1" w:styleId="75">
    <w:name w:val="_Style 74"/>
    <w:unhideWhenUsed/>
    <w:qFormat/>
    <w:uiPriority w:val="99"/>
    <w:rPr>
      <w:color w:val="605E5C"/>
      <w:shd w:val="clear" w:color="auto" w:fill="E1DFDD"/>
    </w:rPr>
  </w:style>
  <w:style w:type="paragraph" w:customStyle="1" w:styleId="76">
    <w:name w:val="_Style 75"/>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lang w:val="en-US" w:eastAsia="zh-CN"/>
    </w:rPr>
  </w:style>
  <w:style w:type="character" w:customStyle="1" w:styleId="77">
    <w:name w:val="正文2 Char Char"/>
    <w:link w:val="78"/>
    <w:qFormat/>
    <w:uiPriority w:val="0"/>
    <w:rPr>
      <w:sz w:val="24"/>
    </w:rPr>
  </w:style>
  <w:style w:type="paragraph" w:customStyle="1" w:styleId="78">
    <w:name w:val="正文2"/>
    <w:basedOn w:val="1"/>
    <w:link w:val="77"/>
    <w:qFormat/>
    <w:uiPriority w:val="0"/>
    <w:pPr>
      <w:adjustRightInd w:val="0"/>
      <w:spacing w:before="156" w:line="360" w:lineRule="auto"/>
      <w:ind w:firstLine="510" w:firstLineChars="200"/>
    </w:pPr>
    <w:rPr>
      <w:kern w:val="0"/>
      <w:sz w:val="24"/>
      <w:szCs w:val="20"/>
    </w:rPr>
  </w:style>
  <w:style w:type="paragraph" w:customStyle="1" w:styleId="79">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80">
    <w:name w:val="正文缩进1"/>
    <w:basedOn w:val="1"/>
    <w:next w:val="14"/>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81">
    <w:name w:val="标题 1 字符"/>
    <w:qFormat/>
    <w:uiPriority w:val="9"/>
    <w:rPr>
      <w:b/>
      <w:bCs/>
      <w:kern w:val="44"/>
      <w:sz w:val="44"/>
      <w:szCs w:val="44"/>
    </w:rPr>
  </w:style>
  <w:style w:type="character" w:customStyle="1" w:styleId="82">
    <w:name w:val="标题 2 字符"/>
    <w:qFormat/>
    <w:uiPriority w:val="9"/>
    <w:rPr>
      <w:rFonts w:ascii="Cambria" w:hAnsi="Cambria"/>
      <w:b/>
      <w:bCs/>
      <w:kern w:val="2"/>
      <w:sz w:val="32"/>
      <w:szCs w:val="32"/>
    </w:rPr>
  </w:style>
  <w:style w:type="character" w:customStyle="1" w:styleId="83">
    <w:name w:val="标题 3 字符"/>
    <w:qFormat/>
    <w:uiPriority w:val="9"/>
    <w:rPr>
      <w:b/>
      <w:bCs/>
      <w:kern w:val="2"/>
      <w:sz w:val="32"/>
      <w:szCs w:val="32"/>
    </w:rPr>
  </w:style>
  <w:style w:type="character" w:customStyle="1" w:styleId="84">
    <w:name w:val="标题 5 字符"/>
    <w:qFormat/>
    <w:uiPriority w:val="9"/>
    <w:rPr>
      <w:b/>
      <w:bCs/>
      <w:kern w:val="2"/>
      <w:sz w:val="28"/>
      <w:szCs w:val="28"/>
    </w:rPr>
  </w:style>
  <w:style w:type="character" w:customStyle="1" w:styleId="85">
    <w:name w:val="标题 8 字符"/>
    <w:qFormat/>
    <w:uiPriority w:val="9"/>
    <w:rPr>
      <w:rFonts w:ascii="等线 Light" w:hAnsi="等线 Light" w:eastAsia="等线 Light"/>
      <w:kern w:val="2"/>
      <w:sz w:val="24"/>
      <w:szCs w:val="24"/>
    </w:rPr>
  </w:style>
  <w:style w:type="character" w:customStyle="1" w:styleId="86">
    <w:name w:val="批注文字 字符2"/>
    <w:qFormat/>
    <w:uiPriority w:val="99"/>
    <w:rPr>
      <w:kern w:val="2"/>
      <w:sz w:val="21"/>
      <w:szCs w:val="24"/>
    </w:rPr>
  </w:style>
  <w:style w:type="character" w:customStyle="1" w:styleId="87">
    <w:name w:val="正文文本 3 字符"/>
    <w:qFormat/>
    <w:uiPriority w:val="99"/>
    <w:rPr>
      <w:kern w:val="2"/>
      <w:sz w:val="16"/>
      <w:szCs w:val="16"/>
    </w:rPr>
  </w:style>
  <w:style w:type="character" w:customStyle="1" w:styleId="88">
    <w:name w:val="正文文本 字符1"/>
    <w:qFormat/>
    <w:uiPriority w:val="99"/>
    <w:rPr>
      <w:kern w:val="2"/>
      <w:sz w:val="21"/>
      <w:szCs w:val="24"/>
    </w:rPr>
  </w:style>
  <w:style w:type="character" w:customStyle="1" w:styleId="89">
    <w:name w:val="正文文本缩进 字符"/>
    <w:qFormat/>
    <w:uiPriority w:val="99"/>
    <w:rPr>
      <w:rFonts w:ascii="仿宋_GB2312" w:eastAsia="仿宋_GB2312"/>
      <w:sz w:val="32"/>
    </w:rPr>
  </w:style>
  <w:style w:type="character" w:customStyle="1" w:styleId="90">
    <w:name w:val="纯文本 字符3"/>
    <w:qFormat/>
    <w:uiPriority w:val="99"/>
    <w:rPr>
      <w:rFonts w:ascii="宋体" w:hAnsi="Courier New"/>
      <w:szCs w:val="21"/>
    </w:rPr>
  </w:style>
  <w:style w:type="character" w:customStyle="1" w:styleId="91">
    <w:name w:val="日期 字符"/>
    <w:qFormat/>
    <w:uiPriority w:val="99"/>
    <w:rPr>
      <w:kern w:val="2"/>
      <w:sz w:val="21"/>
      <w:szCs w:val="24"/>
    </w:rPr>
  </w:style>
  <w:style w:type="character" w:customStyle="1" w:styleId="92">
    <w:name w:val="页脚 字符"/>
    <w:qFormat/>
    <w:uiPriority w:val="99"/>
    <w:rPr>
      <w:sz w:val="18"/>
      <w:szCs w:val="18"/>
    </w:rPr>
  </w:style>
  <w:style w:type="character" w:customStyle="1" w:styleId="93">
    <w:name w:val="页眉 字符"/>
    <w:qFormat/>
    <w:uiPriority w:val="99"/>
    <w:rPr>
      <w:sz w:val="18"/>
      <w:szCs w:val="18"/>
    </w:rPr>
  </w:style>
  <w:style w:type="character" w:customStyle="1" w:styleId="94">
    <w:name w:val="批注主题 字符"/>
    <w:qFormat/>
    <w:uiPriority w:val="99"/>
    <w:rPr>
      <w:rFonts w:ascii="Times New Roman" w:hAnsi="Times New Roman"/>
      <w:b/>
      <w:bCs/>
      <w:kern w:val="2"/>
      <w:sz w:val="21"/>
      <w:szCs w:val="24"/>
    </w:rPr>
  </w:style>
  <w:style w:type="paragraph" w:customStyle="1" w:styleId="95">
    <w:name w:val="_Style 94"/>
    <w:basedOn w:val="1"/>
    <w:unhideWhenUsed/>
    <w:qFormat/>
    <w:uiPriority w:val="99"/>
  </w:style>
  <w:style w:type="paragraph" w:customStyle="1" w:styleId="96">
    <w:name w:val="_Style 95"/>
    <w:basedOn w:val="1"/>
    <w:unhideWhenUsed/>
    <w:qFormat/>
    <w:uiPriority w:val="99"/>
  </w:style>
  <w:style w:type="paragraph" w:customStyle="1" w:styleId="97">
    <w:name w:val="msonormal"/>
    <w:basedOn w:val="1"/>
    <w:qFormat/>
    <w:uiPriority w:val="99"/>
    <w:rPr>
      <w:rFonts w:ascii="Calibri" w:hAnsi="Calibri"/>
      <w:kern w:val="0"/>
      <w:sz w:val="24"/>
    </w:rPr>
  </w:style>
  <w:style w:type="character" w:customStyle="1" w:styleId="98">
    <w:name w:val="font51"/>
    <w:basedOn w:val="31"/>
    <w:qFormat/>
    <w:uiPriority w:val="0"/>
    <w:rPr>
      <w:rFonts w:hint="eastAsia" w:ascii="宋体" w:hAnsi="宋体" w:eastAsia="宋体" w:cs="宋体"/>
      <w:color w:val="000000"/>
      <w:sz w:val="18"/>
      <w:szCs w:val="18"/>
      <w:u w:val="none"/>
    </w:rPr>
  </w:style>
  <w:style w:type="character" w:customStyle="1" w:styleId="99">
    <w:name w:val="font11"/>
    <w:basedOn w:val="31"/>
    <w:qFormat/>
    <w:uiPriority w:val="0"/>
    <w:rPr>
      <w:rFonts w:hint="eastAsia" w:ascii="宋体" w:hAnsi="宋体" w:eastAsia="宋体" w:cs="宋体"/>
      <w:color w:val="000000"/>
      <w:sz w:val="18"/>
      <w:szCs w:val="18"/>
      <w:u w:val="none"/>
    </w:rPr>
  </w:style>
  <w:style w:type="character" w:customStyle="1" w:styleId="100">
    <w:name w:val="font21"/>
    <w:basedOn w:val="31"/>
    <w:qFormat/>
    <w:uiPriority w:val="0"/>
    <w:rPr>
      <w:rFonts w:hint="eastAsia" w:ascii="宋体" w:hAnsi="宋体" w:eastAsia="宋体" w:cs="宋体"/>
      <w:b/>
      <w:bCs/>
      <w:color w:val="000000"/>
      <w:sz w:val="18"/>
      <w:szCs w:val="18"/>
      <w:u w:val="none"/>
    </w:rPr>
  </w:style>
  <w:style w:type="character" w:customStyle="1" w:styleId="101">
    <w:name w:val="font31"/>
    <w:basedOn w:val="31"/>
    <w:qFormat/>
    <w:uiPriority w:val="0"/>
    <w:rPr>
      <w:rFonts w:hint="default" w:ascii="Times New Roman" w:hAnsi="Times New Roman" w:eastAsia="宋体" w:cs="Times New Roman"/>
      <w:color w:val="000000"/>
      <w:sz w:val="18"/>
      <w:szCs w:val="18"/>
      <w:u w:val="none"/>
    </w:rPr>
  </w:style>
  <w:style w:type="paragraph" w:customStyle="1" w:styleId="102">
    <w:name w:val="WPSOffice手动目录 1"/>
    <w:qFormat/>
    <w:uiPriority w:val="0"/>
    <w:pPr>
      <w:ind w:leftChars="0"/>
    </w:pPr>
    <w:rPr>
      <w:rFonts w:ascii="Calibri" w:hAnsi="Calibri" w:eastAsia="宋体" w:cs="Times New Roman"/>
      <w:sz w:val="20"/>
      <w:szCs w:val="20"/>
    </w:rPr>
  </w:style>
  <w:style w:type="paragraph" w:customStyle="1" w:styleId="103">
    <w:name w:val="WPSOffice手动目录 2"/>
    <w:qFormat/>
    <w:uiPriority w:val="0"/>
    <w:pPr>
      <w:ind w:leftChars="200"/>
    </w:pPr>
    <w:rPr>
      <w:rFonts w:ascii="Calibri" w:hAnsi="Calibri" w:eastAsia="宋体" w:cs="Times New Roman"/>
      <w:sz w:val="20"/>
      <w:szCs w:val="20"/>
    </w:rPr>
  </w:style>
  <w:style w:type="paragraph" w:customStyle="1" w:styleId="104">
    <w:name w:val="WPSOffice手动目录 3"/>
    <w:qFormat/>
    <w:uiPriority w:val="0"/>
    <w:pPr>
      <w:ind w:leftChars="400"/>
    </w:pPr>
    <w:rPr>
      <w:rFonts w:ascii="Calibri" w:hAnsi="Calibri" w:eastAsia="宋体" w:cs="Times New Roman"/>
      <w:sz w:val="20"/>
      <w:szCs w:val="20"/>
    </w:rPr>
  </w:style>
  <w:style w:type="paragraph" w:customStyle="1" w:styleId="105">
    <w:name w:val="_Style 142"/>
    <w:next w:val="71"/>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106">
    <w:name w:val="Body text|1"/>
    <w:qFormat/>
    <w:uiPriority w:val="0"/>
    <w:pPr>
      <w:widowControl w:val="0"/>
      <w:spacing w:line="360" w:lineRule="auto"/>
      <w:ind w:firstLine="400"/>
      <w:jc w:val="both"/>
    </w:pPr>
    <w:rPr>
      <w:rFonts w:ascii="宋体" w:hAnsi="宋体" w:eastAsia="宋体" w:cs="宋体"/>
      <w:kern w:val="2"/>
      <w:sz w:val="21"/>
      <w:szCs w:val="20"/>
      <w:lang w:val="zh-CN" w:eastAsia="zh-CN" w:bidi="zh-CN"/>
    </w:rPr>
  </w:style>
  <w:style w:type="paragraph" w:customStyle="1" w:styleId="107">
    <w:name w:val="表格文字"/>
    <w:qFormat/>
    <w:uiPriority w:val="0"/>
    <w:pPr>
      <w:widowControl w:val="0"/>
      <w:adjustRightInd w:val="0"/>
      <w:snapToGrid w:val="0"/>
      <w:jc w:val="center"/>
    </w:pPr>
    <w:rPr>
      <w:rFonts w:ascii="Times New Roman" w:hAnsi="Times New Roman" w:eastAsia="宋体" w:cs="Times New Roman"/>
      <w:kern w:val="0"/>
      <w:sz w:val="24"/>
      <w:szCs w:val="24"/>
      <w:lang w:val="en-US" w:eastAsia="zh-CN" w:bidi="ar-SA"/>
    </w:rPr>
  </w:style>
  <w:style w:type="paragraph" w:customStyle="1" w:styleId="108">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9">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10">
    <w:name w:val="首行缩进"/>
    <w:qFormat/>
    <w:uiPriority w:val="99"/>
    <w:pPr>
      <w:widowControl w:val="0"/>
      <w:ind w:firstLine="480" w:firstLineChars="200"/>
      <w:jc w:val="both"/>
    </w:pPr>
    <w:rPr>
      <w:rFonts w:ascii="Times New Roman" w:hAnsi="Times New Roman" w:eastAsia="宋体" w:cs="Times New Roman"/>
      <w:kern w:val="2"/>
      <w:sz w:val="21"/>
      <w:szCs w:val="24"/>
      <w:lang w:val="zh-CN" w:eastAsia="zh-CN" w:bidi="ar-SA"/>
    </w:rPr>
  </w:style>
  <w:style w:type="paragraph" w:customStyle="1" w:styleId="111">
    <w:name w:val="正文文本 (2)4"/>
    <w:qFormat/>
    <w:uiPriority w:val="0"/>
    <w:pPr>
      <w:widowControl w:val="0"/>
      <w:shd w:val="clear" w:color="auto" w:fill="FFFFFF"/>
      <w:autoSpaceDE/>
      <w:autoSpaceDN/>
      <w:adjustRightInd/>
      <w:spacing w:before="300" w:line="439" w:lineRule="exact"/>
      <w:jc w:val="distribute"/>
    </w:pPr>
    <w:rPr>
      <w:rFonts w:hint="default" w:ascii="MingLiU" w:hAnsi="MingLiU" w:eastAsia="MingLiU" w:cs="Times New Roman"/>
      <w:spacing w:val="20"/>
      <w:kern w:val="2"/>
      <w:sz w:val="22"/>
      <w:szCs w:val="22"/>
      <w:shd w:val="clear" w:color="auto" w:fill="FFFFFF"/>
      <w:lang w:val="en-US" w:eastAsia="zh-CN" w:bidi="ar-SA"/>
    </w:rPr>
  </w:style>
  <w:style w:type="character" w:customStyle="1" w:styleId="112">
    <w:name w:val="正文文本 (2) + 间距 0 pt2"/>
    <w:qFormat/>
    <w:uiPriority w:val="0"/>
    <w:rPr>
      <w:rFonts w:ascii="MingLiU" w:hAnsi="MingLiU" w:eastAsia="MingLiU" w:cs="MingLiU"/>
      <w:color w:val="000000"/>
      <w:spacing w:val="0"/>
      <w:w w:val="100"/>
      <w:position w:val="0"/>
      <w:sz w:val="22"/>
      <w:szCs w:val="22"/>
      <w:u w:val="none"/>
      <w:shd w:val="clear" w:color="auto" w:fill="FFFFFF"/>
      <w:lang w:val="zh-CN" w:eastAsia="zh-CN" w:bidi="zh-CN"/>
    </w:rPr>
  </w:style>
  <w:style w:type="paragraph" w:customStyle="1" w:styleId="113">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Table Text"/>
    <w:basedOn w:val="113"/>
    <w:semiHidden/>
    <w:qFormat/>
    <w:uiPriority w:val="0"/>
    <w:rPr>
      <w:rFonts w:ascii="宋体" w:hAnsi="宋体" w:cs="宋体"/>
      <w:szCs w:val="21"/>
      <w:lang w:eastAsia="en-US"/>
    </w:rPr>
  </w:style>
  <w:style w:type="table" w:customStyle="1" w:styleId="115">
    <w:name w:val="Table Normal"/>
    <w:unhideWhenUsed/>
    <w:qFormat/>
    <w:uiPriority w:val="2"/>
    <w:rPr>
      <w:rFonts w:ascii="Calibri" w:hAnsi="Calibri"/>
      <w:lang w:val="en-US" w:eastAsia="zh-CN" w:bidi="ar-SA"/>
    </w:rPr>
    <w:tblPr>
      <w:tblCellMar>
        <w:top w:w="0" w:type="dxa"/>
        <w:left w:w="0" w:type="dxa"/>
        <w:bottom w:w="0" w:type="dxa"/>
        <w:right w:w="0" w:type="dxa"/>
      </w:tblCellMar>
    </w:tblPr>
  </w:style>
  <w:style w:type="paragraph" w:customStyle="1" w:styleId="116">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7">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8">
    <w:name w:val="标题 2_0"/>
    <w:basedOn w:val="117"/>
    <w:next w:val="117"/>
    <w:qFormat/>
    <w:uiPriority w:val="9"/>
    <w:pPr>
      <w:keepNext/>
      <w:keepLines/>
      <w:spacing w:before="260" w:after="260" w:line="412" w:lineRule="auto"/>
      <w:outlineLvl w:val="1"/>
    </w:pPr>
    <w:rPr>
      <w:rFonts w:ascii="Arial" w:hAnsi="Arial" w:eastAsia="黑体"/>
      <w:b/>
      <w:sz w:val="32"/>
      <w:szCs w:val="20"/>
    </w:rPr>
  </w:style>
  <w:style w:type="paragraph" w:customStyle="1" w:styleId="119">
    <w:name w:val="标题 3_0"/>
    <w:basedOn w:val="117"/>
    <w:next w:val="117"/>
    <w:unhideWhenUsed/>
    <w:qFormat/>
    <w:uiPriority w:val="9"/>
    <w:pPr>
      <w:keepNext/>
      <w:keepLines/>
      <w:spacing w:before="260" w:after="260" w:line="416" w:lineRule="auto"/>
      <w:outlineLvl w:val="2"/>
    </w:pPr>
    <w:rPr>
      <w:b/>
      <w:bCs/>
      <w:sz w:val="32"/>
      <w:szCs w:val="32"/>
    </w:rPr>
  </w:style>
  <w:style w:type="paragraph" w:customStyle="1" w:styleId="120">
    <w:name w:val="正文_6"/>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81</Pages>
  <Words>5350</Words>
  <Characters>6097</Characters>
  <Lines>0</Lines>
  <Paragraphs>0</Paragraphs>
  <TotalTime>23</TotalTime>
  <ScaleCrop>false</ScaleCrop>
  <LinksUpToDate>false</LinksUpToDate>
  <CharactersWithSpaces>6152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2024-06-14T08:39:00Z</dcterms:created>
  <dc:creator>无知者无畏</dc:creator>
  <cp:lastModifiedBy>admin</cp:lastModifiedBy>
  <cp:lastPrinted>2021-08-26T02:26:00Z</cp:lastPrinted>
  <dcterms:modified xsi:type="dcterms:W3CDTF">2026-08-03T02:35:35Z</dcterms:modified>
  <dc:title>竞争性谈判文件规范</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2FD7D141118546C8BC233EE6FBEF24C4_13</vt:lpwstr>
  </property>
  <property fmtid="{D5CDD505-2E9C-101B-9397-08002B2CF9AE}" pid="4" name="KSOTemplateDocerSaveRecord">
    <vt:lpwstr>eyJoZGlkIjoiZThmNjAzMWJlZjFkMmQwODUwMTJkYzE2ODFiYmFmYTciLCJ1c2VySWQiOiIxMTQzODI0NTMxIn0=</vt:lpwstr>
  </property>
</Properties>
</file>