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D7EC7">
      <w:pPr>
        <w:tabs>
          <w:tab w:val="left" w:pos="7897"/>
        </w:tabs>
        <w:spacing w:before="120" w:beforeLines="50" w:line="360" w:lineRule="auto"/>
        <w:jc w:val="left"/>
        <w:rPr>
          <w:rFonts w:hint="eastAsia" w:ascii="宋体" w:hAnsi="宋体" w:eastAsia="宋体" w:cs="宋体"/>
          <w:color w:val="auto"/>
          <w:sz w:val="52"/>
          <w:szCs w:val="52"/>
          <w:highlight w:val="none"/>
          <w:lang w:val="en-US" w:eastAsia="zh-CN"/>
        </w:rPr>
      </w:pPr>
    </w:p>
    <w:p w14:paraId="0F50C949">
      <w:pPr>
        <w:tabs>
          <w:tab w:val="left" w:pos="7897"/>
        </w:tabs>
        <w:spacing w:before="120" w:beforeLines="50" w:line="360" w:lineRule="auto"/>
        <w:jc w:val="left"/>
        <w:rPr>
          <w:rFonts w:hint="eastAsia" w:ascii="宋体" w:hAnsi="宋体" w:eastAsia="宋体" w:cs="宋体"/>
          <w:color w:val="auto"/>
          <w:sz w:val="52"/>
          <w:szCs w:val="52"/>
          <w:highlight w:val="none"/>
          <w:lang w:eastAsia="zh-CN"/>
        </w:rPr>
      </w:pPr>
      <w:r>
        <w:rPr>
          <w:rFonts w:hint="eastAsia" w:ascii="宋体" w:hAnsi="宋体" w:eastAsia="宋体" w:cs="宋体"/>
          <w:color w:val="auto"/>
          <w:sz w:val="52"/>
          <w:szCs w:val="52"/>
          <w:highlight w:val="none"/>
          <w:lang w:val="en-US" w:eastAsia="zh-CN"/>
        </w:rPr>
        <w:tab/>
      </w:r>
      <w:r>
        <w:rPr>
          <w:rFonts w:hint="eastAsia" w:ascii="宋体" w:hAnsi="宋体" w:eastAsia="宋体" w:cs="宋体"/>
          <w:color w:val="auto"/>
          <w:sz w:val="52"/>
          <w:szCs w:val="52"/>
          <w:highlight w:val="none"/>
          <w:lang w:val="en-US" w:eastAsia="zh-CN"/>
        </w:rPr>
        <w:tab/>
      </w:r>
      <w:r>
        <w:rPr>
          <w:rFonts w:hint="eastAsia" w:ascii="宋体" w:hAnsi="宋体" w:eastAsia="宋体" w:cs="宋体"/>
          <w:color w:val="auto"/>
          <w:sz w:val="52"/>
          <w:szCs w:val="52"/>
          <w:highlight w:val="none"/>
          <w:lang w:eastAsia="zh-CN"/>
        </w:rPr>
        <w:tab/>
      </w:r>
    </w:p>
    <w:p w14:paraId="31A95E5B">
      <w:pPr>
        <w:spacing w:before="120" w:beforeLines="50" w:line="360" w:lineRule="auto"/>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南宁市政府采购</w:t>
      </w:r>
    </w:p>
    <w:p w14:paraId="38E60CA0">
      <w:pPr>
        <w:spacing w:before="120" w:beforeLines="50" w:line="360" w:lineRule="auto"/>
        <w:jc w:val="center"/>
        <w:rPr>
          <w:rFonts w:hint="eastAsia" w:ascii="宋体" w:hAnsi="宋体" w:eastAsia="宋体" w:cs="宋体"/>
          <w:color w:val="auto"/>
          <w:sz w:val="36"/>
          <w:szCs w:val="36"/>
          <w:highlight w:val="none"/>
        </w:rPr>
      </w:pPr>
    </w:p>
    <w:p w14:paraId="29DBA090">
      <w:pPr>
        <w:snapToGrid w:val="0"/>
        <w:spacing w:before="120"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竞争性磋商文件</w:t>
      </w:r>
    </w:p>
    <w:p w14:paraId="7A54B789">
      <w:pPr>
        <w:spacing w:before="240" w:beforeLines="100" w:after="120" w:afterLines="50"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（全流程电子化评标）</w:t>
      </w:r>
    </w:p>
    <w:p w14:paraId="09BB3504">
      <w:pPr>
        <w:spacing w:line="360" w:lineRule="auto"/>
        <w:rPr>
          <w:rFonts w:hint="eastAsia" w:ascii="宋体" w:hAnsi="宋体" w:eastAsia="宋体" w:cs="宋体"/>
          <w:b/>
          <w:color w:val="auto"/>
          <w:sz w:val="32"/>
          <w:szCs w:val="32"/>
          <w:highlight w:val="none"/>
        </w:rPr>
      </w:pPr>
    </w:p>
    <w:p w14:paraId="7DCA5D6B">
      <w:pPr>
        <w:spacing w:line="360" w:lineRule="auto"/>
        <w:jc w:val="center"/>
        <w:rPr>
          <w:rFonts w:hint="eastAsia" w:ascii="宋体" w:hAnsi="宋体" w:eastAsia="宋体" w:cs="宋体"/>
          <w:b/>
          <w:color w:val="auto"/>
          <w:sz w:val="32"/>
          <w:szCs w:val="32"/>
          <w:highlight w:val="none"/>
        </w:rPr>
      </w:pPr>
    </w:p>
    <w:p w14:paraId="225751C7">
      <w:pPr>
        <w:snapToGrid w:val="0"/>
        <w:spacing w:before="50" w:after="120" w:line="360" w:lineRule="auto"/>
        <w:ind w:firstLine="1684" w:firstLineChars="559"/>
        <w:rPr>
          <w:rFonts w:hint="eastAsia" w:ascii="宋体" w:hAnsi="宋体" w:eastAsia="宋体" w:cs="宋体"/>
          <w:b/>
          <w:bCs/>
          <w:color w:val="auto"/>
          <w:kern w:val="0"/>
          <w:sz w:val="30"/>
          <w:szCs w:val="30"/>
          <w:highlight w:val="none"/>
        </w:rPr>
      </w:pPr>
    </w:p>
    <w:p w14:paraId="76D93077">
      <w:pPr>
        <w:snapToGrid w:val="0"/>
        <w:spacing w:before="50" w:after="120" w:line="360" w:lineRule="auto"/>
        <w:ind w:left="2742" w:leftChars="600" w:hanging="1482" w:hangingChars="492"/>
        <w:rPr>
          <w:rFonts w:hint="eastAsia" w:ascii="宋体" w:hAnsi="宋体" w:eastAsia="宋体" w:cs="宋体"/>
          <w:b/>
          <w:bCs/>
          <w:color w:val="auto"/>
          <w:kern w:val="0"/>
          <w:sz w:val="30"/>
          <w:szCs w:val="30"/>
          <w:highlight w:val="none"/>
          <w:lang w:eastAsia="zh-CN"/>
        </w:rPr>
      </w:pPr>
      <w:r>
        <w:rPr>
          <w:rFonts w:hint="eastAsia" w:ascii="宋体" w:hAnsi="宋体" w:eastAsia="宋体" w:cs="宋体"/>
          <w:b/>
          <w:bCs/>
          <w:color w:val="auto"/>
          <w:kern w:val="0"/>
          <w:sz w:val="30"/>
          <w:szCs w:val="30"/>
          <w:highlight w:val="none"/>
        </w:rPr>
        <w:t>项目</w:t>
      </w:r>
      <w:r>
        <w:rPr>
          <w:rFonts w:hint="eastAsia" w:ascii="宋体" w:hAnsi="宋体" w:eastAsia="宋体" w:cs="宋体"/>
          <w:b/>
          <w:bCs/>
          <w:color w:val="auto"/>
          <w:w w:val="95"/>
          <w:kern w:val="0"/>
          <w:sz w:val="30"/>
          <w:szCs w:val="30"/>
          <w:highlight w:val="none"/>
        </w:rPr>
        <w:t>名称</w:t>
      </w:r>
      <w:r>
        <w:rPr>
          <w:rFonts w:hint="eastAsia" w:ascii="宋体" w:hAnsi="宋体" w:eastAsia="宋体" w:cs="宋体"/>
          <w:b/>
          <w:bCs/>
          <w:color w:val="auto"/>
          <w:kern w:val="0"/>
          <w:sz w:val="30"/>
          <w:szCs w:val="30"/>
          <w:highlight w:val="none"/>
        </w:rPr>
        <w:t>：</w:t>
      </w:r>
      <w:bookmarkStart w:id="0" w:name="OLE_LINK1"/>
      <w:r>
        <w:rPr>
          <w:rFonts w:hint="eastAsia" w:ascii="宋体" w:hAnsi="宋体" w:cs="宋体"/>
          <w:b/>
          <w:bCs/>
          <w:color w:val="auto"/>
          <w:kern w:val="0"/>
          <w:sz w:val="30"/>
          <w:szCs w:val="30"/>
          <w:highlight w:val="none"/>
          <w:lang w:eastAsia="zh-CN"/>
        </w:rPr>
        <w:t>南宁市衡阳西路第二幼儿园教学楼(阳光楼)维修工程</w:t>
      </w:r>
    </w:p>
    <w:bookmarkEnd w:id="0"/>
    <w:p w14:paraId="62CCEC39">
      <w:pPr>
        <w:snapToGrid w:val="0"/>
        <w:spacing w:before="50" w:after="120" w:line="360" w:lineRule="auto"/>
        <w:ind w:left="2742" w:leftChars="600" w:hanging="1482" w:hangingChars="492"/>
        <w:rPr>
          <w:rFonts w:hint="eastAsia" w:ascii="宋体" w:hAnsi="宋体" w:eastAsia="宋体" w:cs="宋体"/>
          <w:b/>
          <w:bCs/>
          <w:color w:val="auto"/>
          <w:kern w:val="0"/>
          <w:sz w:val="30"/>
          <w:szCs w:val="30"/>
          <w:highlight w:val="none"/>
          <w:lang w:eastAsia="zh-CN"/>
        </w:rPr>
      </w:pPr>
      <w:r>
        <w:rPr>
          <w:rFonts w:hint="eastAsia" w:ascii="宋体" w:hAnsi="宋体" w:eastAsia="宋体" w:cs="宋体"/>
          <w:b/>
          <w:bCs/>
          <w:color w:val="auto"/>
          <w:kern w:val="0"/>
          <w:sz w:val="30"/>
          <w:szCs w:val="30"/>
          <w:highlight w:val="none"/>
        </w:rPr>
        <w:t>项目</w:t>
      </w:r>
      <w:r>
        <w:rPr>
          <w:rFonts w:hint="eastAsia" w:ascii="宋体" w:hAnsi="宋体" w:eastAsia="宋体" w:cs="宋体"/>
          <w:b/>
          <w:bCs/>
          <w:color w:val="auto"/>
          <w:kern w:val="0"/>
          <w:sz w:val="30"/>
          <w:szCs w:val="30"/>
          <w:highlight w:val="none"/>
          <w:lang w:eastAsia="zh-CN"/>
        </w:rPr>
        <w:t>编号：</w:t>
      </w:r>
      <w:r>
        <w:rPr>
          <w:rFonts w:hint="eastAsia" w:ascii="宋体" w:hAnsi="宋体" w:cs="宋体"/>
          <w:b/>
          <w:bCs/>
          <w:color w:val="auto"/>
          <w:kern w:val="0"/>
          <w:sz w:val="30"/>
          <w:szCs w:val="30"/>
          <w:highlight w:val="none"/>
          <w:lang w:eastAsia="zh-CN"/>
        </w:rPr>
        <w:t>NNZC2026-C2-070045-GXGG</w:t>
      </w:r>
    </w:p>
    <w:p w14:paraId="5B934EF5">
      <w:pPr>
        <w:snapToGrid w:val="0"/>
        <w:spacing w:before="50" w:after="120" w:line="360" w:lineRule="auto"/>
        <w:ind w:left="2742" w:leftChars="600" w:hanging="1482" w:hangingChars="492"/>
        <w:rPr>
          <w:rFonts w:hint="eastAsia" w:ascii="宋体" w:hAnsi="宋体" w:eastAsia="宋体" w:cs="宋体"/>
          <w:b/>
          <w:bCs/>
          <w:color w:val="auto"/>
          <w:kern w:val="0"/>
          <w:sz w:val="30"/>
          <w:szCs w:val="30"/>
          <w:highlight w:val="none"/>
          <w:lang w:eastAsia="zh-CN"/>
        </w:rPr>
      </w:pPr>
      <w:r>
        <w:rPr>
          <w:rFonts w:hint="eastAsia" w:ascii="宋体" w:hAnsi="宋体" w:eastAsia="宋体" w:cs="宋体"/>
          <w:b/>
          <w:bCs/>
          <w:color w:val="auto"/>
          <w:kern w:val="0"/>
          <w:sz w:val="30"/>
          <w:szCs w:val="30"/>
          <w:highlight w:val="none"/>
          <w:lang w:eastAsia="zh-CN"/>
        </w:rPr>
        <w:t>所属行政区划：南宁市西乡塘区</w:t>
      </w:r>
    </w:p>
    <w:p w14:paraId="31FEE9D7">
      <w:pPr>
        <w:snapToGrid w:val="0"/>
        <w:spacing w:before="50" w:after="120" w:line="360" w:lineRule="auto"/>
        <w:ind w:left="2742" w:leftChars="600" w:hanging="1482" w:hangingChars="492"/>
        <w:rPr>
          <w:rFonts w:hint="eastAsia" w:ascii="宋体" w:hAnsi="宋体" w:eastAsia="宋体" w:cs="宋体"/>
          <w:b/>
          <w:bCs/>
          <w:color w:val="auto"/>
          <w:kern w:val="0"/>
          <w:sz w:val="30"/>
          <w:szCs w:val="30"/>
          <w:highlight w:val="none"/>
          <w:lang w:eastAsia="zh-CN"/>
        </w:rPr>
      </w:pPr>
      <w:r>
        <w:rPr>
          <w:rFonts w:hint="eastAsia" w:ascii="宋体" w:hAnsi="宋体" w:eastAsia="宋体" w:cs="宋体"/>
          <w:b/>
          <w:bCs/>
          <w:color w:val="auto"/>
          <w:kern w:val="0"/>
          <w:sz w:val="30"/>
          <w:szCs w:val="30"/>
          <w:highlight w:val="none"/>
          <w:lang w:eastAsia="zh-CN"/>
        </w:rPr>
        <w:t>采购人：</w:t>
      </w:r>
      <w:r>
        <w:rPr>
          <w:rFonts w:hint="eastAsia" w:ascii="宋体" w:hAnsi="宋体" w:cs="宋体"/>
          <w:b/>
          <w:bCs/>
          <w:color w:val="auto"/>
          <w:kern w:val="0"/>
          <w:sz w:val="30"/>
          <w:szCs w:val="30"/>
          <w:highlight w:val="none"/>
          <w:lang w:eastAsia="zh-CN"/>
        </w:rPr>
        <w:t>南宁市衡阳西路第二幼儿园</w:t>
      </w:r>
    </w:p>
    <w:p w14:paraId="2E3A3366">
      <w:pPr>
        <w:snapToGrid w:val="0"/>
        <w:spacing w:before="50" w:after="120" w:line="360" w:lineRule="auto"/>
        <w:ind w:left="2742" w:leftChars="600" w:hanging="1482" w:hangingChars="492"/>
        <w:rPr>
          <w:rFonts w:hint="eastAsia" w:ascii="宋体" w:hAnsi="宋体" w:eastAsia="宋体" w:cs="宋体"/>
          <w:b/>
          <w:bCs/>
          <w:color w:val="auto"/>
          <w:kern w:val="0"/>
          <w:sz w:val="30"/>
          <w:szCs w:val="30"/>
          <w:highlight w:val="none"/>
          <w:lang w:eastAsia="zh-CN"/>
        </w:rPr>
      </w:pPr>
      <w:r>
        <w:rPr>
          <w:rFonts w:hint="eastAsia" w:ascii="宋体" w:hAnsi="宋体" w:eastAsia="宋体" w:cs="宋体"/>
          <w:b/>
          <w:bCs/>
          <w:color w:val="auto"/>
          <w:kern w:val="0"/>
          <w:sz w:val="30"/>
          <w:szCs w:val="30"/>
          <w:highlight w:val="none"/>
          <w:lang w:eastAsia="zh-CN"/>
        </w:rPr>
        <w:t>采购代理机构：广西桂工建设管理咨询有限公司</w:t>
      </w:r>
    </w:p>
    <w:p w14:paraId="4CC3C09E">
      <w:pPr>
        <w:snapToGrid w:val="0"/>
        <w:spacing w:before="50" w:after="120" w:line="360" w:lineRule="auto"/>
        <w:jc w:val="center"/>
        <w:rPr>
          <w:rFonts w:hint="eastAsia" w:ascii="宋体" w:hAnsi="宋体" w:eastAsia="宋体" w:cs="宋体"/>
          <w:b/>
          <w:bCs/>
          <w:color w:val="auto"/>
          <w:w w:val="95"/>
          <w:kern w:val="0"/>
          <w:sz w:val="30"/>
          <w:szCs w:val="30"/>
          <w:highlight w:val="none"/>
          <w:lang w:eastAsia="zh-CN"/>
        </w:rPr>
      </w:pPr>
    </w:p>
    <w:p w14:paraId="1D15A4AE">
      <w:pPr>
        <w:snapToGrid w:val="0"/>
        <w:spacing w:before="50" w:after="120" w:line="360" w:lineRule="auto"/>
        <w:jc w:val="center"/>
        <w:rPr>
          <w:rFonts w:hint="eastAsia" w:ascii="宋体" w:hAnsi="宋体" w:eastAsia="宋体" w:cs="宋体"/>
          <w:b/>
          <w:bCs/>
          <w:color w:val="auto"/>
          <w:w w:val="95"/>
          <w:sz w:val="30"/>
          <w:szCs w:val="30"/>
          <w:highlight w:val="none"/>
        </w:rPr>
        <w:sectPr>
          <w:headerReference r:id="rId3" w:type="default"/>
          <w:footerReference r:id="rId4" w:type="default"/>
          <w:footerReference r:id="rId5" w:type="even"/>
          <w:pgSz w:w="11911" w:h="16838"/>
          <w:pgMar w:top="1134" w:right="1134" w:bottom="1134" w:left="1134" w:header="720" w:footer="720" w:gutter="0"/>
          <w:pgBorders>
            <w:top w:val="none" w:sz="0" w:space="0"/>
            <w:left w:val="none" w:sz="0" w:space="0"/>
            <w:bottom w:val="none" w:sz="0" w:space="0"/>
            <w:right w:val="none" w:sz="0" w:space="0"/>
          </w:pgBorders>
          <w:pgNumType w:start="1"/>
          <w:cols w:space="720" w:num="1"/>
          <w:titlePg/>
          <w:docGrid w:linePitch="331" w:charSpace="0"/>
        </w:sectPr>
      </w:pPr>
      <w:r>
        <w:rPr>
          <w:rFonts w:hint="eastAsia" w:ascii="宋体" w:hAnsi="宋体" w:eastAsia="宋体" w:cs="宋体"/>
          <w:b/>
          <w:bCs/>
          <w:color w:val="auto"/>
          <w:w w:val="95"/>
          <w:kern w:val="0"/>
          <w:sz w:val="30"/>
          <w:szCs w:val="30"/>
          <w:highlight w:val="none"/>
          <w:lang w:eastAsia="zh-CN"/>
        </w:rPr>
        <w:t>202</w:t>
      </w:r>
      <w:r>
        <w:rPr>
          <w:rFonts w:hint="eastAsia" w:ascii="宋体" w:hAnsi="宋体" w:eastAsia="宋体" w:cs="宋体"/>
          <w:b/>
          <w:bCs/>
          <w:color w:val="auto"/>
          <w:w w:val="95"/>
          <w:kern w:val="0"/>
          <w:sz w:val="30"/>
          <w:szCs w:val="30"/>
          <w:highlight w:val="none"/>
          <w:lang w:val="en-US" w:eastAsia="zh-CN"/>
        </w:rPr>
        <w:t>6</w:t>
      </w:r>
      <w:r>
        <w:rPr>
          <w:rFonts w:hint="eastAsia" w:ascii="宋体" w:hAnsi="宋体" w:eastAsia="宋体" w:cs="宋体"/>
          <w:b/>
          <w:bCs/>
          <w:color w:val="auto"/>
          <w:w w:val="95"/>
          <w:kern w:val="0"/>
          <w:sz w:val="30"/>
          <w:szCs w:val="30"/>
          <w:highlight w:val="none"/>
          <w:lang w:eastAsia="zh-CN"/>
        </w:rPr>
        <w:t>年</w:t>
      </w:r>
      <w:r>
        <w:rPr>
          <w:rFonts w:hint="eastAsia" w:ascii="宋体" w:hAnsi="宋体" w:cs="宋体"/>
          <w:b/>
          <w:bCs/>
          <w:color w:val="auto"/>
          <w:w w:val="95"/>
          <w:kern w:val="0"/>
          <w:sz w:val="30"/>
          <w:szCs w:val="30"/>
          <w:highlight w:val="none"/>
          <w:lang w:val="en-US" w:eastAsia="zh-CN"/>
        </w:rPr>
        <w:t>08</w:t>
      </w:r>
      <w:r>
        <w:rPr>
          <w:rFonts w:hint="eastAsia" w:ascii="宋体" w:hAnsi="宋体" w:eastAsia="宋体" w:cs="宋体"/>
          <w:b/>
          <w:bCs/>
          <w:color w:val="auto"/>
          <w:w w:val="95"/>
          <w:kern w:val="0"/>
          <w:sz w:val="30"/>
          <w:szCs w:val="30"/>
          <w:highlight w:val="none"/>
          <w:lang w:eastAsia="zh-CN"/>
        </w:rPr>
        <w:t>月</w:t>
      </w:r>
    </w:p>
    <w:p w14:paraId="43ED7C0A">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497AB91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color w:val="auto"/>
          <w:sz w:val="28"/>
          <w:szCs w:val="28"/>
          <w:highlight w:val="none"/>
        </w:rPr>
      </w:pPr>
    </w:p>
    <w:p w14:paraId="312C46F5">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TOC \o "1-1" \h \u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_Toc10019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color w:val="auto"/>
          <w:sz w:val="28"/>
          <w:szCs w:val="28"/>
          <w:highlight w:val="none"/>
        </w:rPr>
        <w:t>第一章</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竞争性磋商公告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_Toc10019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718B856C">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_Toc22255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val="0"/>
          <w:color w:val="auto"/>
          <w:sz w:val="28"/>
          <w:szCs w:val="28"/>
          <w:highlight w:val="none"/>
        </w:rPr>
        <w:t xml:space="preserve">第二章 </w:t>
      </w:r>
      <w:r>
        <w:rPr>
          <w:rFonts w:hint="eastAsia" w:ascii="宋体" w:hAnsi="宋体" w:eastAsia="宋体" w:cs="宋体"/>
          <w:bCs w:val="0"/>
          <w:color w:val="auto"/>
          <w:sz w:val="28"/>
          <w:szCs w:val="28"/>
          <w:highlight w:val="none"/>
          <w:lang w:val="en-US" w:eastAsia="zh-CN"/>
        </w:rPr>
        <w:t xml:space="preserve"> </w:t>
      </w:r>
      <w:r>
        <w:rPr>
          <w:rFonts w:hint="eastAsia" w:ascii="宋体" w:hAnsi="宋体" w:eastAsia="宋体" w:cs="宋体"/>
          <w:bCs w:val="0"/>
          <w:color w:val="auto"/>
          <w:sz w:val="28"/>
          <w:szCs w:val="28"/>
          <w:highlight w:val="none"/>
        </w:rPr>
        <w:t>采购需求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_Toc22255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6</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7F4457E8">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_Toc9332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val="0"/>
          <w:color w:val="auto"/>
          <w:sz w:val="28"/>
          <w:szCs w:val="28"/>
          <w:highlight w:val="none"/>
        </w:rPr>
        <w:t xml:space="preserve">第三章 </w:t>
      </w:r>
      <w:r>
        <w:rPr>
          <w:rFonts w:hint="eastAsia" w:ascii="宋体" w:hAnsi="宋体" w:eastAsia="宋体" w:cs="宋体"/>
          <w:bCs w:val="0"/>
          <w:color w:val="auto"/>
          <w:sz w:val="28"/>
          <w:szCs w:val="28"/>
          <w:highlight w:val="none"/>
          <w:lang w:val="en-US" w:eastAsia="zh-CN"/>
        </w:rPr>
        <w:t xml:space="preserve"> </w:t>
      </w:r>
      <w:r>
        <w:rPr>
          <w:rFonts w:hint="eastAsia" w:ascii="宋体" w:hAnsi="宋体" w:eastAsia="宋体" w:cs="宋体"/>
          <w:bCs w:val="0"/>
          <w:color w:val="auto"/>
          <w:sz w:val="28"/>
          <w:szCs w:val="28"/>
          <w:highlight w:val="none"/>
        </w:rPr>
        <w:t>供应商须知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_Toc9332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13</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5C44D933">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_Toc21081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color w:val="auto"/>
          <w:sz w:val="28"/>
          <w:szCs w:val="28"/>
          <w:highlight w:val="none"/>
        </w:rPr>
        <w:t>第四章  评审程序、评审方法和评审标准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_Toc21081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32</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7A4FDAF0">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_Toc15809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color w:val="auto"/>
          <w:sz w:val="28"/>
          <w:szCs w:val="28"/>
          <w:highlight w:val="none"/>
        </w:rPr>
        <w:t xml:space="preserve">第五章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响应文件格式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_Toc15809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42</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3D215DC7">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_Toc13046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val="0"/>
          <w:color w:val="auto"/>
          <w:sz w:val="28"/>
          <w:szCs w:val="28"/>
          <w:highlight w:val="none"/>
        </w:rPr>
        <w:t xml:space="preserve">第六章 </w:t>
      </w:r>
      <w:r>
        <w:rPr>
          <w:rFonts w:hint="eastAsia" w:ascii="宋体" w:hAnsi="宋体" w:eastAsia="宋体" w:cs="宋体"/>
          <w:bCs w:val="0"/>
          <w:color w:val="auto"/>
          <w:sz w:val="28"/>
          <w:szCs w:val="28"/>
          <w:highlight w:val="none"/>
          <w:lang w:val="en-US" w:eastAsia="zh-CN"/>
        </w:rPr>
        <w:t xml:space="preserve"> </w:t>
      </w:r>
      <w:r>
        <w:rPr>
          <w:rFonts w:hint="eastAsia" w:ascii="宋体" w:hAnsi="宋体" w:eastAsia="宋体" w:cs="宋体"/>
          <w:bCs w:val="0"/>
          <w:color w:val="auto"/>
          <w:sz w:val="28"/>
          <w:szCs w:val="28"/>
          <w:highlight w:val="none"/>
        </w:rPr>
        <w:t>合同文本</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_Toc13046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73</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60C49E67">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_Toc10491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val="0"/>
          <w:color w:val="auto"/>
          <w:sz w:val="28"/>
          <w:szCs w:val="28"/>
          <w:highlight w:val="none"/>
        </w:rPr>
        <w:t xml:space="preserve">第七章 </w:t>
      </w:r>
      <w:r>
        <w:rPr>
          <w:rFonts w:hint="eastAsia" w:ascii="宋体" w:hAnsi="宋体" w:eastAsia="宋体" w:cs="宋体"/>
          <w:bCs w:val="0"/>
          <w:color w:val="auto"/>
          <w:sz w:val="28"/>
          <w:szCs w:val="28"/>
          <w:highlight w:val="none"/>
          <w:lang w:val="en-US" w:eastAsia="zh-CN"/>
        </w:rPr>
        <w:t xml:space="preserve"> </w:t>
      </w:r>
      <w:r>
        <w:rPr>
          <w:rFonts w:hint="eastAsia" w:ascii="宋体" w:hAnsi="宋体" w:eastAsia="宋体" w:cs="宋体"/>
          <w:bCs w:val="0"/>
          <w:color w:val="auto"/>
          <w:sz w:val="28"/>
          <w:szCs w:val="28"/>
          <w:highlight w:val="none"/>
        </w:rPr>
        <w:t>工程量清单、图纸</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_Toc10491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78</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4C1700E5">
      <w:pPr>
        <w:pStyle w:val="23"/>
        <w:keepNext w:val="0"/>
        <w:keepLines w:val="0"/>
        <w:pageBreakBefore w:val="0"/>
        <w:widowControl w:val="0"/>
        <w:tabs>
          <w:tab w:val="right" w:leader="dot" w:pos="9643"/>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_Toc4654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bCs/>
          <w:color w:val="auto"/>
          <w:sz w:val="28"/>
          <w:szCs w:val="28"/>
          <w:highlight w:val="none"/>
        </w:rPr>
        <w:t xml:space="preserve">第八章 </w:t>
      </w:r>
      <w:r>
        <w:rPr>
          <w:rFonts w:hint="eastAsia" w:ascii="宋体" w:hAnsi="宋体" w:eastAsia="宋体" w:cs="宋体"/>
          <w:bCs/>
          <w:color w:val="auto"/>
          <w:sz w:val="28"/>
          <w:szCs w:val="28"/>
          <w:highlight w:val="none"/>
          <w:lang w:val="en-US" w:eastAsia="zh-CN"/>
        </w:rPr>
        <w:t xml:space="preserve"> </w:t>
      </w:r>
      <w:r>
        <w:rPr>
          <w:rFonts w:hint="eastAsia" w:ascii="宋体" w:hAnsi="宋体" w:eastAsia="宋体" w:cs="宋体"/>
          <w:bCs/>
          <w:color w:val="auto"/>
          <w:sz w:val="28"/>
          <w:szCs w:val="28"/>
          <w:highlight w:val="none"/>
        </w:rPr>
        <w:t>质疑、投诉材料格式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_Toc4654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79</w:t>
      </w:r>
      <w:r>
        <w:rPr>
          <w:rFonts w:hint="eastAsia" w:ascii="宋体" w:hAnsi="宋体" w:eastAsia="宋体" w:cs="宋体"/>
          <w:color w:val="auto"/>
          <w:sz w:val="28"/>
          <w:szCs w:val="28"/>
          <w:highlight w:val="none"/>
        </w:rPr>
        <w:fldChar w:fldCharType="end"/>
      </w:r>
      <w:r>
        <w:rPr>
          <w:rFonts w:hint="eastAsia" w:ascii="宋体" w:hAnsi="宋体" w:eastAsia="宋体" w:cs="宋体"/>
          <w:bCs/>
          <w:color w:val="auto"/>
          <w:sz w:val="28"/>
          <w:szCs w:val="28"/>
          <w:highlight w:val="none"/>
        </w:rPr>
        <w:fldChar w:fldCharType="end"/>
      </w:r>
    </w:p>
    <w:p w14:paraId="789FDB7B">
      <w:pPr>
        <w:pStyle w:val="26"/>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4"/>
          <w:highlight w:val="none"/>
        </w:rPr>
      </w:pPr>
      <w:r>
        <w:rPr>
          <w:rFonts w:hint="eastAsia" w:ascii="宋体" w:hAnsi="宋体" w:eastAsia="宋体" w:cs="宋体"/>
          <w:bCs/>
          <w:color w:val="auto"/>
          <w:sz w:val="28"/>
          <w:szCs w:val="28"/>
          <w:highlight w:val="none"/>
        </w:rPr>
        <w:fldChar w:fldCharType="end"/>
      </w:r>
    </w:p>
    <w:p w14:paraId="5BE5B2F1">
      <w:pPr>
        <w:spacing w:line="400" w:lineRule="exact"/>
        <w:jc w:val="left"/>
        <w:rPr>
          <w:rFonts w:hint="eastAsia" w:ascii="宋体" w:hAnsi="宋体" w:eastAsia="宋体" w:cs="宋体"/>
          <w:b/>
          <w:color w:val="auto"/>
          <w:sz w:val="32"/>
          <w:szCs w:val="32"/>
          <w:highlight w:val="none"/>
        </w:rPr>
      </w:pPr>
    </w:p>
    <w:p w14:paraId="3A70DD02">
      <w:pPr>
        <w:spacing w:line="400" w:lineRule="exact"/>
        <w:jc w:val="center"/>
        <w:rPr>
          <w:rFonts w:hint="eastAsia" w:ascii="宋体" w:hAnsi="宋体" w:eastAsia="宋体" w:cs="宋体"/>
          <w:b/>
          <w:color w:val="auto"/>
          <w:sz w:val="32"/>
          <w:szCs w:val="32"/>
          <w:highlight w:val="none"/>
        </w:rPr>
      </w:pPr>
    </w:p>
    <w:p w14:paraId="454480BF">
      <w:pPr>
        <w:spacing w:line="400" w:lineRule="exact"/>
        <w:jc w:val="center"/>
        <w:rPr>
          <w:rFonts w:hint="eastAsia" w:ascii="宋体" w:hAnsi="宋体" w:eastAsia="宋体" w:cs="宋体"/>
          <w:b/>
          <w:color w:val="auto"/>
          <w:sz w:val="32"/>
          <w:szCs w:val="32"/>
          <w:highlight w:val="none"/>
        </w:rPr>
      </w:pPr>
    </w:p>
    <w:p w14:paraId="601F2B34">
      <w:pPr>
        <w:spacing w:line="400" w:lineRule="exact"/>
        <w:jc w:val="center"/>
        <w:rPr>
          <w:rFonts w:hint="eastAsia" w:ascii="宋体" w:hAnsi="宋体" w:eastAsia="宋体" w:cs="宋体"/>
          <w:b/>
          <w:color w:val="auto"/>
          <w:sz w:val="32"/>
          <w:szCs w:val="32"/>
          <w:highlight w:val="none"/>
        </w:rPr>
      </w:pPr>
    </w:p>
    <w:p w14:paraId="6FCDB5B5">
      <w:pPr>
        <w:spacing w:line="400" w:lineRule="exact"/>
        <w:jc w:val="center"/>
        <w:rPr>
          <w:rFonts w:hint="eastAsia" w:ascii="宋体" w:hAnsi="宋体" w:eastAsia="宋体" w:cs="宋体"/>
          <w:b/>
          <w:color w:val="auto"/>
          <w:sz w:val="32"/>
          <w:szCs w:val="32"/>
          <w:highlight w:val="none"/>
        </w:rPr>
      </w:pPr>
    </w:p>
    <w:p w14:paraId="14111F99">
      <w:pPr>
        <w:spacing w:line="400" w:lineRule="exact"/>
        <w:rPr>
          <w:rFonts w:hint="eastAsia" w:ascii="宋体" w:hAnsi="宋体" w:eastAsia="宋体" w:cs="宋体"/>
          <w:b/>
          <w:color w:val="auto"/>
          <w:sz w:val="32"/>
          <w:szCs w:val="32"/>
          <w:highlight w:val="none"/>
        </w:rPr>
        <w:sectPr>
          <w:headerReference r:id="rId7" w:type="first"/>
          <w:footerReference r:id="rId9" w:type="first"/>
          <w:headerReference r:id="rId6" w:type="default"/>
          <w:footerReference r:id="rId8" w:type="default"/>
          <w:pgSz w:w="11911" w:h="16838"/>
          <w:pgMar w:top="1134" w:right="1134" w:bottom="1134" w:left="1134" w:header="720" w:footer="720" w:gutter="0"/>
          <w:pgBorders>
            <w:top w:val="none" w:sz="0" w:space="0"/>
            <w:left w:val="none" w:sz="0" w:space="0"/>
            <w:bottom w:val="none" w:sz="0" w:space="0"/>
            <w:right w:val="none" w:sz="0" w:space="0"/>
          </w:pgBorders>
          <w:pgNumType w:start="1"/>
          <w:cols w:space="720" w:num="1"/>
          <w:docGrid w:linePitch="312" w:charSpace="0"/>
        </w:sectPr>
      </w:pPr>
    </w:p>
    <w:p w14:paraId="4DD55FBE">
      <w:pPr>
        <w:pStyle w:val="2"/>
        <w:spacing w:before="0" w:after="0" w:line="240" w:lineRule="auto"/>
        <w:jc w:val="center"/>
        <w:rPr>
          <w:rFonts w:hint="eastAsia" w:ascii="宋体" w:hAnsi="宋体" w:eastAsia="宋体" w:cs="宋体"/>
          <w:b/>
          <w:bCs w:val="0"/>
          <w:color w:val="auto"/>
          <w:sz w:val="32"/>
          <w:szCs w:val="32"/>
          <w:highlight w:val="none"/>
        </w:rPr>
      </w:pPr>
      <w:bookmarkStart w:id="1" w:name="_Toc10019"/>
      <w:bookmarkStart w:id="2" w:name="_Toc27000"/>
      <w:bookmarkStart w:id="3" w:name="_Toc11382"/>
      <w:bookmarkStart w:id="4" w:name="_Toc15624"/>
      <w:bookmarkStart w:id="5" w:name="OLE_LINK30"/>
      <w:bookmarkStart w:id="6" w:name="_Toc12242"/>
      <w:bookmarkStart w:id="7" w:name="_Toc11989"/>
      <w:r>
        <w:rPr>
          <w:rFonts w:hint="eastAsia" w:ascii="宋体" w:hAnsi="宋体" w:cs="宋体"/>
          <w:b/>
          <w:bCs w:val="0"/>
          <w:color w:val="auto"/>
          <w:sz w:val="32"/>
          <w:szCs w:val="32"/>
          <w:highlight w:val="none"/>
          <w:lang w:val="en-US" w:eastAsia="zh-CN"/>
        </w:rPr>
        <w:t xml:space="preserve">第一章 </w:t>
      </w:r>
      <w:r>
        <w:rPr>
          <w:rFonts w:hint="eastAsia" w:ascii="宋体" w:hAnsi="宋体" w:eastAsia="宋体" w:cs="宋体"/>
          <w:b/>
          <w:bCs w:val="0"/>
          <w:color w:val="auto"/>
          <w:sz w:val="32"/>
          <w:szCs w:val="32"/>
          <w:highlight w:val="none"/>
        </w:rPr>
        <w:t>竞争性磋商公告</w:t>
      </w:r>
      <w:bookmarkEnd w:id="1"/>
      <w:bookmarkEnd w:id="2"/>
      <w:bookmarkEnd w:id="3"/>
      <w:bookmarkEnd w:id="4"/>
      <w:bookmarkEnd w:id="5"/>
      <w:bookmarkEnd w:id="6"/>
      <w:bookmarkEnd w:id="7"/>
    </w:p>
    <w:p w14:paraId="0A7DBED4">
      <w:pPr>
        <w:jc w:val="center"/>
        <w:rPr>
          <w:rFonts w:hint="eastAsia" w:ascii="宋体" w:hAnsi="宋体" w:eastAsia="宋体" w:cs="宋体"/>
          <w:color w:val="auto"/>
          <w:highlight w:val="none"/>
        </w:rPr>
      </w:pPr>
      <w:r>
        <w:rPr>
          <w:rFonts w:hint="eastAsia" w:ascii="宋体" w:hAnsi="宋体" w:eastAsia="宋体" w:cs="宋体"/>
          <w:b/>
          <w:bCs/>
          <w:color w:val="auto"/>
          <w:sz w:val="28"/>
          <w:szCs w:val="28"/>
          <w:highlight w:val="none"/>
          <w:lang w:eastAsia="zh-CN"/>
        </w:rPr>
        <w:t>广西桂工建设管理咨询有限公司</w:t>
      </w:r>
      <w:r>
        <w:rPr>
          <w:rFonts w:hint="eastAsia" w:ascii="宋体" w:hAnsi="宋体" w:eastAsia="宋体" w:cs="宋体"/>
          <w:b/>
          <w:bCs/>
          <w:color w:val="auto"/>
          <w:sz w:val="28"/>
          <w:szCs w:val="28"/>
          <w:highlight w:val="none"/>
        </w:rPr>
        <w:t>关于</w:t>
      </w:r>
      <w:r>
        <w:rPr>
          <w:rFonts w:hint="eastAsia" w:ascii="宋体" w:hAnsi="宋体" w:cs="宋体"/>
          <w:b/>
          <w:bCs/>
          <w:color w:val="auto"/>
          <w:sz w:val="28"/>
          <w:szCs w:val="28"/>
          <w:highlight w:val="none"/>
          <w:lang w:eastAsia="zh-CN"/>
        </w:rPr>
        <w:t>南宁市衡阳西路第二幼儿园教学楼(阳光楼)维修工程</w:t>
      </w:r>
      <w:r>
        <w:rPr>
          <w:rFonts w:hint="eastAsia" w:ascii="宋体" w:hAnsi="宋体" w:eastAsia="宋体" w:cs="宋体"/>
          <w:b/>
          <w:bCs/>
          <w:color w:val="auto"/>
          <w:sz w:val="28"/>
          <w:szCs w:val="28"/>
          <w:highlight w:val="none"/>
        </w:rPr>
        <w:t>（</w:t>
      </w:r>
      <w:r>
        <w:rPr>
          <w:rFonts w:hint="eastAsia" w:ascii="宋体" w:hAnsi="宋体" w:cs="宋体"/>
          <w:b/>
          <w:bCs/>
          <w:color w:val="auto"/>
          <w:sz w:val="28"/>
          <w:szCs w:val="28"/>
          <w:highlight w:val="none"/>
          <w:lang w:eastAsia="zh-CN"/>
        </w:rPr>
        <w:t>NNZC2026-C2-070045-GXGG</w:t>
      </w:r>
      <w:r>
        <w:rPr>
          <w:rFonts w:hint="eastAsia" w:ascii="宋体" w:hAnsi="宋体" w:eastAsia="宋体" w:cs="宋体"/>
          <w:b/>
          <w:bCs/>
          <w:color w:val="auto"/>
          <w:sz w:val="28"/>
          <w:szCs w:val="28"/>
          <w:highlight w:val="none"/>
        </w:rPr>
        <w:t>）竞争性磋商公告</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2E0B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noWrap w:val="0"/>
            <w:vAlign w:val="top"/>
          </w:tcPr>
          <w:p w14:paraId="34A1E597">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项目</w:t>
            </w:r>
            <w:r>
              <w:rPr>
                <w:rFonts w:hint="eastAsia" w:ascii="宋体" w:hAnsi="宋体" w:eastAsia="宋体" w:cs="宋体"/>
                <w:color w:val="auto"/>
                <w:szCs w:val="21"/>
                <w:highlight w:val="none"/>
              </w:rPr>
              <w:t>概况</w:t>
            </w:r>
          </w:p>
          <w:p w14:paraId="46CE55C6">
            <w:pPr>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Cs/>
                <w:color w:val="auto"/>
                <w:sz w:val="24"/>
                <w:highlight w:val="none"/>
              </w:rPr>
            </w:pPr>
            <w:r>
              <w:rPr>
                <w:rFonts w:hint="eastAsia" w:ascii="宋体" w:hAnsi="宋体" w:cs="宋体"/>
                <w:color w:val="auto"/>
                <w:szCs w:val="21"/>
                <w:highlight w:val="none"/>
                <w:u w:val="single"/>
                <w:lang w:eastAsia="zh-CN"/>
              </w:rPr>
              <w:t>南宁市衡阳西路第二幼儿园教学楼(阳光楼)维修工程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项目的潜在投标人应在“广西政府采购云平台”（https://www.gcy.zfcg.gxzf.gov.cn/）获取（下载）</w:t>
            </w:r>
            <w:r>
              <w:rPr>
                <w:rFonts w:hint="eastAsia" w:ascii="宋体" w:hAnsi="宋体" w:eastAsia="宋体" w:cs="宋体"/>
                <w:color w:val="auto"/>
                <w:szCs w:val="21"/>
                <w:highlight w:val="none"/>
                <w:lang w:val="en-US" w:eastAsia="zh-CN"/>
              </w:rPr>
              <w:t>采购</w:t>
            </w:r>
            <w:r>
              <w:rPr>
                <w:rFonts w:hint="eastAsia" w:ascii="宋体" w:hAnsi="宋体" w:eastAsia="宋体" w:cs="宋体"/>
                <w:color w:val="auto"/>
                <w:szCs w:val="21"/>
                <w:highlight w:val="none"/>
              </w:rPr>
              <w:t>文件，并于</w:t>
            </w:r>
            <w:r>
              <w:rPr>
                <w:rFonts w:hint="eastAsia" w:ascii="宋体" w:hAnsi="宋体" w:eastAsia="宋体" w:cs="宋体"/>
                <w:color w:val="auto"/>
                <w:szCs w:val="21"/>
                <w:highlight w:val="none"/>
                <w:u w:val="single"/>
              </w:rPr>
              <w:t>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08</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25</w:t>
            </w:r>
            <w:r>
              <w:rPr>
                <w:rFonts w:hint="eastAsia" w:ascii="宋体" w:hAnsi="宋体" w:eastAsia="宋体" w:cs="宋体"/>
                <w:color w:val="auto"/>
                <w:szCs w:val="21"/>
                <w:highlight w:val="none"/>
                <w:u w:val="single"/>
              </w:rPr>
              <w:t>日</w:t>
            </w:r>
            <w:r>
              <w:rPr>
                <w:rFonts w:hint="eastAsia" w:ascii="宋体" w:hAnsi="宋体" w:cs="宋体"/>
                <w:color w:val="auto"/>
                <w:szCs w:val="21"/>
                <w:highlight w:val="none"/>
                <w:u w:val="single"/>
                <w:lang w:val="en-US" w:eastAsia="zh-CN"/>
              </w:rPr>
              <w:t>13</w:t>
            </w:r>
            <w:r>
              <w:rPr>
                <w:rFonts w:hint="eastAsia" w:ascii="宋体" w:hAnsi="宋体" w:eastAsia="宋体" w:cs="宋体"/>
                <w:color w:val="auto"/>
                <w:szCs w:val="21"/>
                <w:highlight w:val="none"/>
                <w:u w:val="single"/>
              </w:rPr>
              <w:t>点</w:t>
            </w:r>
            <w:r>
              <w:rPr>
                <w:rFonts w:hint="eastAsia" w:ascii="宋体" w:hAnsi="宋体" w:cs="宋体"/>
                <w:color w:val="auto"/>
                <w:szCs w:val="21"/>
                <w:highlight w:val="none"/>
                <w:u w:val="single"/>
                <w:lang w:val="en-US" w:eastAsia="zh-CN"/>
              </w:rPr>
              <w:t>00</w:t>
            </w:r>
            <w:r>
              <w:rPr>
                <w:rFonts w:hint="eastAsia" w:ascii="宋体" w:hAnsi="宋体" w:eastAsia="宋体" w:cs="宋体"/>
                <w:color w:val="auto"/>
                <w:szCs w:val="21"/>
                <w:highlight w:val="none"/>
                <w:u w:val="single"/>
              </w:rPr>
              <w:t>分00秒</w:t>
            </w:r>
            <w:r>
              <w:rPr>
                <w:rFonts w:hint="eastAsia" w:ascii="宋体" w:hAnsi="宋体" w:eastAsia="宋体" w:cs="宋体"/>
                <w:color w:val="auto"/>
                <w:szCs w:val="21"/>
                <w:highlight w:val="none"/>
              </w:rPr>
              <w:t>（北京时间）前</w:t>
            </w:r>
            <w:r>
              <w:rPr>
                <w:rFonts w:hint="eastAsia" w:ascii="宋体" w:hAnsi="宋体" w:eastAsia="宋体" w:cs="宋体"/>
                <w:color w:val="auto"/>
                <w:szCs w:val="21"/>
                <w:highlight w:val="none"/>
                <w:lang w:val="en-US" w:eastAsia="zh-CN"/>
              </w:rPr>
              <w:t>提交响应</w:t>
            </w:r>
            <w:r>
              <w:rPr>
                <w:rFonts w:hint="eastAsia" w:ascii="宋体" w:hAnsi="宋体" w:eastAsia="宋体" w:cs="宋体"/>
                <w:color w:val="auto"/>
                <w:szCs w:val="21"/>
                <w:highlight w:val="none"/>
              </w:rPr>
              <w:t>文件。</w:t>
            </w:r>
          </w:p>
        </w:tc>
      </w:tr>
    </w:tbl>
    <w:p w14:paraId="7683F5E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一、项目基本情况</w:t>
      </w:r>
    </w:p>
    <w:p w14:paraId="0E3E464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项目编号：</w:t>
      </w:r>
      <w:r>
        <w:rPr>
          <w:rFonts w:hint="eastAsia" w:ascii="宋体" w:hAnsi="宋体" w:cs="宋体"/>
          <w:color w:val="auto"/>
          <w:szCs w:val="21"/>
          <w:highlight w:val="none"/>
          <w:lang w:eastAsia="zh-CN"/>
        </w:rPr>
        <w:t>NNZC2026-C2-070045-GXGG</w:t>
      </w:r>
    </w:p>
    <w:p w14:paraId="4E58286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项目名称：</w:t>
      </w:r>
      <w:r>
        <w:rPr>
          <w:rFonts w:hint="eastAsia" w:ascii="宋体" w:hAnsi="宋体" w:cs="宋体"/>
          <w:i w:val="0"/>
          <w:iCs w:val="0"/>
          <w:caps w:val="0"/>
          <w:color w:val="auto"/>
          <w:spacing w:val="0"/>
          <w:kern w:val="0"/>
          <w:sz w:val="21"/>
          <w:szCs w:val="21"/>
          <w:highlight w:val="none"/>
          <w:shd w:val="clear" w:color="auto" w:fill="FFFFFF"/>
          <w:lang w:val="en-US" w:eastAsia="zh-CN" w:bidi="ar"/>
        </w:rPr>
        <w:t>南宁市衡阳西路第二幼儿园教学楼(阳光楼)维修工程</w:t>
      </w:r>
    </w:p>
    <w:p w14:paraId="6C1DC7E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采购方式：竞争性磋商</w:t>
      </w:r>
    </w:p>
    <w:p w14:paraId="5EAB740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default" w:ascii="宋体" w:hAnsi="宋体" w:eastAsia="宋体" w:cs="宋体"/>
          <w:i w:val="0"/>
          <w:iCs w:val="0"/>
          <w:caps w:val="0"/>
          <w:color w:val="auto"/>
          <w:spacing w:val="0"/>
          <w:sz w:val="21"/>
          <w:szCs w:val="21"/>
          <w:highlight w:val="none"/>
          <w:lang w:val="en-US"/>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预算总金额（元）：</w:t>
      </w:r>
      <w:r>
        <w:rPr>
          <w:rFonts w:hint="eastAsia" w:ascii="宋体" w:hAnsi="宋体" w:cs="宋体"/>
          <w:i w:val="0"/>
          <w:iCs w:val="0"/>
          <w:caps w:val="0"/>
          <w:color w:val="auto"/>
          <w:spacing w:val="0"/>
          <w:kern w:val="0"/>
          <w:sz w:val="21"/>
          <w:szCs w:val="21"/>
          <w:highlight w:val="none"/>
          <w:shd w:val="clear" w:color="auto" w:fill="FFFFFF"/>
          <w:lang w:val="en-US" w:eastAsia="zh-CN" w:bidi="ar"/>
        </w:rPr>
        <w:t>1,063,024.92</w:t>
      </w:r>
    </w:p>
    <w:p w14:paraId="269045B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采购需求：</w:t>
      </w:r>
    </w:p>
    <w:p w14:paraId="58240BE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标项名称:</w:t>
      </w:r>
      <w:r>
        <w:rPr>
          <w:rFonts w:hint="eastAsia" w:ascii="宋体" w:hAnsi="宋体" w:cs="宋体"/>
          <w:i w:val="0"/>
          <w:iCs w:val="0"/>
          <w:caps w:val="0"/>
          <w:color w:val="auto"/>
          <w:spacing w:val="0"/>
          <w:kern w:val="0"/>
          <w:sz w:val="21"/>
          <w:szCs w:val="21"/>
          <w:highlight w:val="none"/>
          <w:shd w:val="clear" w:color="auto" w:fill="FFFFFF"/>
          <w:lang w:val="en-US" w:eastAsia="zh-CN" w:bidi="ar"/>
        </w:rPr>
        <w:t>南宁市衡阳西路第二幼儿园教学楼(阳光楼)维修工程</w:t>
      </w:r>
    </w:p>
    <w:p w14:paraId="4BC3692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数量:1</w:t>
      </w:r>
    </w:p>
    <w:p w14:paraId="56BA641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预算金额（元）：</w:t>
      </w:r>
      <w:r>
        <w:rPr>
          <w:rFonts w:hint="eastAsia" w:ascii="宋体" w:hAnsi="宋体" w:cs="宋体"/>
          <w:i w:val="0"/>
          <w:iCs w:val="0"/>
          <w:caps w:val="0"/>
          <w:color w:val="auto"/>
          <w:spacing w:val="0"/>
          <w:kern w:val="0"/>
          <w:sz w:val="21"/>
          <w:szCs w:val="21"/>
          <w:highlight w:val="none"/>
          <w:shd w:val="clear" w:color="auto" w:fill="FFFFFF"/>
          <w:lang w:val="en-US" w:eastAsia="zh-CN" w:bidi="ar"/>
        </w:rPr>
        <w:t>1,063,024.92</w:t>
      </w:r>
    </w:p>
    <w:p w14:paraId="31E492E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简要规格描述或项目基本概况介绍、用途：</w:t>
      </w:r>
      <w:r>
        <w:rPr>
          <w:rFonts w:hint="eastAsia" w:ascii="宋体" w:hAnsi="宋体" w:cs="宋体"/>
          <w:i w:val="0"/>
          <w:iCs w:val="0"/>
          <w:caps w:val="0"/>
          <w:color w:val="auto"/>
          <w:spacing w:val="0"/>
          <w:kern w:val="0"/>
          <w:sz w:val="21"/>
          <w:szCs w:val="21"/>
          <w:highlight w:val="none"/>
          <w:shd w:val="clear" w:color="auto" w:fill="FFFFFF"/>
          <w:lang w:val="en-US" w:eastAsia="zh-CN" w:bidi="ar"/>
        </w:rPr>
        <w:t>南宁市衡阳西路第二幼儿园教学楼(阳光楼)维修工程</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w:t>
      </w:r>
      <w:r>
        <w:rPr>
          <w:rFonts w:hint="eastAsia" w:ascii="宋体" w:hAnsi="宋体" w:cs="宋体"/>
          <w:i w:val="0"/>
          <w:iCs w:val="0"/>
          <w:caps w:val="0"/>
          <w:color w:val="auto"/>
          <w:spacing w:val="0"/>
          <w:kern w:val="0"/>
          <w:sz w:val="21"/>
          <w:szCs w:val="21"/>
          <w:highlight w:val="none"/>
          <w:shd w:val="clear" w:color="auto" w:fill="FFFFFF"/>
          <w:lang w:val="en-US" w:eastAsia="zh-CN" w:bidi="ar"/>
        </w:rPr>
        <w:t>盥洗室、衣帽间改造，教室地板、走廊、楼道地面更换，增设消防设施，室内、外走廊墙体翻修等，规模约1600平米</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。具体内容详见工程量清单及图纸</w:t>
      </w:r>
      <w:r>
        <w:rPr>
          <w:rFonts w:hint="eastAsia" w:ascii="宋体" w:hAnsi="宋体" w:cs="宋体"/>
          <w:i w:val="0"/>
          <w:iCs w:val="0"/>
          <w:caps w:val="0"/>
          <w:color w:val="auto"/>
          <w:spacing w:val="0"/>
          <w:kern w:val="0"/>
          <w:sz w:val="21"/>
          <w:szCs w:val="21"/>
          <w:highlight w:val="none"/>
          <w:shd w:val="clear" w:color="auto" w:fill="FFFFFF"/>
          <w:lang w:val="en-US" w:eastAsia="zh-CN" w:bidi="ar"/>
        </w:rPr>
        <w:t>。</w:t>
      </w:r>
    </w:p>
    <w:p w14:paraId="2CCFD15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default" w:ascii="宋体" w:hAnsi="宋体" w:eastAsia="宋体" w:cs="宋体"/>
          <w:b/>
          <w:bCs/>
          <w:i w:val="0"/>
          <w:iCs w:val="0"/>
          <w:caps w:val="0"/>
          <w:color w:val="auto"/>
          <w:spacing w:val="0"/>
          <w:kern w:val="0"/>
          <w:sz w:val="21"/>
          <w:szCs w:val="21"/>
          <w:highlight w:val="yellow"/>
          <w:shd w:val="clear" w:color="auto" w:fill="FFFFFF"/>
          <w:lang w:val="en-US" w:eastAsia="zh-CN" w:bidi="ar"/>
        </w:rPr>
      </w:pPr>
      <w:r>
        <w:rPr>
          <w:rFonts w:hint="eastAsia" w:ascii="宋体" w:hAnsi="宋体" w:eastAsia="宋体" w:cs="宋体"/>
          <w:b/>
          <w:bCs/>
          <w:i w:val="0"/>
          <w:iCs w:val="0"/>
          <w:caps w:val="0"/>
          <w:color w:val="auto"/>
          <w:spacing w:val="0"/>
          <w:kern w:val="0"/>
          <w:sz w:val="21"/>
          <w:szCs w:val="21"/>
          <w:highlight w:val="yellow"/>
          <w:shd w:val="clear" w:color="auto" w:fill="FFFFFF"/>
          <w:lang w:val="en-US" w:eastAsia="zh-CN" w:bidi="ar"/>
        </w:rPr>
        <w:t>最高限价（如有）：</w:t>
      </w:r>
      <w:r>
        <w:rPr>
          <w:rFonts w:hint="eastAsia" w:ascii="宋体" w:hAnsi="宋体" w:cs="宋体"/>
          <w:b/>
          <w:bCs/>
          <w:i w:val="0"/>
          <w:iCs w:val="0"/>
          <w:caps w:val="0"/>
          <w:color w:val="auto"/>
          <w:spacing w:val="0"/>
          <w:kern w:val="0"/>
          <w:sz w:val="21"/>
          <w:szCs w:val="21"/>
          <w:highlight w:val="yellow"/>
          <w:shd w:val="clear" w:color="auto" w:fill="FFFFFF"/>
          <w:lang w:val="en-US" w:eastAsia="zh-CN" w:bidi="ar"/>
        </w:rPr>
        <w:t>1,009,873.67</w:t>
      </w:r>
    </w:p>
    <w:p w14:paraId="35E77EB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合同履约期限：</w:t>
      </w:r>
      <w:r>
        <w:rPr>
          <w:rFonts w:hint="eastAsia" w:ascii="宋体" w:hAnsi="宋体" w:cs="宋体"/>
          <w:i w:val="0"/>
          <w:iCs w:val="0"/>
          <w:caps w:val="0"/>
          <w:color w:val="auto"/>
          <w:spacing w:val="0"/>
          <w:kern w:val="0"/>
          <w:sz w:val="21"/>
          <w:szCs w:val="21"/>
          <w:highlight w:val="none"/>
          <w:shd w:val="clear" w:color="auto" w:fill="FFFFFF"/>
          <w:lang w:val="en-US" w:eastAsia="zh-CN" w:bidi="ar"/>
        </w:rPr>
        <w:t>45</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个日历天内完工。</w:t>
      </w:r>
    </w:p>
    <w:p w14:paraId="265875E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本标项（否）接受联合体投标</w:t>
      </w:r>
    </w:p>
    <w:p w14:paraId="07D966F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5601"/>
        </w:tabs>
        <w:spacing w:before="0" w:beforeAutospacing="0" w:after="0" w:afterAutospacing="0" w:line="400" w:lineRule="atLeast"/>
        <w:ind w:left="0" w:right="0" w:firstLine="420"/>
        <w:jc w:val="left"/>
        <w:rPr>
          <w:rFonts w:hint="default" w:ascii="宋体" w:hAnsi="宋体" w:eastAsia="宋体" w:cs="宋体"/>
          <w:i w:val="0"/>
          <w:iCs w:val="0"/>
          <w:caps w:val="0"/>
          <w:color w:val="auto"/>
          <w:spacing w:val="0"/>
          <w:sz w:val="21"/>
          <w:szCs w:val="21"/>
          <w:highlight w:val="none"/>
          <w:lang w:val="en-US"/>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备注：</w:t>
      </w:r>
      <w:r>
        <w:rPr>
          <w:rFonts w:hint="eastAsia" w:ascii="宋体" w:hAnsi="宋体" w:cs="宋体"/>
          <w:i w:val="0"/>
          <w:iCs w:val="0"/>
          <w:caps w:val="0"/>
          <w:color w:val="auto"/>
          <w:spacing w:val="0"/>
          <w:kern w:val="0"/>
          <w:sz w:val="21"/>
          <w:szCs w:val="21"/>
          <w:highlight w:val="none"/>
          <w:shd w:val="clear" w:color="auto" w:fill="FFFFFF"/>
          <w:lang w:val="en-US" w:eastAsia="zh-CN" w:bidi="ar"/>
        </w:rPr>
        <w:t>无。</w:t>
      </w:r>
    </w:p>
    <w:p w14:paraId="15B59BE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二、</w:t>
      </w:r>
      <w:bookmarkStart w:id="8" w:name="OLE_LINK7"/>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申请人的资格要求</w:t>
      </w:r>
      <w:bookmarkEnd w:id="8"/>
    </w:p>
    <w:p w14:paraId="3966BCE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1.满足《中华人民共和国政府采购法》第二十二条规定；</w:t>
      </w:r>
    </w:p>
    <w:p w14:paraId="4061C4B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firstLineChars="0"/>
        <w:jc w:val="left"/>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2.落实政府采购政策需满足的资格要求：</w:t>
      </w:r>
      <w:r>
        <w:rPr>
          <w:rFonts w:hint="eastAsia" w:ascii="宋体" w:hAnsi="宋体" w:eastAsia="宋体" w:cs="宋体"/>
          <w:i w:val="0"/>
          <w:iCs w:val="0"/>
          <w:color w:val="auto"/>
          <w:szCs w:val="21"/>
          <w:highlight w:val="none"/>
          <w:u w:val="single"/>
          <w:lang w:val="en-US" w:eastAsia="zh-CN"/>
        </w:rPr>
        <w:t>本项目为专门面向中小企业采购的项目</w:t>
      </w:r>
      <w:r>
        <w:rPr>
          <w:rFonts w:hint="eastAsia" w:ascii="宋体" w:hAnsi="宋体" w:eastAsia="宋体" w:cs="宋体"/>
          <w:i w:val="0"/>
          <w:iCs w:val="0"/>
          <w:caps w:val="0"/>
          <w:color w:val="auto"/>
          <w:spacing w:val="0"/>
          <w:sz w:val="21"/>
          <w:szCs w:val="21"/>
          <w:highlight w:val="none"/>
          <w:shd w:val="clear" w:color="auto" w:fill="FFFFFF"/>
        </w:rPr>
        <w:t>（供应商应为中小微企业、监狱企业、残疾人福利性单位)</w:t>
      </w:r>
    </w:p>
    <w:p w14:paraId="1ECF507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color w:val="auto"/>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3.本项目的特定资格要求：具有建筑工程施工总承包三级及以上资质，且具有有效的安全生产许可证，并在人员、设备、资金等方面具备相应的施工能力的企业，其中拟派项目经理须具有建筑工程专业贰级以上（含贰级）注册建造师执业资格，且具有有效的安全生产考核合格证书（B类）。</w:t>
      </w:r>
    </w:p>
    <w:p w14:paraId="024E7A4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三、获取采购文件</w:t>
      </w:r>
    </w:p>
    <w:p w14:paraId="5E924FF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时间：/至 2026年</w:t>
      </w:r>
      <w:r>
        <w:rPr>
          <w:rFonts w:hint="eastAsia" w:ascii="宋体" w:hAnsi="宋体" w:cs="宋体"/>
          <w:i w:val="0"/>
          <w:iCs w:val="0"/>
          <w:caps w:val="0"/>
          <w:color w:val="auto"/>
          <w:spacing w:val="0"/>
          <w:kern w:val="0"/>
          <w:sz w:val="21"/>
          <w:szCs w:val="21"/>
          <w:highlight w:val="none"/>
          <w:shd w:val="clear" w:color="auto" w:fill="FFFFFF"/>
          <w:lang w:val="en-US" w:eastAsia="zh-CN" w:bidi="ar"/>
        </w:rPr>
        <w:t>08</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月</w:t>
      </w:r>
      <w:r>
        <w:rPr>
          <w:rFonts w:hint="eastAsia" w:ascii="宋体" w:hAnsi="宋体" w:cs="宋体"/>
          <w:i w:val="0"/>
          <w:iCs w:val="0"/>
          <w:caps w:val="0"/>
          <w:color w:val="auto"/>
          <w:spacing w:val="0"/>
          <w:kern w:val="0"/>
          <w:sz w:val="21"/>
          <w:szCs w:val="21"/>
          <w:highlight w:val="none"/>
          <w:shd w:val="clear" w:color="auto" w:fill="FFFFFF"/>
          <w:lang w:val="en-US" w:eastAsia="zh-CN" w:bidi="ar"/>
        </w:rPr>
        <w:t>25</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日，每天上午00:00至12:00，下午12:00至23:59（北京时间，法定节假日除外）。</w:t>
      </w:r>
    </w:p>
    <w:p w14:paraId="76299CD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地点（网址）：</w:t>
      </w:r>
      <w:r>
        <w:rPr>
          <w:rFonts w:hint="eastAsia" w:ascii="宋体" w:hAnsi="宋体" w:eastAsia="宋体" w:cs="宋体"/>
          <w:color w:val="auto"/>
          <w:szCs w:val="21"/>
          <w:highlight w:val="none"/>
        </w:rPr>
        <w:t>“广西政府采购云平台”（https://www.gcy.zfcg.gxzf.gov.cn/）</w:t>
      </w:r>
    </w:p>
    <w:p w14:paraId="211E325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方式:网上下载。本项目不发放纸质采购文件，供应商可自行在广西政府采购云平台（https://www.gcy.zfcg.gxzf.gov.cn）下载采购文件（操作路径：登录广西政府采购云平台-项目采购-获取采购文件-找到本项目-点击“申请获取采购文件”）。</w:t>
      </w:r>
    </w:p>
    <w:p w14:paraId="5E601DC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售价（元）：0</w:t>
      </w:r>
    </w:p>
    <w:p w14:paraId="56D8C70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四、响应文件提交</w:t>
      </w:r>
    </w:p>
    <w:p w14:paraId="6CCAF00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1.首次响应文件提交截止时间（北京时间）：2026年</w:t>
      </w:r>
      <w:r>
        <w:rPr>
          <w:rFonts w:hint="eastAsia" w:ascii="宋体" w:hAnsi="宋体" w:cs="宋体"/>
          <w:i w:val="0"/>
          <w:iCs w:val="0"/>
          <w:caps w:val="0"/>
          <w:color w:val="auto"/>
          <w:spacing w:val="0"/>
          <w:kern w:val="0"/>
          <w:sz w:val="21"/>
          <w:szCs w:val="21"/>
          <w:highlight w:val="none"/>
          <w:shd w:val="clear" w:color="auto" w:fill="FFFFFF"/>
          <w:lang w:val="en-US" w:eastAsia="zh-CN" w:bidi="ar"/>
        </w:rPr>
        <w:t>08</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月</w:t>
      </w:r>
      <w:r>
        <w:rPr>
          <w:rFonts w:hint="eastAsia" w:ascii="宋体" w:hAnsi="宋体" w:cs="宋体"/>
          <w:i w:val="0"/>
          <w:iCs w:val="0"/>
          <w:caps w:val="0"/>
          <w:color w:val="auto"/>
          <w:spacing w:val="0"/>
          <w:kern w:val="0"/>
          <w:sz w:val="21"/>
          <w:szCs w:val="21"/>
          <w:highlight w:val="none"/>
          <w:shd w:val="clear" w:color="auto" w:fill="FFFFFF"/>
          <w:lang w:val="en-US" w:eastAsia="zh-CN" w:bidi="ar"/>
        </w:rPr>
        <w:t>25</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日</w:t>
      </w:r>
      <w:r>
        <w:rPr>
          <w:rFonts w:hint="eastAsia" w:ascii="宋体" w:hAnsi="宋体" w:cs="宋体"/>
          <w:i w:val="0"/>
          <w:iCs w:val="0"/>
          <w:caps w:val="0"/>
          <w:color w:val="auto"/>
          <w:spacing w:val="0"/>
          <w:kern w:val="0"/>
          <w:sz w:val="21"/>
          <w:szCs w:val="21"/>
          <w:highlight w:val="none"/>
          <w:shd w:val="clear" w:color="auto" w:fill="FFFFFF"/>
          <w:lang w:val="en-US" w:eastAsia="zh-CN" w:bidi="ar"/>
        </w:rPr>
        <w:t>13</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时</w:t>
      </w:r>
      <w:r>
        <w:rPr>
          <w:rFonts w:hint="eastAsia" w:ascii="宋体" w:hAnsi="宋体" w:cs="宋体"/>
          <w:i w:val="0"/>
          <w:iCs w:val="0"/>
          <w:caps w:val="0"/>
          <w:color w:val="auto"/>
          <w:spacing w:val="0"/>
          <w:kern w:val="0"/>
          <w:sz w:val="21"/>
          <w:szCs w:val="21"/>
          <w:highlight w:val="none"/>
          <w:shd w:val="clear" w:color="auto" w:fill="FFFFFF"/>
          <w:lang w:val="en-US" w:eastAsia="zh-CN" w:bidi="ar"/>
        </w:rPr>
        <w:t>0</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0分（北京时间）。</w:t>
      </w:r>
    </w:p>
    <w:p w14:paraId="6129215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color w:val="auto"/>
          <w:szCs w:val="21"/>
          <w:highlight w:val="none"/>
          <w:lang w:eastAsia="zh-CN"/>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2.首次响应文件提交地点：</w:t>
      </w:r>
      <w:r>
        <w:rPr>
          <w:rFonts w:hint="eastAsia" w:ascii="宋体" w:hAnsi="宋体" w:eastAsia="宋体" w:cs="宋体"/>
          <w:color w:val="auto"/>
          <w:szCs w:val="21"/>
          <w:highlight w:val="none"/>
        </w:rPr>
        <w:t>本项目为南宁市全流程电子化项目，通过“广西政府采购云平台”（https：//www.gcy.zfcg.gxzf.gov.cn）实行在线电子响应</w:t>
      </w:r>
      <w:r>
        <w:rPr>
          <w:rFonts w:hint="eastAsia" w:ascii="宋体" w:hAnsi="宋体" w:cs="宋体"/>
          <w:color w:val="auto"/>
          <w:szCs w:val="21"/>
          <w:highlight w:val="none"/>
          <w:lang w:eastAsia="zh-CN"/>
        </w:rPr>
        <w:t>。</w:t>
      </w:r>
    </w:p>
    <w:p w14:paraId="286DEC1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五、开启（首次响应文件开启时间）</w:t>
      </w:r>
    </w:p>
    <w:p w14:paraId="06AD6CA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时间（北京时间）：2026年</w:t>
      </w:r>
      <w:r>
        <w:rPr>
          <w:rFonts w:hint="eastAsia" w:ascii="宋体" w:hAnsi="宋体" w:cs="宋体"/>
          <w:i w:val="0"/>
          <w:iCs w:val="0"/>
          <w:caps w:val="0"/>
          <w:color w:val="auto"/>
          <w:spacing w:val="0"/>
          <w:kern w:val="0"/>
          <w:sz w:val="21"/>
          <w:szCs w:val="21"/>
          <w:highlight w:val="none"/>
          <w:shd w:val="clear" w:color="auto" w:fill="FFFFFF"/>
          <w:lang w:val="en-US" w:eastAsia="zh-CN" w:bidi="ar"/>
        </w:rPr>
        <w:t>08</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月</w:t>
      </w:r>
      <w:r>
        <w:rPr>
          <w:rFonts w:hint="eastAsia" w:ascii="宋体" w:hAnsi="宋体" w:cs="宋体"/>
          <w:i w:val="0"/>
          <w:iCs w:val="0"/>
          <w:caps w:val="0"/>
          <w:color w:val="auto"/>
          <w:spacing w:val="0"/>
          <w:kern w:val="0"/>
          <w:sz w:val="21"/>
          <w:szCs w:val="21"/>
          <w:highlight w:val="none"/>
          <w:shd w:val="clear" w:color="auto" w:fill="FFFFFF"/>
          <w:lang w:val="en-US" w:eastAsia="zh-CN" w:bidi="ar"/>
        </w:rPr>
        <w:t>25</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日</w:t>
      </w:r>
      <w:r>
        <w:rPr>
          <w:rFonts w:hint="eastAsia" w:ascii="宋体" w:hAnsi="宋体" w:cs="宋体"/>
          <w:i w:val="0"/>
          <w:iCs w:val="0"/>
          <w:caps w:val="0"/>
          <w:color w:val="auto"/>
          <w:spacing w:val="0"/>
          <w:kern w:val="0"/>
          <w:sz w:val="21"/>
          <w:szCs w:val="21"/>
          <w:highlight w:val="none"/>
          <w:shd w:val="clear" w:color="auto" w:fill="FFFFFF"/>
          <w:lang w:val="en-US" w:eastAsia="zh-CN" w:bidi="ar"/>
        </w:rPr>
        <w:t>13</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w:t>
      </w:r>
      <w:r>
        <w:rPr>
          <w:rFonts w:hint="eastAsia" w:ascii="宋体" w:hAnsi="宋体" w:cs="宋体"/>
          <w:i w:val="0"/>
          <w:iCs w:val="0"/>
          <w:caps w:val="0"/>
          <w:color w:val="auto"/>
          <w:spacing w:val="0"/>
          <w:kern w:val="0"/>
          <w:sz w:val="21"/>
          <w:szCs w:val="21"/>
          <w:highlight w:val="none"/>
          <w:shd w:val="clear" w:color="auto" w:fill="FFFFFF"/>
          <w:lang w:val="en-US" w:eastAsia="zh-CN" w:bidi="ar"/>
        </w:rPr>
        <w:t>0</w:t>
      </w:r>
      <w:bookmarkStart w:id="76" w:name="_GoBack"/>
      <w:bookmarkEnd w:id="76"/>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0（北京时间）</w:t>
      </w:r>
    </w:p>
    <w:p w14:paraId="3F5EB6E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 xml:space="preserve">地点：“广西政府采购云平台”（https：//www.gcy.zfcg.gxzf.gov.cn） </w:t>
      </w:r>
    </w:p>
    <w:p w14:paraId="2E73436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六、公告期限</w:t>
      </w:r>
    </w:p>
    <w:p w14:paraId="5B94274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自本公告发布之日起5个工作日。</w:t>
      </w:r>
    </w:p>
    <w:p w14:paraId="10EE2EC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七、其他补充事宜</w:t>
      </w:r>
    </w:p>
    <w:p w14:paraId="48627B0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1.磋商保证金：本项目不收取磋商保证金</w:t>
      </w:r>
    </w:p>
    <w:p w14:paraId="0EF28F7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2.采购意向公开链接：https://zfcg.gxzf.gov.cn/site/detail?categoryCode=ZcyAnnouncement&amp;parentId=66485&amp;articleId=kSOUuTTcD88g+4gowweb3g==</w:t>
      </w:r>
    </w:p>
    <w:p w14:paraId="45A31D9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3.网上查询地址</w:t>
      </w:r>
    </w:p>
    <w:p w14:paraId="64CEE0A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http://www.ccgp.gov.cn (中国政府采购网),http://zfcg.gxzf.gov.cn (广西政府采购网) , http://ggzy.jgswj.gxzf.gov.cn/nnggzy(全国公共资源交易平台(广西·南宁))</w:t>
      </w:r>
    </w:p>
    <w:p w14:paraId="5A11AE8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0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4.本项目需要落实的政府采购政策</w:t>
      </w:r>
    </w:p>
    <w:p w14:paraId="69F1139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（1）政府采购促进中小企业发展。</w:t>
      </w:r>
    </w:p>
    <w:p w14:paraId="2EF6556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（2）政府采购支持采用本国产品的政策。</w:t>
      </w:r>
    </w:p>
    <w:p w14:paraId="30D36F8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（3）强制采购节能产品；优先采购节能产品、环境标志产品。</w:t>
      </w:r>
    </w:p>
    <w:p w14:paraId="16D209A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（4）政府采购促进残疾人就业政策。</w:t>
      </w:r>
    </w:p>
    <w:p w14:paraId="175D7C1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（5）政府采购支持监狱企业发展。</w:t>
      </w:r>
    </w:p>
    <w:p w14:paraId="73BBCC8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64CE7AD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6. 若对项目采购电子交易系统操作有疑问，可登录广西政府采购云平台（https://www.gcy.zfcg.gxzf.gov.cn/），点击右侧咨询小采，获取采小蜜智能服务管家帮助，或拨打广西政府采购云平台服务热线95763获取热线服务帮助。</w:t>
      </w:r>
    </w:p>
    <w:p w14:paraId="78F42FF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7.注意事项：</w:t>
      </w:r>
    </w:p>
    <w:p w14:paraId="4BF4B0F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1）响应文件提交方式：本项目为南宁市全流程电子化项目，通过广西政府采购云平台（https://www.gcy.zfcg.gxzf.gov.cn/）实行在线电子响应，供应商应先安装广西政府采购云平台新版客户端（请自行前往广西政府采购云平台进行下载），并按照本项目采购文件和广西政府采购云平台的要求编制、加密后在响应文件提交截止时间前通过网络上传至南宁市广西政府采购云平台，供应商在广西政府采购云平台提交电子版响应文件时，请填写参加远程采购活动经办人联系方式。</w:t>
      </w:r>
    </w:p>
    <w:p w14:paraId="00D1C6F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（2）未进行网上注册并办理数字证书（CA认证）的供应商将无法参与本项目政府采购活动，潜在供应商应当在响应文件提交截止时间前，完成电子交易平台上的CA数字证书办理及响应文件的提交。</w:t>
      </w:r>
    </w:p>
    <w:p w14:paraId="7938311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（3）为确保网上操作合法、有效和安全，请供应商确保在电子响应过程中能够对相关数据电文进行加密和使用电子签章，妥善保管CA数字证书并使用有效的CA数字证书参与整个采购活动。</w:t>
      </w:r>
    </w:p>
    <w:p w14:paraId="12F7515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0DF69A8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4）CA证书在线解密：首次响应文件开启时，须要供应商携带制作响应文件时用来加密的有效数字证书（CA认证）登录广西政府采购云平台电子开标大厅现场按规定时间对加密的响应文件进行解密，未能按要求进行解密的，由此产生的后果由供应商自行承担。</w:t>
      </w:r>
    </w:p>
    <w:p w14:paraId="0115D2E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（5）供应商需要在具备有摄像头及语音功能且互联网网络状况良好的电脑登录广西政府采购云平台远程开标大厅参与本次磋商，否则后果自负。</w:t>
      </w:r>
    </w:p>
    <w:p w14:paraId="47C69D5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40" w:lineRule="atLeast"/>
        <w:ind w:left="0" w:right="0" w:firstLine="42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8.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1369F52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八、凡对本次采购提出询问，请按以下方式联系</w:t>
      </w:r>
    </w:p>
    <w:p w14:paraId="08D86368">
      <w:pPr>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4C646488">
      <w:pPr>
        <w:spacing w:line="360" w:lineRule="auto"/>
        <w:ind w:firstLine="630" w:firstLineChars="3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名称：</w:t>
      </w:r>
      <w:r>
        <w:rPr>
          <w:rFonts w:hint="eastAsia" w:ascii="宋体" w:hAnsi="宋体" w:cs="宋体"/>
          <w:color w:val="auto"/>
          <w:szCs w:val="21"/>
          <w:highlight w:val="none"/>
          <w:lang w:eastAsia="zh-CN"/>
        </w:rPr>
        <w:t>南宁市衡阳西路第二幼儿园</w:t>
      </w:r>
    </w:p>
    <w:p w14:paraId="4D959956">
      <w:pPr>
        <w:spacing w:line="360" w:lineRule="auto"/>
        <w:ind w:firstLine="630" w:firstLineChars="3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地址：</w:t>
      </w:r>
      <w:r>
        <w:rPr>
          <w:rFonts w:hint="eastAsia" w:ascii="宋体" w:hAnsi="宋体" w:cs="宋体"/>
          <w:color w:val="auto"/>
          <w:szCs w:val="21"/>
          <w:highlight w:val="none"/>
          <w:lang w:eastAsia="zh-CN"/>
        </w:rPr>
        <w:t>南宁市秀灵路20号</w:t>
      </w:r>
    </w:p>
    <w:p w14:paraId="2533B5D9">
      <w:pPr>
        <w:spacing w:line="360" w:lineRule="auto"/>
        <w:ind w:firstLine="630" w:firstLineChars="3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项目</w:t>
      </w:r>
      <w:r>
        <w:rPr>
          <w:rFonts w:hint="eastAsia" w:ascii="宋体" w:hAnsi="宋体" w:eastAsia="宋体" w:cs="宋体"/>
          <w:color w:val="auto"/>
          <w:szCs w:val="21"/>
          <w:highlight w:val="none"/>
          <w:lang w:eastAsia="zh-CN"/>
        </w:rPr>
        <w:t>联系</w:t>
      </w:r>
      <w:r>
        <w:rPr>
          <w:rFonts w:hint="eastAsia" w:ascii="宋体" w:hAnsi="宋体" w:eastAsia="宋体" w:cs="宋体"/>
          <w:color w:val="auto"/>
          <w:szCs w:val="21"/>
          <w:highlight w:val="none"/>
          <w:lang w:val="en-US" w:eastAsia="zh-CN"/>
        </w:rPr>
        <w:t>人及</w:t>
      </w:r>
      <w:r>
        <w:rPr>
          <w:rFonts w:hint="eastAsia" w:ascii="宋体" w:hAnsi="宋体" w:eastAsia="宋体" w:cs="宋体"/>
          <w:color w:val="auto"/>
          <w:szCs w:val="21"/>
          <w:highlight w:val="none"/>
          <w:lang w:eastAsia="zh-CN"/>
        </w:rPr>
        <w:t>电话</w:t>
      </w:r>
      <w:bookmarkStart w:id="9" w:name="OLE_LINK2"/>
      <w:r>
        <w:rPr>
          <w:rFonts w:hint="eastAsia" w:ascii="宋体" w:hAnsi="宋体" w:eastAsia="宋体" w:cs="宋体"/>
          <w:color w:val="auto"/>
          <w:szCs w:val="21"/>
          <w:highlight w:val="none"/>
          <w:lang w:eastAsia="zh-CN"/>
        </w:rPr>
        <w:t>：罗青山</w:t>
      </w:r>
      <w:r>
        <w:rPr>
          <w:rFonts w:hint="eastAsia" w:ascii="宋体" w:hAnsi="宋体" w:cs="宋体"/>
          <w:color w:val="auto"/>
          <w:highlight w:val="none"/>
          <w:lang w:val="en-US" w:eastAsia="zh-CN"/>
        </w:rPr>
        <w:t xml:space="preserve"> 13347604797</w:t>
      </w:r>
    </w:p>
    <w:bookmarkEnd w:id="9"/>
    <w:p w14:paraId="4B8D2CB2">
      <w:pPr>
        <w:spacing w:line="360" w:lineRule="auto"/>
        <w:ind w:firstLine="630" w:firstLineChars="3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采购代理机构信息</w:t>
      </w:r>
    </w:p>
    <w:p w14:paraId="42467F52">
      <w:pPr>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广西桂工建设管理咨询有限公司</w:t>
      </w:r>
      <w:r>
        <w:rPr>
          <w:rFonts w:hint="eastAsia" w:ascii="宋体" w:hAnsi="宋体" w:eastAsia="宋体" w:cs="宋体"/>
          <w:color w:val="auto"/>
          <w:szCs w:val="21"/>
          <w:highlight w:val="none"/>
        </w:rPr>
        <w:t xml:space="preserve"> </w:t>
      </w:r>
    </w:p>
    <w:p w14:paraId="500709E7">
      <w:pPr>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地址：中国（广西）自由贸易试验区南宁片区庆歌路20号富雅•国际商务大厦B栋十三层1301</w:t>
      </w:r>
    </w:p>
    <w:p w14:paraId="13AADBE8">
      <w:pPr>
        <w:spacing w:line="360" w:lineRule="auto"/>
        <w:ind w:firstLine="630" w:firstLineChars="3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项目联系人：</w:t>
      </w:r>
      <w:r>
        <w:rPr>
          <w:rFonts w:hint="eastAsia" w:ascii="宋体" w:hAnsi="宋体" w:eastAsia="宋体" w:cs="宋体"/>
          <w:color w:val="auto"/>
          <w:szCs w:val="21"/>
          <w:highlight w:val="none"/>
          <w:lang w:val="en-US" w:eastAsia="zh-CN"/>
        </w:rPr>
        <w:t>黄开西、方丽文、冯丽婷、唐电生</w:t>
      </w:r>
    </w:p>
    <w:p w14:paraId="57216EB7">
      <w:pPr>
        <w:spacing w:line="360" w:lineRule="auto"/>
        <w:ind w:firstLine="630" w:firstLineChars="3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项目联系方式：</w:t>
      </w:r>
      <w:r>
        <w:rPr>
          <w:rFonts w:hint="eastAsia" w:ascii="宋体" w:hAnsi="宋体" w:eastAsia="宋体" w:cs="宋体"/>
          <w:color w:val="auto"/>
          <w:szCs w:val="21"/>
          <w:highlight w:val="none"/>
          <w:lang w:val="en-US" w:eastAsia="zh-CN"/>
        </w:rPr>
        <w:t>0771-5533898</w:t>
      </w:r>
    </w:p>
    <w:p w14:paraId="26E69516">
      <w:pPr>
        <w:spacing w:line="360" w:lineRule="auto"/>
        <w:ind w:left="1041" w:leftChars="371" w:hanging="262" w:hangingChars="125"/>
        <w:jc w:val="left"/>
        <w:rPr>
          <w:rFonts w:hint="eastAsia" w:ascii="宋体" w:hAnsi="宋体" w:eastAsia="宋体" w:cs="宋体"/>
          <w:color w:val="auto"/>
          <w:szCs w:val="21"/>
          <w:highlight w:val="none"/>
          <w:lang w:val="en-US" w:eastAsia="zh-CN"/>
        </w:rPr>
      </w:pPr>
    </w:p>
    <w:p w14:paraId="4531F0F0">
      <w:pPr>
        <w:spacing w:line="360" w:lineRule="auto"/>
        <w:ind w:left="1041" w:leftChars="371" w:hanging="262" w:hangingChars="125"/>
        <w:jc w:val="left"/>
        <w:rPr>
          <w:rFonts w:hint="eastAsia" w:ascii="宋体" w:hAnsi="宋体" w:eastAsia="宋体" w:cs="宋体"/>
          <w:color w:val="auto"/>
          <w:szCs w:val="21"/>
          <w:highlight w:val="none"/>
          <w:lang w:val="en-US" w:eastAsia="zh-CN"/>
        </w:rPr>
      </w:pPr>
    </w:p>
    <w:p w14:paraId="57BD6665">
      <w:pPr>
        <w:spacing w:line="360" w:lineRule="auto"/>
        <w:ind w:left="1041" w:leftChars="371" w:hanging="262" w:hangingChars="125"/>
        <w:jc w:val="left"/>
        <w:rPr>
          <w:rFonts w:hint="eastAsia" w:ascii="宋体" w:hAnsi="宋体" w:eastAsia="宋体" w:cs="宋体"/>
          <w:color w:val="auto"/>
          <w:szCs w:val="21"/>
          <w:highlight w:val="none"/>
          <w:lang w:val="en-US" w:eastAsia="zh-CN"/>
        </w:rPr>
      </w:pPr>
    </w:p>
    <w:p w14:paraId="4925675F">
      <w:pPr>
        <w:spacing w:line="360" w:lineRule="auto"/>
        <w:ind w:left="1041" w:leftChars="371" w:hanging="262" w:hangingChars="125"/>
        <w:jc w:val="left"/>
        <w:rPr>
          <w:rFonts w:hint="eastAsia" w:ascii="宋体" w:hAnsi="宋体" w:eastAsia="宋体" w:cs="宋体"/>
          <w:color w:val="auto"/>
          <w:szCs w:val="21"/>
          <w:highlight w:val="none"/>
          <w:lang w:val="en-US" w:eastAsia="zh-CN"/>
        </w:rPr>
      </w:pPr>
    </w:p>
    <w:p w14:paraId="4249BF8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5C3247E7">
      <w:pPr>
        <w:pStyle w:val="2"/>
        <w:spacing w:before="0" w:after="0" w:line="240" w:lineRule="auto"/>
        <w:jc w:val="center"/>
        <w:rPr>
          <w:rFonts w:hint="eastAsia" w:ascii="宋体" w:hAnsi="宋体" w:eastAsia="宋体" w:cs="宋体"/>
          <w:b/>
          <w:bCs w:val="0"/>
          <w:color w:val="auto"/>
          <w:sz w:val="32"/>
          <w:szCs w:val="32"/>
          <w:highlight w:val="none"/>
        </w:rPr>
      </w:pPr>
      <w:bookmarkStart w:id="10" w:name="_Toc7184"/>
      <w:bookmarkStart w:id="11" w:name="_Toc9127"/>
      <w:bookmarkStart w:id="12" w:name="_Toc22255"/>
      <w:bookmarkStart w:id="13" w:name="_Toc25520"/>
      <w:bookmarkStart w:id="14" w:name="_Toc11093"/>
      <w:bookmarkStart w:id="15" w:name="_Toc22760"/>
      <w:r>
        <w:rPr>
          <w:rFonts w:hint="eastAsia" w:ascii="宋体" w:hAnsi="宋体" w:eastAsia="宋体" w:cs="宋体"/>
          <w:b/>
          <w:bCs w:val="0"/>
          <w:color w:val="auto"/>
          <w:sz w:val="32"/>
          <w:szCs w:val="32"/>
          <w:highlight w:val="none"/>
        </w:rPr>
        <w:t>第二章 采购需求</w:t>
      </w:r>
      <w:bookmarkEnd w:id="10"/>
      <w:bookmarkEnd w:id="11"/>
      <w:bookmarkEnd w:id="12"/>
      <w:bookmarkEnd w:id="13"/>
      <w:bookmarkEnd w:id="14"/>
    </w:p>
    <w:bookmarkEnd w:id="15"/>
    <w:p w14:paraId="6F057969">
      <w:pPr>
        <w:spacing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6857B92F">
      <w:pPr>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highlight w:val="none"/>
        </w:rPr>
        <w:t>1. 为落实政府采购政策需满足的要求：</w:t>
      </w:r>
    </w:p>
    <w:p w14:paraId="471F8AB0">
      <w:pPr>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（1）本竞争性磋商文件所称中小企业必须符合《政府采购促进中小企业发展管理办法》（财库〔2020〕46号）的规定。</w:t>
      </w:r>
    </w:p>
    <w:p w14:paraId="60C0CD2C">
      <w:pPr>
        <w:spacing w:line="4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有效期内的节能产品认证证书复印件（加盖供应商公章），</w:t>
      </w:r>
      <w:r>
        <w:rPr>
          <w:rFonts w:hint="eastAsia" w:ascii="宋体" w:hAnsi="宋体" w:eastAsia="宋体" w:cs="宋体"/>
          <w:b/>
          <w:bCs/>
          <w:color w:val="auto"/>
          <w:szCs w:val="21"/>
          <w:highlight w:val="none"/>
        </w:rPr>
        <w:t>否则响应文件按无效处理</w:t>
      </w:r>
      <w:r>
        <w:rPr>
          <w:rFonts w:hint="eastAsia" w:ascii="宋体" w:hAnsi="宋体" w:eastAsia="宋体" w:cs="宋体"/>
          <w:color w:val="auto"/>
          <w:szCs w:val="21"/>
          <w:highlight w:val="none"/>
        </w:rPr>
        <w:t xml:space="preserve">。如本项目包含的配套货物属于品目清单内非标注“★”的产品时，应优先采购，具体详见“第四章 </w:t>
      </w:r>
      <w:r>
        <w:rPr>
          <w:rStyle w:val="35"/>
          <w:rFonts w:hint="eastAsia" w:ascii="宋体" w:hAnsi="宋体" w:eastAsia="宋体" w:cs="宋体"/>
          <w:color w:val="auto"/>
          <w:highlight w:val="none"/>
        </w:rPr>
        <w:t>评审程序、评审方法和评审标准</w:t>
      </w:r>
      <w:r>
        <w:rPr>
          <w:rFonts w:hint="eastAsia" w:ascii="宋体" w:hAnsi="宋体" w:eastAsia="宋体" w:cs="宋体"/>
          <w:color w:val="auto"/>
          <w:szCs w:val="21"/>
          <w:highlight w:val="none"/>
        </w:rPr>
        <w:t>”。</w:t>
      </w:r>
    </w:p>
    <w:p w14:paraId="2AC03927">
      <w:pPr>
        <w:spacing w:line="420" w:lineRule="exact"/>
        <w:ind w:firstLine="413" w:firstLineChars="196"/>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2.“实质性要求”是指磋商文件中已经指明不满足则响应文件按无效响应处理的条款，或者不能负偏离的条款，或者采购需求中带“▲”的条款。</w:t>
      </w:r>
    </w:p>
    <w:p w14:paraId="7503780B">
      <w:pPr>
        <w:pStyle w:val="11"/>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3. </w:t>
      </w:r>
      <w:r>
        <w:rPr>
          <w:rFonts w:hint="eastAsia" w:ascii="宋体" w:hAnsi="宋体" w:eastAsia="宋体" w:cs="宋体"/>
          <w:color w:val="auto"/>
          <w:highlight w:val="none"/>
        </w:rPr>
        <w:t>如竞标产品存在侵犯他人的知识产权或者专利成果行为的，应承担相应法律责任。</w:t>
      </w:r>
    </w:p>
    <w:p w14:paraId="11EFB6D5">
      <w:pPr>
        <w:tabs>
          <w:tab w:val="left" w:pos="180"/>
          <w:tab w:val="left" w:pos="1620"/>
        </w:tabs>
        <w:spacing w:line="42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4.采购内容所属行业：</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建筑业</w:t>
      </w:r>
      <w:r>
        <w:rPr>
          <w:rFonts w:hint="eastAsia" w:ascii="宋体" w:hAnsi="宋体" w:eastAsia="宋体" w:cs="宋体"/>
          <w:color w:val="auto"/>
          <w:highlight w:val="none"/>
          <w:u w:val="single"/>
          <w:lang w:val="en-US" w:eastAsia="zh-CN"/>
        </w:rPr>
        <w:t xml:space="preserve"> </w:t>
      </w:r>
    </w:p>
    <w:tbl>
      <w:tblPr>
        <w:tblStyle w:val="29"/>
        <w:tblW w:w="10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
        <w:gridCol w:w="458"/>
        <w:gridCol w:w="675"/>
        <w:gridCol w:w="651"/>
        <w:gridCol w:w="6984"/>
        <w:gridCol w:w="914"/>
      </w:tblGrid>
      <w:tr w14:paraId="7C7B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05" w:type="dxa"/>
            <w:gridSpan w:val="6"/>
            <w:tcBorders>
              <w:top w:val="single" w:color="auto" w:sz="4" w:space="0"/>
              <w:left w:val="single" w:color="auto" w:sz="4" w:space="0"/>
              <w:bottom w:val="single" w:color="auto" w:sz="4" w:space="0"/>
              <w:right w:val="single" w:color="auto" w:sz="4" w:space="0"/>
            </w:tcBorders>
            <w:noWrap w:val="0"/>
            <w:vAlign w:val="center"/>
          </w:tcPr>
          <w:p w14:paraId="0474DA24">
            <w:pPr>
              <w:keepNext w:val="0"/>
              <w:keepLines w:val="0"/>
              <w:pageBreakBefore w:val="0"/>
              <w:widowControl w:val="0"/>
              <w:kinsoku/>
              <w:wordWrap/>
              <w:overflowPunct/>
              <w:topLinePunct w:val="0"/>
              <w:autoSpaceDE/>
              <w:autoSpaceDN/>
              <w:bidi w:val="0"/>
              <w:adjustRightInd/>
              <w:snapToGrid/>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分标：/</w:t>
            </w:r>
          </w:p>
        </w:tc>
      </w:tr>
      <w:tr w14:paraId="42B6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dxa"/>
            <w:vMerge w:val="restart"/>
            <w:tcBorders>
              <w:top w:val="single" w:color="auto" w:sz="4" w:space="0"/>
            </w:tcBorders>
            <w:noWrap w:val="0"/>
            <w:vAlign w:val="center"/>
          </w:tcPr>
          <w:p w14:paraId="7174E9AB">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需求一览表</w:t>
            </w:r>
          </w:p>
        </w:tc>
        <w:tc>
          <w:tcPr>
            <w:tcW w:w="458" w:type="dxa"/>
            <w:tcBorders>
              <w:top w:val="single" w:color="auto" w:sz="4" w:space="0"/>
            </w:tcBorders>
            <w:noWrap w:val="0"/>
            <w:vAlign w:val="center"/>
          </w:tcPr>
          <w:p w14:paraId="7CB3970E">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75" w:type="dxa"/>
            <w:tcBorders>
              <w:top w:val="single" w:color="auto" w:sz="4" w:space="0"/>
            </w:tcBorders>
            <w:noWrap w:val="0"/>
            <w:vAlign w:val="center"/>
          </w:tcPr>
          <w:p w14:paraId="456A18E6">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651" w:type="dxa"/>
            <w:tcBorders>
              <w:top w:val="single" w:color="auto" w:sz="4" w:space="0"/>
            </w:tcBorders>
            <w:noWrap w:val="0"/>
            <w:vAlign w:val="center"/>
          </w:tcPr>
          <w:p w14:paraId="12F1D10E">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p w14:paraId="71DCA88A">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及单位</w:t>
            </w:r>
          </w:p>
          <w:p w14:paraId="6BDDC79C">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p>
        </w:tc>
        <w:tc>
          <w:tcPr>
            <w:tcW w:w="6984" w:type="dxa"/>
            <w:tcBorders>
              <w:top w:val="single" w:color="auto" w:sz="4" w:space="0"/>
            </w:tcBorders>
            <w:noWrap w:val="0"/>
            <w:vAlign w:val="center"/>
          </w:tcPr>
          <w:p w14:paraId="5E8E3126">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w:t>
            </w:r>
          </w:p>
        </w:tc>
        <w:tc>
          <w:tcPr>
            <w:tcW w:w="914" w:type="dxa"/>
            <w:tcBorders>
              <w:top w:val="single" w:color="auto" w:sz="4" w:space="0"/>
            </w:tcBorders>
            <w:noWrap w:val="0"/>
            <w:vAlign w:val="center"/>
          </w:tcPr>
          <w:p w14:paraId="33034EC7">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w:t>
            </w:r>
          </w:p>
        </w:tc>
      </w:tr>
      <w:tr w14:paraId="2603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23" w:type="dxa"/>
            <w:vMerge w:val="continue"/>
            <w:noWrap w:val="0"/>
            <w:vAlign w:val="center"/>
          </w:tcPr>
          <w:p w14:paraId="451BA65F">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p>
        </w:tc>
        <w:tc>
          <w:tcPr>
            <w:tcW w:w="458" w:type="dxa"/>
            <w:noWrap w:val="0"/>
            <w:vAlign w:val="center"/>
          </w:tcPr>
          <w:p w14:paraId="54C79C67">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675" w:type="dxa"/>
            <w:noWrap w:val="0"/>
            <w:vAlign w:val="center"/>
          </w:tcPr>
          <w:p w14:paraId="43896F87">
            <w:pPr>
              <w:keepNext w:val="0"/>
              <w:keepLines w:val="0"/>
              <w:pageBreakBefore w:val="0"/>
              <w:widowControl w:val="0"/>
              <w:kinsoku/>
              <w:wordWrap/>
              <w:overflowPunct/>
              <w:topLinePunct w:val="0"/>
              <w:autoSpaceDE/>
              <w:autoSpaceDN/>
              <w:bidi w:val="0"/>
              <w:adjustRightInd/>
              <w:snapToGrid/>
              <w:spacing w:line="420" w:lineRule="exact"/>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南宁市衡阳西路第二幼儿园教学楼(阳光楼)维修工程</w:t>
            </w:r>
          </w:p>
        </w:tc>
        <w:tc>
          <w:tcPr>
            <w:tcW w:w="651" w:type="dxa"/>
            <w:noWrap w:val="0"/>
            <w:vAlign w:val="center"/>
          </w:tcPr>
          <w:p w14:paraId="3DE3C48E">
            <w:pPr>
              <w:keepNext w:val="0"/>
              <w:keepLines w:val="0"/>
              <w:pageBreakBefore w:val="0"/>
              <w:widowControl w:val="0"/>
              <w:kinsoku/>
              <w:wordWrap/>
              <w:overflowPunct/>
              <w:topLinePunct w:val="0"/>
              <w:autoSpaceDE/>
              <w:autoSpaceDN/>
              <w:bidi w:val="0"/>
              <w:adjustRightInd/>
              <w:snapToGrid/>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w:t>
            </w:r>
          </w:p>
        </w:tc>
        <w:tc>
          <w:tcPr>
            <w:tcW w:w="6984" w:type="dxa"/>
            <w:noWrap w:val="0"/>
            <w:vAlign w:val="center"/>
          </w:tcPr>
          <w:p w14:paraId="71415B93">
            <w:pPr>
              <w:keepNext w:val="0"/>
              <w:keepLines w:val="0"/>
              <w:pageBreakBefore w:val="0"/>
              <w:widowControl w:val="0"/>
              <w:kinsoku/>
              <w:wordWrap/>
              <w:overflowPunct/>
              <w:topLinePunct w:val="0"/>
              <w:autoSpaceDE/>
              <w:autoSpaceDN/>
              <w:bidi w:val="0"/>
              <w:adjustRightInd/>
              <w:snapToGrid/>
              <w:spacing w:line="420" w:lineRule="exact"/>
              <w:jc w:val="left"/>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一、项目概况</w:t>
            </w:r>
          </w:p>
          <w:p w14:paraId="32F24B32">
            <w:pPr>
              <w:keepNext w:val="0"/>
              <w:keepLines w:val="0"/>
              <w:pageBreakBefore w:val="0"/>
              <w:widowControl w:val="0"/>
              <w:kinsoku/>
              <w:wordWrap/>
              <w:overflowPunct/>
              <w:topLinePunct w:val="0"/>
              <w:autoSpaceDE/>
              <w:autoSpaceDN/>
              <w:bidi w:val="0"/>
              <w:adjustRightInd/>
              <w:snapToGrid/>
              <w:spacing w:line="420" w:lineRule="exact"/>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工程名称：</w:t>
            </w:r>
            <w:r>
              <w:rPr>
                <w:rFonts w:hint="eastAsia" w:ascii="宋体" w:hAnsi="宋体" w:cs="宋体"/>
                <w:color w:val="auto"/>
                <w:szCs w:val="21"/>
                <w:highlight w:val="none"/>
                <w:lang w:eastAsia="zh-CN"/>
              </w:rPr>
              <w:t>南宁市衡阳西路第二幼儿园教学楼(阳光楼)维修工程</w:t>
            </w:r>
          </w:p>
          <w:p w14:paraId="5E113611">
            <w:pPr>
              <w:keepNext w:val="0"/>
              <w:keepLines w:val="0"/>
              <w:pageBreakBefore w:val="0"/>
              <w:widowControl w:val="0"/>
              <w:kinsoku/>
              <w:wordWrap/>
              <w:overflowPunct/>
              <w:topLinePunct w:val="0"/>
              <w:autoSpaceDE/>
              <w:autoSpaceDN/>
              <w:bidi w:val="0"/>
              <w:adjustRightInd/>
              <w:snapToGrid/>
              <w:spacing w:line="420" w:lineRule="exact"/>
              <w:jc w:val="left"/>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建设地点：</w:t>
            </w:r>
            <w:r>
              <w:rPr>
                <w:rFonts w:hint="eastAsia" w:ascii="宋体" w:hAnsi="宋体" w:cs="宋体"/>
                <w:color w:val="auto"/>
                <w:szCs w:val="21"/>
                <w:highlight w:val="none"/>
                <w:lang w:eastAsia="zh-CN"/>
              </w:rPr>
              <w:t>南宁市衡阳西路第二幼儿园</w:t>
            </w:r>
            <w:r>
              <w:rPr>
                <w:rFonts w:hint="eastAsia" w:ascii="宋体" w:hAnsi="宋体" w:eastAsia="宋体" w:cs="宋体"/>
                <w:color w:val="auto"/>
                <w:szCs w:val="21"/>
                <w:highlight w:val="none"/>
              </w:rPr>
              <w:t>内。</w:t>
            </w:r>
          </w:p>
          <w:p w14:paraId="72884A60">
            <w:pPr>
              <w:keepNext w:val="0"/>
              <w:keepLines w:val="0"/>
              <w:pageBreakBefore w:val="0"/>
              <w:widowControl w:val="0"/>
              <w:kinsoku/>
              <w:wordWrap/>
              <w:overflowPunct/>
              <w:topLinePunct w:val="0"/>
              <w:autoSpaceDE/>
              <w:autoSpaceDN/>
              <w:bidi w:val="0"/>
              <w:adjustRightInd/>
              <w:snapToGrid/>
              <w:spacing w:line="420" w:lineRule="exact"/>
              <w:jc w:val="left"/>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本项目规模及采购范围：</w:t>
            </w:r>
            <w:r>
              <w:rPr>
                <w:rFonts w:hint="eastAsia" w:ascii="宋体" w:hAnsi="宋体" w:cs="宋体"/>
                <w:i w:val="0"/>
                <w:iCs w:val="0"/>
                <w:caps w:val="0"/>
                <w:color w:val="auto"/>
                <w:spacing w:val="0"/>
                <w:kern w:val="0"/>
                <w:sz w:val="21"/>
                <w:szCs w:val="21"/>
                <w:highlight w:val="none"/>
                <w:shd w:val="clear" w:color="auto" w:fill="FFFFFF"/>
                <w:lang w:val="en-US" w:eastAsia="zh-CN" w:bidi="ar"/>
              </w:rPr>
              <w:t>南宁市衡阳西路第二幼儿园教学楼(阳光楼)维修工程</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w:t>
            </w:r>
            <w:r>
              <w:rPr>
                <w:rFonts w:hint="eastAsia" w:ascii="宋体" w:hAnsi="宋体" w:cs="宋体"/>
                <w:i w:val="0"/>
                <w:iCs w:val="0"/>
                <w:caps w:val="0"/>
                <w:color w:val="auto"/>
                <w:spacing w:val="0"/>
                <w:kern w:val="0"/>
                <w:sz w:val="21"/>
                <w:szCs w:val="21"/>
                <w:highlight w:val="none"/>
                <w:shd w:val="clear" w:color="auto" w:fill="FFFFFF"/>
                <w:lang w:val="en-US" w:eastAsia="zh-CN" w:bidi="ar"/>
              </w:rPr>
              <w:t>盥洗室、衣帽间改造，教室地板、走廊、楼道地面更换，增设消防设施，室内、外走廊墙体翻修等，规模约1600平米</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。具体内容详见工程量清单及图纸</w:t>
            </w:r>
            <w:r>
              <w:rPr>
                <w:rFonts w:hint="eastAsia" w:ascii="宋体" w:hAnsi="宋体" w:eastAsia="宋体" w:cs="宋体"/>
                <w:color w:val="auto"/>
                <w:sz w:val="21"/>
                <w:szCs w:val="21"/>
                <w:highlight w:val="none"/>
              </w:rPr>
              <w:t>。</w:t>
            </w:r>
          </w:p>
          <w:p w14:paraId="31E59299">
            <w:pPr>
              <w:keepNext w:val="0"/>
              <w:keepLines w:val="0"/>
              <w:pageBreakBefore w:val="0"/>
              <w:widowControl w:val="0"/>
              <w:kinsoku/>
              <w:wordWrap/>
              <w:overflowPunct/>
              <w:topLinePunct w:val="0"/>
              <w:autoSpaceDE/>
              <w:autoSpaceDN/>
              <w:bidi w:val="0"/>
              <w:adjustRightInd/>
              <w:snapToGrid/>
              <w:spacing w:line="420" w:lineRule="exact"/>
              <w:jc w:val="left"/>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二、质量标准</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达到国家有关施工质量验收规范的合格标准。</w:t>
            </w:r>
          </w:p>
          <w:p w14:paraId="08B2A12D">
            <w:pPr>
              <w:keepNext w:val="0"/>
              <w:keepLines w:val="0"/>
              <w:pageBreakBefore w:val="0"/>
              <w:widowControl w:val="0"/>
              <w:kinsoku/>
              <w:wordWrap/>
              <w:overflowPunct/>
              <w:topLinePunct w:val="0"/>
              <w:autoSpaceDE/>
              <w:autoSpaceDN/>
              <w:bidi w:val="0"/>
              <w:adjustRightInd/>
              <w:snapToGrid/>
              <w:spacing w:line="420" w:lineRule="exact"/>
              <w:jc w:val="left"/>
              <w:textAlignment w:val="baseline"/>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▲三、服务要求：</w:t>
            </w:r>
          </w:p>
          <w:p w14:paraId="30C89372">
            <w:pPr>
              <w:keepNext w:val="0"/>
              <w:keepLines w:val="0"/>
              <w:pageBreakBefore w:val="0"/>
              <w:widowControl w:val="0"/>
              <w:numPr>
                <w:ilvl w:val="0"/>
                <w:numId w:val="0"/>
              </w:numPr>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成交人应提供有固定为本项目服务的专业施工团队及机械设施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其中</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拟派项目经理须具有建筑工程专业贰级以上（含贰级）注册建造师执业资格，且具有有效的安全生产考核合格证书（B类）；供应商拟派专职安全生产管理人员须具有有效的安全生产考核合格证书（C类）</w:t>
            </w:r>
            <w:r>
              <w:rPr>
                <w:rFonts w:hint="eastAsia" w:ascii="宋体" w:hAnsi="宋体" w:eastAsia="宋体" w:cs="宋体"/>
                <w:color w:val="auto"/>
                <w:sz w:val="21"/>
                <w:szCs w:val="21"/>
                <w:highlight w:val="none"/>
              </w:rPr>
              <w:t>。</w:t>
            </w:r>
          </w:p>
          <w:p w14:paraId="19F5A8C8">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2、成交人须确保自身人员、第三方人员、设备、周边建筑物等所有与项目相关的安全，为施工人员配备安全帽等安全器械，项目实施过程中出现的安全事故一律由成交人负责，承担一切法律责任和赔偿责任。</w:t>
            </w:r>
          </w:p>
          <w:p w14:paraId="2797FFA7">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成交人应建立完善作业班组，制定岗位职责以及各岗位规范、操作规程、管理制度（包括节假日值班制度、防汛防台期间的值班制度和应急工作制度）。进场前，岗位规范、操作规程、管理制度须报采购人审批备案。采购人与成交人派驻服务人员不发生任何劳动和雇佣关系，派驻服务人员由成交人自行管理。成交人应重视劳动关系，建立完善的管理措施及风险预案，避免项目实施过程中发生劳资纠纷，成交人须承担由此产生的一切经济及法律责任。</w:t>
            </w:r>
          </w:p>
          <w:p w14:paraId="58588CD2">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4.成交人施工如损坏相关管线、邻近建筑物、构筑物，所发生的费用由成交人承担。如因成交人的施工损害行为，导致采购人承担连带责任的，成交人按采购人的责任数额赔偿给采购人。</w:t>
            </w:r>
          </w:p>
          <w:p w14:paraId="6932D6CA">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rPr>
              <w:t>、安全施工的要求</w:t>
            </w:r>
            <w:r>
              <w:rPr>
                <w:rFonts w:hint="eastAsia" w:ascii="宋体" w:hAnsi="宋体" w:eastAsia="宋体" w:cs="宋体"/>
                <w:b/>
                <w:bCs/>
                <w:color w:val="auto"/>
                <w:sz w:val="21"/>
                <w:szCs w:val="21"/>
                <w:highlight w:val="none"/>
                <w:lang w:eastAsia="zh-CN"/>
              </w:rPr>
              <w:t>：</w:t>
            </w:r>
          </w:p>
          <w:p w14:paraId="41A7D6DD">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执行《广西壮族自治区建筑工程安全文明施工费使用管理细则》的有关规定，供应商应确保施工工程各项安全防护、文明施工措施落实到位。</w:t>
            </w:r>
          </w:p>
          <w:p w14:paraId="0F8CA713">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rPr>
              <w:t>、文明施工的要求</w:t>
            </w:r>
            <w:r>
              <w:rPr>
                <w:rFonts w:hint="eastAsia" w:ascii="宋体" w:hAnsi="宋体" w:eastAsia="宋体" w:cs="宋体"/>
                <w:b/>
                <w:bCs/>
                <w:color w:val="auto"/>
                <w:sz w:val="21"/>
                <w:szCs w:val="21"/>
                <w:highlight w:val="none"/>
                <w:lang w:eastAsia="zh-CN"/>
              </w:rPr>
              <w:t>：</w:t>
            </w:r>
          </w:p>
          <w:p w14:paraId="4D69D05E">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按照国家有关安全生产、环境保护、消防等方面的法律、行政法规、标准等规定。</w:t>
            </w:r>
          </w:p>
          <w:p w14:paraId="382BB6DA">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rPr>
              <w:t>、技术标准和要求</w:t>
            </w:r>
            <w:r>
              <w:rPr>
                <w:rFonts w:hint="eastAsia" w:ascii="宋体" w:hAnsi="宋体" w:eastAsia="宋体" w:cs="宋体"/>
                <w:b/>
                <w:bCs/>
                <w:color w:val="auto"/>
                <w:sz w:val="21"/>
                <w:szCs w:val="21"/>
                <w:highlight w:val="none"/>
                <w:lang w:eastAsia="zh-CN"/>
              </w:rPr>
              <w:t>：</w:t>
            </w:r>
          </w:p>
          <w:p w14:paraId="7DC77948">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按国家行业和地方现行标准、规范和规程等执行。</w:t>
            </w:r>
          </w:p>
        </w:tc>
        <w:tc>
          <w:tcPr>
            <w:tcW w:w="914" w:type="dxa"/>
            <w:noWrap w:val="0"/>
            <w:vAlign w:val="center"/>
          </w:tcPr>
          <w:p w14:paraId="2B1D2450">
            <w:pPr>
              <w:keepNext w:val="0"/>
              <w:keepLines w:val="0"/>
              <w:pageBreakBefore w:val="0"/>
              <w:widowControl w:val="0"/>
              <w:kinsoku/>
              <w:wordWrap/>
              <w:overflowPunct/>
              <w:topLinePunct w:val="0"/>
              <w:autoSpaceDE/>
              <w:autoSpaceDN/>
              <w:bidi w:val="0"/>
              <w:adjustRightInd/>
              <w:snapToGrid/>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rPr>
              <w:t>建筑业</w:t>
            </w:r>
          </w:p>
        </w:tc>
      </w:tr>
      <w:tr w14:paraId="4272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dxa"/>
            <w:noWrap w:val="0"/>
            <w:vAlign w:val="center"/>
          </w:tcPr>
          <w:p w14:paraId="345B6D16">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商务条款</w:t>
            </w:r>
          </w:p>
        </w:tc>
        <w:tc>
          <w:tcPr>
            <w:tcW w:w="9682" w:type="dxa"/>
            <w:gridSpan w:val="5"/>
            <w:noWrap w:val="0"/>
            <w:vAlign w:val="top"/>
          </w:tcPr>
          <w:p w14:paraId="4EE63A58">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一、合同签订期：自成交通知书发出之日起25日内。</w:t>
            </w:r>
          </w:p>
          <w:p w14:paraId="7158A20C">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二、工期：</w:t>
            </w:r>
            <w:r>
              <w:rPr>
                <w:rFonts w:hint="eastAsia" w:ascii="宋体" w:hAnsi="宋体" w:cs="宋体"/>
                <w:i w:val="0"/>
                <w:iCs w:val="0"/>
                <w:caps w:val="0"/>
                <w:color w:val="auto"/>
                <w:spacing w:val="0"/>
                <w:kern w:val="0"/>
                <w:sz w:val="21"/>
                <w:szCs w:val="21"/>
                <w:highlight w:val="none"/>
                <w:shd w:val="clear" w:color="auto" w:fill="FFFFFF"/>
                <w:lang w:val="en-US" w:eastAsia="zh-CN" w:bidi="ar"/>
              </w:rPr>
              <w:t>45</w:t>
            </w: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个日历天内完工</w:t>
            </w:r>
            <w:r>
              <w:rPr>
                <w:rFonts w:hint="eastAsia" w:ascii="宋体" w:hAnsi="宋体" w:eastAsia="宋体" w:cs="宋体"/>
                <w:color w:val="auto"/>
                <w:sz w:val="21"/>
                <w:szCs w:val="21"/>
                <w:highlight w:val="none"/>
              </w:rPr>
              <w:t>。</w:t>
            </w:r>
          </w:p>
          <w:p w14:paraId="7E06089C">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三、验收标准、规范：</w:t>
            </w:r>
          </w:p>
          <w:p w14:paraId="1F9A768E">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1.根据采购人的要求和国家现行的有关的工程建设标准、技术规范及强制性标准条文等有关规范标准。</w:t>
            </w:r>
          </w:p>
          <w:p w14:paraId="301A69D9">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2.验收过程中所产生的一切费用均由成交人承担。报价时应考虑相关费用。</w:t>
            </w:r>
          </w:p>
          <w:p w14:paraId="59780D67">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四、售后服务要求</w:t>
            </w:r>
          </w:p>
          <w:p w14:paraId="452C9F12">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1.工程质量保修要求：2年，质量保修期从工程实际竣工验收通过之日算起。</w:t>
            </w:r>
          </w:p>
          <w:p w14:paraId="135163C1">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（1）双方根据国家有关规定，按法律、行政法规或国家关于工程质量保修的有关规定，对交付采购人使用的工程质量保修期为工程实际竣工验收通过之日起2年，应承担质量保修责任。</w:t>
            </w:r>
          </w:p>
          <w:p w14:paraId="55B3D2CA">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（2）在工程质量保修期期限内发生质量问题，必须在收到质保通知后的1个日历天内整改完毕。</w:t>
            </w:r>
          </w:p>
          <w:p w14:paraId="2F7DC596">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（3）在没有明文规定下，参照建设工程质量保修条例，双方协商为设计文件规定的该工程的合理使用年限内保修。</w:t>
            </w:r>
          </w:p>
          <w:p w14:paraId="1D7C8CD8">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2.涉及货物部分成交产品必须是全新、未使用过的产品。产品包装必须是未经使用的全新的合格产品，并按照原厂标准包装规格供货，不接受散装或拆包装件。</w:t>
            </w:r>
          </w:p>
          <w:p w14:paraId="35721829">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3.其余部分按合同相关条款执行。</w:t>
            </w:r>
          </w:p>
          <w:p w14:paraId="5D70AA9D">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五、竞标报价</w:t>
            </w:r>
          </w:p>
          <w:p w14:paraId="06285160">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本项目</w:t>
            </w:r>
            <w:r>
              <w:rPr>
                <w:rFonts w:hint="eastAsia" w:ascii="宋体" w:hAnsi="宋体" w:eastAsia="宋体" w:cs="宋体"/>
                <w:color w:val="auto"/>
                <w:szCs w:val="21"/>
                <w:highlight w:val="none"/>
              </w:rPr>
              <w:t>采用工程量清单报价方式，供应商已标价工程量清单（包含首次报价、最后报价）的项目编码、项目名称及项目特征描述、计量单位、工程量须与采购工程量清单一致的，</w:t>
            </w:r>
            <w:r>
              <w:rPr>
                <w:rFonts w:hint="eastAsia" w:ascii="宋体" w:hAnsi="宋体" w:eastAsia="宋体" w:cs="宋体"/>
                <w:b/>
                <w:bCs/>
                <w:color w:val="auto"/>
                <w:szCs w:val="21"/>
                <w:highlight w:val="none"/>
              </w:rPr>
              <w:t>否则竞标无效</w:t>
            </w:r>
            <w:r>
              <w:rPr>
                <w:rFonts w:hint="eastAsia" w:ascii="宋体" w:hAnsi="宋体" w:eastAsia="宋体" w:cs="宋体"/>
                <w:color w:val="auto"/>
                <w:szCs w:val="21"/>
                <w:highlight w:val="none"/>
              </w:rPr>
              <w:t>；最终报价不得高于最高限价。本项目采用二次报价方式，竞标人的最终报价如有变动，则必须以工程量清单报价表的格式编制提交，竞标人须提前做好相关准备并按时递交最终报价文件，</w:t>
            </w:r>
            <w:r>
              <w:rPr>
                <w:rFonts w:hint="eastAsia" w:ascii="宋体" w:hAnsi="宋体" w:eastAsia="宋体" w:cs="宋体"/>
                <w:b/>
                <w:bCs/>
                <w:color w:val="auto"/>
                <w:szCs w:val="21"/>
                <w:highlight w:val="none"/>
              </w:rPr>
              <w:t>否则报价无效</w:t>
            </w:r>
            <w:r>
              <w:rPr>
                <w:rFonts w:hint="eastAsia" w:ascii="宋体" w:hAnsi="宋体" w:eastAsia="宋体" w:cs="宋体"/>
                <w:color w:val="auto"/>
                <w:szCs w:val="21"/>
                <w:highlight w:val="none"/>
              </w:rPr>
              <w:t>。</w:t>
            </w:r>
          </w:p>
          <w:p w14:paraId="5B2FBD49">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（2）报价必须包含以下部分，包括：</w:t>
            </w:r>
          </w:p>
          <w:p w14:paraId="6490E779">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履行合同的最终价格，为实施和完成合同工程所需的劳务、材料、机械、质检（自检）、安装、缺陷修复、管理、保险、税费、利润等费用，以及合同明示或暗示的所有责任、义务和一般风险。</w:t>
            </w:r>
          </w:p>
          <w:p w14:paraId="3788C85B">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六、付款方式及条件：</w:t>
            </w:r>
          </w:p>
          <w:p w14:paraId="0B6EAE1F">
            <w:pPr>
              <w:numPr>
                <w:ilvl w:val="0"/>
                <w:numId w:val="0"/>
              </w:numPr>
              <w:spacing w:line="30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双方约定的工程款（进度款）的支付方式：工程进度款按进度申请支付，合同价款内的进度款支付额为当期实际完成工程量价款的80%，发包人在每期已完成的工程价款中扣留20%作为保留金，保留金限额为合同价款的20%。合同价款外的进度款支付额为当期实际完成工程量价款的60%。工程竣工结算经审核后，工程款支付至97%。</w:t>
            </w:r>
          </w:p>
          <w:p w14:paraId="63391D3E">
            <w:pPr>
              <w:numPr>
                <w:ilvl w:val="0"/>
                <w:numId w:val="0"/>
              </w:numPr>
              <w:spacing w:line="30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2.建设单位按工程价款的3%作为工程质量保修金，待工程质量保修期满后无息返还给施工单位。</w:t>
            </w:r>
          </w:p>
          <w:p w14:paraId="76344A29">
            <w:pPr>
              <w:numPr>
                <w:ilvl w:val="0"/>
                <w:numId w:val="0"/>
              </w:numPr>
              <w:spacing w:line="30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工程竣工验收合格，结算金额经城区</w:t>
            </w:r>
            <w:r>
              <w:rPr>
                <w:rFonts w:hint="eastAsia" w:ascii="宋体" w:hAnsi="宋体" w:cs="宋体"/>
                <w:color w:val="auto"/>
                <w:kern w:val="2"/>
                <w:sz w:val="21"/>
                <w:szCs w:val="21"/>
                <w:highlight w:val="none"/>
                <w:lang w:val="en-US" w:eastAsia="zh-CN" w:bidi="ar-SA"/>
              </w:rPr>
              <w:t>财政</w:t>
            </w:r>
            <w:r>
              <w:rPr>
                <w:rFonts w:hint="eastAsia" w:ascii="宋体" w:hAnsi="宋体" w:eastAsia="宋体" w:cs="宋体"/>
                <w:color w:val="auto"/>
                <w:kern w:val="2"/>
                <w:sz w:val="21"/>
                <w:szCs w:val="21"/>
                <w:highlight w:val="none"/>
                <w:lang w:val="en-US" w:eastAsia="zh-CN" w:bidi="ar-SA"/>
              </w:rPr>
              <w:t>部门对审核结论提出审核意见后，15个工作日内，付97%的工程款，余下3%的工程款的在质保期满后（具体已按照签订的工程质量保修书）后15个工作日内付清给承包人。</w:t>
            </w:r>
          </w:p>
          <w:p w14:paraId="1388B3EA">
            <w:pPr>
              <w:numPr>
                <w:ilvl w:val="0"/>
                <w:numId w:val="0"/>
              </w:num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七、</w:t>
            </w:r>
            <w:r>
              <w:rPr>
                <w:rFonts w:hint="eastAsia" w:ascii="宋体" w:hAnsi="宋体" w:eastAsia="宋体" w:cs="宋体"/>
                <w:color w:val="auto"/>
                <w:szCs w:val="21"/>
                <w:highlight w:val="none"/>
              </w:rPr>
              <w:t>其他：</w:t>
            </w:r>
          </w:p>
          <w:p w14:paraId="0E423EB3">
            <w:pPr>
              <w:keepNext w:val="0"/>
              <w:keepLines w:val="0"/>
              <w:pageBreakBefore w:val="0"/>
              <w:widowControl w:val="0"/>
              <w:kinsoku/>
              <w:wordWrap/>
              <w:overflowPunct/>
              <w:topLinePunct w:val="0"/>
              <w:autoSpaceDE/>
              <w:autoSpaceDN/>
              <w:bidi w:val="0"/>
              <w:adjustRightInd/>
              <w:snapToGrid/>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响应报价是履行合同的最终价格，必须包含满足本次响应全部采购需求所应提供的服务包括：货物的价格；货物的标准附件、备品备件、专用工具的价格；运输、装卸、调试、培训、技术支持、售后服务、配合费、货物保护等费用；必要的保险费用和各项税费；包括安装和检测费；安装需要的土建内容。</w:t>
            </w:r>
          </w:p>
        </w:tc>
      </w:tr>
      <w:tr w14:paraId="4694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dxa"/>
            <w:noWrap w:val="0"/>
            <w:vAlign w:val="center"/>
          </w:tcPr>
          <w:p w14:paraId="5C9B9135">
            <w:pPr>
              <w:spacing w:line="30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其他说明</w:t>
            </w:r>
          </w:p>
        </w:tc>
        <w:tc>
          <w:tcPr>
            <w:tcW w:w="9682" w:type="dxa"/>
            <w:gridSpan w:val="5"/>
            <w:noWrap w:val="0"/>
            <w:vAlign w:val="center"/>
          </w:tcPr>
          <w:p w14:paraId="10FC2F3A">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一、进口产品说明</w:t>
            </w:r>
          </w:p>
          <w:p w14:paraId="244F6852">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本分标不涉及进口产品。</w:t>
            </w:r>
          </w:p>
          <w:p w14:paraId="37C2947C">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二、与本分标有关的图纸、工程量清单及其获取方式</w:t>
            </w:r>
          </w:p>
          <w:p w14:paraId="2A8386DD">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资料名称：具体详见采购文件附件。</w:t>
            </w:r>
          </w:p>
          <w:p w14:paraId="542FDEA3">
            <w:pPr>
              <w:spacing w:line="30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获取方式：网上下载。供应商可自行在“广西政府采购云平台”（https：//www.gcy.zfcg.gxzf.gov.cn）下载相关资料，方式同采购文件获取方式（操作路径：登录“广西政府采购云平台”-项目采购-获取采购文件-找到本项目-点击“申请获取工程量清单、图纸”）。</w:t>
            </w:r>
          </w:p>
        </w:tc>
      </w:tr>
    </w:tbl>
    <w:p w14:paraId="52EA505D">
      <w:pPr>
        <w:spacing w:line="428" w:lineRule="exact"/>
        <w:rPr>
          <w:rFonts w:hint="eastAsia" w:ascii="宋体" w:hAnsi="宋体" w:eastAsia="宋体" w:cs="宋体"/>
          <w:color w:val="auto"/>
          <w:sz w:val="32"/>
          <w:szCs w:val="32"/>
          <w:highlight w:val="none"/>
        </w:rPr>
      </w:pPr>
    </w:p>
    <w:p w14:paraId="545BF1CF">
      <w:pPr>
        <w:spacing w:line="428" w:lineRule="exact"/>
        <w:rPr>
          <w:rFonts w:hint="eastAsia" w:ascii="宋体" w:hAnsi="宋体" w:eastAsia="宋体" w:cs="宋体"/>
          <w:color w:val="auto"/>
          <w:sz w:val="32"/>
          <w:szCs w:val="32"/>
          <w:highlight w:val="none"/>
        </w:rPr>
      </w:pPr>
    </w:p>
    <w:p w14:paraId="57C92162">
      <w:pPr>
        <w:spacing w:line="428" w:lineRule="exact"/>
        <w:ind w:left="119"/>
        <w:rPr>
          <w:rFonts w:hint="eastAsia" w:ascii="宋体" w:hAnsi="宋体" w:eastAsia="宋体" w:cs="宋体"/>
          <w:color w:val="auto"/>
          <w:sz w:val="17"/>
          <w:szCs w:val="17"/>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附件1：</w:t>
      </w:r>
    </w:p>
    <w:p w14:paraId="7C00111E">
      <w:pPr>
        <w:spacing w:line="528" w:lineRule="exact"/>
        <w:ind w:left="1871"/>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29"/>
        <w:tblW w:w="9358" w:type="dxa"/>
        <w:jc w:val="center"/>
        <w:tblLayout w:type="autofit"/>
        <w:tblCellMar>
          <w:top w:w="0" w:type="dxa"/>
          <w:left w:w="108" w:type="dxa"/>
          <w:bottom w:w="0" w:type="dxa"/>
          <w:right w:w="108" w:type="dxa"/>
        </w:tblCellMar>
      </w:tblPr>
      <w:tblGrid>
        <w:gridCol w:w="779"/>
        <w:gridCol w:w="1116"/>
        <w:gridCol w:w="1516"/>
        <w:gridCol w:w="1612"/>
        <w:gridCol w:w="4335"/>
      </w:tblGrid>
      <w:tr w14:paraId="5BD2F41A">
        <w:tblPrEx>
          <w:tblCellMar>
            <w:top w:w="0" w:type="dxa"/>
            <w:left w:w="108" w:type="dxa"/>
            <w:bottom w:w="0" w:type="dxa"/>
            <w:right w:w="108" w:type="dxa"/>
          </w:tblCellMar>
        </w:tblPrEx>
        <w:trPr>
          <w:trHeight w:val="555" w:hRule="atLeast"/>
          <w:jc w:val="center"/>
        </w:trPr>
        <w:tc>
          <w:tcPr>
            <w:tcW w:w="779" w:type="dxa"/>
            <w:tcBorders>
              <w:top w:val="single" w:color="000000" w:sz="8" w:space="0"/>
              <w:left w:val="single" w:color="000000" w:sz="8" w:space="0"/>
              <w:bottom w:val="single" w:color="000000" w:sz="8" w:space="0"/>
              <w:right w:val="single" w:color="000000" w:sz="8" w:space="0"/>
            </w:tcBorders>
            <w:noWrap w:val="0"/>
            <w:vAlign w:val="top"/>
          </w:tcPr>
          <w:p w14:paraId="28DC8C54">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品目序号</w:t>
            </w:r>
          </w:p>
        </w:tc>
        <w:tc>
          <w:tcPr>
            <w:tcW w:w="4244" w:type="dxa"/>
            <w:gridSpan w:val="3"/>
            <w:tcBorders>
              <w:top w:val="single" w:color="000000" w:sz="8" w:space="0"/>
              <w:left w:val="nil"/>
              <w:bottom w:val="single" w:color="000000" w:sz="8" w:space="0"/>
              <w:right w:val="single" w:color="000000" w:sz="8" w:space="0"/>
            </w:tcBorders>
            <w:noWrap w:val="0"/>
            <w:vAlign w:val="center"/>
          </w:tcPr>
          <w:p w14:paraId="56B704A6">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名称</w:t>
            </w:r>
          </w:p>
        </w:tc>
        <w:tc>
          <w:tcPr>
            <w:tcW w:w="4335" w:type="dxa"/>
            <w:tcBorders>
              <w:top w:val="single" w:color="000000" w:sz="8" w:space="0"/>
              <w:left w:val="nil"/>
              <w:bottom w:val="single" w:color="000000" w:sz="8" w:space="0"/>
              <w:right w:val="single" w:color="000000" w:sz="8" w:space="0"/>
            </w:tcBorders>
            <w:noWrap w:val="0"/>
            <w:vAlign w:val="center"/>
          </w:tcPr>
          <w:p w14:paraId="2F46DE59">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依据的标准</w:t>
            </w:r>
          </w:p>
        </w:tc>
      </w:tr>
      <w:tr w14:paraId="2584A7A0">
        <w:tblPrEx>
          <w:tblCellMar>
            <w:top w:w="0" w:type="dxa"/>
            <w:left w:w="108" w:type="dxa"/>
            <w:bottom w:w="0" w:type="dxa"/>
            <w:right w:w="108" w:type="dxa"/>
          </w:tblCellMar>
        </w:tblPrEx>
        <w:trPr>
          <w:trHeight w:val="495" w:hRule="atLeast"/>
          <w:jc w:val="center"/>
        </w:trPr>
        <w:tc>
          <w:tcPr>
            <w:tcW w:w="779" w:type="dxa"/>
            <w:vMerge w:val="restart"/>
            <w:tcBorders>
              <w:top w:val="nil"/>
              <w:left w:val="single" w:color="000000" w:sz="8" w:space="0"/>
              <w:bottom w:val="single" w:color="000000" w:sz="8" w:space="0"/>
              <w:right w:val="single" w:color="000000" w:sz="8" w:space="0"/>
            </w:tcBorders>
            <w:noWrap w:val="0"/>
            <w:vAlign w:val="center"/>
          </w:tcPr>
          <w:p w14:paraId="065BB7A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F3EBEA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A020101计算机设备</w:t>
            </w:r>
          </w:p>
        </w:tc>
        <w:tc>
          <w:tcPr>
            <w:tcW w:w="1516" w:type="dxa"/>
            <w:tcBorders>
              <w:top w:val="nil"/>
              <w:left w:val="nil"/>
              <w:bottom w:val="single" w:color="000000" w:sz="8" w:space="0"/>
              <w:right w:val="single" w:color="000000" w:sz="8" w:space="0"/>
            </w:tcBorders>
            <w:noWrap w:val="0"/>
            <w:vAlign w:val="center"/>
          </w:tcPr>
          <w:p w14:paraId="0FDFB8B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★A02010104台式计算机</w:t>
            </w:r>
          </w:p>
        </w:tc>
        <w:tc>
          <w:tcPr>
            <w:tcW w:w="1612" w:type="dxa"/>
            <w:tcBorders>
              <w:top w:val="nil"/>
              <w:left w:val="nil"/>
              <w:bottom w:val="single" w:color="000000" w:sz="8" w:space="0"/>
              <w:right w:val="single" w:color="000000" w:sz="8" w:space="0"/>
            </w:tcBorders>
            <w:noWrap w:val="0"/>
            <w:vAlign w:val="center"/>
          </w:tcPr>
          <w:p w14:paraId="22B0F0D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79DF9FA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3BEEA371">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45EAE598">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359C588">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3D2EE07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★A02010105便携式计算机</w:t>
            </w:r>
          </w:p>
        </w:tc>
        <w:tc>
          <w:tcPr>
            <w:tcW w:w="1612" w:type="dxa"/>
            <w:tcBorders>
              <w:top w:val="nil"/>
              <w:left w:val="nil"/>
              <w:bottom w:val="single" w:color="000000" w:sz="8" w:space="0"/>
              <w:right w:val="single" w:color="000000" w:sz="8" w:space="0"/>
            </w:tcBorders>
            <w:noWrap w:val="0"/>
            <w:vAlign w:val="center"/>
          </w:tcPr>
          <w:p w14:paraId="6FD52DB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6C5AD12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148DFAFB">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3B6EE5E5">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1442F9B">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EA4FFD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★A02010107平板式微型计算机</w:t>
            </w:r>
          </w:p>
        </w:tc>
        <w:tc>
          <w:tcPr>
            <w:tcW w:w="1612" w:type="dxa"/>
            <w:tcBorders>
              <w:top w:val="nil"/>
              <w:left w:val="nil"/>
              <w:bottom w:val="single" w:color="000000" w:sz="8" w:space="0"/>
              <w:right w:val="single" w:color="000000" w:sz="8" w:space="0"/>
            </w:tcBorders>
            <w:noWrap w:val="0"/>
            <w:vAlign w:val="center"/>
          </w:tcPr>
          <w:p w14:paraId="65BB201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373F9EE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4B0EC4CA">
        <w:tblPrEx>
          <w:tblCellMar>
            <w:top w:w="0" w:type="dxa"/>
            <w:left w:w="108" w:type="dxa"/>
            <w:bottom w:w="0" w:type="dxa"/>
            <w:right w:w="108" w:type="dxa"/>
          </w:tblCellMar>
        </w:tblPrEx>
        <w:trPr>
          <w:trHeight w:val="495" w:hRule="atLeast"/>
          <w:jc w:val="center"/>
        </w:trPr>
        <w:tc>
          <w:tcPr>
            <w:tcW w:w="779" w:type="dxa"/>
            <w:vMerge w:val="restart"/>
            <w:tcBorders>
              <w:top w:val="nil"/>
              <w:left w:val="single" w:color="000000" w:sz="8" w:space="0"/>
              <w:bottom w:val="single" w:color="000000" w:sz="8" w:space="0"/>
              <w:right w:val="single" w:color="000000" w:sz="8" w:space="0"/>
            </w:tcBorders>
            <w:noWrap w:val="0"/>
            <w:vAlign w:val="center"/>
          </w:tcPr>
          <w:p w14:paraId="7B504A2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403423B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A020106输入输出设备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0728336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A02010601打印设备</w:t>
            </w:r>
          </w:p>
        </w:tc>
        <w:tc>
          <w:tcPr>
            <w:tcW w:w="1612" w:type="dxa"/>
            <w:tcBorders>
              <w:top w:val="nil"/>
              <w:left w:val="nil"/>
              <w:bottom w:val="single" w:color="000000" w:sz="8" w:space="0"/>
              <w:right w:val="single" w:color="000000" w:sz="8" w:space="0"/>
            </w:tcBorders>
            <w:noWrap w:val="0"/>
            <w:vAlign w:val="center"/>
          </w:tcPr>
          <w:p w14:paraId="227DB3F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A0201060101喷墨打印机</w:t>
            </w:r>
          </w:p>
        </w:tc>
        <w:tc>
          <w:tcPr>
            <w:tcW w:w="4335" w:type="dxa"/>
            <w:tcBorders>
              <w:top w:val="nil"/>
              <w:left w:val="nil"/>
              <w:bottom w:val="single" w:color="000000" w:sz="8" w:space="0"/>
              <w:right w:val="single" w:color="000000" w:sz="8" w:space="0"/>
            </w:tcBorders>
            <w:noWrap w:val="0"/>
            <w:vAlign w:val="center"/>
          </w:tcPr>
          <w:p w14:paraId="7DDF013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50DCF377">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2912149F">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790CC2C">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21F8B0E9">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1170853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★A0201060102激光打印机</w:t>
            </w:r>
          </w:p>
        </w:tc>
        <w:tc>
          <w:tcPr>
            <w:tcW w:w="4335" w:type="dxa"/>
            <w:tcBorders>
              <w:top w:val="nil"/>
              <w:left w:val="nil"/>
              <w:bottom w:val="single" w:color="000000" w:sz="8" w:space="0"/>
              <w:right w:val="single" w:color="000000" w:sz="8" w:space="0"/>
            </w:tcBorders>
            <w:noWrap w:val="0"/>
            <w:vAlign w:val="center"/>
          </w:tcPr>
          <w:p w14:paraId="03A709C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65E8AF52">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6EB4416C">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260CC8D">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A6FF497">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0799178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★A0201060104针式打印机</w:t>
            </w:r>
          </w:p>
        </w:tc>
        <w:tc>
          <w:tcPr>
            <w:tcW w:w="4335" w:type="dxa"/>
            <w:tcBorders>
              <w:top w:val="nil"/>
              <w:left w:val="nil"/>
              <w:bottom w:val="single" w:color="000000" w:sz="8" w:space="0"/>
              <w:right w:val="single" w:color="000000" w:sz="8" w:space="0"/>
            </w:tcBorders>
            <w:noWrap w:val="0"/>
            <w:vAlign w:val="center"/>
          </w:tcPr>
          <w:p w14:paraId="46D7E9C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16D0F33B">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32235B7D">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4BCAAA1">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3C83684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A02010604显示设备</w:t>
            </w:r>
          </w:p>
        </w:tc>
        <w:tc>
          <w:tcPr>
            <w:tcW w:w="1612" w:type="dxa"/>
            <w:tcBorders>
              <w:top w:val="nil"/>
              <w:left w:val="nil"/>
              <w:bottom w:val="single" w:color="000000" w:sz="8" w:space="0"/>
              <w:right w:val="single" w:color="000000" w:sz="8" w:space="0"/>
            </w:tcBorders>
            <w:noWrap w:val="0"/>
            <w:vAlign w:val="center"/>
          </w:tcPr>
          <w:p w14:paraId="3DAE2E5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★A0201060401液晶显示器</w:t>
            </w:r>
          </w:p>
        </w:tc>
        <w:tc>
          <w:tcPr>
            <w:tcW w:w="4335" w:type="dxa"/>
            <w:tcBorders>
              <w:top w:val="nil"/>
              <w:left w:val="nil"/>
              <w:bottom w:val="single" w:color="000000" w:sz="8" w:space="0"/>
              <w:right w:val="single" w:color="000000" w:sz="8" w:space="0"/>
            </w:tcBorders>
            <w:noWrap w:val="0"/>
            <w:vAlign w:val="center"/>
          </w:tcPr>
          <w:p w14:paraId="1891115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《计算机显示器能效限定值及能效等级》（GB21520）</w:t>
            </w:r>
          </w:p>
        </w:tc>
      </w:tr>
      <w:tr w14:paraId="58FD5609">
        <w:tblPrEx>
          <w:tblCellMar>
            <w:top w:w="0" w:type="dxa"/>
            <w:left w:w="108" w:type="dxa"/>
            <w:bottom w:w="0" w:type="dxa"/>
            <w:right w:w="108" w:type="dxa"/>
          </w:tblCellMar>
        </w:tblPrEx>
        <w:trPr>
          <w:trHeight w:val="97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02B44A33">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FF70B59">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329CCB0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A02010609图形图像输入设备</w:t>
            </w:r>
          </w:p>
        </w:tc>
        <w:tc>
          <w:tcPr>
            <w:tcW w:w="1612" w:type="dxa"/>
            <w:tcBorders>
              <w:top w:val="nil"/>
              <w:left w:val="nil"/>
              <w:bottom w:val="single" w:color="000000" w:sz="8" w:space="0"/>
              <w:right w:val="single" w:color="000000" w:sz="8" w:space="0"/>
            </w:tcBorders>
            <w:noWrap w:val="0"/>
            <w:vAlign w:val="center"/>
          </w:tcPr>
          <w:p w14:paraId="4532728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A0201060901扫描仪</w:t>
            </w:r>
          </w:p>
        </w:tc>
        <w:tc>
          <w:tcPr>
            <w:tcW w:w="4335" w:type="dxa"/>
            <w:tcBorders>
              <w:top w:val="nil"/>
              <w:left w:val="nil"/>
              <w:bottom w:val="single" w:color="000000" w:sz="8" w:space="0"/>
              <w:right w:val="single" w:color="000000" w:sz="8" w:space="0"/>
            </w:tcBorders>
            <w:noWrap w:val="0"/>
            <w:vAlign w:val="center"/>
          </w:tcPr>
          <w:p w14:paraId="323B175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753E9B7B">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1858970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1116" w:type="dxa"/>
            <w:tcBorders>
              <w:top w:val="nil"/>
              <w:left w:val="nil"/>
              <w:bottom w:val="single" w:color="000000" w:sz="8" w:space="0"/>
              <w:right w:val="single" w:color="000000" w:sz="8" w:space="0"/>
            </w:tcBorders>
            <w:noWrap w:val="0"/>
            <w:vAlign w:val="center"/>
          </w:tcPr>
          <w:p w14:paraId="4D7FB01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A020202投影仪</w:t>
            </w:r>
          </w:p>
        </w:tc>
        <w:tc>
          <w:tcPr>
            <w:tcW w:w="1516" w:type="dxa"/>
            <w:tcBorders>
              <w:top w:val="nil"/>
              <w:left w:val="nil"/>
              <w:bottom w:val="single" w:color="000000" w:sz="8" w:space="0"/>
              <w:right w:val="single" w:color="000000" w:sz="8" w:space="0"/>
            </w:tcBorders>
            <w:noWrap w:val="0"/>
            <w:vAlign w:val="center"/>
          </w:tcPr>
          <w:p w14:paraId="212F1F1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441BF69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7BB8F89E">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《投影机能效限定值及能效等级》（GB32028）</w:t>
            </w:r>
          </w:p>
        </w:tc>
      </w:tr>
      <w:tr w14:paraId="22D82623">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13B5D1E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116" w:type="dxa"/>
            <w:tcBorders>
              <w:top w:val="nil"/>
              <w:left w:val="nil"/>
              <w:bottom w:val="single" w:color="000000" w:sz="8" w:space="0"/>
              <w:right w:val="single" w:color="000000" w:sz="8" w:space="0"/>
            </w:tcBorders>
            <w:noWrap w:val="0"/>
            <w:vAlign w:val="center"/>
          </w:tcPr>
          <w:p w14:paraId="236AFF7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A020204多功能一体机</w:t>
            </w:r>
          </w:p>
        </w:tc>
        <w:tc>
          <w:tcPr>
            <w:tcW w:w="1516" w:type="dxa"/>
            <w:tcBorders>
              <w:top w:val="nil"/>
              <w:left w:val="nil"/>
              <w:bottom w:val="single" w:color="000000" w:sz="8" w:space="0"/>
              <w:right w:val="single" w:color="000000" w:sz="8" w:space="0"/>
            </w:tcBorders>
            <w:noWrap w:val="0"/>
            <w:vAlign w:val="center"/>
          </w:tcPr>
          <w:p w14:paraId="72FA35A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5BF633C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6D434D0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7910ACF3">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740FEE2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1116" w:type="dxa"/>
            <w:tcBorders>
              <w:top w:val="nil"/>
              <w:left w:val="nil"/>
              <w:bottom w:val="single" w:color="000000" w:sz="8" w:space="0"/>
              <w:right w:val="single" w:color="000000" w:sz="8" w:space="0"/>
            </w:tcBorders>
            <w:noWrap w:val="0"/>
            <w:vAlign w:val="center"/>
          </w:tcPr>
          <w:p w14:paraId="59C2488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A020519泵</w:t>
            </w:r>
          </w:p>
        </w:tc>
        <w:tc>
          <w:tcPr>
            <w:tcW w:w="1516" w:type="dxa"/>
            <w:tcBorders>
              <w:top w:val="nil"/>
              <w:left w:val="nil"/>
              <w:bottom w:val="single" w:color="000000" w:sz="8" w:space="0"/>
              <w:right w:val="single" w:color="000000" w:sz="8" w:space="0"/>
            </w:tcBorders>
            <w:noWrap w:val="0"/>
            <w:vAlign w:val="center"/>
          </w:tcPr>
          <w:p w14:paraId="3C72EC4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A02051901离心泵</w:t>
            </w:r>
          </w:p>
        </w:tc>
        <w:tc>
          <w:tcPr>
            <w:tcW w:w="1612" w:type="dxa"/>
            <w:tcBorders>
              <w:top w:val="nil"/>
              <w:left w:val="nil"/>
              <w:bottom w:val="single" w:color="000000" w:sz="8" w:space="0"/>
              <w:right w:val="single" w:color="000000" w:sz="8" w:space="0"/>
            </w:tcBorders>
            <w:noWrap w:val="0"/>
            <w:vAlign w:val="center"/>
          </w:tcPr>
          <w:p w14:paraId="50EB797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5ACAAF1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《清水离心泵能效限定值及节能评价值》（GB19762）</w:t>
            </w:r>
          </w:p>
        </w:tc>
      </w:tr>
      <w:tr w14:paraId="62757044">
        <w:tblPrEx>
          <w:tblCellMar>
            <w:top w:w="0" w:type="dxa"/>
            <w:left w:w="108" w:type="dxa"/>
            <w:bottom w:w="0" w:type="dxa"/>
            <w:right w:w="108" w:type="dxa"/>
          </w:tblCellMar>
        </w:tblPrEx>
        <w:trPr>
          <w:trHeight w:val="735" w:hRule="atLeast"/>
          <w:jc w:val="center"/>
        </w:trPr>
        <w:tc>
          <w:tcPr>
            <w:tcW w:w="779" w:type="dxa"/>
            <w:vMerge w:val="restart"/>
            <w:tcBorders>
              <w:top w:val="nil"/>
              <w:left w:val="single" w:color="000000" w:sz="8" w:space="0"/>
              <w:bottom w:val="single" w:color="000000" w:sz="8" w:space="0"/>
              <w:right w:val="single" w:color="000000" w:sz="8" w:space="0"/>
            </w:tcBorders>
            <w:noWrap w:val="0"/>
            <w:vAlign w:val="center"/>
          </w:tcPr>
          <w:p w14:paraId="11F3CCD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5082207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A020523制冷空调设备</w:t>
            </w:r>
          </w:p>
        </w:tc>
        <w:tc>
          <w:tcPr>
            <w:tcW w:w="1516" w:type="dxa"/>
            <w:vMerge w:val="restart"/>
            <w:tcBorders>
              <w:top w:val="nil"/>
              <w:left w:val="single" w:color="000000" w:sz="8" w:space="0"/>
              <w:bottom w:val="single" w:color="000000" w:sz="8" w:space="0"/>
              <w:right w:val="single" w:color="000000" w:sz="8" w:space="0"/>
            </w:tcBorders>
            <w:noWrap w:val="0"/>
            <w:vAlign w:val="center"/>
          </w:tcPr>
          <w:p w14:paraId="1DC04F1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★A02052301制冷压缩机</w:t>
            </w:r>
          </w:p>
        </w:tc>
        <w:tc>
          <w:tcPr>
            <w:tcW w:w="1612" w:type="dxa"/>
            <w:tcBorders>
              <w:top w:val="nil"/>
              <w:left w:val="nil"/>
              <w:bottom w:val="single" w:color="000000" w:sz="8" w:space="0"/>
              <w:right w:val="single" w:color="000000" w:sz="8" w:space="0"/>
            </w:tcBorders>
            <w:noWrap w:val="0"/>
            <w:vAlign w:val="center"/>
          </w:tcPr>
          <w:p w14:paraId="0CCBBF7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w:t>
            </w:r>
          </w:p>
        </w:tc>
        <w:tc>
          <w:tcPr>
            <w:tcW w:w="4335" w:type="dxa"/>
            <w:tcBorders>
              <w:top w:val="nil"/>
              <w:left w:val="nil"/>
              <w:bottom w:val="single" w:color="000000" w:sz="8" w:space="0"/>
              <w:right w:val="single" w:color="000000" w:sz="8" w:space="0"/>
            </w:tcBorders>
            <w:noWrap w:val="0"/>
            <w:vAlign w:val="center"/>
          </w:tcPr>
          <w:p w14:paraId="17DBB34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《冷水机组能效限定值及能效等级》（GB19577），《低环境温度空气源热泵（冷水）机组能效限定值及能效等级》（GB37480）</w:t>
            </w:r>
          </w:p>
        </w:tc>
      </w:tr>
      <w:tr w14:paraId="40A615EE">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0A9E48AE">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A0DB3DD">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95436A0">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0CB604D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水源热泵机组</w:t>
            </w:r>
          </w:p>
        </w:tc>
        <w:tc>
          <w:tcPr>
            <w:tcW w:w="4335" w:type="dxa"/>
            <w:tcBorders>
              <w:top w:val="nil"/>
              <w:left w:val="nil"/>
              <w:bottom w:val="single" w:color="000000" w:sz="8" w:space="0"/>
              <w:right w:val="single" w:color="000000" w:sz="8" w:space="0"/>
            </w:tcBorders>
            <w:noWrap w:val="0"/>
            <w:vAlign w:val="center"/>
          </w:tcPr>
          <w:p w14:paraId="5C9893F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《水（地）源热泵机组能效限定值及能效等级》（GB30721）</w:t>
            </w:r>
          </w:p>
        </w:tc>
      </w:tr>
      <w:tr w14:paraId="7B69FF75">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0F9CDA3C">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AD2E6C0">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09DF125D">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5E03C2E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w:t>
            </w:r>
          </w:p>
        </w:tc>
        <w:tc>
          <w:tcPr>
            <w:tcW w:w="4335" w:type="dxa"/>
            <w:tcBorders>
              <w:top w:val="nil"/>
              <w:left w:val="nil"/>
              <w:bottom w:val="single" w:color="000000" w:sz="8" w:space="0"/>
              <w:right w:val="single" w:color="000000" w:sz="8" w:space="0"/>
            </w:tcBorders>
            <w:noWrap w:val="0"/>
            <w:vAlign w:val="center"/>
          </w:tcPr>
          <w:p w14:paraId="5A2A37A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《溴化锂吸收式冷水机组能效限定值及能效等级》（GB29540）</w:t>
            </w:r>
          </w:p>
        </w:tc>
      </w:tr>
      <w:tr w14:paraId="0039CDAC">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568876DF">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79E8F885">
            <w:pPr>
              <w:widowControl/>
              <w:jc w:val="left"/>
              <w:rPr>
                <w:rFonts w:hint="eastAsia" w:ascii="宋体" w:hAnsi="宋体" w:eastAsia="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582568D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★A02052305空调机组</w:t>
            </w:r>
          </w:p>
        </w:tc>
        <w:tc>
          <w:tcPr>
            <w:tcW w:w="1612" w:type="dxa"/>
            <w:tcBorders>
              <w:top w:val="nil"/>
              <w:left w:val="nil"/>
              <w:bottom w:val="single" w:color="000000" w:sz="8" w:space="0"/>
              <w:right w:val="single" w:color="000000" w:sz="8" w:space="0"/>
            </w:tcBorders>
            <w:noWrap w:val="0"/>
            <w:vAlign w:val="center"/>
          </w:tcPr>
          <w:p w14:paraId="532FE8A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多联式空调（热泵）机组(制冷量&gt;14000W)</w:t>
            </w:r>
          </w:p>
        </w:tc>
        <w:tc>
          <w:tcPr>
            <w:tcW w:w="4335" w:type="dxa"/>
            <w:tcBorders>
              <w:top w:val="nil"/>
              <w:left w:val="nil"/>
              <w:bottom w:val="single" w:color="000000" w:sz="8" w:space="0"/>
              <w:right w:val="single" w:color="000000" w:sz="8" w:space="0"/>
            </w:tcBorders>
            <w:noWrap w:val="0"/>
            <w:vAlign w:val="center"/>
          </w:tcPr>
          <w:p w14:paraId="5B05DF3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18271861">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740062C1">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F1AB60B">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9078953">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1B3EC5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单元式空气调节机(制冷量&gt;14000W</w:t>
            </w:r>
          </w:p>
        </w:tc>
        <w:tc>
          <w:tcPr>
            <w:tcW w:w="4335" w:type="dxa"/>
            <w:tcBorders>
              <w:top w:val="nil"/>
              <w:left w:val="nil"/>
              <w:bottom w:val="single" w:color="000000" w:sz="8" w:space="0"/>
              <w:right w:val="single" w:color="000000" w:sz="8" w:space="0"/>
            </w:tcBorders>
            <w:noWrap w:val="0"/>
            <w:vAlign w:val="center"/>
          </w:tcPr>
          <w:p w14:paraId="445F380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《单元式空气调节机能效限定值及能效等级》（GB19576）《风管送风式空调机组能效限定值及能效等级》（GB37479）</w:t>
            </w:r>
          </w:p>
        </w:tc>
      </w:tr>
      <w:tr w14:paraId="2727DE3D">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61ABE8B8">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272F6F7">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BBEBFB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★A02052309专用制冷、空调设备</w:t>
            </w:r>
          </w:p>
        </w:tc>
        <w:tc>
          <w:tcPr>
            <w:tcW w:w="1612" w:type="dxa"/>
            <w:tcBorders>
              <w:top w:val="nil"/>
              <w:left w:val="nil"/>
              <w:bottom w:val="single" w:color="000000" w:sz="8" w:space="0"/>
              <w:right w:val="single" w:color="000000" w:sz="8" w:space="0"/>
            </w:tcBorders>
            <w:noWrap w:val="0"/>
            <w:vAlign w:val="center"/>
          </w:tcPr>
          <w:p w14:paraId="79C7CFF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机房空调</w:t>
            </w:r>
          </w:p>
        </w:tc>
        <w:tc>
          <w:tcPr>
            <w:tcW w:w="4335" w:type="dxa"/>
            <w:tcBorders>
              <w:top w:val="nil"/>
              <w:left w:val="nil"/>
              <w:bottom w:val="single" w:color="000000" w:sz="8" w:space="0"/>
              <w:right w:val="single" w:color="000000" w:sz="8" w:space="0"/>
            </w:tcBorders>
            <w:noWrap w:val="0"/>
            <w:vAlign w:val="center"/>
          </w:tcPr>
          <w:p w14:paraId="6F44C86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w:t>
            </w:r>
          </w:p>
        </w:tc>
      </w:tr>
      <w:tr w14:paraId="2822B400">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5001B009">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37A2454">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1823BD0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A02052399其他制冷空调设备</w:t>
            </w:r>
          </w:p>
        </w:tc>
        <w:tc>
          <w:tcPr>
            <w:tcW w:w="1612" w:type="dxa"/>
            <w:tcBorders>
              <w:top w:val="nil"/>
              <w:left w:val="nil"/>
              <w:bottom w:val="single" w:color="000000" w:sz="8" w:space="0"/>
              <w:right w:val="single" w:color="000000" w:sz="8" w:space="0"/>
            </w:tcBorders>
            <w:noWrap w:val="0"/>
            <w:vAlign w:val="center"/>
          </w:tcPr>
          <w:p w14:paraId="16EF795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冷却塔</w:t>
            </w:r>
          </w:p>
        </w:tc>
        <w:tc>
          <w:tcPr>
            <w:tcW w:w="4335" w:type="dxa"/>
            <w:tcBorders>
              <w:top w:val="nil"/>
              <w:left w:val="nil"/>
              <w:bottom w:val="single" w:color="000000" w:sz="8" w:space="0"/>
              <w:right w:val="single" w:color="000000" w:sz="8" w:space="0"/>
            </w:tcBorders>
            <w:noWrap w:val="0"/>
            <w:vAlign w:val="center"/>
          </w:tcPr>
          <w:p w14:paraId="33BB5F6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《机械通风冷却塔第1部分：中小型开式冷却塔》（GB/T7190.1）；《机械通风冷却塔第2部分：大型开式冷却塔》（GB/T7190.2）</w:t>
            </w:r>
          </w:p>
        </w:tc>
      </w:tr>
      <w:tr w14:paraId="456DE1D0">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1A0F9D8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1116" w:type="dxa"/>
            <w:tcBorders>
              <w:top w:val="nil"/>
              <w:left w:val="nil"/>
              <w:bottom w:val="single" w:color="000000" w:sz="8" w:space="0"/>
              <w:right w:val="single" w:color="000000" w:sz="8" w:space="0"/>
            </w:tcBorders>
            <w:noWrap w:val="0"/>
            <w:vAlign w:val="center"/>
          </w:tcPr>
          <w:p w14:paraId="21429E3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A020601电机</w:t>
            </w:r>
          </w:p>
        </w:tc>
        <w:tc>
          <w:tcPr>
            <w:tcW w:w="1516" w:type="dxa"/>
            <w:tcBorders>
              <w:top w:val="nil"/>
              <w:left w:val="nil"/>
              <w:bottom w:val="single" w:color="000000" w:sz="8" w:space="0"/>
              <w:right w:val="single" w:color="000000" w:sz="8" w:space="0"/>
            </w:tcBorders>
            <w:noWrap w:val="0"/>
            <w:vAlign w:val="center"/>
          </w:tcPr>
          <w:p w14:paraId="0A17311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12CA879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34AB240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《中小型三相异步电动机能效限定值及能效等级》（GB18613）</w:t>
            </w:r>
          </w:p>
        </w:tc>
      </w:tr>
      <w:tr w14:paraId="309E1173">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43846CF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1116" w:type="dxa"/>
            <w:tcBorders>
              <w:top w:val="nil"/>
              <w:left w:val="nil"/>
              <w:bottom w:val="single" w:color="000000" w:sz="8" w:space="0"/>
              <w:right w:val="single" w:color="000000" w:sz="8" w:space="0"/>
            </w:tcBorders>
            <w:noWrap w:val="0"/>
            <w:vAlign w:val="center"/>
          </w:tcPr>
          <w:p w14:paraId="6A19EF5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A020602变压器</w:t>
            </w:r>
          </w:p>
        </w:tc>
        <w:tc>
          <w:tcPr>
            <w:tcW w:w="1516" w:type="dxa"/>
            <w:tcBorders>
              <w:top w:val="nil"/>
              <w:left w:val="nil"/>
              <w:bottom w:val="single" w:color="000000" w:sz="8" w:space="0"/>
              <w:right w:val="single" w:color="000000" w:sz="8" w:space="0"/>
            </w:tcBorders>
            <w:noWrap w:val="0"/>
            <w:vAlign w:val="center"/>
          </w:tcPr>
          <w:p w14:paraId="7927829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配电变压器</w:t>
            </w:r>
          </w:p>
        </w:tc>
        <w:tc>
          <w:tcPr>
            <w:tcW w:w="1612" w:type="dxa"/>
            <w:tcBorders>
              <w:top w:val="nil"/>
              <w:left w:val="nil"/>
              <w:bottom w:val="single" w:color="000000" w:sz="8" w:space="0"/>
              <w:right w:val="single" w:color="000000" w:sz="8" w:space="0"/>
            </w:tcBorders>
            <w:noWrap w:val="0"/>
            <w:vAlign w:val="center"/>
          </w:tcPr>
          <w:p w14:paraId="3F581B2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6058040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《三相配电变压器能效限定值及能效等级》（GB20052）</w:t>
            </w:r>
          </w:p>
        </w:tc>
      </w:tr>
      <w:tr w14:paraId="7783B303">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65C2311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1116" w:type="dxa"/>
            <w:tcBorders>
              <w:top w:val="nil"/>
              <w:left w:val="nil"/>
              <w:bottom w:val="single" w:color="000000" w:sz="8" w:space="0"/>
              <w:right w:val="single" w:color="000000" w:sz="8" w:space="0"/>
            </w:tcBorders>
            <w:noWrap w:val="0"/>
            <w:vAlign w:val="center"/>
          </w:tcPr>
          <w:p w14:paraId="3A2FDB8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★A020609镇流器</w:t>
            </w:r>
          </w:p>
        </w:tc>
        <w:tc>
          <w:tcPr>
            <w:tcW w:w="1516" w:type="dxa"/>
            <w:tcBorders>
              <w:top w:val="nil"/>
              <w:left w:val="nil"/>
              <w:bottom w:val="single" w:color="000000" w:sz="8" w:space="0"/>
              <w:right w:val="single" w:color="000000" w:sz="8" w:space="0"/>
            </w:tcBorders>
            <w:noWrap w:val="0"/>
            <w:vAlign w:val="center"/>
          </w:tcPr>
          <w:p w14:paraId="251C0EF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管型荧光灯镇流器</w:t>
            </w:r>
          </w:p>
        </w:tc>
        <w:tc>
          <w:tcPr>
            <w:tcW w:w="1612" w:type="dxa"/>
            <w:tcBorders>
              <w:top w:val="nil"/>
              <w:left w:val="nil"/>
              <w:bottom w:val="single" w:color="000000" w:sz="8" w:space="0"/>
              <w:right w:val="single" w:color="000000" w:sz="8" w:space="0"/>
            </w:tcBorders>
            <w:noWrap w:val="0"/>
            <w:vAlign w:val="center"/>
          </w:tcPr>
          <w:p w14:paraId="399F9B1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4B456BB5">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《管形荧光灯镇流器能效限定值及能效等级》（GB17896）</w:t>
            </w:r>
          </w:p>
        </w:tc>
      </w:tr>
      <w:tr w14:paraId="07CF0FE7">
        <w:tblPrEx>
          <w:tblCellMar>
            <w:top w:w="0" w:type="dxa"/>
            <w:left w:w="108" w:type="dxa"/>
            <w:bottom w:w="0" w:type="dxa"/>
            <w:right w:w="108" w:type="dxa"/>
          </w:tblCellMar>
        </w:tblPrEx>
        <w:trPr>
          <w:trHeight w:val="495" w:hRule="atLeast"/>
          <w:jc w:val="center"/>
        </w:trPr>
        <w:tc>
          <w:tcPr>
            <w:tcW w:w="779" w:type="dxa"/>
            <w:vMerge w:val="restart"/>
            <w:tcBorders>
              <w:top w:val="nil"/>
              <w:left w:val="single" w:color="000000" w:sz="8" w:space="0"/>
              <w:bottom w:val="single" w:color="000000" w:sz="8" w:space="0"/>
              <w:right w:val="single" w:color="000000" w:sz="8" w:space="0"/>
            </w:tcBorders>
            <w:noWrap w:val="0"/>
            <w:vAlign w:val="center"/>
          </w:tcPr>
          <w:p w14:paraId="69166B2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77D983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A020618生活用电器</w:t>
            </w:r>
          </w:p>
        </w:tc>
        <w:tc>
          <w:tcPr>
            <w:tcW w:w="1516" w:type="dxa"/>
            <w:tcBorders>
              <w:top w:val="nil"/>
              <w:left w:val="nil"/>
              <w:bottom w:val="single" w:color="000000" w:sz="8" w:space="0"/>
              <w:right w:val="single" w:color="000000" w:sz="8" w:space="0"/>
            </w:tcBorders>
            <w:noWrap w:val="0"/>
            <w:vAlign w:val="center"/>
          </w:tcPr>
          <w:p w14:paraId="4F1E4DF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A0206180101电冰箱</w:t>
            </w:r>
          </w:p>
        </w:tc>
        <w:tc>
          <w:tcPr>
            <w:tcW w:w="1612" w:type="dxa"/>
            <w:tcBorders>
              <w:top w:val="nil"/>
              <w:left w:val="nil"/>
              <w:bottom w:val="single" w:color="000000" w:sz="8" w:space="0"/>
              <w:right w:val="single" w:color="000000" w:sz="8" w:space="0"/>
            </w:tcBorders>
            <w:noWrap w:val="0"/>
            <w:vAlign w:val="center"/>
          </w:tcPr>
          <w:p w14:paraId="3AE4425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09B078A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《家用电冰箱耗电量限定值及能效等级》（GB 12021.2）</w:t>
            </w:r>
          </w:p>
        </w:tc>
      </w:tr>
      <w:tr w14:paraId="4FC6D919">
        <w:tblPrEx>
          <w:tblCellMar>
            <w:top w:w="0" w:type="dxa"/>
            <w:left w:w="108" w:type="dxa"/>
            <w:bottom w:w="0" w:type="dxa"/>
            <w:right w:w="108" w:type="dxa"/>
          </w:tblCellMar>
        </w:tblPrEx>
        <w:trPr>
          <w:trHeight w:val="97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10531D07">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C48FB22">
            <w:pPr>
              <w:widowControl/>
              <w:jc w:val="left"/>
              <w:rPr>
                <w:rFonts w:hint="eastAsia" w:ascii="宋体" w:hAnsi="宋体" w:eastAsia="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61EE6C4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★A0206180203空调机</w:t>
            </w:r>
          </w:p>
        </w:tc>
        <w:tc>
          <w:tcPr>
            <w:tcW w:w="1612" w:type="dxa"/>
            <w:tcBorders>
              <w:top w:val="nil"/>
              <w:left w:val="nil"/>
              <w:bottom w:val="single" w:color="000000" w:sz="8" w:space="0"/>
              <w:right w:val="single" w:color="000000" w:sz="8" w:space="0"/>
            </w:tcBorders>
            <w:noWrap w:val="0"/>
            <w:vAlign w:val="center"/>
          </w:tcPr>
          <w:p w14:paraId="105C0C0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房间空气调节器</w:t>
            </w:r>
          </w:p>
        </w:tc>
        <w:tc>
          <w:tcPr>
            <w:tcW w:w="4335" w:type="dxa"/>
            <w:tcBorders>
              <w:top w:val="nil"/>
              <w:left w:val="nil"/>
              <w:bottom w:val="single" w:color="000000" w:sz="8" w:space="0"/>
              <w:right w:val="single" w:color="000000" w:sz="8" w:space="0"/>
            </w:tcBorders>
            <w:noWrap w:val="0"/>
            <w:vAlign w:val="center"/>
          </w:tcPr>
          <w:p w14:paraId="70FED66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5C6692BE">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07B60953">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21E8C91">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612DB579">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31EA33F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 14000W）</w:t>
            </w:r>
          </w:p>
        </w:tc>
        <w:tc>
          <w:tcPr>
            <w:tcW w:w="4335" w:type="dxa"/>
            <w:tcBorders>
              <w:top w:val="nil"/>
              <w:left w:val="nil"/>
              <w:bottom w:val="single" w:color="000000" w:sz="8" w:space="0"/>
              <w:right w:val="single" w:color="000000" w:sz="8" w:space="0"/>
            </w:tcBorders>
            <w:noWrap w:val="0"/>
            <w:vAlign w:val="center"/>
          </w:tcPr>
          <w:p w14:paraId="2742279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3244DAE3">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6F73EB2C">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683DAA16">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4ACF768">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4C46DD8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单元式空气调节机(制冷量≤14000W)</w:t>
            </w:r>
          </w:p>
        </w:tc>
        <w:tc>
          <w:tcPr>
            <w:tcW w:w="4335" w:type="dxa"/>
            <w:tcBorders>
              <w:top w:val="nil"/>
              <w:left w:val="nil"/>
              <w:bottom w:val="single" w:color="000000" w:sz="8" w:space="0"/>
              <w:right w:val="single" w:color="000000" w:sz="8" w:space="0"/>
            </w:tcBorders>
            <w:noWrap w:val="0"/>
            <w:vAlign w:val="center"/>
          </w:tcPr>
          <w:p w14:paraId="40DA746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《单元式空气调节机能效限定值及能源效率等级》（GB19576）《风管送风式空调机组能效限定值及能效等级》（GB37479）</w:t>
            </w:r>
          </w:p>
        </w:tc>
      </w:tr>
      <w:tr w14:paraId="1E392EDB">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40D9D274">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35163A0">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43E7322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A0206180301洗衣机</w:t>
            </w:r>
          </w:p>
        </w:tc>
        <w:tc>
          <w:tcPr>
            <w:tcW w:w="1612" w:type="dxa"/>
            <w:tcBorders>
              <w:top w:val="nil"/>
              <w:left w:val="nil"/>
              <w:bottom w:val="single" w:color="000000" w:sz="8" w:space="0"/>
              <w:right w:val="single" w:color="000000" w:sz="8" w:space="0"/>
            </w:tcBorders>
            <w:noWrap w:val="0"/>
            <w:vAlign w:val="center"/>
          </w:tcPr>
          <w:p w14:paraId="6D36558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55C491D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《电动洗衣机能效水效限定值及等级》（GB12021.4）</w:t>
            </w:r>
          </w:p>
        </w:tc>
      </w:tr>
      <w:tr w14:paraId="545085A3">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32556BE9">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08D8F94D">
            <w:pPr>
              <w:widowControl/>
              <w:jc w:val="left"/>
              <w:rPr>
                <w:rFonts w:hint="eastAsia" w:ascii="宋体" w:hAnsi="宋体" w:eastAsia="宋体" w:cs="宋体"/>
                <w:color w:val="auto"/>
                <w:kern w:val="0"/>
                <w:sz w:val="20"/>
                <w:szCs w:val="20"/>
                <w:highlight w:val="none"/>
              </w:rPr>
            </w:pPr>
          </w:p>
        </w:tc>
        <w:tc>
          <w:tcPr>
            <w:tcW w:w="1516" w:type="dxa"/>
            <w:vMerge w:val="restart"/>
            <w:tcBorders>
              <w:top w:val="nil"/>
              <w:left w:val="single" w:color="000000" w:sz="8" w:space="0"/>
              <w:bottom w:val="single" w:color="000000" w:sz="8" w:space="0"/>
              <w:right w:val="single" w:color="000000" w:sz="8" w:space="0"/>
            </w:tcBorders>
            <w:noWrap w:val="0"/>
            <w:vAlign w:val="center"/>
          </w:tcPr>
          <w:p w14:paraId="67A5C6F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A02061808热水器</w:t>
            </w:r>
          </w:p>
        </w:tc>
        <w:tc>
          <w:tcPr>
            <w:tcW w:w="1612" w:type="dxa"/>
            <w:tcBorders>
              <w:top w:val="nil"/>
              <w:left w:val="nil"/>
              <w:bottom w:val="single" w:color="000000" w:sz="8" w:space="0"/>
              <w:right w:val="single" w:color="000000" w:sz="8" w:space="0"/>
            </w:tcBorders>
            <w:noWrap w:val="0"/>
            <w:vAlign w:val="center"/>
          </w:tcPr>
          <w:p w14:paraId="6B09C29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★电热水器</w:t>
            </w:r>
          </w:p>
        </w:tc>
        <w:tc>
          <w:tcPr>
            <w:tcW w:w="4335" w:type="dxa"/>
            <w:tcBorders>
              <w:top w:val="nil"/>
              <w:left w:val="nil"/>
              <w:bottom w:val="single" w:color="000000" w:sz="8" w:space="0"/>
              <w:right w:val="single" w:color="000000" w:sz="8" w:space="0"/>
            </w:tcBorders>
            <w:noWrap w:val="0"/>
            <w:vAlign w:val="center"/>
          </w:tcPr>
          <w:p w14:paraId="35D5FCD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《储水式电热水器能效限定值及能效等级》（GB21519）</w:t>
            </w:r>
          </w:p>
        </w:tc>
      </w:tr>
      <w:tr w14:paraId="06F3FCD3">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06DE2F46">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73A2930">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2CB03E97">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7FE3A2B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燃气热水器</w:t>
            </w:r>
          </w:p>
        </w:tc>
        <w:tc>
          <w:tcPr>
            <w:tcW w:w="4335" w:type="dxa"/>
            <w:tcBorders>
              <w:top w:val="nil"/>
              <w:left w:val="nil"/>
              <w:bottom w:val="single" w:color="000000" w:sz="8" w:space="0"/>
              <w:right w:val="single" w:color="000000" w:sz="8" w:space="0"/>
            </w:tcBorders>
            <w:noWrap w:val="0"/>
            <w:vAlign w:val="center"/>
          </w:tcPr>
          <w:p w14:paraId="110203B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《家用燃气快速热水器和燃气采暖热水炉能效限定值及能效等级》（GB20665）</w:t>
            </w:r>
          </w:p>
        </w:tc>
      </w:tr>
      <w:tr w14:paraId="1D65F9CB">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348587F1">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2A6A1EC">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14380BC1">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2A4C31D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热泵热水器</w:t>
            </w:r>
          </w:p>
        </w:tc>
        <w:tc>
          <w:tcPr>
            <w:tcW w:w="4335" w:type="dxa"/>
            <w:tcBorders>
              <w:top w:val="nil"/>
              <w:left w:val="nil"/>
              <w:bottom w:val="single" w:color="000000" w:sz="8" w:space="0"/>
              <w:right w:val="single" w:color="000000" w:sz="8" w:space="0"/>
            </w:tcBorders>
            <w:noWrap w:val="0"/>
            <w:vAlign w:val="center"/>
          </w:tcPr>
          <w:p w14:paraId="39957F0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《热泵热水机（器）能效限定值及能效等级》（GB29541）</w:t>
            </w:r>
          </w:p>
        </w:tc>
      </w:tr>
      <w:tr w14:paraId="7963115F">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7B23CB83">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F633351">
            <w:pPr>
              <w:widowControl/>
              <w:jc w:val="left"/>
              <w:rPr>
                <w:rFonts w:hint="eastAsia" w:ascii="宋体" w:hAnsi="宋体" w:eastAsia="宋体" w:cs="宋体"/>
                <w:color w:val="auto"/>
                <w:kern w:val="0"/>
                <w:sz w:val="20"/>
                <w:szCs w:val="20"/>
                <w:highlight w:val="none"/>
              </w:rPr>
            </w:pPr>
          </w:p>
        </w:tc>
        <w:tc>
          <w:tcPr>
            <w:tcW w:w="1516" w:type="dxa"/>
            <w:vMerge w:val="continue"/>
            <w:tcBorders>
              <w:top w:val="nil"/>
              <w:left w:val="single" w:color="000000" w:sz="8" w:space="0"/>
              <w:bottom w:val="single" w:color="000000" w:sz="8" w:space="0"/>
              <w:right w:val="single" w:color="000000" w:sz="8" w:space="0"/>
            </w:tcBorders>
            <w:noWrap w:val="0"/>
            <w:vAlign w:val="center"/>
          </w:tcPr>
          <w:p w14:paraId="5757DAEB">
            <w:pPr>
              <w:widowControl/>
              <w:jc w:val="left"/>
              <w:rPr>
                <w:rFonts w:hint="eastAsia" w:ascii="宋体" w:hAnsi="宋体" w:eastAsia="宋体" w:cs="宋体"/>
                <w:color w:val="auto"/>
                <w:kern w:val="0"/>
                <w:sz w:val="20"/>
                <w:szCs w:val="20"/>
                <w:highlight w:val="none"/>
              </w:rPr>
            </w:pPr>
          </w:p>
        </w:tc>
        <w:tc>
          <w:tcPr>
            <w:tcW w:w="1612" w:type="dxa"/>
            <w:tcBorders>
              <w:top w:val="nil"/>
              <w:left w:val="nil"/>
              <w:bottom w:val="single" w:color="000000" w:sz="8" w:space="0"/>
              <w:right w:val="single" w:color="000000" w:sz="8" w:space="0"/>
            </w:tcBorders>
            <w:noWrap w:val="0"/>
            <w:vAlign w:val="center"/>
          </w:tcPr>
          <w:p w14:paraId="014CDC7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太阳能热水系统</w:t>
            </w:r>
          </w:p>
        </w:tc>
        <w:tc>
          <w:tcPr>
            <w:tcW w:w="4335" w:type="dxa"/>
            <w:tcBorders>
              <w:top w:val="nil"/>
              <w:left w:val="nil"/>
              <w:bottom w:val="single" w:color="000000" w:sz="8" w:space="0"/>
              <w:right w:val="single" w:color="000000" w:sz="8" w:space="0"/>
            </w:tcBorders>
            <w:noWrap w:val="0"/>
            <w:vAlign w:val="center"/>
          </w:tcPr>
          <w:p w14:paraId="5031C40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《家用太阳能热水系统能效限定值及能效等级》（GB26969）</w:t>
            </w:r>
          </w:p>
        </w:tc>
      </w:tr>
      <w:tr w14:paraId="725397C8">
        <w:tblPrEx>
          <w:tblCellMar>
            <w:top w:w="0" w:type="dxa"/>
            <w:left w:w="108" w:type="dxa"/>
            <w:bottom w:w="0" w:type="dxa"/>
            <w:right w:w="108" w:type="dxa"/>
          </w:tblCellMar>
        </w:tblPrEx>
        <w:trPr>
          <w:trHeight w:val="495" w:hRule="atLeast"/>
          <w:jc w:val="center"/>
        </w:trPr>
        <w:tc>
          <w:tcPr>
            <w:tcW w:w="779" w:type="dxa"/>
            <w:vMerge w:val="restart"/>
            <w:tcBorders>
              <w:top w:val="nil"/>
              <w:left w:val="single" w:color="000000" w:sz="8" w:space="0"/>
              <w:bottom w:val="single" w:color="000000" w:sz="8" w:space="0"/>
              <w:right w:val="single" w:color="000000" w:sz="8" w:space="0"/>
            </w:tcBorders>
            <w:noWrap w:val="0"/>
            <w:vAlign w:val="center"/>
          </w:tcPr>
          <w:p w14:paraId="600E54B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6FFB6A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A020619照明设备</w:t>
            </w:r>
          </w:p>
        </w:tc>
        <w:tc>
          <w:tcPr>
            <w:tcW w:w="1516" w:type="dxa"/>
            <w:tcBorders>
              <w:top w:val="nil"/>
              <w:left w:val="nil"/>
              <w:bottom w:val="single" w:color="000000" w:sz="8" w:space="0"/>
              <w:right w:val="single" w:color="000000" w:sz="8" w:space="0"/>
            </w:tcBorders>
            <w:noWrap w:val="0"/>
            <w:vAlign w:val="center"/>
          </w:tcPr>
          <w:p w14:paraId="139F7B4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w:t>
            </w:r>
          </w:p>
        </w:tc>
        <w:tc>
          <w:tcPr>
            <w:tcW w:w="1612" w:type="dxa"/>
            <w:tcBorders>
              <w:top w:val="nil"/>
              <w:left w:val="nil"/>
              <w:bottom w:val="single" w:color="000000" w:sz="8" w:space="0"/>
              <w:right w:val="single" w:color="000000" w:sz="8" w:space="0"/>
            </w:tcBorders>
            <w:noWrap w:val="0"/>
            <w:vAlign w:val="center"/>
          </w:tcPr>
          <w:p w14:paraId="233FA6D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0A5E99F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《普通照明用双端荧光灯能效限定值及能效等级》（GB19043）</w:t>
            </w:r>
          </w:p>
        </w:tc>
      </w:tr>
      <w:tr w14:paraId="7FBF249F">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7BB68CC7">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37BB50C7">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7829344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LED道路/隧道照明产品</w:t>
            </w:r>
          </w:p>
        </w:tc>
        <w:tc>
          <w:tcPr>
            <w:tcW w:w="1612" w:type="dxa"/>
            <w:tcBorders>
              <w:top w:val="nil"/>
              <w:left w:val="nil"/>
              <w:bottom w:val="single" w:color="000000" w:sz="8" w:space="0"/>
              <w:right w:val="single" w:color="000000" w:sz="8" w:space="0"/>
            </w:tcBorders>
            <w:noWrap w:val="0"/>
            <w:vAlign w:val="center"/>
          </w:tcPr>
          <w:p w14:paraId="7A91051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3565180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《道路和隧道照明用LED灯具能效限定值及能效等级》（GB37478）</w:t>
            </w:r>
          </w:p>
        </w:tc>
      </w:tr>
      <w:tr w14:paraId="5DC63CEE">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45401321">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170A31F0">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2710BB0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LED筒灯</w:t>
            </w:r>
          </w:p>
        </w:tc>
        <w:tc>
          <w:tcPr>
            <w:tcW w:w="1612" w:type="dxa"/>
            <w:tcBorders>
              <w:top w:val="nil"/>
              <w:left w:val="nil"/>
              <w:bottom w:val="single" w:color="000000" w:sz="8" w:space="0"/>
              <w:right w:val="single" w:color="000000" w:sz="8" w:space="0"/>
            </w:tcBorders>
            <w:noWrap w:val="0"/>
            <w:vAlign w:val="center"/>
          </w:tcPr>
          <w:p w14:paraId="02A3E24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7131B4D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3E787651">
        <w:tblPrEx>
          <w:tblCellMar>
            <w:top w:w="0" w:type="dxa"/>
            <w:left w:w="108" w:type="dxa"/>
            <w:bottom w:w="0" w:type="dxa"/>
            <w:right w:w="108" w:type="dxa"/>
          </w:tblCellMar>
        </w:tblPrEx>
        <w:trPr>
          <w:trHeight w:val="73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4E77F03B">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48C26D7D">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2165BCC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普通照明用非定向自镇流LED灯</w:t>
            </w:r>
          </w:p>
        </w:tc>
        <w:tc>
          <w:tcPr>
            <w:tcW w:w="1612" w:type="dxa"/>
            <w:tcBorders>
              <w:top w:val="nil"/>
              <w:left w:val="nil"/>
              <w:bottom w:val="single" w:color="000000" w:sz="8" w:space="0"/>
              <w:right w:val="single" w:color="000000" w:sz="8" w:space="0"/>
            </w:tcBorders>
            <w:noWrap w:val="0"/>
            <w:vAlign w:val="center"/>
          </w:tcPr>
          <w:p w14:paraId="7B62A34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2B47A00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768B47F9">
        <w:tblPrEx>
          <w:tblCellMar>
            <w:top w:w="0" w:type="dxa"/>
            <w:left w:w="108" w:type="dxa"/>
            <w:bottom w:w="0" w:type="dxa"/>
            <w:right w:w="108" w:type="dxa"/>
          </w:tblCellMar>
        </w:tblPrEx>
        <w:trPr>
          <w:trHeight w:val="73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344E9BE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1116" w:type="dxa"/>
            <w:tcBorders>
              <w:top w:val="nil"/>
              <w:left w:val="nil"/>
              <w:bottom w:val="single" w:color="000000" w:sz="8" w:space="0"/>
              <w:right w:val="single" w:color="000000" w:sz="8" w:space="0"/>
            </w:tcBorders>
            <w:noWrap w:val="0"/>
            <w:vAlign w:val="center"/>
          </w:tcPr>
          <w:p w14:paraId="677AD22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★A020910电视设备</w:t>
            </w:r>
          </w:p>
        </w:tc>
        <w:tc>
          <w:tcPr>
            <w:tcW w:w="1516" w:type="dxa"/>
            <w:tcBorders>
              <w:top w:val="nil"/>
              <w:left w:val="nil"/>
              <w:bottom w:val="single" w:color="000000" w:sz="8" w:space="0"/>
              <w:right w:val="single" w:color="000000" w:sz="8" w:space="0"/>
            </w:tcBorders>
            <w:noWrap w:val="0"/>
            <w:vAlign w:val="center"/>
          </w:tcPr>
          <w:p w14:paraId="0B9CDEB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A02091001普通电视设备（电视机）</w:t>
            </w:r>
          </w:p>
        </w:tc>
        <w:tc>
          <w:tcPr>
            <w:tcW w:w="1612" w:type="dxa"/>
            <w:tcBorders>
              <w:top w:val="nil"/>
              <w:left w:val="nil"/>
              <w:bottom w:val="single" w:color="000000" w:sz="8" w:space="0"/>
              <w:right w:val="single" w:color="000000" w:sz="8" w:space="0"/>
            </w:tcBorders>
            <w:noWrap w:val="0"/>
            <w:vAlign w:val="center"/>
          </w:tcPr>
          <w:p w14:paraId="5099839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351E35F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《平板电视能效限定值及能效等级》（GB24850）</w:t>
            </w:r>
          </w:p>
        </w:tc>
      </w:tr>
      <w:tr w14:paraId="2E68839E">
        <w:tblPrEx>
          <w:tblCellMar>
            <w:top w:w="0" w:type="dxa"/>
            <w:left w:w="108" w:type="dxa"/>
            <w:bottom w:w="0" w:type="dxa"/>
            <w:right w:w="108" w:type="dxa"/>
          </w:tblCellMar>
        </w:tblPrEx>
        <w:trPr>
          <w:trHeight w:val="97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766D7FF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1116" w:type="dxa"/>
            <w:tcBorders>
              <w:top w:val="nil"/>
              <w:left w:val="nil"/>
              <w:bottom w:val="single" w:color="000000" w:sz="8" w:space="0"/>
              <w:right w:val="single" w:color="000000" w:sz="8" w:space="0"/>
            </w:tcBorders>
            <w:noWrap w:val="0"/>
            <w:vAlign w:val="center"/>
          </w:tcPr>
          <w:p w14:paraId="070D77F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★A020911视频设备</w:t>
            </w:r>
          </w:p>
        </w:tc>
        <w:tc>
          <w:tcPr>
            <w:tcW w:w="1516" w:type="dxa"/>
            <w:tcBorders>
              <w:top w:val="nil"/>
              <w:left w:val="nil"/>
              <w:bottom w:val="single" w:color="000000" w:sz="8" w:space="0"/>
              <w:right w:val="single" w:color="000000" w:sz="8" w:space="0"/>
            </w:tcBorders>
            <w:noWrap w:val="0"/>
            <w:vAlign w:val="center"/>
          </w:tcPr>
          <w:p w14:paraId="7DAF9AA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A02091107视频监控设备</w:t>
            </w:r>
          </w:p>
        </w:tc>
        <w:tc>
          <w:tcPr>
            <w:tcW w:w="1612" w:type="dxa"/>
            <w:tcBorders>
              <w:top w:val="nil"/>
              <w:left w:val="nil"/>
              <w:bottom w:val="single" w:color="000000" w:sz="8" w:space="0"/>
              <w:right w:val="single" w:color="000000" w:sz="8" w:space="0"/>
            </w:tcBorders>
            <w:noWrap w:val="0"/>
            <w:vAlign w:val="center"/>
          </w:tcPr>
          <w:p w14:paraId="3C6CD5D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监视器</w:t>
            </w:r>
          </w:p>
        </w:tc>
        <w:tc>
          <w:tcPr>
            <w:tcW w:w="4335" w:type="dxa"/>
            <w:tcBorders>
              <w:top w:val="nil"/>
              <w:left w:val="nil"/>
              <w:bottom w:val="single" w:color="000000" w:sz="8" w:space="0"/>
              <w:right w:val="single" w:color="000000" w:sz="8" w:space="0"/>
            </w:tcBorders>
            <w:noWrap w:val="0"/>
            <w:vAlign w:val="center"/>
          </w:tcPr>
          <w:p w14:paraId="019D84B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7FF47D86">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7566171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1116" w:type="dxa"/>
            <w:tcBorders>
              <w:top w:val="nil"/>
              <w:left w:val="nil"/>
              <w:bottom w:val="single" w:color="000000" w:sz="8" w:space="0"/>
              <w:right w:val="single" w:color="000000" w:sz="8" w:space="0"/>
            </w:tcBorders>
            <w:noWrap w:val="0"/>
            <w:vAlign w:val="center"/>
          </w:tcPr>
          <w:p w14:paraId="1F99C85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A031210饮食炊事机械</w:t>
            </w:r>
          </w:p>
        </w:tc>
        <w:tc>
          <w:tcPr>
            <w:tcW w:w="1516" w:type="dxa"/>
            <w:tcBorders>
              <w:top w:val="nil"/>
              <w:left w:val="nil"/>
              <w:bottom w:val="single" w:color="000000" w:sz="8" w:space="0"/>
              <w:right w:val="single" w:color="000000" w:sz="8" w:space="0"/>
            </w:tcBorders>
            <w:noWrap w:val="0"/>
            <w:vAlign w:val="center"/>
          </w:tcPr>
          <w:p w14:paraId="51DE0E4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w:t>
            </w:r>
          </w:p>
        </w:tc>
        <w:tc>
          <w:tcPr>
            <w:tcW w:w="1612" w:type="dxa"/>
            <w:tcBorders>
              <w:top w:val="nil"/>
              <w:left w:val="nil"/>
              <w:bottom w:val="single" w:color="000000" w:sz="8" w:space="0"/>
              <w:right w:val="single" w:color="000000" w:sz="8" w:space="0"/>
            </w:tcBorders>
            <w:noWrap w:val="0"/>
            <w:vAlign w:val="center"/>
          </w:tcPr>
          <w:p w14:paraId="60B338D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2821E95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《商用燃气灶具能效限定值及能效等级》（GB30531）</w:t>
            </w:r>
          </w:p>
        </w:tc>
      </w:tr>
      <w:tr w14:paraId="24EA49C5">
        <w:tblPrEx>
          <w:tblCellMar>
            <w:top w:w="0" w:type="dxa"/>
            <w:left w:w="108" w:type="dxa"/>
            <w:bottom w:w="0" w:type="dxa"/>
            <w:right w:w="108" w:type="dxa"/>
          </w:tblCellMar>
        </w:tblPrEx>
        <w:trPr>
          <w:trHeight w:val="285" w:hRule="atLeast"/>
          <w:jc w:val="center"/>
        </w:trPr>
        <w:tc>
          <w:tcPr>
            <w:tcW w:w="779" w:type="dxa"/>
            <w:vMerge w:val="restart"/>
            <w:tcBorders>
              <w:top w:val="nil"/>
              <w:left w:val="single" w:color="000000" w:sz="8" w:space="0"/>
              <w:bottom w:val="single" w:color="000000" w:sz="8" w:space="0"/>
              <w:right w:val="single" w:color="000000" w:sz="8" w:space="0"/>
            </w:tcBorders>
            <w:noWrap w:val="0"/>
            <w:vAlign w:val="center"/>
          </w:tcPr>
          <w:p w14:paraId="6F55B6B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1116" w:type="dxa"/>
            <w:vMerge w:val="restart"/>
            <w:tcBorders>
              <w:top w:val="nil"/>
              <w:left w:val="single" w:color="000000" w:sz="8" w:space="0"/>
              <w:bottom w:val="single" w:color="000000" w:sz="8" w:space="0"/>
              <w:right w:val="single" w:color="000000" w:sz="8" w:space="0"/>
            </w:tcBorders>
            <w:noWrap w:val="0"/>
            <w:vAlign w:val="center"/>
          </w:tcPr>
          <w:p w14:paraId="7E9876D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★A060805便器</w:t>
            </w:r>
          </w:p>
        </w:tc>
        <w:tc>
          <w:tcPr>
            <w:tcW w:w="1516" w:type="dxa"/>
            <w:tcBorders>
              <w:top w:val="nil"/>
              <w:left w:val="nil"/>
              <w:bottom w:val="single" w:color="000000" w:sz="8" w:space="0"/>
              <w:right w:val="single" w:color="000000" w:sz="8" w:space="0"/>
            </w:tcBorders>
            <w:noWrap w:val="0"/>
            <w:vAlign w:val="center"/>
          </w:tcPr>
          <w:p w14:paraId="5EECEDF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w:t>
            </w:r>
          </w:p>
        </w:tc>
        <w:tc>
          <w:tcPr>
            <w:tcW w:w="1612" w:type="dxa"/>
            <w:tcBorders>
              <w:top w:val="nil"/>
              <w:left w:val="nil"/>
              <w:bottom w:val="single" w:color="000000" w:sz="8" w:space="0"/>
              <w:right w:val="single" w:color="000000" w:sz="8" w:space="0"/>
            </w:tcBorders>
            <w:noWrap w:val="0"/>
            <w:vAlign w:val="center"/>
          </w:tcPr>
          <w:p w14:paraId="0091482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4666BDF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《坐便器水效限定值及水效等级》（GB25502）</w:t>
            </w:r>
          </w:p>
        </w:tc>
      </w:tr>
      <w:tr w14:paraId="36A49BC7">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4A017949">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277782F3">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097B530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w:t>
            </w:r>
          </w:p>
        </w:tc>
        <w:tc>
          <w:tcPr>
            <w:tcW w:w="1612" w:type="dxa"/>
            <w:tcBorders>
              <w:top w:val="nil"/>
              <w:left w:val="nil"/>
              <w:bottom w:val="single" w:color="000000" w:sz="8" w:space="0"/>
              <w:right w:val="single" w:color="000000" w:sz="8" w:space="0"/>
            </w:tcBorders>
            <w:noWrap w:val="0"/>
            <w:vAlign w:val="center"/>
          </w:tcPr>
          <w:p w14:paraId="33F4082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680F611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《蹲便器用水效率限定值及用水效率等级》（GB30717）</w:t>
            </w:r>
          </w:p>
        </w:tc>
      </w:tr>
      <w:tr w14:paraId="7713FFC5">
        <w:tblPrEx>
          <w:tblCellMar>
            <w:top w:w="0" w:type="dxa"/>
            <w:left w:w="108" w:type="dxa"/>
            <w:bottom w:w="0" w:type="dxa"/>
            <w:right w:w="108" w:type="dxa"/>
          </w:tblCellMar>
        </w:tblPrEx>
        <w:trPr>
          <w:trHeight w:val="495" w:hRule="atLeast"/>
          <w:jc w:val="center"/>
        </w:trPr>
        <w:tc>
          <w:tcPr>
            <w:tcW w:w="779" w:type="dxa"/>
            <w:vMerge w:val="continue"/>
            <w:tcBorders>
              <w:top w:val="nil"/>
              <w:left w:val="single" w:color="000000" w:sz="8" w:space="0"/>
              <w:bottom w:val="single" w:color="000000" w:sz="8" w:space="0"/>
              <w:right w:val="single" w:color="000000" w:sz="8" w:space="0"/>
            </w:tcBorders>
            <w:noWrap w:val="0"/>
            <w:vAlign w:val="center"/>
          </w:tcPr>
          <w:p w14:paraId="04F6B196">
            <w:pPr>
              <w:widowControl/>
              <w:jc w:val="left"/>
              <w:rPr>
                <w:rFonts w:hint="eastAsia" w:ascii="宋体" w:hAnsi="宋体" w:eastAsia="宋体" w:cs="宋体"/>
                <w:color w:val="auto"/>
                <w:kern w:val="0"/>
                <w:sz w:val="20"/>
                <w:szCs w:val="20"/>
                <w:highlight w:val="none"/>
              </w:rPr>
            </w:pPr>
          </w:p>
        </w:tc>
        <w:tc>
          <w:tcPr>
            <w:tcW w:w="1116" w:type="dxa"/>
            <w:vMerge w:val="continue"/>
            <w:tcBorders>
              <w:top w:val="nil"/>
              <w:left w:val="single" w:color="000000" w:sz="8" w:space="0"/>
              <w:bottom w:val="single" w:color="000000" w:sz="8" w:space="0"/>
              <w:right w:val="single" w:color="000000" w:sz="8" w:space="0"/>
            </w:tcBorders>
            <w:noWrap w:val="0"/>
            <w:vAlign w:val="center"/>
          </w:tcPr>
          <w:p w14:paraId="5DCCFC38">
            <w:pPr>
              <w:widowControl/>
              <w:jc w:val="left"/>
              <w:rPr>
                <w:rFonts w:hint="eastAsia" w:ascii="宋体" w:hAnsi="宋体" w:eastAsia="宋体" w:cs="宋体"/>
                <w:color w:val="auto"/>
                <w:kern w:val="0"/>
                <w:sz w:val="20"/>
                <w:szCs w:val="20"/>
                <w:highlight w:val="none"/>
              </w:rPr>
            </w:pPr>
          </w:p>
        </w:tc>
        <w:tc>
          <w:tcPr>
            <w:tcW w:w="1516" w:type="dxa"/>
            <w:tcBorders>
              <w:top w:val="nil"/>
              <w:left w:val="nil"/>
              <w:bottom w:val="single" w:color="000000" w:sz="8" w:space="0"/>
              <w:right w:val="single" w:color="000000" w:sz="8" w:space="0"/>
            </w:tcBorders>
            <w:noWrap w:val="0"/>
            <w:vAlign w:val="center"/>
          </w:tcPr>
          <w:p w14:paraId="6CB24BC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w:t>
            </w:r>
          </w:p>
        </w:tc>
        <w:tc>
          <w:tcPr>
            <w:tcW w:w="1612" w:type="dxa"/>
            <w:tcBorders>
              <w:top w:val="nil"/>
              <w:left w:val="nil"/>
              <w:bottom w:val="single" w:color="000000" w:sz="8" w:space="0"/>
              <w:right w:val="single" w:color="000000" w:sz="8" w:space="0"/>
            </w:tcBorders>
            <w:noWrap w:val="0"/>
            <w:vAlign w:val="center"/>
          </w:tcPr>
          <w:p w14:paraId="4B9D5D7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24F93EB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《小便器用水效率限定值及用水效率等级》（GB28377）</w:t>
            </w:r>
          </w:p>
        </w:tc>
      </w:tr>
      <w:tr w14:paraId="24A728C6">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0B2B962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1116" w:type="dxa"/>
            <w:tcBorders>
              <w:top w:val="nil"/>
              <w:left w:val="nil"/>
              <w:bottom w:val="single" w:color="000000" w:sz="8" w:space="0"/>
              <w:right w:val="single" w:color="000000" w:sz="8" w:space="0"/>
            </w:tcBorders>
            <w:noWrap w:val="0"/>
            <w:vAlign w:val="center"/>
          </w:tcPr>
          <w:p w14:paraId="3676DD3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★A060806水嘴</w:t>
            </w:r>
          </w:p>
        </w:tc>
        <w:tc>
          <w:tcPr>
            <w:tcW w:w="1516" w:type="dxa"/>
            <w:tcBorders>
              <w:top w:val="nil"/>
              <w:left w:val="nil"/>
              <w:bottom w:val="single" w:color="000000" w:sz="8" w:space="0"/>
              <w:right w:val="single" w:color="000000" w:sz="8" w:space="0"/>
            </w:tcBorders>
            <w:noWrap w:val="0"/>
            <w:vAlign w:val="center"/>
          </w:tcPr>
          <w:p w14:paraId="7EF299F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32D358C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59A848C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《水嘴用水效率限定值及用水效率等级》（GB 25501）</w:t>
            </w:r>
          </w:p>
        </w:tc>
      </w:tr>
      <w:tr w14:paraId="1199CC64">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6A5FDC4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1116" w:type="dxa"/>
            <w:tcBorders>
              <w:top w:val="nil"/>
              <w:left w:val="nil"/>
              <w:bottom w:val="single" w:color="000000" w:sz="8" w:space="0"/>
              <w:right w:val="single" w:color="000000" w:sz="8" w:space="0"/>
            </w:tcBorders>
            <w:noWrap w:val="0"/>
            <w:vAlign w:val="center"/>
          </w:tcPr>
          <w:p w14:paraId="390663A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A060807便器冲洗阀</w:t>
            </w:r>
          </w:p>
        </w:tc>
        <w:tc>
          <w:tcPr>
            <w:tcW w:w="1516" w:type="dxa"/>
            <w:tcBorders>
              <w:top w:val="nil"/>
              <w:left w:val="nil"/>
              <w:bottom w:val="single" w:color="000000" w:sz="8" w:space="0"/>
              <w:right w:val="single" w:color="000000" w:sz="8" w:space="0"/>
            </w:tcBorders>
            <w:noWrap w:val="0"/>
            <w:vAlign w:val="center"/>
          </w:tcPr>
          <w:p w14:paraId="6BDFDC2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03CFB0D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782495C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《便器冲洗阀用水效率限定值及用水效率等级》（GB28379）</w:t>
            </w:r>
          </w:p>
        </w:tc>
      </w:tr>
      <w:tr w14:paraId="2FFDE792">
        <w:tblPrEx>
          <w:tblCellMar>
            <w:top w:w="0" w:type="dxa"/>
            <w:left w:w="108" w:type="dxa"/>
            <w:bottom w:w="0" w:type="dxa"/>
            <w:right w:w="108" w:type="dxa"/>
          </w:tblCellMar>
        </w:tblPrEx>
        <w:trPr>
          <w:trHeight w:val="495" w:hRule="atLeast"/>
          <w:jc w:val="center"/>
        </w:trPr>
        <w:tc>
          <w:tcPr>
            <w:tcW w:w="779" w:type="dxa"/>
            <w:tcBorders>
              <w:top w:val="nil"/>
              <w:left w:val="single" w:color="000000" w:sz="8" w:space="0"/>
              <w:bottom w:val="single" w:color="000000" w:sz="8" w:space="0"/>
              <w:right w:val="single" w:color="000000" w:sz="8" w:space="0"/>
            </w:tcBorders>
            <w:noWrap w:val="0"/>
            <w:vAlign w:val="center"/>
          </w:tcPr>
          <w:p w14:paraId="3AD9EA5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1116" w:type="dxa"/>
            <w:tcBorders>
              <w:top w:val="nil"/>
              <w:left w:val="nil"/>
              <w:bottom w:val="single" w:color="000000" w:sz="8" w:space="0"/>
              <w:right w:val="single" w:color="000000" w:sz="8" w:space="0"/>
            </w:tcBorders>
            <w:noWrap w:val="0"/>
            <w:vAlign w:val="center"/>
          </w:tcPr>
          <w:p w14:paraId="3DEA371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A060810淋浴器</w:t>
            </w:r>
          </w:p>
        </w:tc>
        <w:tc>
          <w:tcPr>
            <w:tcW w:w="1516" w:type="dxa"/>
            <w:tcBorders>
              <w:top w:val="nil"/>
              <w:left w:val="nil"/>
              <w:bottom w:val="single" w:color="000000" w:sz="8" w:space="0"/>
              <w:right w:val="single" w:color="000000" w:sz="8" w:space="0"/>
            </w:tcBorders>
            <w:noWrap w:val="0"/>
            <w:vAlign w:val="center"/>
          </w:tcPr>
          <w:p w14:paraId="7B436BF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tcBorders>
              <w:top w:val="nil"/>
              <w:left w:val="nil"/>
              <w:bottom w:val="single" w:color="000000" w:sz="8" w:space="0"/>
              <w:right w:val="single" w:color="000000" w:sz="8" w:space="0"/>
            </w:tcBorders>
            <w:noWrap w:val="0"/>
            <w:vAlign w:val="center"/>
          </w:tcPr>
          <w:p w14:paraId="4BE6787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tcBorders>
              <w:top w:val="nil"/>
              <w:left w:val="nil"/>
              <w:bottom w:val="single" w:color="000000" w:sz="8" w:space="0"/>
              <w:right w:val="single" w:color="000000" w:sz="8" w:space="0"/>
            </w:tcBorders>
            <w:noWrap w:val="0"/>
            <w:vAlign w:val="center"/>
          </w:tcPr>
          <w:p w14:paraId="28525BC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《淋浴器用水效率限定值及用水效率等级》（GB28378）</w:t>
            </w:r>
          </w:p>
        </w:tc>
      </w:tr>
    </w:tbl>
    <w:p w14:paraId="280D0E87">
      <w:pPr>
        <w:pStyle w:val="13"/>
        <w:spacing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52871795">
      <w:pPr>
        <w:pStyle w:val="17"/>
        <w:jc w:val="left"/>
        <w:rPr>
          <w:rFonts w:hint="eastAsia" w:ascii="宋体" w:hAnsi="宋体" w:eastAsia="宋体" w:cs="宋体"/>
          <w:color w:val="auto"/>
          <w:sz w:val="32"/>
          <w:szCs w:val="32"/>
          <w:highlight w:val="none"/>
        </w:rPr>
      </w:pPr>
      <w:r>
        <w:rPr>
          <w:rFonts w:hint="eastAsia" w:ascii="宋体" w:hAnsi="宋体" w:eastAsia="宋体" w:cs="宋体"/>
          <w:color w:val="auto"/>
          <w:highlight w:val="none"/>
        </w:rPr>
        <w:t xml:space="preserve">    2.以“★”标注的为政府强制采购产品。</w:t>
      </w:r>
      <w:r>
        <w:rPr>
          <w:rFonts w:hint="eastAsia" w:ascii="宋体" w:hAnsi="宋体" w:eastAsia="宋体" w:cs="宋体"/>
          <w:color w:val="auto"/>
          <w:highlight w:val="none"/>
        </w:rPr>
        <w:br w:type="page"/>
      </w:r>
      <w:r>
        <w:rPr>
          <w:rFonts w:hint="eastAsia" w:ascii="宋体" w:hAnsi="宋体" w:eastAsia="宋体" w:cs="宋体"/>
          <w:color w:val="auto"/>
          <w:sz w:val="32"/>
          <w:szCs w:val="32"/>
          <w:highlight w:val="none"/>
        </w:rPr>
        <w:t>附件2：</w:t>
      </w:r>
    </w:p>
    <w:p w14:paraId="2EB291BC">
      <w:pPr>
        <w:spacing w:line="528" w:lineRule="exact"/>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中小微企业划型标准</w:t>
      </w:r>
    </w:p>
    <w:tbl>
      <w:tblPr>
        <w:tblStyle w:val="29"/>
        <w:tblW w:w="9500" w:type="dxa"/>
        <w:tblInd w:w="250" w:type="dxa"/>
        <w:tblLayout w:type="fixed"/>
        <w:tblCellMar>
          <w:top w:w="0" w:type="dxa"/>
          <w:left w:w="108" w:type="dxa"/>
          <w:bottom w:w="0" w:type="dxa"/>
          <w:right w:w="108" w:type="dxa"/>
        </w:tblCellMar>
      </w:tblPr>
      <w:tblGrid>
        <w:gridCol w:w="1985"/>
        <w:gridCol w:w="1985"/>
        <w:gridCol w:w="851"/>
        <w:gridCol w:w="1843"/>
        <w:gridCol w:w="1702"/>
        <w:gridCol w:w="1134"/>
      </w:tblGrid>
      <w:tr w14:paraId="0A7A075D">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4E4704E9">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0"/>
            <w:vAlign w:val="center"/>
          </w:tcPr>
          <w:p w14:paraId="75BDA6B7">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指标名称</w:t>
            </w:r>
          </w:p>
        </w:tc>
        <w:tc>
          <w:tcPr>
            <w:tcW w:w="851" w:type="dxa"/>
            <w:tcBorders>
              <w:top w:val="single" w:color="auto" w:sz="4" w:space="0"/>
              <w:left w:val="nil"/>
              <w:bottom w:val="single" w:color="auto" w:sz="4" w:space="0"/>
              <w:right w:val="single" w:color="auto" w:sz="4" w:space="0"/>
            </w:tcBorders>
            <w:noWrap w:val="0"/>
            <w:vAlign w:val="center"/>
          </w:tcPr>
          <w:p w14:paraId="002AD72D">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0"/>
            <w:vAlign w:val="center"/>
          </w:tcPr>
          <w:p w14:paraId="140D0BAD">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中型</w:t>
            </w:r>
          </w:p>
        </w:tc>
        <w:tc>
          <w:tcPr>
            <w:tcW w:w="1701" w:type="dxa"/>
            <w:tcBorders>
              <w:top w:val="single" w:color="auto" w:sz="4" w:space="0"/>
              <w:left w:val="nil"/>
              <w:bottom w:val="single" w:color="auto" w:sz="4" w:space="0"/>
              <w:right w:val="single" w:color="auto" w:sz="4" w:space="0"/>
            </w:tcBorders>
            <w:noWrap w:val="0"/>
            <w:vAlign w:val="center"/>
          </w:tcPr>
          <w:p w14:paraId="6BDB2C7A">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小型</w:t>
            </w:r>
          </w:p>
        </w:tc>
        <w:tc>
          <w:tcPr>
            <w:tcW w:w="1134" w:type="dxa"/>
            <w:tcBorders>
              <w:top w:val="single" w:color="auto" w:sz="4" w:space="0"/>
              <w:left w:val="nil"/>
              <w:bottom w:val="single" w:color="auto" w:sz="4" w:space="0"/>
              <w:right w:val="single" w:color="auto" w:sz="4" w:space="0"/>
            </w:tcBorders>
            <w:noWrap w:val="0"/>
            <w:vAlign w:val="center"/>
          </w:tcPr>
          <w:p w14:paraId="433E39A0">
            <w:pPr>
              <w:widowControl/>
              <w:jc w:val="left"/>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微型</w:t>
            </w:r>
          </w:p>
        </w:tc>
      </w:tr>
      <w:tr w14:paraId="24BF1E5C">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00FF4851">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农、林、牧、渔</w:t>
            </w:r>
          </w:p>
        </w:tc>
        <w:tc>
          <w:tcPr>
            <w:tcW w:w="1984" w:type="dxa"/>
            <w:tcBorders>
              <w:top w:val="nil"/>
              <w:left w:val="nil"/>
              <w:bottom w:val="single" w:color="auto" w:sz="4" w:space="0"/>
              <w:right w:val="single" w:color="auto" w:sz="4" w:space="0"/>
            </w:tcBorders>
            <w:noWrap w:val="0"/>
            <w:vAlign w:val="center"/>
          </w:tcPr>
          <w:p w14:paraId="74F3782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0D03A8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94D262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550BBCD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1134" w:type="dxa"/>
            <w:tcBorders>
              <w:top w:val="nil"/>
              <w:left w:val="nil"/>
              <w:bottom w:val="single" w:color="auto" w:sz="4" w:space="0"/>
              <w:right w:val="single" w:color="auto" w:sz="4" w:space="0"/>
            </w:tcBorders>
            <w:noWrap w:val="0"/>
            <w:vAlign w:val="center"/>
          </w:tcPr>
          <w:p w14:paraId="511CB35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5E10E54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B8BE36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工业</w:t>
            </w:r>
          </w:p>
        </w:tc>
        <w:tc>
          <w:tcPr>
            <w:tcW w:w="1984" w:type="dxa"/>
            <w:tcBorders>
              <w:top w:val="nil"/>
              <w:left w:val="nil"/>
              <w:bottom w:val="single" w:color="auto" w:sz="4" w:space="0"/>
              <w:right w:val="single" w:color="auto" w:sz="4" w:space="0"/>
            </w:tcBorders>
            <w:noWrap w:val="0"/>
            <w:vAlign w:val="center"/>
          </w:tcPr>
          <w:p w14:paraId="6C64620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23C0E1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286A7B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3A78388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19DD941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084BA6E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4281FC0">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DF77F8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37060CC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79FBEA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701" w:type="dxa"/>
            <w:tcBorders>
              <w:top w:val="nil"/>
              <w:left w:val="nil"/>
              <w:bottom w:val="single" w:color="auto" w:sz="4" w:space="0"/>
              <w:right w:val="single" w:color="auto" w:sz="4" w:space="0"/>
            </w:tcBorders>
            <w:noWrap w:val="0"/>
            <w:vAlign w:val="center"/>
          </w:tcPr>
          <w:p w14:paraId="295653C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1134" w:type="dxa"/>
            <w:tcBorders>
              <w:top w:val="nil"/>
              <w:left w:val="nil"/>
              <w:bottom w:val="single" w:color="auto" w:sz="4" w:space="0"/>
              <w:right w:val="single" w:color="auto" w:sz="4" w:space="0"/>
            </w:tcBorders>
            <w:noWrap w:val="0"/>
            <w:vAlign w:val="center"/>
          </w:tcPr>
          <w:p w14:paraId="2D2ACDC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67F47C9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F89D186">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建筑业</w:t>
            </w:r>
          </w:p>
        </w:tc>
        <w:tc>
          <w:tcPr>
            <w:tcW w:w="1984" w:type="dxa"/>
            <w:tcBorders>
              <w:top w:val="nil"/>
              <w:left w:val="nil"/>
              <w:bottom w:val="single" w:color="auto" w:sz="4" w:space="0"/>
              <w:right w:val="single" w:color="auto" w:sz="4" w:space="0"/>
            </w:tcBorders>
            <w:noWrap w:val="0"/>
            <w:vAlign w:val="center"/>
          </w:tcPr>
          <w:p w14:paraId="45BA705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300D5F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22B3AD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701" w:type="dxa"/>
            <w:tcBorders>
              <w:top w:val="nil"/>
              <w:left w:val="nil"/>
              <w:bottom w:val="single" w:color="auto" w:sz="4" w:space="0"/>
              <w:right w:val="single" w:color="auto" w:sz="4" w:space="0"/>
            </w:tcBorders>
            <w:noWrap w:val="0"/>
            <w:vAlign w:val="center"/>
          </w:tcPr>
          <w:p w14:paraId="3A577CB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1134" w:type="dxa"/>
            <w:tcBorders>
              <w:top w:val="nil"/>
              <w:left w:val="nil"/>
              <w:bottom w:val="single" w:color="auto" w:sz="4" w:space="0"/>
              <w:right w:val="single" w:color="auto" w:sz="4" w:space="0"/>
            </w:tcBorders>
            <w:noWrap w:val="0"/>
            <w:vAlign w:val="center"/>
          </w:tcPr>
          <w:p w14:paraId="7FF922D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04B44E3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C3D5411">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5D538A0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57B7E11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28E04AB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701" w:type="dxa"/>
            <w:tcBorders>
              <w:top w:val="nil"/>
              <w:left w:val="nil"/>
              <w:bottom w:val="single" w:color="auto" w:sz="4" w:space="0"/>
              <w:right w:val="single" w:color="auto" w:sz="4" w:space="0"/>
            </w:tcBorders>
            <w:noWrap w:val="0"/>
            <w:vAlign w:val="center"/>
          </w:tcPr>
          <w:p w14:paraId="7C93756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1134" w:type="dxa"/>
            <w:tcBorders>
              <w:top w:val="nil"/>
              <w:left w:val="nil"/>
              <w:bottom w:val="single" w:color="auto" w:sz="4" w:space="0"/>
              <w:right w:val="single" w:color="auto" w:sz="4" w:space="0"/>
            </w:tcBorders>
            <w:noWrap w:val="0"/>
            <w:vAlign w:val="center"/>
          </w:tcPr>
          <w:p w14:paraId="4CC4075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1453EEA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4E8B82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批发业</w:t>
            </w:r>
          </w:p>
        </w:tc>
        <w:tc>
          <w:tcPr>
            <w:tcW w:w="1984" w:type="dxa"/>
            <w:tcBorders>
              <w:top w:val="nil"/>
              <w:left w:val="nil"/>
              <w:bottom w:val="single" w:color="auto" w:sz="4" w:space="0"/>
              <w:right w:val="single" w:color="auto" w:sz="4" w:space="0"/>
            </w:tcBorders>
            <w:noWrap w:val="0"/>
            <w:vAlign w:val="center"/>
          </w:tcPr>
          <w:p w14:paraId="5E86B3C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CC63D1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0150A6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701" w:type="dxa"/>
            <w:tcBorders>
              <w:top w:val="nil"/>
              <w:left w:val="nil"/>
              <w:bottom w:val="single" w:color="auto" w:sz="4" w:space="0"/>
              <w:right w:val="single" w:color="auto" w:sz="4" w:space="0"/>
            </w:tcBorders>
            <w:noWrap w:val="0"/>
            <w:vAlign w:val="center"/>
          </w:tcPr>
          <w:p w14:paraId="7412516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1134" w:type="dxa"/>
            <w:tcBorders>
              <w:top w:val="nil"/>
              <w:left w:val="nil"/>
              <w:bottom w:val="single" w:color="auto" w:sz="4" w:space="0"/>
              <w:right w:val="single" w:color="auto" w:sz="4" w:space="0"/>
            </w:tcBorders>
            <w:noWrap w:val="0"/>
            <w:vAlign w:val="center"/>
          </w:tcPr>
          <w:p w14:paraId="02899FD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6774C4F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D444F2C">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0DA263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90EFAA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177B86B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701" w:type="dxa"/>
            <w:tcBorders>
              <w:top w:val="nil"/>
              <w:left w:val="nil"/>
              <w:bottom w:val="single" w:color="auto" w:sz="4" w:space="0"/>
              <w:right w:val="single" w:color="auto" w:sz="4" w:space="0"/>
            </w:tcBorders>
            <w:noWrap w:val="0"/>
            <w:vAlign w:val="center"/>
          </w:tcPr>
          <w:p w14:paraId="0816D54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134" w:type="dxa"/>
            <w:tcBorders>
              <w:top w:val="nil"/>
              <w:left w:val="nil"/>
              <w:bottom w:val="single" w:color="auto" w:sz="4" w:space="0"/>
              <w:right w:val="single" w:color="auto" w:sz="4" w:space="0"/>
            </w:tcBorders>
            <w:noWrap w:val="0"/>
            <w:vAlign w:val="center"/>
          </w:tcPr>
          <w:p w14:paraId="7B6799B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56EDBC4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C8EAC0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零售业</w:t>
            </w:r>
          </w:p>
        </w:tc>
        <w:tc>
          <w:tcPr>
            <w:tcW w:w="1984" w:type="dxa"/>
            <w:tcBorders>
              <w:top w:val="nil"/>
              <w:left w:val="nil"/>
              <w:bottom w:val="single" w:color="auto" w:sz="4" w:space="0"/>
              <w:right w:val="single" w:color="auto" w:sz="4" w:space="0"/>
            </w:tcBorders>
            <w:noWrap w:val="0"/>
            <w:vAlign w:val="center"/>
          </w:tcPr>
          <w:p w14:paraId="6F2330B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A27C90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178674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701" w:type="dxa"/>
            <w:tcBorders>
              <w:top w:val="nil"/>
              <w:left w:val="nil"/>
              <w:bottom w:val="single" w:color="auto" w:sz="4" w:space="0"/>
              <w:right w:val="single" w:color="auto" w:sz="4" w:space="0"/>
            </w:tcBorders>
            <w:noWrap w:val="0"/>
            <w:vAlign w:val="center"/>
          </w:tcPr>
          <w:p w14:paraId="14153B3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10≤X＜50</w:t>
            </w:r>
          </w:p>
        </w:tc>
        <w:tc>
          <w:tcPr>
            <w:tcW w:w="1134" w:type="dxa"/>
            <w:tcBorders>
              <w:top w:val="nil"/>
              <w:left w:val="nil"/>
              <w:bottom w:val="single" w:color="auto" w:sz="4" w:space="0"/>
              <w:right w:val="single" w:color="auto" w:sz="4" w:space="0"/>
            </w:tcBorders>
            <w:noWrap w:val="0"/>
            <w:vAlign w:val="center"/>
          </w:tcPr>
          <w:p w14:paraId="6E14D7A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B9D085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F9DDD10">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BAD9BE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673B87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9B30EC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701" w:type="dxa"/>
            <w:tcBorders>
              <w:top w:val="nil"/>
              <w:left w:val="nil"/>
              <w:bottom w:val="single" w:color="auto" w:sz="4" w:space="0"/>
              <w:right w:val="single" w:color="auto" w:sz="4" w:space="0"/>
            </w:tcBorders>
            <w:noWrap w:val="0"/>
            <w:vAlign w:val="center"/>
          </w:tcPr>
          <w:p w14:paraId="0D9244D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1134" w:type="dxa"/>
            <w:tcBorders>
              <w:top w:val="nil"/>
              <w:left w:val="nil"/>
              <w:bottom w:val="single" w:color="auto" w:sz="4" w:space="0"/>
              <w:right w:val="single" w:color="auto" w:sz="4" w:space="0"/>
            </w:tcBorders>
            <w:noWrap w:val="0"/>
            <w:vAlign w:val="center"/>
          </w:tcPr>
          <w:p w14:paraId="6E590D3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9741AC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0866CEB">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交通运输业</w:t>
            </w:r>
          </w:p>
        </w:tc>
        <w:tc>
          <w:tcPr>
            <w:tcW w:w="1984" w:type="dxa"/>
            <w:tcBorders>
              <w:top w:val="nil"/>
              <w:left w:val="nil"/>
              <w:bottom w:val="single" w:color="auto" w:sz="4" w:space="0"/>
              <w:right w:val="single" w:color="auto" w:sz="4" w:space="0"/>
            </w:tcBorders>
            <w:noWrap w:val="0"/>
            <w:vAlign w:val="center"/>
          </w:tcPr>
          <w:p w14:paraId="0545B92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3187B4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360E845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3634B7B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97198E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41164CD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C6072CF">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AC0976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723120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53E2A5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701" w:type="dxa"/>
            <w:tcBorders>
              <w:top w:val="nil"/>
              <w:left w:val="nil"/>
              <w:bottom w:val="single" w:color="auto" w:sz="4" w:space="0"/>
              <w:right w:val="single" w:color="auto" w:sz="4" w:space="0"/>
            </w:tcBorders>
            <w:noWrap w:val="0"/>
            <w:vAlign w:val="center"/>
          </w:tcPr>
          <w:p w14:paraId="20043AF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1134" w:type="dxa"/>
            <w:tcBorders>
              <w:top w:val="nil"/>
              <w:left w:val="nil"/>
              <w:bottom w:val="single" w:color="auto" w:sz="4" w:space="0"/>
              <w:right w:val="single" w:color="auto" w:sz="4" w:space="0"/>
            </w:tcBorders>
            <w:noWrap w:val="0"/>
            <w:vAlign w:val="center"/>
          </w:tcPr>
          <w:p w14:paraId="6D4C46D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406B495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58A1A59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仓储业</w:t>
            </w:r>
          </w:p>
        </w:tc>
        <w:tc>
          <w:tcPr>
            <w:tcW w:w="1984" w:type="dxa"/>
            <w:tcBorders>
              <w:top w:val="nil"/>
              <w:left w:val="nil"/>
              <w:bottom w:val="single" w:color="auto" w:sz="4" w:space="0"/>
              <w:right w:val="single" w:color="auto" w:sz="4" w:space="0"/>
            </w:tcBorders>
            <w:noWrap w:val="0"/>
            <w:vAlign w:val="center"/>
          </w:tcPr>
          <w:p w14:paraId="7B3FA1E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60EAB26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6FBF4C3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701" w:type="dxa"/>
            <w:tcBorders>
              <w:top w:val="nil"/>
              <w:left w:val="nil"/>
              <w:bottom w:val="single" w:color="auto" w:sz="4" w:space="0"/>
              <w:right w:val="single" w:color="auto" w:sz="4" w:space="0"/>
            </w:tcBorders>
            <w:noWrap w:val="0"/>
            <w:vAlign w:val="center"/>
          </w:tcPr>
          <w:p w14:paraId="202EDF8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1134" w:type="dxa"/>
            <w:tcBorders>
              <w:top w:val="nil"/>
              <w:left w:val="nil"/>
              <w:bottom w:val="single" w:color="auto" w:sz="4" w:space="0"/>
              <w:right w:val="single" w:color="auto" w:sz="4" w:space="0"/>
            </w:tcBorders>
            <w:noWrap w:val="0"/>
            <w:vAlign w:val="center"/>
          </w:tcPr>
          <w:p w14:paraId="29301D5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43CB72F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00F0150">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7934A5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6890D3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159296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701" w:type="dxa"/>
            <w:tcBorders>
              <w:top w:val="nil"/>
              <w:left w:val="nil"/>
              <w:bottom w:val="single" w:color="auto" w:sz="4" w:space="0"/>
              <w:right w:val="single" w:color="auto" w:sz="4" w:space="0"/>
            </w:tcBorders>
            <w:noWrap w:val="0"/>
            <w:vAlign w:val="center"/>
          </w:tcPr>
          <w:p w14:paraId="52A62AF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18035D4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619318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0CC56566">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邮政业</w:t>
            </w:r>
          </w:p>
        </w:tc>
        <w:tc>
          <w:tcPr>
            <w:tcW w:w="1984" w:type="dxa"/>
            <w:tcBorders>
              <w:top w:val="nil"/>
              <w:left w:val="nil"/>
              <w:bottom w:val="single" w:color="auto" w:sz="4" w:space="0"/>
              <w:right w:val="single" w:color="auto" w:sz="4" w:space="0"/>
            </w:tcBorders>
            <w:noWrap w:val="0"/>
            <w:vAlign w:val="center"/>
          </w:tcPr>
          <w:p w14:paraId="69DD2D9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CDE80C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3E5CE8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12D3FB1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1134" w:type="dxa"/>
            <w:tcBorders>
              <w:top w:val="nil"/>
              <w:left w:val="nil"/>
              <w:bottom w:val="single" w:color="auto" w:sz="4" w:space="0"/>
              <w:right w:val="single" w:color="auto" w:sz="4" w:space="0"/>
            </w:tcBorders>
            <w:noWrap w:val="0"/>
            <w:vAlign w:val="center"/>
          </w:tcPr>
          <w:p w14:paraId="5F3C795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4860F01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B42CA13">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390464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5D959D4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4CD4C1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701" w:type="dxa"/>
            <w:tcBorders>
              <w:top w:val="nil"/>
              <w:left w:val="nil"/>
              <w:bottom w:val="single" w:color="auto" w:sz="4" w:space="0"/>
              <w:right w:val="single" w:color="auto" w:sz="4" w:space="0"/>
            </w:tcBorders>
            <w:noWrap w:val="0"/>
            <w:vAlign w:val="center"/>
          </w:tcPr>
          <w:p w14:paraId="4FE3B25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16F4EDF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4EB2AA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5281CAB7">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住宿业</w:t>
            </w:r>
          </w:p>
        </w:tc>
        <w:tc>
          <w:tcPr>
            <w:tcW w:w="1984" w:type="dxa"/>
            <w:tcBorders>
              <w:top w:val="nil"/>
              <w:left w:val="nil"/>
              <w:bottom w:val="single" w:color="auto" w:sz="4" w:space="0"/>
              <w:right w:val="single" w:color="auto" w:sz="4" w:space="0"/>
            </w:tcBorders>
            <w:noWrap w:val="0"/>
            <w:vAlign w:val="center"/>
          </w:tcPr>
          <w:p w14:paraId="4DC3D5A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05DDC79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5F6E23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5C6685D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BE2CB9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9C4FDB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04F46C6">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70735F8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4AAF74D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3731A58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147DA85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7B255F1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12950F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331C4E2F">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餐饮业</w:t>
            </w:r>
          </w:p>
        </w:tc>
        <w:tc>
          <w:tcPr>
            <w:tcW w:w="1984" w:type="dxa"/>
            <w:tcBorders>
              <w:top w:val="nil"/>
              <w:left w:val="nil"/>
              <w:bottom w:val="single" w:color="auto" w:sz="4" w:space="0"/>
              <w:right w:val="single" w:color="auto" w:sz="4" w:space="0"/>
            </w:tcBorders>
            <w:noWrap w:val="0"/>
            <w:vAlign w:val="center"/>
          </w:tcPr>
          <w:p w14:paraId="3D0AFCB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606CD3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B3025A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10C2CAC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747714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DF420C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45A4398">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1BD780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13A967D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482FAE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701" w:type="dxa"/>
            <w:tcBorders>
              <w:top w:val="nil"/>
              <w:left w:val="nil"/>
              <w:bottom w:val="single" w:color="auto" w:sz="4" w:space="0"/>
              <w:right w:val="single" w:color="auto" w:sz="4" w:space="0"/>
            </w:tcBorders>
            <w:noWrap w:val="0"/>
            <w:vAlign w:val="center"/>
          </w:tcPr>
          <w:p w14:paraId="572EAA5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1134" w:type="dxa"/>
            <w:tcBorders>
              <w:top w:val="nil"/>
              <w:left w:val="nil"/>
              <w:bottom w:val="single" w:color="auto" w:sz="4" w:space="0"/>
              <w:right w:val="single" w:color="auto" w:sz="4" w:space="0"/>
            </w:tcBorders>
            <w:noWrap w:val="0"/>
            <w:vAlign w:val="center"/>
          </w:tcPr>
          <w:p w14:paraId="3EE80D0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B420E7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7D865522">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信息传输业</w:t>
            </w:r>
          </w:p>
        </w:tc>
        <w:tc>
          <w:tcPr>
            <w:tcW w:w="1984" w:type="dxa"/>
            <w:tcBorders>
              <w:top w:val="nil"/>
              <w:left w:val="nil"/>
              <w:bottom w:val="single" w:color="auto" w:sz="4" w:space="0"/>
              <w:right w:val="single" w:color="auto" w:sz="4" w:space="0"/>
            </w:tcBorders>
            <w:noWrap w:val="0"/>
            <w:vAlign w:val="center"/>
          </w:tcPr>
          <w:p w14:paraId="07A5F2F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A2745E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4FC26C2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701" w:type="dxa"/>
            <w:tcBorders>
              <w:top w:val="nil"/>
              <w:left w:val="nil"/>
              <w:bottom w:val="single" w:color="auto" w:sz="4" w:space="0"/>
              <w:right w:val="single" w:color="auto" w:sz="4" w:space="0"/>
            </w:tcBorders>
            <w:noWrap w:val="0"/>
            <w:vAlign w:val="center"/>
          </w:tcPr>
          <w:p w14:paraId="08320E9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1EDB2F4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4054850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FFC352C">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1E197C4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E41AE1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79708EB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701" w:type="dxa"/>
            <w:tcBorders>
              <w:top w:val="nil"/>
              <w:left w:val="nil"/>
              <w:bottom w:val="single" w:color="auto" w:sz="4" w:space="0"/>
              <w:right w:val="single" w:color="auto" w:sz="4" w:space="0"/>
            </w:tcBorders>
            <w:noWrap w:val="0"/>
            <w:vAlign w:val="center"/>
          </w:tcPr>
          <w:p w14:paraId="7CBFED3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1134" w:type="dxa"/>
            <w:tcBorders>
              <w:top w:val="nil"/>
              <w:left w:val="nil"/>
              <w:bottom w:val="single" w:color="auto" w:sz="4" w:space="0"/>
              <w:right w:val="single" w:color="auto" w:sz="4" w:space="0"/>
            </w:tcBorders>
            <w:noWrap w:val="0"/>
            <w:vAlign w:val="center"/>
          </w:tcPr>
          <w:p w14:paraId="354A3A2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282397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293D6808">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0"/>
            <w:vAlign w:val="center"/>
          </w:tcPr>
          <w:p w14:paraId="536011A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471C3B8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2AC9B293">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483257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28E0822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CDC2F2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DE3DF5F">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469CD6A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2647DAC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650735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701" w:type="dxa"/>
            <w:tcBorders>
              <w:top w:val="nil"/>
              <w:left w:val="nil"/>
              <w:bottom w:val="single" w:color="auto" w:sz="4" w:space="0"/>
              <w:right w:val="single" w:color="auto" w:sz="4" w:space="0"/>
            </w:tcBorders>
            <w:noWrap w:val="0"/>
            <w:vAlign w:val="center"/>
          </w:tcPr>
          <w:p w14:paraId="7C7C578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1134" w:type="dxa"/>
            <w:tcBorders>
              <w:top w:val="nil"/>
              <w:left w:val="nil"/>
              <w:bottom w:val="single" w:color="auto" w:sz="4" w:space="0"/>
              <w:right w:val="single" w:color="auto" w:sz="4" w:space="0"/>
            </w:tcBorders>
            <w:noWrap w:val="0"/>
            <w:vAlign w:val="center"/>
          </w:tcPr>
          <w:p w14:paraId="0E48B4D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746D438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776C9D5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房地产开发经营</w:t>
            </w:r>
          </w:p>
        </w:tc>
        <w:tc>
          <w:tcPr>
            <w:tcW w:w="1984" w:type="dxa"/>
            <w:tcBorders>
              <w:top w:val="nil"/>
              <w:left w:val="nil"/>
              <w:bottom w:val="single" w:color="auto" w:sz="4" w:space="0"/>
              <w:right w:val="single" w:color="auto" w:sz="4" w:space="0"/>
            </w:tcBorders>
            <w:noWrap w:val="0"/>
            <w:vAlign w:val="center"/>
          </w:tcPr>
          <w:p w14:paraId="378D766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6408060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03A0FA1E">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701" w:type="dxa"/>
            <w:tcBorders>
              <w:top w:val="nil"/>
              <w:left w:val="nil"/>
              <w:bottom w:val="single" w:color="auto" w:sz="4" w:space="0"/>
              <w:right w:val="single" w:color="auto" w:sz="4" w:space="0"/>
            </w:tcBorders>
            <w:noWrap w:val="0"/>
            <w:vAlign w:val="center"/>
          </w:tcPr>
          <w:p w14:paraId="130B07F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100≤X＜1000</w:t>
            </w:r>
          </w:p>
        </w:tc>
        <w:tc>
          <w:tcPr>
            <w:tcW w:w="1134" w:type="dxa"/>
            <w:tcBorders>
              <w:top w:val="nil"/>
              <w:left w:val="nil"/>
              <w:bottom w:val="single" w:color="auto" w:sz="4" w:space="0"/>
              <w:right w:val="single" w:color="auto" w:sz="4" w:space="0"/>
            </w:tcBorders>
            <w:noWrap w:val="0"/>
            <w:vAlign w:val="center"/>
          </w:tcPr>
          <w:p w14:paraId="1931C95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0E7A6AA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3C9453CE">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643AC40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7AA4A79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47643CC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701" w:type="dxa"/>
            <w:tcBorders>
              <w:top w:val="nil"/>
              <w:left w:val="nil"/>
              <w:bottom w:val="single" w:color="auto" w:sz="4" w:space="0"/>
              <w:right w:val="single" w:color="auto" w:sz="4" w:space="0"/>
            </w:tcBorders>
            <w:noWrap w:val="0"/>
            <w:vAlign w:val="center"/>
          </w:tcPr>
          <w:p w14:paraId="02007D3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2000≤Y＜5000</w:t>
            </w:r>
          </w:p>
        </w:tc>
        <w:tc>
          <w:tcPr>
            <w:tcW w:w="1134" w:type="dxa"/>
            <w:tcBorders>
              <w:top w:val="nil"/>
              <w:left w:val="nil"/>
              <w:bottom w:val="single" w:color="auto" w:sz="4" w:space="0"/>
              <w:right w:val="single" w:color="auto" w:sz="4" w:space="0"/>
            </w:tcBorders>
            <w:noWrap w:val="0"/>
            <w:vAlign w:val="center"/>
          </w:tcPr>
          <w:p w14:paraId="617E990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w:t>
            </w:r>
          </w:p>
        </w:tc>
      </w:tr>
      <w:tr w14:paraId="3A73375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6493E30C">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物业管理</w:t>
            </w:r>
          </w:p>
        </w:tc>
        <w:tc>
          <w:tcPr>
            <w:tcW w:w="1984" w:type="dxa"/>
            <w:tcBorders>
              <w:top w:val="nil"/>
              <w:left w:val="nil"/>
              <w:bottom w:val="single" w:color="auto" w:sz="4" w:space="0"/>
              <w:right w:val="single" w:color="auto" w:sz="4" w:space="0"/>
            </w:tcBorders>
            <w:noWrap w:val="0"/>
            <w:vAlign w:val="center"/>
          </w:tcPr>
          <w:p w14:paraId="386A3940">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5EDADD6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59666E18">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701" w:type="dxa"/>
            <w:tcBorders>
              <w:top w:val="nil"/>
              <w:left w:val="nil"/>
              <w:bottom w:val="single" w:color="auto" w:sz="4" w:space="0"/>
              <w:right w:val="single" w:color="auto" w:sz="4" w:space="0"/>
            </w:tcBorders>
            <w:noWrap w:val="0"/>
            <w:vAlign w:val="center"/>
          </w:tcPr>
          <w:p w14:paraId="05FE3F5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134" w:type="dxa"/>
            <w:tcBorders>
              <w:top w:val="nil"/>
              <w:left w:val="nil"/>
              <w:bottom w:val="single" w:color="auto" w:sz="4" w:space="0"/>
              <w:right w:val="single" w:color="auto" w:sz="4" w:space="0"/>
            </w:tcBorders>
            <w:noWrap w:val="0"/>
            <w:vAlign w:val="center"/>
          </w:tcPr>
          <w:p w14:paraId="39C747D7">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133BB2C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E3668D9">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25853F9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851" w:type="dxa"/>
            <w:tcBorders>
              <w:top w:val="nil"/>
              <w:left w:val="nil"/>
              <w:bottom w:val="single" w:color="auto" w:sz="4" w:space="0"/>
              <w:right w:val="single" w:color="auto" w:sz="4" w:space="0"/>
            </w:tcBorders>
            <w:noWrap w:val="0"/>
            <w:vAlign w:val="center"/>
          </w:tcPr>
          <w:p w14:paraId="0FF1BCE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0122F44">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701" w:type="dxa"/>
            <w:tcBorders>
              <w:top w:val="nil"/>
              <w:left w:val="nil"/>
              <w:bottom w:val="single" w:color="auto" w:sz="4" w:space="0"/>
              <w:right w:val="single" w:color="auto" w:sz="4" w:space="0"/>
            </w:tcBorders>
            <w:noWrap w:val="0"/>
            <w:vAlign w:val="center"/>
          </w:tcPr>
          <w:p w14:paraId="0669E79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1134" w:type="dxa"/>
            <w:tcBorders>
              <w:top w:val="nil"/>
              <w:left w:val="nil"/>
              <w:bottom w:val="single" w:color="auto" w:sz="4" w:space="0"/>
              <w:right w:val="single" w:color="auto" w:sz="4" w:space="0"/>
            </w:tcBorders>
            <w:noWrap w:val="0"/>
            <w:vAlign w:val="center"/>
          </w:tcPr>
          <w:p w14:paraId="36AE6F1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079A579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center"/>
          </w:tcPr>
          <w:p w14:paraId="56482C8B">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租赁和商务服务业</w:t>
            </w:r>
          </w:p>
        </w:tc>
        <w:tc>
          <w:tcPr>
            <w:tcW w:w="1984" w:type="dxa"/>
            <w:tcBorders>
              <w:top w:val="nil"/>
              <w:left w:val="nil"/>
              <w:bottom w:val="single" w:color="auto" w:sz="4" w:space="0"/>
              <w:right w:val="single" w:color="auto" w:sz="4" w:space="0"/>
            </w:tcBorders>
            <w:noWrap w:val="0"/>
            <w:vAlign w:val="center"/>
          </w:tcPr>
          <w:p w14:paraId="74558F7C">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35B32F5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73640A29">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7B81B30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4DC5B1AB">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622E603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56F90437">
            <w:pPr>
              <w:widowControl/>
              <w:jc w:val="left"/>
              <w:rPr>
                <w:rFonts w:hint="eastAsia" w:ascii="宋体" w:hAnsi="宋体" w:eastAsia="宋体" w:cs="宋体"/>
                <w:b/>
                <w:bCs/>
                <w:color w:val="auto"/>
                <w:kern w:val="0"/>
                <w:sz w:val="18"/>
                <w:szCs w:val="18"/>
                <w:highlight w:val="none"/>
              </w:rPr>
            </w:pPr>
          </w:p>
        </w:tc>
        <w:tc>
          <w:tcPr>
            <w:tcW w:w="1984" w:type="dxa"/>
            <w:tcBorders>
              <w:top w:val="nil"/>
              <w:left w:val="nil"/>
              <w:bottom w:val="single" w:color="auto" w:sz="4" w:space="0"/>
              <w:right w:val="single" w:color="auto" w:sz="4" w:space="0"/>
            </w:tcBorders>
            <w:noWrap w:val="0"/>
            <w:vAlign w:val="center"/>
          </w:tcPr>
          <w:p w14:paraId="37D59C1A">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851" w:type="dxa"/>
            <w:tcBorders>
              <w:top w:val="nil"/>
              <w:left w:val="nil"/>
              <w:bottom w:val="single" w:color="auto" w:sz="4" w:space="0"/>
              <w:right w:val="single" w:color="auto" w:sz="4" w:space="0"/>
            </w:tcBorders>
            <w:noWrap w:val="0"/>
            <w:vAlign w:val="center"/>
          </w:tcPr>
          <w:p w14:paraId="3099792F">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842" w:type="dxa"/>
            <w:tcBorders>
              <w:top w:val="nil"/>
              <w:left w:val="nil"/>
              <w:bottom w:val="single" w:color="auto" w:sz="4" w:space="0"/>
              <w:right w:val="single" w:color="auto" w:sz="4" w:space="0"/>
            </w:tcBorders>
            <w:noWrap w:val="0"/>
            <w:vAlign w:val="center"/>
          </w:tcPr>
          <w:p w14:paraId="6953EEB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701" w:type="dxa"/>
            <w:tcBorders>
              <w:top w:val="nil"/>
              <w:left w:val="nil"/>
              <w:bottom w:val="single" w:color="auto" w:sz="4" w:space="0"/>
              <w:right w:val="single" w:color="auto" w:sz="4" w:space="0"/>
            </w:tcBorders>
            <w:noWrap w:val="0"/>
            <w:vAlign w:val="center"/>
          </w:tcPr>
          <w:p w14:paraId="6DE2C05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1134" w:type="dxa"/>
            <w:tcBorders>
              <w:top w:val="nil"/>
              <w:left w:val="nil"/>
              <w:bottom w:val="single" w:color="auto" w:sz="4" w:space="0"/>
              <w:right w:val="single" w:color="auto" w:sz="4" w:space="0"/>
            </w:tcBorders>
            <w:noWrap w:val="0"/>
            <w:vAlign w:val="center"/>
          </w:tcPr>
          <w:p w14:paraId="1BE0CB4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B60A247">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center"/>
          </w:tcPr>
          <w:p w14:paraId="0D9005F4">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其他未列明行业</w:t>
            </w:r>
          </w:p>
        </w:tc>
        <w:tc>
          <w:tcPr>
            <w:tcW w:w="1984" w:type="dxa"/>
            <w:tcBorders>
              <w:top w:val="nil"/>
              <w:left w:val="nil"/>
              <w:bottom w:val="single" w:color="auto" w:sz="4" w:space="0"/>
              <w:right w:val="single" w:color="auto" w:sz="4" w:space="0"/>
            </w:tcBorders>
            <w:noWrap w:val="0"/>
            <w:vAlign w:val="center"/>
          </w:tcPr>
          <w:p w14:paraId="18FE71F2">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851" w:type="dxa"/>
            <w:tcBorders>
              <w:top w:val="nil"/>
              <w:left w:val="nil"/>
              <w:bottom w:val="single" w:color="auto" w:sz="4" w:space="0"/>
              <w:right w:val="single" w:color="auto" w:sz="4" w:space="0"/>
            </w:tcBorders>
            <w:noWrap w:val="0"/>
            <w:vAlign w:val="center"/>
          </w:tcPr>
          <w:p w14:paraId="1B1B2F4D">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842" w:type="dxa"/>
            <w:tcBorders>
              <w:top w:val="nil"/>
              <w:left w:val="nil"/>
              <w:bottom w:val="single" w:color="auto" w:sz="4" w:space="0"/>
              <w:right w:val="single" w:color="auto" w:sz="4" w:space="0"/>
            </w:tcBorders>
            <w:noWrap w:val="0"/>
            <w:vAlign w:val="center"/>
          </w:tcPr>
          <w:p w14:paraId="15E4C166">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701" w:type="dxa"/>
            <w:tcBorders>
              <w:top w:val="nil"/>
              <w:left w:val="nil"/>
              <w:bottom w:val="single" w:color="auto" w:sz="4" w:space="0"/>
              <w:right w:val="single" w:color="auto" w:sz="4" w:space="0"/>
            </w:tcBorders>
            <w:noWrap w:val="0"/>
            <w:vAlign w:val="center"/>
          </w:tcPr>
          <w:p w14:paraId="2B858121">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1134" w:type="dxa"/>
            <w:tcBorders>
              <w:top w:val="nil"/>
              <w:left w:val="nil"/>
              <w:bottom w:val="single" w:color="auto" w:sz="4" w:space="0"/>
              <w:right w:val="single" w:color="auto" w:sz="4" w:space="0"/>
            </w:tcBorders>
            <w:noWrap w:val="0"/>
            <w:vAlign w:val="center"/>
          </w:tcPr>
          <w:p w14:paraId="6B8E6FB5">
            <w:pPr>
              <w:widowControl/>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313CDE18">
      <w:pPr>
        <w:spacing w:line="560" w:lineRule="exact"/>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3F002F00">
      <w:pPr>
        <w:widowControl/>
        <w:jc w:val="left"/>
        <w:rPr>
          <w:rFonts w:hint="eastAsia" w:ascii="宋体" w:hAnsi="宋体" w:eastAsia="宋体" w:cs="宋体"/>
          <w:color w:val="auto"/>
          <w:kern w:val="0"/>
          <w:sz w:val="20"/>
          <w:szCs w:val="21"/>
          <w:highlight w:val="none"/>
        </w:rPr>
        <w:sectPr>
          <w:pgSz w:w="11906" w:h="16838"/>
          <w:pgMar w:top="1134" w:right="1134" w:bottom="1134" w:left="1134" w:header="720" w:footer="720" w:gutter="0"/>
          <w:pgBorders>
            <w:top w:val="none" w:sz="0" w:space="0"/>
            <w:left w:val="none" w:sz="0" w:space="0"/>
            <w:bottom w:val="none" w:sz="0" w:space="0"/>
            <w:right w:val="none" w:sz="0" w:space="0"/>
          </w:pgBorders>
          <w:cols w:space="720" w:num="1"/>
          <w:docGrid w:type="lines" w:linePitch="331" w:charSpace="0"/>
        </w:sectPr>
      </w:pPr>
    </w:p>
    <w:p w14:paraId="5D5E279D">
      <w:pPr>
        <w:pStyle w:val="2"/>
        <w:spacing w:line="480" w:lineRule="auto"/>
        <w:jc w:val="center"/>
        <w:rPr>
          <w:rFonts w:hint="eastAsia" w:ascii="宋体" w:hAnsi="宋体" w:eastAsia="宋体" w:cs="宋体"/>
          <w:b/>
          <w:bCs/>
          <w:color w:val="auto"/>
          <w:highlight w:val="none"/>
        </w:rPr>
      </w:pPr>
      <w:bookmarkStart w:id="16" w:name="_Toc9332"/>
      <w:bookmarkStart w:id="17" w:name="_Toc7704"/>
      <w:bookmarkStart w:id="18" w:name="_Toc24174"/>
      <w:bookmarkStart w:id="19" w:name="_Toc13614"/>
      <w:bookmarkStart w:id="20" w:name="_Toc9239"/>
      <w:bookmarkStart w:id="21" w:name="_Toc3319"/>
      <w:r>
        <w:rPr>
          <w:rFonts w:hint="eastAsia" w:ascii="宋体" w:hAnsi="宋体" w:eastAsia="宋体" w:cs="宋体"/>
          <w:b/>
          <w:bCs w:val="0"/>
          <w:color w:val="auto"/>
          <w:sz w:val="32"/>
          <w:szCs w:val="32"/>
          <w:highlight w:val="none"/>
        </w:rPr>
        <w:t>第三章 供应商须知</w:t>
      </w:r>
      <w:bookmarkEnd w:id="16"/>
      <w:bookmarkEnd w:id="17"/>
      <w:bookmarkEnd w:id="18"/>
      <w:bookmarkEnd w:id="19"/>
      <w:bookmarkEnd w:id="20"/>
      <w:bookmarkEnd w:id="21"/>
    </w:p>
    <w:p w14:paraId="13498B5A">
      <w:pPr>
        <w:pStyle w:val="3"/>
        <w:jc w:val="center"/>
        <w:rPr>
          <w:rFonts w:hint="eastAsia" w:ascii="宋体" w:hAnsi="宋体" w:eastAsia="宋体" w:cs="宋体"/>
          <w:b/>
          <w:bCs/>
          <w:color w:val="auto"/>
          <w:sz w:val="32"/>
          <w:szCs w:val="32"/>
          <w:highlight w:val="none"/>
        </w:rPr>
      </w:pPr>
      <w:bookmarkStart w:id="22" w:name="_Toc30660"/>
      <w:bookmarkStart w:id="23" w:name="_Toc9482"/>
      <w:r>
        <w:rPr>
          <w:rFonts w:hint="eastAsia" w:ascii="宋体" w:hAnsi="宋体" w:eastAsia="宋体" w:cs="宋体"/>
          <w:b w:val="0"/>
          <w:bCs/>
          <w:color w:val="auto"/>
          <w:highlight w:val="none"/>
        </w:rPr>
        <w:t>第一节 供应商须知前附表</w:t>
      </w:r>
      <w:bookmarkEnd w:id="22"/>
      <w:bookmarkEnd w:id="23"/>
    </w:p>
    <w:tbl>
      <w:tblPr>
        <w:tblStyle w:val="2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3"/>
        <w:gridCol w:w="2321"/>
        <w:gridCol w:w="7080"/>
      </w:tblGrid>
      <w:tr w14:paraId="66475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63" w:type="dxa"/>
            <w:noWrap w:val="0"/>
            <w:vAlign w:val="top"/>
          </w:tcPr>
          <w:p w14:paraId="0BCC7872">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321" w:type="dxa"/>
            <w:noWrap w:val="0"/>
            <w:vAlign w:val="center"/>
          </w:tcPr>
          <w:p w14:paraId="7F9181D2">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7080" w:type="dxa"/>
            <w:noWrap w:val="0"/>
            <w:vAlign w:val="top"/>
          </w:tcPr>
          <w:p w14:paraId="30226397">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7E98D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0A46B8F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321" w:type="dxa"/>
            <w:noWrap w:val="0"/>
            <w:vAlign w:val="center"/>
          </w:tcPr>
          <w:p w14:paraId="6B0C67C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7080" w:type="dxa"/>
            <w:noWrap w:val="0"/>
            <w:vAlign w:val="top"/>
          </w:tcPr>
          <w:p w14:paraId="2146DF9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0B3B7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361CE68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321" w:type="dxa"/>
            <w:noWrap w:val="0"/>
            <w:vAlign w:val="center"/>
          </w:tcPr>
          <w:p w14:paraId="13BD375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7080" w:type="dxa"/>
            <w:noWrap w:val="0"/>
            <w:vAlign w:val="center"/>
          </w:tcPr>
          <w:p w14:paraId="33438EC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03DE8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4049BDA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321" w:type="dxa"/>
            <w:noWrap w:val="0"/>
            <w:vAlign w:val="center"/>
          </w:tcPr>
          <w:p w14:paraId="5EE24F1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7080" w:type="dxa"/>
            <w:noWrap w:val="0"/>
            <w:vAlign w:val="center"/>
          </w:tcPr>
          <w:p w14:paraId="057C6CE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E7BF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1CF83DE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6.1</w:t>
            </w:r>
          </w:p>
        </w:tc>
        <w:tc>
          <w:tcPr>
            <w:tcW w:w="2321" w:type="dxa"/>
            <w:noWrap w:val="0"/>
            <w:vAlign w:val="center"/>
          </w:tcPr>
          <w:p w14:paraId="2238AFF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7080" w:type="dxa"/>
            <w:noWrap w:val="0"/>
            <w:vAlign w:val="center"/>
          </w:tcPr>
          <w:p w14:paraId="171F27C3">
            <w:pPr>
              <w:pStyle w:val="11"/>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☑不允许分包</w:t>
            </w:r>
          </w:p>
          <w:p w14:paraId="19F0920E">
            <w:pPr>
              <w:pStyle w:val="11"/>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□允许分包</w:t>
            </w:r>
          </w:p>
          <w:p w14:paraId="68866ABF">
            <w:pPr>
              <w:pStyle w:val="11"/>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分包内容：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rPr>
              <w:t>。</w:t>
            </w:r>
          </w:p>
          <w:p w14:paraId="730FE159">
            <w:pPr>
              <w:pStyle w:val="11"/>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分包金额或者比例：</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rPr>
              <w:t>。</w:t>
            </w:r>
          </w:p>
        </w:tc>
      </w:tr>
      <w:tr w14:paraId="7AB4C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035290E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321" w:type="dxa"/>
            <w:noWrap w:val="0"/>
            <w:vAlign w:val="center"/>
          </w:tcPr>
          <w:p w14:paraId="712C49A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资格证明文件组成</w:t>
            </w:r>
          </w:p>
        </w:tc>
        <w:tc>
          <w:tcPr>
            <w:tcW w:w="7080" w:type="dxa"/>
            <w:noWrap w:val="0"/>
            <w:vAlign w:val="center"/>
          </w:tcPr>
          <w:p w14:paraId="7B39D768">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供应商为法人或者其他组织的提供其营业执照等证明文件复印件（如营业执照或者事业单位法人证书或者执业许可证等），供应商为自然人的提供其有效身份证正反面复印件；</w:t>
            </w:r>
            <w:r>
              <w:rPr>
                <w:rFonts w:hint="eastAsia" w:ascii="宋体" w:hAnsi="宋体" w:eastAsia="宋体" w:cs="宋体"/>
                <w:b/>
                <w:color w:val="auto"/>
                <w:szCs w:val="21"/>
                <w:highlight w:val="none"/>
              </w:rPr>
              <w:t>（必须提供，否则响应文件按无效响应处理）</w:t>
            </w:r>
          </w:p>
          <w:p w14:paraId="2F968D9F">
            <w:pPr>
              <w:spacing w:line="360" w:lineRule="auto"/>
              <w:ind w:firstLine="411" w:firstLineChars="196"/>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2.供应商依法缴纳税收的相关材料；（</w:t>
            </w:r>
            <w:r>
              <w:rPr>
                <w:rFonts w:hint="eastAsia" w:ascii="宋体" w:hAnsi="宋体" w:eastAsia="宋体" w:cs="宋体"/>
                <w:color w:val="auto"/>
                <w:szCs w:val="21"/>
                <w:highlight w:val="none"/>
                <w:u w:val="none"/>
                <w:lang w:val="en-US" w:eastAsia="zh-CN"/>
              </w:rPr>
              <w:t>提供税款所属时期为</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w:t>
            </w:r>
            <w:r>
              <w:rPr>
                <w:rFonts w:hint="eastAsia" w:ascii="宋体" w:hAnsi="宋体" w:eastAsia="宋体" w:cs="宋体"/>
                <w:color w:val="auto"/>
                <w:szCs w:val="21"/>
                <w:highlight w:val="none"/>
                <w:u w:val="none"/>
                <w:lang w:val="en-US" w:eastAsia="zh-CN"/>
              </w:rPr>
              <w:t>前半年内任意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税收的凭据复印件；依法免税的供应商，必须提供相应文件证明其依法免税。从取得营业执照时间起到首次响应文件提交截止时间为止不足要求月数的，只需提供从取得营业执照起的依法缴纳税收相应证明文件）</w:t>
            </w:r>
            <w:r>
              <w:rPr>
                <w:rFonts w:hint="eastAsia" w:ascii="宋体" w:hAnsi="宋体" w:eastAsia="宋体" w:cs="宋体"/>
                <w:color w:val="auto"/>
                <w:szCs w:val="21"/>
                <w:highlight w:val="none"/>
                <w:lang w:eastAsia="zh-CN"/>
              </w:rPr>
              <w:t>；</w:t>
            </w:r>
            <w:r>
              <w:rPr>
                <w:rFonts w:hint="eastAsia" w:ascii="宋体" w:hAnsi="宋体" w:eastAsia="宋体" w:cs="宋体"/>
                <w:b/>
                <w:color w:val="auto"/>
                <w:szCs w:val="21"/>
                <w:highlight w:val="none"/>
              </w:rPr>
              <w:t>（必须提供，否则响应文件按无效响应处理）</w:t>
            </w:r>
          </w:p>
          <w:p w14:paraId="23BC0E6C">
            <w:pPr>
              <w:spacing w:line="360" w:lineRule="auto"/>
              <w:ind w:firstLine="411" w:firstLineChars="196"/>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供应商依法缴纳社会保障资金的相关材料；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none"/>
                <w:lang w:val="en-US" w:eastAsia="zh-CN"/>
              </w:rPr>
              <w:t>提供税款所属时期</w:t>
            </w:r>
            <w:r>
              <w:rPr>
                <w:rFonts w:hint="eastAsia" w:ascii="宋体" w:hAnsi="宋体" w:cs="宋体"/>
                <w:color w:val="auto"/>
                <w:szCs w:val="21"/>
                <w:highlight w:val="none"/>
                <w:u w:val="none"/>
                <w:lang w:val="en-US" w:eastAsia="zh-CN"/>
              </w:rPr>
              <w:t>为</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w:t>
            </w:r>
            <w:r>
              <w:rPr>
                <w:rFonts w:hint="eastAsia" w:ascii="宋体" w:hAnsi="宋体" w:eastAsia="宋体" w:cs="宋体"/>
                <w:color w:val="auto"/>
                <w:szCs w:val="21"/>
                <w:highlight w:val="none"/>
                <w:u w:val="none"/>
                <w:lang w:val="en-US" w:eastAsia="zh-CN"/>
              </w:rPr>
              <w:t>前半年内任意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社会保障资金的缴费凭证复印件；依法不需要缴纳社会保障资金的供应商，必须提供相应文件证明不需要缴纳社会保障资金。从取得营业执照时间起到首次响应文件提交截止时间为止不足要求月数的只需提供从取得营业执照起的依法缴纳社会保障资金的相应证明文件</w:t>
            </w:r>
            <w:r>
              <w:rPr>
                <w:rFonts w:hint="eastAsia" w:ascii="宋体" w:hAnsi="宋体" w:eastAsia="宋体" w:cs="宋体"/>
                <w:color w:val="auto"/>
                <w:szCs w:val="21"/>
                <w:highlight w:val="none"/>
                <w:lang w:eastAsia="zh-CN"/>
              </w:rPr>
              <w:t>）；</w:t>
            </w:r>
            <w:r>
              <w:rPr>
                <w:rFonts w:hint="eastAsia" w:ascii="宋体" w:hAnsi="宋体" w:eastAsia="宋体" w:cs="宋体"/>
                <w:b/>
                <w:color w:val="auto"/>
                <w:szCs w:val="21"/>
                <w:highlight w:val="none"/>
              </w:rPr>
              <w:t>（必须提供，否则响应文件按无效响应处理）</w:t>
            </w:r>
          </w:p>
          <w:p w14:paraId="749157C5">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4.供应商财务状况报告</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u w:val="none"/>
                <w:lang w:val="en-US" w:eastAsia="zh-CN"/>
              </w:rPr>
              <w:t>2025年财务状况报告复印件；供应商成立不满一年的应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（必须提供，否则响应文件按无效响应处理）</w:t>
            </w:r>
          </w:p>
          <w:p w14:paraId="6B0F9C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5.供应商直接控股、管理关系信息表（格式后附）；</w:t>
            </w:r>
            <w:r>
              <w:rPr>
                <w:rFonts w:hint="eastAsia" w:ascii="宋体" w:hAnsi="宋体" w:eastAsia="宋体" w:cs="宋体"/>
                <w:b/>
                <w:color w:val="auto"/>
                <w:szCs w:val="21"/>
                <w:highlight w:val="none"/>
              </w:rPr>
              <w:t>（必须提供，否则响应文件按无效响应处理）</w:t>
            </w:r>
          </w:p>
          <w:p w14:paraId="172547A6">
            <w:pPr>
              <w:spacing w:line="360" w:lineRule="auto"/>
              <w:ind w:firstLine="411" w:firstLineChars="196"/>
              <w:rPr>
                <w:rFonts w:hint="eastAsia" w:ascii="宋体" w:hAnsi="宋体" w:eastAsia="宋体" w:cs="宋体"/>
                <w:b/>
                <w:color w:val="auto"/>
                <w:szCs w:val="21"/>
                <w:highlight w:val="none"/>
              </w:rPr>
            </w:pPr>
            <w:bookmarkStart w:id="24" w:name="OLE_LINK28"/>
            <w:r>
              <w:rPr>
                <w:rFonts w:hint="eastAsia" w:ascii="宋体" w:hAnsi="宋体" w:eastAsia="宋体" w:cs="宋体"/>
                <w:color w:val="auto"/>
                <w:szCs w:val="21"/>
                <w:highlight w:val="none"/>
              </w:rPr>
              <w:t>6.资格声明函</w:t>
            </w:r>
            <w:bookmarkEnd w:id="24"/>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（必须提供，否则响应文件按无效响应处理）</w:t>
            </w:r>
          </w:p>
          <w:p w14:paraId="5F40CC50">
            <w:pPr>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本项目的特定资格要求：具有建筑工程施工总承包三级及以上资质，且具有有效的安全生产许可证，并在人员、设备、资金等方面具备相应的施工能力的企业，其中拟派项目经理须具有建筑工程专业贰级以上（含贰级）注册建造师执业资格，且具有有效的安全生产考核合格证书（B类）</w:t>
            </w:r>
            <w:r>
              <w:rPr>
                <w:rFonts w:hint="eastAsia" w:ascii="宋体" w:hAnsi="宋体" w:eastAsia="宋体" w:cs="宋体"/>
                <w:color w:val="auto"/>
                <w:szCs w:val="21"/>
                <w:highlight w:val="none"/>
                <w:lang w:eastAsia="zh-CN"/>
              </w:rPr>
              <w:t>；</w:t>
            </w:r>
            <w:r>
              <w:rPr>
                <w:rFonts w:hint="eastAsia" w:ascii="宋体" w:hAnsi="宋体" w:eastAsia="宋体" w:cs="宋体"/>
                <w:b/>
                <w:bCs/>
                <w:color w:val="auto"/>
                <w:highlight w:val="none"/>
              </w:rPr>
              <w:t>（</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b/>
                <w:bCs/>
                <w:color w:val="auto"/>
                <w:highlight w:val="none"/>
              </w:rPr>
              <w:t>）</w:t>
            </w:r>
          </w:p>
          <w:p w14:paraId="17065BA2">
            <w:pPr>
              <w:snapToGrid w:val="0"/>
              <w:spacing w:line="380" w:lineRule="exact"/>
              <w:ind w:firstLine="420" w:firstLineChars="200"/>
              <w:jc w:val="left"/>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.中小企业声明函或者残疾人福利性单位声明函（格式后附）或者供应商属于监狱企业的，提供由省级以上监狱管理局、戒毒管理局（含新疆生产建设兵团）出具的属于监狱企业的证明文件</w:t>
            </w:r>
            <w:r>
              <w:rPr>
                <w:rFonts w:hint="eastAsia" w:ascii="宋体" w:hAnsi="宋体" w:eastAsia="宋体" w:cs="宋体"/>
                <w:color w:val="auto"/>
                <w:szCs w:val="21"/>
                <w:highlight w:val="none"/>
                <w:lang w:eastAsia="zh-CN"/>
              </w:rPr>
              <w:t>；</w:t>
            </w:r>
            <w:r>
              <w:rPr>
                <w:rFonts w:hint="eastAsia" w:ascii="宋体" w:hAnsi="宋体" w:eastAsia="宋体" w:cs="宋体"/>
                <w:b/>
                <w:color w:val="auto"/>
                <w:szCs w:val="21"/>
                <w:highlight w:val="none"/>
              </w:rPr>
              <w:t>（必须提供，否则响应文件按无效响应处理）</w:t>
            </w:r>
          </w:p>
          <w:p w14:paraId="0F3FC29A">
            <w:pPr>
              <w:snapToGrid w:val="0"/>
              <w:spacing w:line="38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.除竞争性磋商文件规定必须提供以外，供应商认为需要提供的其他证明材料。</w:t>
            </w:r>
          </w:p>
          <w:p w14:paraId="0A23329D">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1727CFA4">
            <w:pPr>
              <w:spacing w:line="360" w:lineRule="auto"/>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1.以上标明“必须提供”材料复印件的，必须加盖供应商CA签章，否则电子响应文件作无效处理。</w:t>
            </w:r>
          </w:p>
          <w:p w14:paraId="06284336">
            <w:pPr>
              <w:spacing w:line="360" w:lineRule="auto"/>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电子响应文件中所须加盖公章部分均采用CA签章。若竞争性磋商文件中有专门标注的某关联点，并要求供应商在电子投标系统中作出磋商响应的，如供应商未对关联点进行响应或者在电子响应文件其它内容进行描述，造成电子评审不能查询的责任由供应商自行承担。</w:t>
            </w:r>
          </w:p>
          <w:p w14:paraId="774B5B65">
            <w:pPr>
              <w:pStyle w:val="11"/>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3.以上材料未附格式的，由供应商自行拟定。</w:t>
            </w:r>
          </w:p>
        </w:tc>
      </w:tr>
      <w:tr w14:paraId="7CB30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764C747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321" w:type="dxa"/>
            <w:noWrap w:val="0"/>
            <w:vAlign w:val="center"/>
          </w:tcPr>
          <w:p w14:paraId="59CF9112">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7080" w:type="dxa"/>
            <w:noWrap w:val="0"/>
            <w:vAlign w:val="center"/>
          </w:tcPr>
          <w:p w14:paraId="33D2B76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响应函</w:t>
            </w:r>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（必须提供，否则响应文件按无效响应处理）</w:t>
            </w:r>
          </w:p>
          <w:p w14:paraId="35A51D24">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响应函</w:t>
            </w:r>
            <w:r>
              <w:rPr>
                <w:rFonts w:hint="eastAsia" w:ascii="宋体" w:hAnsi="宋体" w:eastAsia="宋体" w:cs="宋体"/>
                <w:color w:val="auto"/>
                <w:szCs w:val="21"/>
                <w:highlight w:val="none"/>
                <w:lang w:val="en-US" w:eastAsia="zh-CN"/>
              </w:rPr>
              <w:t>附录</w:t>
            </w:r>
            <w:r>
              <w:rPr>
                <w:rFonts w:hint="eastAsia" w:ascii="宋体" w:hAnsi="宋体" w:eastAsia="宋体" w:cs="宋体"/>
                <w:color w:val="auto"/>
                <w:szCs w:val="21"/>
                <w:highlight w:val="none"/>
              </w:rPr>
              <w:t>（格式后附）；</w:t>
            </w:r>
            <w:r>
              <w:rPr>
                <w:rFonts w:hint="eastAsia" w:ascii="宋体" w:hAnsi="宋体" w:eastAsia="宋体" w:cs="宋体"/>
                <w:b/>
                <w:color w:val="auto"/>
                <w:szCs w:val="21"/>
                <w:highlight w:val="none"/>
              </w:rPr>
              <w:t>（必须提供，否则响应文件按无效响应处理）</w:t>
            </w:r>
          </w:p>
          <w:p w14:paraId="56A0579F">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响应报价表</w:t>
            </w:r>
            <w:r>
              <w:rPr>
                <w:rFonts w:hint="eastAsia" w:ascii="宋体" w:hAnsi="宋体" w:eastAsia="宋体" w:cs="宋体"/>
                <w:b w:val="0"/>
                <w:bCs/>
                <w:color w:val="auto"/>
                <w:szCs w:val="21"/>
                <w:highlight w:val="none"/>
              </w:rPr>
              <w:t>（格式后附）；</w:t>
            </w:r>
            <w:r>
              <w:rPr>
                <w:rFonts w:hint="eastAsia" w:ascii="宋体" w:hAnsi="宋体" w:eastAsia="宋体" w:cs="宋体"/>
                <w:b/>
                <w:color w:val="auto"/>
                <w:szCs w:val="21"/>
                <w:highlight w:val="none"/>
              </w:rPr>
              <w:t>（必须提供，否则响应文件按无效响应处理）</w:t>
            </w:r>
          </w:p>
          <w:p w14:paraId="50A1FC8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.已标价工程量清单；</w:t>
            </w:r>
            <w:r>
              <w:rPr>
                <w:rFonts w:hint="eastAsia" w:ascii="宋体" w:hAnsi="宋体" w:eastAsia="宋体" w:cs="宋体"/>
                <w:b/>
                <w:color w:val="auto"/>
                <w:szCs w:val="21"/>
                <w:highlight w:val="none"/>
              </w:rPr>
              <w:t>（必须提供，否则响应文件按无效响应处理）</w:t>
            </w:r>
          </w:p>
          <w:p w14:paraId="01F41FE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5.供应商认为需要提供的其他有关资料。</w:t>
            </w:r>
          </w:p>
        </w:tc>
      </w:tr>
      <w:tr w14:paraId="6D170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6A5CCB4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12.1.3</w:t>
            </w:r>
          </w:p>
        </w:tc>
        <w:tc>
          <w:tcPr>
            <w:tcW w:w="2321" w:type="dxa"/>
            <w:noWrap w:val="0"/>
            <w:vAlign w:val="center"/>
          </w:tcPr>
          <w:p w14:paraId="4E45E087">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商务技术文件</w:t>
            </w:r>
            <w:r>
              <w:rPr>
                <w:rFonts w:hint="eastAsia" w:ascii="宋体" w:hAnsi="宋体" w:eastAsia="宋体" w:cs="宋体"/>
                <w:b/>
                <w:bCs/>
                <w:color w:val="auto"/>
                <w:szCs w:val="21"/>
                <w:highlight w:val="none"/>
                <w:lang w:val="en-US" w:eastAsia="zh-CN"/>
              </w:rPr>
              <w:t>组成</w:t>
            </w:r>
          </w:p>
        </w:tc>
        <w:tc>
          <w:tcPr>
            <w:tcW w:w="7080" w:type="dxa"/>
            <w:noWrap w:val="0"/>
            <w:vAlign w:val="center"/>
          </w:tcPr>
          <w:p w14:paraId="53581689">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1.无串通竞标行为的承诺函（格式后附）；</w:t>
            </w:r>
            <w:r>
              <w:rPr>
                <w:rFonts w:hint="eastAsia" w:ascii="宋体" w:hAnsi="宋体" w:eastAsia="宋体" w:cs="宋体"/>
                <w:b/>
                <w:color w:val="auto"/>
                <w:szCs w:val="21"/>
                <w:highlight w:val="none"/>
              </w:rPr>
              <w:t>（必须提供，否则响应文件按无效响应处理）</w:t>
            </w:r>
          </w:p>
          <w:p w14:paraId="5C7A4E4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2.法定代表人身份证明书及法定代表人有效身份证正反面复印件（格式后附）；</w:t>
            </w:r>
            <w:r>
              <w:rPr>
                <w:rFonts w:hint="eastAsia" w:ascii="宋体" w:hAnsi="宋体" w:eastAsia="宋体" w:cs="宋体"/>
                <w:b/>
                <w:color w:val="auto"/>
                <w:szCs w:val="21"/>
                <w:highlight w:val="none"/>
              </w:rPr>
              <w:t>（必须提供，否则响应文件按无效响应处理）</w:t>
            </w:r>
          </w:p>
          <w:p w14:paraId="788D0BAA">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3.授权委托书及委托代理人有效身份证正反面复印件（格式后附）；</w:t>
            </w:r>
            <w:r>
              <w:rPr>
                <w:rFonts w:hint="eastAsia" w:ascii="宋体" w:hAnsi="宋体" w:eastAsia="宋体" w:cs="宋体"/>
                <w:b/>
                <w:color w:val="auto"/>
                <w:szCs w:val="21"/>
                <w:highlight w:val="none"/>
              </w:rPr>
              <w:t>（必须提供，否则响应文件按无效响应处理）</w:t>
            </w:r>
          </w:p>
          <w:p w14:paraId="69846A6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4.磋商保证金提交凭证；</w:t>
            </w:r>
            <w:r>
              <w:rPr>
                <w:rFonts w:hint="eastAsia" w:ascii="宋体" w:hAnsi="宋体" w:eastAsia="宋体" w:cs="宋体"/>
                <w:b/>
                <w:color w:val="auto"/>
                <w:szCs w:val="21"/>
                <w:highlight w:val="none"/>
              </w:rPr>
              <w:t>（</w:t>
            </w:r>
            <w:r>
              <w:rPr>
                <w:rFonts w:hint="eastAsia" w:ascii="宋体" w:hAnsi="宋体" w:eastAsia="宋体" w:cs="宋体"/>
                <w:b/>
                <w:color w:val="auto"/>
                <w:szCs w:val="21"/>
                <w:highlight w:val="none"/>
                <w:lang w:val="en-US" w:eastAsia="zh-CN"/>
              </w:rPr>
              <w:t>如有</w:t>
            </w:r>
            <w:r>
              <w:rPr>
                <w:rFonts w:hint="eastAsia" w:ascii="宋体" w:hAnsi="宋体" w:eastAsia="宋体" w:cs="宋体"/>
                <w:b/>
                <w:color w:val="auto"/>
                <w:szCs w:val="21"/>
                <w:highlight w:val="none"/>
              </w:rPr>
              <w:t>）</w:t>
            </w:r>
          </w:p>
          <w:p w14:paraId="5F38B0F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5.商务条款偏离表（格式后附）；</w:t>
            </w:r>
            <w:r>
              <w:rPr>
                <w:rFonts w:hint="eastAsia" w:ascii="宋体" w:hAnsi="宋体" w:eastAsia="宋体" w:cs="宋体"/>
                <w:b/>
                <w:color w:val="auto"/>
                <w:szCs w:val="21"/>
                <w:highlight w:val="none"/>
              </w:rPr>
              <w:t>（必须提供，否则响应文件按无效响应处理）</w:t>
            </w:r>
          </w:p>
          <w:p w14:paraId="464529B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6.建设工程项目管理承诺书（格式后附）；</w:t>
            </w:r>
            <w:r>
              <w:rPr>
                <w:rFonts w:hint="eastAsia" w:ascii="宋体" w:hAnsi="宋体" w:eastAsia="宋体" w:cs="宋体"/>
                <w:b/>
                <w:color w:val="auto"/>
                <w:szCs w:val="21"/>
                <w:highlight w:val="none"/>
              </w:rPr>
              <w:t>（必须提供，否则响应文件按无效响应处理）</w:t>
            </w:r>
          </w:p>
          <w:p w14:paraId="69FDE1D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技术需求偏离表（格式后附）；</w:t>
            </w:r>
            <w:r>
              <w:rPr>
                <w:rFonts w:hint="eastAsia" w:ascii="宋体" w:hAnsi="宋体" w:eastAsia="宋体" w:cs="宋体"/>
                <w:b/>
                <w:color w:val="auto"/>
                <w:szCs w:val="21"/>
                <w:highlight w:val="none"/>
              </w:rPr>
              <w:t>（必须提供，否则响应文件按无效响应处理）</w:t>
            </w:r>
          </w:p>
          <w:p w14:paraId="2BB831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.施工组织设计（格式自拟）；</w:t>
            </w:r>
            <w:r>
              <w:rPr>
                <w:rFonts w:hint="eastAsia" w:ascii="宋体" w:hAnsi="宋体" w:eastAsia="宋体" w:cs="宋体"/>
                <w:b/>
                <w:color w:val="auto"/>
                <w:szCs w:val="21"/>
                <w:highlight w:val="none"/>
              </w:rPr>
              <w:t>（必须提供，否则响应文件按无效响应处理）</w:t>
            </w:r>
          </w:p>
          <w:p w14:paraId="1D308EA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.项目管理机构配备情况表及主要人员简历表（格式自拟）；</w:t>
            </w:r>
            <w:r>
              <w:rPr>
                <w:rFonts w:hint="eastAsia" w:ascii="宋体" w:hAnsi="宋体" w:eastAsia="宋体" w:cs="宋体"/>
                <w:b/>
                <w:color w:val="auto"/>
                <w:szCs w:val="21"/>
                <w:highlight w:val="none"/>
              </w:rPr>
              <w:t>（必须提供，否则响应文件按无效响应处理）</w:t>
            </w:r>
            <w:r>
              <w:rPr>
                <w:rFonts w:hint="eastAsia" w:ascii="宋体" w:hAnsi="宋体" w:eastAsia="宋体" w:cs="宋体"/>
                <w:color w:val="auto"/>
                <w:szCs w:val="21"/>
                <w:highlight w:val="none"/>
              </w:rPr>
              <w:t xml:space="preserve"> </w:t>
            </w:r>
          </w:p>
          <w:p w14:paraId="09F44A2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.供应商认为需要提供的其他有关资料。</w:t>
            </w:r>
          </w:p>
          <w:p w14:paraId="78D6B281">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注：1.以上标明“必须提供”材料复印件的，必须加盖供应商CA签章，否则电子响应文件作无效处理。</w:t>
            </w:r>
          </w:p>
          <w:p w14:paraId="7FE4BC5F">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2.</w:t>
            </w:r>
            <w:r>
              <w:rPr>
                <w:rFonts w:hint="eastAsia" w:ascii="宋体" w:hAnsi="宋体" w:eastAsia="宋体" w:cs="宋体"/>
                <w:b/>
                <w:color w:val="auto"/>
                <w:szCs w:val="21"/>
                <w:highlight w:val="none"/>
              </w:rPr>
              <w:t>电子响应文件中所须加盖公章部分均采用CA签章。若竞争性磋商文件中有专门标注的某关联点，并要求供应商在电子投标系统中作出磋商响应的，如供应商未对关联点进行响应或者在电子响应文件其它内容进行描述，造成电子评审不能查询的责任由供应商自行承担。</w:t>
            </w:r>
          </w:p>
          <w:p w14:paraId="2521E304">
            <w:pPr>
              <w:spacing w:line="360" w:lineRule="auto"/>
              <w:ind w:firstLine="422" w:firstLineChars="200"/>
              <w:rPr>
                <w:rFonts w:hint="eastAsia" w:ascii="宋体" w:hAnsi="宋体" w:eastAsia="宋体" w:cs="宋体"/>
                <w:color w:val="auto"/>
                <w:szCs w:val="21"/>
                <w:highlight w:val="none"/>
                <w:lang w:val="en-US" w:eastAsia="zh-CN"/>
              </w:rPr>
            </w:pPr>
            <w:r>
              <w:rPr>
                <w:rFonts w:hint="eastAsia" w:ascii="宋体" w:hAnsi="宋体" w:eastAsia="宋体" w:cs="宋体"/>
                <w:b/>
                <w:color w:val="auto"/>
                <w:szCs w:val="21"/>
                <w:highlight w:val="none"/>
              </w:rPr>
              <w:t>3.以上材料未附格式的，由供应商自行拟定。</w:t>
            </w:r>
          </w:p>
        </w:tc>
      </w:tr>
      <w:tr w14:paraId="4A1F4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2649212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321" w:type="dxa"/>
            <w:noWrap w:val="0"/>
            <w:vAlign w:val="center"/>
          </w:tcPr>
          <w:p w14:paraId="3F93BBC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7080" w:type="dxa"/>
            <w:noWrap w:val="0"/>
            <w:vAlign w:val="center"/>
          </w:tcPr>
          <w:p w14:paraId="3F35E805">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1.响应文件电子版要求：按照本采购文件“第五章 响应文件格式”编写（第五章未附格式的，由供应商自行拟定），并在规定加盖公章处加盖公章，</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24C155F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2.响应文件电子版密封方式：电子响应文件通过平台有效CA加密后在“广西政府采购云平台”平台投送。</w:t>
            </w:r>
          </w:p>
        </w:tc>
      </w:tr>
      <w:tr w14:paraId="27240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4F048122">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15.1</w:t>
            </w:r>
          </w:p>
        </w:tc>
        <w:tc>
          <w:tcPr>
            <w:tcW w:w="2321" w:type="dxa"/>
            <w:noWrap w:val="0"/>
            <w:vAlign w:val="center"/>
          </w:tcPr>
          <w:p w14:paraId="790F636E">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工程量清单的填写方式</w:t>
            </w:r>
          </w:p>
        </w:tc>
        <w:tc>
          <w:tcPr>
            <w:tcW w:w="7080" w:type="dxa"/>
            <w:noWrap w:val="0"/>
            <w:vAlign w:val="center"/>
          </w:tcPr>
          <w:p w14:paraId="268A7FAA">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□供应商按照采购人提供的工程量固化清单电子文件填写工程量清单。</w:t>
            </w:r>
          </w:p>
          <w:p w14:paraId="4BAECEFB">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☑供应商按照采购人提供的工程量清单编写工程量清单。</w:t>
            </w:r>
          </w:p>
        </w:tc>
      </w:tr>
      <w:tr w14:paraId="161FB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3BD91EC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321" w:type="dxa"/>
            <w:noWrap w:val="0"/>
            <w:vAlign w:val="center"/>
          </w:tcPr>
          <w:p w14:paraId="45B7876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响应报价的价格构成</w:t>
            </w:r>
          </w:p>
        </w:tc>
        <w:tc>
          <w:tcPr>
            <w:tcW w:w="7080" w:type="dxa"/>
            <w:noWrap w:val="0"/>
            <w:vAlign w:val="center"/>
          </w:tcPr>
          <w:p w14:paraId="7227B982">
            <w:pPr>
              <w:spacing w:line="360" w:lineRule="auto"/>
              <w:contextualSpacing/>
              <w:jc w:val="left"/>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竞标报价是履行合同的最终价格，包括为实施和完成合同工程所需的劳务、材料、机械、质检（自检）、缺陷修复、管理、保险、税费、利润和</w:t>
            </w:r>
            <w:r>
              <w:rPr>
                <w:rFonts w:hint="eastAsia" w:ascii="宋体" w:hAnsi="宋体" w:eastAsia="宋体" w:cs="宋体"/>
                <w:b w:val="0"/>
                <w:bCs/>
                <w:color w:val="auto"/>
                <w:highlight w:val="none"/>
              </w:rPr>
              <w:t>验收费用</w:t>
            </w:r>
            <w:r>
              <w:rPr>
                <w:rFonts w:hint="eastAsia" w:ascii="宋体" w:hAnsi="宋体" w:eastAsia="宋体" w:cs="宋体"/>
                <w:b w:val="0"/>
                <w:bCs/>
                <w:color w:val="auto"/>
                <w:szCs w:val="21"/>
                <w:highlight w:val="none"/>
              </w:rPr>
              <w:t>等</w:t>
            </w:r>
            <w:r>
              <w:rPr>
                <w:rFonts w:hint="eastAsia" w:ascii="宋体" w:hAnsi="宋体" w:eastAsia="宋体" w:cs="宋体"/>
                <w:color w:val="auto"/>
                <w:szCs w:val="21"/>
                <w:highlight w:val="none"/>
              </w:rPr>
              <w:t>费用，以及合同明示或暗示的所有责任、义务和一般风险。</w:t>
            </w:r>
          </w:p>
        </w:tc>
      </w:tr>
      <w:tr w14:paraId="20C80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5FF3381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w:t>
            </w:r>
          </w:p>
        </w:tc>
        <w:tc>
          <w:tcPr>
            <w:tcW w:w="2321" w:type="dxa"/>
            <w:noWrap w:val="0"/>
            <w:vAlign w:val="center"/>
          </w:tcPr>
          <w:p w14:paraId="1BD0359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供应商的响应报价要求</w:t>
            </w:r>
          </w:p>
        </w:tc>
        <w:tc>
          <w:tcPr>
            <w:tcW w:w="7080" w:type="dxa"/>
            <w:noWrap w:val="0"/>
            <w:vAlign w:val="center"/>
          </w:tcPr>
          <w:p w14:paraId="0B84BAC5">
            <w:pPr>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1.本项目增值税计税方法：☑一般计税法         □简易计税法</w:t>
            </w:r>
          </w:p>
          <w:p w14:paraId="6ED5A485">
            <w:pPr>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【备注：根据《关于全面推开营业税改征增值税试点的通知》（财税〔2016〕36号）、《关于建筑服务等营改增试点政策的通知》（财税〔2017〕58号）文件规定选择】</w:t>
            </w:r>
          </w:p>
          <w:p w14:paraId="6962FFF5">
            <w:pPr>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2.本项目采用工程量清单报价方式，供应商应依据竞争性磋商文件、采购人提供的工程量清单</w:t>
            </w:r>
            <w:r>
              <w:rPr>
                <w:rFonts w:hint="eastAsia" w:ascii="宋体" w:hAnsi="宋体" w:eastAsia="宋体" w:cs="宋体"/>
                <w:color w:val="auto"/>
                <w:szCs w:val="21"/>
                <w:highlight w:val="none"/>
              </w:rPr>
              <w:t>编写</w:t>
            </w:r>
            <w:r>
              <w:rPr>
                <w:rFonts w:hint="eastAsia" w:ascii="宋体" w:hAnsi="宋体" w:eastAsia="宋体" w:cs="宋体"/>
                <w:color w:val="auto"/>
                <w:szCs w:val="21"/>
                <w:highlight w:val="none"/>
                <w:lang w:eastAsia="zh-CN"/>
              </w:rPr>
              <w:t>已标价</w:t>
            </w:r>
            <w:r>
              <w:rPr>
                <w:rFonts w:hint="eastAsia" w:ascii="宋体" w:hAnsi="宋体" w:eastAsia="宋体" w:cs="宋体"/>
                <w:color w:val="auto"/>
                <w:szCs w:val="21"/>
                <w:highlight w:val="none"/>
              </w:rPr>
              <w:t>工程量清单</w:t>
            </w:r>
            <w:r>
              <w:rPr>
                <w:rFonts w:hint="eastAsia" w:ascii="宋体" w:hAnsi="宋体" w:eastAsia="宋体" w:cs="宋体"/>
                <w:color w:val="auto"/>
                <w:highlight w:val="none"/>
              </w:rPr>
              <w:t>。</w:t>
            </w:r>
          </w:p>
          <w:p w14:paraId="537E9245">
            <w:pPr>
              <w:snapToGrid w:val="0"/>
              <w:spacing w:line="360" w:lineRule="auto"/>
              <w:jc w:val="left"/>
              <w:rPr>
                <w:rFonts w:hint="eastAsia" w:ascii="宋体" w:hAnsi="宋体" w:eastAsia="宋体" w:cs="宋体"/>
                <w:b/>
                <w:bCs/>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w:t>
            </w:r>
            <w:r>
              <w:rPr>
                <w:rFonts w:hint="eastAsia" w:ascii="宋体" w:hAnsi="宋体" w:eastAsia="宋体" w:cs="宋体"/>
                <w:b/>
                <w:bCs/>
                <w:color w:val="auto"/>
                <w:highlight w:val="none"/>
              </w:rPr>
              <w:t>响应报价（包含首次报价、最后报价）应提交相应的已标价工程量清单，最后报价</w:t>
            </w:r>
            <w:r>
              <w:rPr>
                <w:rFonts w:hint="eastAsia" w:ascii="宋体" w:hAnsi="宋体" w:eastAsia="宋体" w:cs="宋体"/>
                <w:b/>
                <w:bCs/>
                <w:color w:val="auto"/>
                <w:szCs w:val="21"/>
                <w:highlight w:val="none"/>
              </w:rPr>
              <w:t>不得以总价下浮的方式做最后报价，</w:t>
            </w:r>
            <w:r>
              <w:rPr>
                <w:rFonts w:hint="eastAsia" w:ascii="宋体" w:hAnsi="宋体" w:eastAsia="宋体" w:cs="宋体"/>
                <w:b/>
                <w:bCs/>
                <w:color w:val="auto"/>
                <w:highlight w:val="none"/>
              </w:rPr>
              <w:t>否则响应文件按无效响应处理。</w:t>
            </w:r>
          </w:p>
          <w:p w14:paraId="2369AD7C">
            <w:pPr>
              <w:snapToGrid w:val="0"/>
              <w:spacing w:line="360" w:lineRule="auto"/>
              <w:jc w:val="left"/>
              <w:rPr>
                <w:rFonts w:hint="eastAsia" w:ascii="宋体" w:hAnsi="宋体" w:eastAsia="宋体" w:cs="宋体"/>
                <w:color w:val="auto"/>
                <w:highlight w:val="none"/>
              </w:rPr>
            </w:pPr>
            <w:r>
              <w:rPr>
                <w:rFonts w:hint="eastAsia" w:ascii="宋体" w:hAnsi="宋体" w:eastAsia="宋体" w:cs="宋体"/>
                <w:b/>
                <w:bCs/>
                <w:color w:val="auto"/>
                <w:highlight w:val="none"/>
              </w:rPr>
              <w:t>重要提示：</w:t>
            </w:r>
            <w:r>
              <w:rPr>
                <w:rFonts w:hint="eastAsia" w:ascii="宋体" w:hAnsi="宋体" w:eastAsia="宋体" w:cs="宋体"/>
                <w:b/>
                <w:bCs/>
                <w:color w:val="auto"/>
                <w:szCs w:val="21"/>
                <w:highlight w:val="none"/>
              </w:rPr>
              <w:t>最后报价有时间限制，供应商须按竞争性磋商文件“第五章 响应文件格式”内容提前准备最后报价表、已标价工程量清单并按时提交最后报价，以免耽误最后报价</w:t>
            </w:r>
            <w:r>
              <w:rPr>
                <w:rFonts w:hint="eastAsia" w:ascii="宋体" w:hAnsi="宋体" w:eastAsia="宋体" w:cs="宋体"/>
                <w:b/>
                <w:bCs/>
                <w:color w:val="auto"/>
                <w:szCs w:val="21"/>
                <w:highlight w:val="none"/>
                <w:lang w:val="zh-CN"/>
              </w:rPr>
              <w:t>。</w:t>
            </w:r>
          </w:p>
        </w:tc>
      </w:tr>
      <w:tr w14:paraId="1AB14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7DD12C2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321" w:type="dxa"/>
            <w:noWrap w:val="0"/>
            <w:vAlign w:val="center"/>
          </w:tcPr>
          <w:p w14:paraId="2F97870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7080" w:type="dxa"/>
            <w:noWrap w:val="0"/>
            <w:vAlign w:val="center"/>
          </w:tcPr>
          <w:p w14:paraId="27865896">
            <w:pPr>
              <w:pStyle w:val="10"/>
              <w:widowControl w:val="0"/>
              <w:tabs>
                <w:tab w:val="clear" w:pos="454"/>
              </w:tabs>
              <w:snapToGrid w:val="0"/>
              <w:spacing w:afterLines="0" w:line="360" w:lineRule="auto"/>
              <w:ind w:left="283" w:hanging="283" w:hangingChars="135"/>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自首次响应文件提交截止之日起</w:t>
            </w:r>
            <w:r>
              <w:rPr>
                <w:rFonts w:hint="eastAsia" w:ascii="宋体" w:hAnsi="宋体" w:eastAsia="宋体" w:cs="宋体"/>
                <w:color w:val="auto"/>
                <w:kern w:val="2"/>
                <w:sz w:val="21"/>
                <w:szCs w:val="21"/>
                <w:highlight w:val="none"/>
                <w:u w:val="single"/>
              </w:rPr>
              <w:t xml:space="preserve"> 60 </w:t>
            </w:r>
            <w:r>
              <w:rPr>
                <w:rFonts w:hint="eastAsia" w:ascii="宋体" w:hAnsi="宋体" w:eastAsia="宋体" w:cs="宋体"/>
                <w:color w:val="auto"/>
                <w:kern w:val="2"/>
                <w:sz w:val="21"/>
                <w:szCs w:val="21"/>
                <w:highlight w:val="none"/>
              </w:rPr>
              <w:t>日。</w:t>
            </w:r>
          </w:p>
        </w:tc>
      </w:tr>
      <w:tr w14:paraId="43250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3A5B219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321" w:type="dxa"/>
            <w:noWrap w:val="0"/>
            <w:vAlign w:val="center"/>
          </w:tcPr>
          <w:p w14:paraId="08C4F39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w:t>
            </w:r>
          </w:p>
        </w:tc>
        <w:tc>
          <w:tcPr>
            <w:tcW w:w="7080" w:type="dxa"/>
            <w:noWrap w:val="0"/>
            <w:vAlign w:val="center"/>
          </w:tcPr>
          <w:p w14:paraId="768D7A86">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本项目不需要缴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磋商保证金。</w:t>
            </w:r>
          </w:p>
          <w:p w14:paraId="1BF220F3">
            <w:pPr>
              <w:snapToGrid w:val="0"/>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本项目需要缴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磋商保证金，相关要求如下：</w:t>
            </w:r>
          </w:p>
          <w:p w14:paraId="355C03BD">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1.磋商保证金的缴纳方式：详见竞争性磋商公告。</w:t>
            </w:r>
          </w:p>
          <w:p w14:paraId="61B65943">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2.磋商保证金的金额：详见竞争性磋商公告。</w:t>
            </w:r>
          </w:p>
          <w:p w14:paraId="4CEC0CC7">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3.磋商保证金采用银行转账缴纳方式的，在首次响应文件提交截止时间前交至采购代理机构指定账户并且到账，供应商应将银行转账底单的复印件作为磋商保证金提交凭证，放置于商务文件中，</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w:t>
            </w:r>
          </w:p>
          <w:p w14:paraId="0194B287">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磋商保证金采用支票、汇票、本票或者金融机构、担保机构出具的保函等缴纳方式的，供应商应将支票、汇票、本票或者金融机构、担保机构出具的保函等的复印件作为磋商保证金提交凭证，放置于商务文件中，</w:t>
            </w:r>
            <w:r>
              <w:rPr>
                <w:rFonts w:hint="eastAsia" w:ascii="宋体" w:hAnsi="宋体" w:eastAsia="宋体" w:cs="宋体"/>
                <w:b/>
                <w:color w:val="auto"/>
                <w:szCs w:val="21"/>
                <w:highlight w:val="none"/>
              </w:rPr>
              <w:t>否则响应文件按无效响应处理</w:t>
            </w:r>
            <w:r>
              <w:rPr>
                <w:rFonts w:hint="eastAsia" w:ascii="宋体" w:hAnsi="宋体" w:eastAsia="宋体" w:cs="宋体"/>
                <w:color w:val="auto"/>
                <w:szCs w:val="21"/>
                <w:highlight w:val="none"/>
              </w:rPr>
              <w:t>。供应商必须在</w:t>
            </w:r>
            <w:r>
              <w:rPr>
                <w:rFonts w:hint="eastAsia" w:ascii="宋体" w:hAnsi="宋体" w:eastAsia="宋体" w:cs="宋体"/>
                <w:color w:val="auto"/>
                <w:kern w:val="0"/>
                <w:szCs w:val="21"/>
                <w:highlight w:val="none"/>
              </w:rPr>
              <w:t>首次响应文件提交截止时间前</w:t>
            </w:r>
            <w:r>
              <w:rPr>
                <w:rFonts w:hint="eastAsia" w:ascii="宋体" w:hAnsi="宋体" w:eastAsia="宋体" w:cs="宋体"/>
                <w:color w:val="auto"/>
                <w:szCs w:val="21"/>
                <w:highlight w:val="none"/>
              </w:rPr>
              <w:t>将支票、汇票、本票或者金融机构、担保机构出具的保函等原件提交给采购代理机构，由采购代理机构向供应商出具回执，并妥善保管。</w:t>
            </w:r>
          </w:p>
          <w:p w14:paraId="00F8FB84">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5.磋商保证金指定账户：详见竞争性磋商公告。</w:t>
            </w:r>
          </w:p>
          <w:p w14:paraId="1F105967">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6.供应商为联合体的，可以由联合体中的一方或者多方共同缴纳磋商保证金，其缴纳的磋商保证金对联合体各方均具有约束力。</w:t>
            </w:r>
          </w:p>
          <w:p w14:paraId="24466418">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14:paraId="53575C18">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1.磋商保证金在首次响应文件提交截止时间后提交的，或者不按规定缴纳方式缴纳的，或者未足额缴纳的（包含保函额度不足的），视为无效磋商保证金。</w:t>
            </w:r>
          </w:p>
          <w:p w14:paraId="5C285E95">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2.供应商采用现金方式或者从个人账户（自然人竞标除外）转出的磋商保证金，视为无效磋商保证金。</w:t>
            </w:r>
          </w:p>
          <w:p w14:paraId="402B3DB0">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3.支票、汇票或者本票出现无效或者背书情形的，视为无效磋商保证金。</w:t>
            </w:r>
          </w:p>
          <w:p w14:paraId="1B6CE0FF">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4.保函有效期低于竞标有效期的，视为无效磋商保证金。</w:t>
            </w:r>
          </w:p>
          <w:p w14:paraId="51D0B6B1">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5.采用金融、担保机构出具保函的，必须为无条件保函，否则视为无效磋商保证金。</w:t>
            </w:r>
          </w:p>
        </w:tc>
      </w:tr>
      <w:tr w14:paraId="1F125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63" w:type="dxa"/>
            <w:vMerge w:val="restart"/>
            <w:noWrap w:val="0"/>
            <w:vAlign w:val="center"/>
          </w:tcPr>
          <w:p w14:paraId="3EF635B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321" w:type="dxa"/>
            <w:noWrap w:val="0"/>
            <w:vAlign w:val="center"/>
          </w:tcPr>
          <w:p w14:paraId="29E47CB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w:t>
            </w:r>
          </w:p>
          <w:p w14:paraId="31BF994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提交截止时间</w:t>
            </w:r>
          </w:p>
        </w:tc>
        <w:tc>
          <w:tcPr>
            <w:tcW w:w="7080" w:type="dxa"/>
            <w:noWrap w:val="0"/>
            <w:vAlign w:val="center"/>
          </w:tcPr>
          <w:p w14:paraId="2698E99C">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1D76B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63" w:type="dxa"/>
            <w:vMerge w:val="continue"/>
            <w:noWrap w:val="0"/>
            <w:vAlign w:val="center"/>
          </w:tcPr>
          <w:p w14:paraId="455E122D">
            <w:pPr>
              <w:spacing w:line="360" w:lineRule="auto"/>
              <w:jc w:val="center"/>
              <w:rPr>
                <w:rFonts w:hint="eastAsia" w:ascii="宋体" w:hAnsi="宋体" w:eastAsia="宋体" w:cs="宋体"/>
                <w:color w:val="auto"/>
                <w:szCs w:val="21"/>
                <w:highlight w:val="none"/>
              </w:rPr>
            </w:pPr>
          </w:p>
        </w:tc>
        <w:tc>
          <w:tcPr>
            <w:tcW w:w="2321" w:type="dxa"/>
            <w:noWrap w:val="0"/>
            <w:vAlign w:val="center"/>
          </w:tcPr>
          <w:p w14:paraId="559DBE9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w:t>
            </w:r>
          </w:p>
          <w:p w14:paraId="34906B7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开启时间</w:t>
            </w:r>
          </w:p>
        </w:tc>
        <w:tc>
          <w:tcPr>
            <w:tcW w:w="7080" w:type="dxa"/>
            <w:noWrap w:val="0"/>
            <w:vAlign w:val="center"/>
          </w:tcPr>
          <w:p w14:paraId="60BAE6E2">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61171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vMerge w:val="continue"/>
            <w:noWrap w:val="0"/>
            <w:vAlign w:val="center"/>
          </w:tcPr>
          <w:p w14:paraId="70C18B94">
            <w:pPr>
              <w:spacing w:line="360" w:lineRule="auto"/>
              <w:jc w:val="center"/>
              <w:rPr>
                <w:rFonts w:hint="eastAsia" w:ascii="宋体" w:hAnsi="宋体" w:eastAsia="宋体" w:cs="宋体"/>
                <w:color w:val="auto"/>
                <w:szCs w:val="21"/>
                <w:highlight w:val="none"/>
              </w:rPr>
            </w:pPr>
          </w:p>
        </w:tc>
        <w:tc>
          <w:tcPr>
            <w:tcW w:w="2321" w:type="dxa"/>
            <w:noWrap w:val="0"/>
            <w:vAlign w:val="center"/>
          </w:tcPr>
          <w:p w14:paraId="33FC485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7080" w:type="dxa"/>
            <w:noWrap w:val="0"/>
            <w:vAlign w:val="center"/>
          </w:tcPr>
          <w:p w14:paraId="42DA0C58">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详见竞争性磋商公告。</w:t>
            </w:r>
          </w:p>
        </w:tc>
      </w:tr>
      <w:tr w14:paraId="7355C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noWrap w:val="0"/>
            <w:vAlign w:val="center"/>
          </w:tcPr>
          <w:p w14:paraId="6DFE6F6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321" w:type="dxa"/>
            <w:noWrap w:val="0"/>
            <w:vAlign w:val="center"/>
          </w:tcPr>
          <w:p w14:paraId="32DF7A5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7080" w:type="dxa"/>
            <w:noWrap w:val="0"/>
            <w:vAlign w:val="center"/>
          </w:tcPr>
          <w:p w14:paraId="744168D6">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0BCBF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63" w:type="dxa"/>
            <w:noWrap w:val="0"/>
            <w:vAlign w:val="center"/>
          </w:tcPr>
          <w:p w14:paraId="1122E05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2321" w:type="dxa"/>
            <w:noWrap w:val="0"/>
            <w:vAlign w:val="center"/>
          </w:tcPr>
          <w:p w14:paraId="5348F89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首次响应文件的退回</w:t>
            </w:r>
          </w:p>
        </w:tc>
        <w:tc>
          <w:tcPr>
            <w:tcW w:w="7080" w:type="dxa"/>
            <w:noWrap w:val="0"/>
            <w:vAlign w:val="center"/>
          </w:tcPr>
          <w:p w14:paraId="0B16BC0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详见竞争性磋商公告。</w:t>
            </w:r>
          </w:p>
        </w:tc>
      </w:tr>
      <w:tr w14:paraId="647C1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63" w:type="dxa"/>
            <w:vMerge w:val="restart"/>
            <w:noWrap w:val="0"/>
            <w:vAlign w:val="center"/>
          </w:tcPr>
          <w:p w14:paraId="63097ED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26.3</w:t>
            </w:r>
          </w:p>
        </w:tc>
        <w:tc>
          <w:tcPr>
            <w:tcW w:w="2321" w:type="dxa"/>
            <w:noWrap w:val="0"/>
            <w:vAlign w:val="center"/>
          </w:tcPr>
          <w:p w14:paraId="2CA9EDB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负偏离要求</w:t>
            </w:r>
          </w:p>
        </w:tc>
        <w:tc>
          <w:tcPr>
            <w:tcW w:w="7080" w:type="dxa"/>
            <w:noWrap w:val="0"/>
            <w:vAlign w:val="center"/>
          </w:tcPr>
          <w:p w14:paraId="57EA6658">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0 </w:t>
            </w:r>
            <w:r>
              <w:rPr>
                <w:rFonts w:hint="eastAsia" w:ascii="宋体" w:hAnsi="宋体" w:eastAsia="宋体" w:cs="宋体"/>
                <w:color w:val="auto"/>
                <w:szCs w:val="21"/>
                <w:highlight w:val="none"/>
              </w:rPr>
              <w:t>项。</w:t>
            </w:r>
          </w:p>
          <w:p w14:paraId="4E5C7AD3">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技术需求评审中允许负偏离的条款数为</w:t>
            </w:r>
            <w:r>
              <w:rPr>
                <w:rFonts w:hint="eastAsia" w:ascii="宋体" w:hAnsi="宋体" w:eastAsia="宋体" w:cs="宋体"/>
                <w:color w:val="auto"/>
                <w:szCs w:val="21"/>
                <w:highlight w:val="none"/>
                <w:u w:val="single"/>
              </w:rPr>
              <w:t xml:space="preserve"> 0 </w:t>
            </w:r>
            <w:r>
              <w:rPr>
                <w:rFonts w:hint="eastAsia" w:ascii="宋体" w:hAnsi="宋体" w:eastAsia="宋体" w:cs="宋体"/>
                <w:color w:val="auto"/>
                <w:szCs w:val="21"/>
                <w:highlight w:val="none"/>
              </w:rPr>
              <w:t>项。</w:t>
            </w:r>
          </w:p>
        </w:tc>
      </w:tr>
      <w:tr w14:paraId="6BF97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noWrap w:val="0"/>
            <w:vAlign w:val="center"/>
          </w:tcPr>
          <w:p w14:paraId="7729CFF3">
            <w:pPr>
              <w:spacing w:line="360" w:lineRule="auto"/>
              <w:jc w:val="center"/>
              <w:rPr>
                <w:rFonts w:hint="eastAsia" w:ascii="宋体" w:hAnsi="宋体" w:eastAsia="宋体" w:cs="宋体"/>
                <w:color w:val="auto"/>
                <w:szCs w:val="21"/>
                <w:highlight w:val="none"/>
              </w:rPr>
            </w:pPr>
          </w:p>
        </w:tc>
        <w:tc>
          <w:tcPr>
            <w:tcW w:w="2321" w:type="dxa"/>
            <w:noWrap w:val="0"/>
            <w:vAlign w:val="center"/>
          </w:tcPr>
          <w:p w14:paraId="52821B56">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磋商的顺序</w:t>
            </w:r>
          </w:p>
        </w:tc>
        <w:tc>
          <w:tcPr>
            <w:tcW w:w="7080" w:type="dxa"/>
            <w:noWrap w:val="0"/>
            <w:vAlign w:val="center"/>
          </w:tcPr>
          <w:p w14:paraId="6E7A96D8">
            <w:pPr>
              <w:pStyle w:val="11"/>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□按照提交首次响应文件的顺序，通知磋商时，若某供应商不在通知现场时，该供应商排序到最后磋商，按照签到的顺序由其下一位供应商先参与磋商。</w:t>
            </w:r>
          </w:p>
          <w:p w14:paraId="12B5F429">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☑随机排序。</w:t>
            </w:r>
          </w:p>
          <w:p w14:paraId="4F9C0924">
            <w:pPr>
              <w:pStyle w:val="11"/>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参与磋商前，磋商小组如有要求，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6CF29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6D75B55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28</w:t>
            </w:r>
          </w:p>
        </w:tc>
        <w:tc>
          <w:tcPr>
            <w:tcW w:w="2321" w:type="dxa"/>
            <w:noWrap w:val="0"/>
            <w:vAlign w:val="center"/>
          </w:tcPr>
          <w:p w14:paraId="46BDD89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7080" w:type="dxa"/>
            <w:noWrap w:val="0"/>
            <w:vAlign w:val="center"/>
          </w:tcPr>
          <w:p w14:paraId="389D74F4">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本项目不需要缴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履约保证金。</w:t>
            </w:r>
          </w:p>
          <w:p w14:paraId="47105689">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本项目需要缴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履约保证金，相关要求如下：</w:t>
            </w:r>
          </w:p>
          <w:p w14:paraId="00E82B71">
            <w:pPr>
              <w:spacing w:line="360" w:lineRule="auto"/>
              <w:rPr>
                <w:rFonts w:hint="eastAsia" w:ascii="宋体" w:hAnsi="宋体" w:eastAsia="宋体" w:cs="宋体"/>
                <w:i/>
                <w:iCs/>
                <w:color w:val="auto"/>
                <w:szCs w:val="21"/>
                <w:highlight w:val="none"/>
              </w:rPr>
            </w:pPr>
            <w:r>
              <w:rPr>
                <w:rFonts w:hint="eastAsia" w:ascii="宋体" w:hAnsi="宋体" w:eastAsia="宋体" w:cs="宋体"/>
                <w:color w:val="auto"/>
                <w:szCs w:val="21"/>
                <w:highlight w:val="none"/>
              </w:rPr>
              <w:t>1.履约保证金金额：按项目成交总金额的</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587AB19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2.履约保证金提交方式：成交供应商在</w:t>
            </w:r>
            <w:r>
              <w:rPr>
                <w:rFonts w:hint="eastAsia" w:ascii="宋体" w:hAnsi="宋体" w:eastAsia="宋体" w:cs="宋体"/>
                <w:color w:val="auto"/>
                <w:kern w:val="0"/>
                <w:szCs w:val="21"/>
                <w:highlight w:val="none"/>
                <w:u w:val="single"/>
              </w:rPr>
              <w:t>签订合同</w:t>
            </w:r>
            <w:r>
              <w:rPr>
                <w:rFonts w:hint="eastAsia" w:ascii="宋体" w:hAnsi="宋体" w:eastAsia="宋体" w:cs="宋体"/>
                <w:color w:val="auto"/>
                <w:szCs w:val="21"/>
                <w:highlight w:val="none"/>
                <w:u w:val="single"/>
              </w:rPr>
              <w:t>前</w:t>
            </w:r>
            <w:r>
              <w:rPr>
                <w:rFonts w:hint="eastAsia" w:ascii="宋体" w:hAnsi="宋体" w:eastAsia="宋体" w:cs="宋体"/>
                <w:color w:val="auto"/>
                <w:szCs w:val="21"/>
                <w:highlight w:val="none"/>
              </w:rPr>
              <w:t>以银行转账、支票、汇票、本票或者金融机构、担保机构出具的保函等非现金方式向</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采购人</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提交。</w:t>
            </w:r>
          </w:p>
          <w:p w14:paraId="43F0CFD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3.履约保证金退付方式、时间及条件：</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成交供应商向采购人提交完整的验收资料后，可向采购人申请退还履约保证金 </w:t>
            </w:r>
            <w:r>
              <w:rPr>
                <w:rFonts w:hint="eastAsia" w:ascii="宋体" w:hAnsi="宋体" w:eastAsia="宋体" w:cs="宋体"/>
                <w:color w:val="auto"/>
                <w:szCs w:val="21"/>
                <w:highlight w:val="none"/>
              </w:rPr>
              <w:t>。</w:t>
            </w:r>
          </w:p>
          <w:p w14:paraId="07D6C23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4.缴纳履约保证金指定账户的信息：</w:t>
            </w:r>
          </w:p>
          <w:p w14:paraId="54E783C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u w:val="single"/>
              </w:rPr>
              <w:t xml:space="preserve">                </w:t>
            </w:r>
          </w:p>
          <w:p w14:paraId="1C5D011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p>
          <w:p w14:paraId="519394E0">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银行账号：</w:t>
            </w:r>
            <w:r>
              <w:rPr>
                <w:rFonts w:hint="eastAsia" w:ascii="宋体" w:hAnsi="宋体" w:eastAsia="宋体" w:cs="宋体"/>
                <w:color w:val="auto"/>
                <w:szCs w:val="21"/>
                <w:highlight w:val="none"/>
                <w:u w:val="single"/>
              </w:rPr>
              <w:t xml:space="preserve">                </w:t>
            </w:r>
          </w:p>
          <w:p w14:paraId="72CDB08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开户行行号：</w:t>
            </w:r>
            <w:r>
              <w:rPr>
                <w:rFonts w:hint="eastAsia" w:ascii="宋体" w:hAnsi="宋体" w:eastAsia="宋体" w:cs="宋体"/>
                <w:color w:val="auto"/>
                <w:szCs w:val="21"/>
                <w:highlight w:val="none"/>
                <w:u w:val="single"/>
              </w:rPr>
              <w:t xml:space="preserve">              </w:t>
            </w:r>
          </w:p>
          <w:p w14:paraId="110DBAA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5E258E2D">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1</w:t>
            </w:r>
            <w:r>
              <w:rPr>
                <w:rFonts w:hint="eastAsia" w:ascii="宋体" w:hAnsi="宋体" w:eastAsia="宋体" w:cs="宋体"/>
                <w:b/>
                <w:color w:val="auto"/>
                <w:szCs w:val="21"/>
                <w:highlight w:val="none"/>
              </w:rPr>
              <w:t>.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p>
          <w:p w14:paraId="6D85B0CE">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2</w:t>
            </w:r>
            <w:r>
              <w:rPr>
                <w:rFonts w:hint="eastAsia" w:ascii="宋体" w:hAnsi="宋体" w:eastAsia="宋体" w:cs="宋体"/>
                <w:b/>
                <w:color w:val="auto"/>
                <w:szCs w:val="21"/>
                <w:highlight w:val="none"/>
              </w:rPr>
              <w:t>.采用金融、担保机构出具保函的，必须为无条件保函，否则视为未按规定提交履约保证金。</w:t>
            </w:r>
          </w:p>
          <w:p w14:paraId="0B7FFBA2">
            <w:pPr>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lang w:val="en-US" w:eastAsia="zh-CN"/>
              </w:rPr>
              <w:t>3</w:t>
            </w:r>
            <w:r>
              <w:rPr>
                <w:rFonts w:hint="eastAsia" w:ascii="宋体" w:hAnsi="宋体" w:eastAsia="宋体" w:cs="宋体"/>
                <w:b/>
                <w:color w:val="auto"/>
                <w:szCs w:val="21"/>
                <w:highlight w:val="none"/>
              </w:rPr>
              <w:t>.供应商为联合体的，可由联合体任意一方或者联合体各方共同提交的履约保证金，视为有效履约保证金。</w:t>
            </w:r>
            <w:r>
              <w:rPr>
                <w:rFonts w:hint="eastAsia" w:ascii="宋体" w:hAnsi="宋体" w:eastAsia="宋体" w:cs="宋体"/>
                <w:color w:val="auto"/>
                <w:szCs w:val="21"/>
                <w:highlight w:val="none"/>
              </w:rPr>
              <w:t xml:space="preserve"> </w:t>
            </w:r>
          </w:p>
        </w:tc>
      </w:tr>
      <w:tr w14:paraId="21909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2417A46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29.5</w:t>
            </w:r>
          </w:p>
        </w:tc>
        <w:tc>
          <w:tcPr>
            <w:tcW w:w="2321" w:type="dxa"/>
            <w:noWrap w:val="0"/>
            <w:vAlign w:val="center"/>
          </w:tcPr>
          <w:p w14:paraId="737DB71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7080" w:type="dxa"/>
            <w:noWrap w:val="0"/>
            <w:vAlign w:val="center"/>
          </w:tcPr>
          <w:p w14:paraId="703957A5">
            <w:pPr>
              <w:snapToGrid w:val="0"/>
              <w:spacing w:line="360" w:lineRule="auto"/>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rPr>
              <w:t>使用的有效CA证书加盖单位电子公章</w:t>
            </w:r>
          </w:p>
          <w:p w14:paraId="02BF5C28">
            <w:pPr>
              <w:autoSpaceDE w:val="0"/>
              <w:autoSpaceDN w:val="0"/>
              <w:snapToGrid w:val="0"/>
              <w:spacing w:line="360" w:lineRule="auto"/>
              <w:textAlignment w:val="bottom"/>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rPr>
              <w:t>委托代理人负责签订合同的，须携带有效的法定代表人授权委托书及其委托代理人身份证原件等其他资格证件。</w:t>
            </w:r>
          </w:p>
        </w:tc>
      </w:tr>
      <w:tr w14:paraId="1F9AB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restart"/>
            <w:noWrap w:val="0"/>
            <w:vAlign w:val="center"/>
          </w:tcPr>
          <w:p w14:paraId="6E736C2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p>
        </w:tc>
        <w:tc>
          <w:tcPr>
            <w:tcW w:w="2321" w:type="dxa"/>
            <w:noWrap w:val="0"/>
            <w:vAlign w:val="center"/>
          </w:tcPr>
          <w:p w14:paraId="23EB2AEE">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7080" w:type="dxa"/>
            <w:noWrap w:val="0"/>
            <w:vAlign w:val="center"/>
          </w:tcPr>
          <w:p w14:paraId="60858F88">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6B4AD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noWrap w:val="0"/>
            <w:vAlign w:val="center"/>
          </w:tcPr>
          <w:p w14:paraId="631ECC8E">
            <w:pPr>
              <w:spacing w:line="360" w:lineRule="auto"/>
              <w:jc w:val="center"/>
              <w:rPr>
                <w:rFonts w:hint="eastAsia" w:ascii="宋体" w:hAnsi="宋体" w:eastAsia="宋体" w:cs="宋体"/>
                <w:color w:val="auto"/>
                <w:szCs w:val="21"/>
                <w:highlight w:val="none"/>
              </w:rPr>
            </w:pPr>
          </w:p>
        </w:tc>
        <w:tc>
          <w:tcPr>
            <w:tcW w:w="2321" w:type="dxa"/>
            <w:noWrap w:val="0"/>
            <w:vAlign w:val="center"/>
          </w:tcPr>
          <w:p w14:paraId="3D2CD3A7">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w:t>
            </w:r>
          </w:p>
          <w:p w14:paraId="283285FF">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及联系方式</w:t>
            </w:r>
          </w:p>
        </w:tc>
        <w:tc>
          <w:tcPr>
            <w:tcW w:w="7080" w:type="dxa"/>
            <w:noWrap w:val="0"/>
            <w:vAlign w:val="center"/>
          </w:tcPr>
          <w:p w14:paraId="2F4692AB">
            <w:pPr>
              <w:snapToGrid w:val="0"/>
              <w:spacing w:line="380" w:lineRule="exact"/>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highlight w:val="none"/>
              </w:rPr>
              <w:t>名称：</w:t>
            </w:r>
            <w:r>
              <w:rPr>
                <w:rFonts w:hint="eastAsia" w:ascii="宋体" w:hAnsi="宋体" w:cs="宋体"/>
                <w:color w:val="auto"/>
                <w:szCs w:val="21"/>
                <w:highlight w:val="none"/>
                <w:lang w:eastAsia="zh-CN"/>
              </w:rPr>
              <w:t>南宁市衡阳西路第二幼儿园</w:t>
            </w:r>
          </w:p>
          <w:p w14:paraId="0DA0741A">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地址：</w:t>
            </w:r>
            <w:r>
              <w:rPr>
                <w:rFonts w:hint="eastAsia" w:ascii="宋体" w:hAnsi="宋体" w:eastAsia="宋体" w:cs="宋体"/>
                <w:color w:val="auto"/>
                <w:szCs w:val="21"/>
                <w:highlight w:val="none"/>
                <w:lang w:eastAsia="zh-CN"/>
              </w:rPr>
              <w:t>南宁市秀灵路20号</w:t>
            </w:r>
          </w:p>
          <w:p w14:paraId="49707EB5">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联系电话：罗青山 13347604797</w:t>
            </w:r>
          </w:p>
          <w:p w14:paraId="64DACE12">
            <w:pPr>
              <w:snapToGrid w:val="0"/>
              <w:spacing w:line="38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（2）名称：</w:t>
            </w:r>
            <w:r>
              <w:rPr>
                <w:rFonts w:hint="eastAsia" w:ascii="宋体" w:hAnsi="宋体" w:eastAsia="宋体" w:cs="宋体"/>
                <w:color w:val="auto"/>
                <w:szCs w:val="21"/>
                <w:highlight w:val="none"/>
                <w:lang w:eastAsia="zh-CN"/>
              </w:rPr>
              <w:t>广西桂工建设管理咨询有限公司</w:t>
            </w:r>
          </w:p>
          <w:p w14:paraId="140826F5">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联系电话：0771-5533898</w:t>
            </w:r>
          </w:p>
          <w:p w14:paraId="2D5D6398">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通讯地址：中国（广西）自由贸易试验区南宁片区庆歌路20号富雅•国际商务大厦B栋十三层1301</w:t>
            </w:r>
          </w:p>
        </w:tc>
      </w:tr>
      <w:tr w14:paraId="18B62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vMerge w:val="continue"/>
            <w:noWrap w:val="0"/>
            <w:vAlign w:val="center"/>
          </w:tcPr>
          <w:p w14:paraId="77377FDE">
            <w:pPr>
              <w:spacing w:line="360" w:lineRule="auto"/>
              <w:jc w:val="center"/>
              <w:rPr>
                <w:rFonts w:hint="eastAsia" w:ascii="宋体" w:hAnsi="宋体" w:eastAsia="宋体" w:cs="宋体"/>
                <w:color w:val="auto"/>
                <w:szCs w:val="21"/>
                <w:highlight w:val="none"/>
              </w:rPr>
            </w:pPr>
          </w:p>
        </w:tc>
        <w:tc>
          <w:tcPr>
            <w:tcW w:w="2321" w:type="dxa"/>
            <w:noWrap w:val="0"/>
            <w:vAlign w:val="center"/>
          </w:tcPr>
          <w:p w14:paraId="4E8A0C50">
            <w:pPr>
              <w:spacing w:line="38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现场提交质疑</w:t>
            </w:r>
          </w:p>
          <w:p w14:paraId="4C23A04E">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highlight w:val="none"/>
              </w:rPr>
              <w:t>办理业务时间</w:t>
            </w:r>
          </w:p>
        </w:tc>
        <w:tc>
          <w:tcPr>
            <w:tcW w:w="7080" w:type="dxa"/>
            <w:noWrap w:val="0"/>
            <w:vAlign w:val="center"/>
          </w:tcPr>
          <w:p w14:paraId="4C2ECF05">
            <w:pPr>
              <w:snapToGrid w:val="0"/>
              <w:spacing w:line="380" w:lineRule="exact"/>
              <w:rPr>
                <w:rFonts w:hint="eastAsia" w:ascii="宋体" w:hAnsi="宋体" w:eastAsia="宋体" w:cs="宋体"/>
                <w:color w:val="auto"/>
                <w:szCs w:val="21"/>
                <w:highlight w:val="none"/>
              </w:rPr>
            </w:pPr>
            <w:r>
              <w:rPr>
                <w:rFonts w:hint="eastAsia" w:ascii="宋体" w:hAnsi="宋体" w:eastAsia="宋体" w:cs="宋体"/>
                <w:color w:val="auto"/>
                <w:highlight w:val="none"/>
              </w:rPr>
              <w:t>质疑期内每个工作日（北京时间）上午</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分，下午</w:t>
            </w:r>
            <w:r>
              <w:rPr>
                <w:rFonts w:hint="eastAsia" w:ascii="宋体" w:hAnsi="宋体" w:eastAsia="宋体" w:cs="宋体"/>
                <w:color w:val="auto"/>
                <w:highlight w:val="none"/>
                <w:u w:val="single"/>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p>
        </w:tc>
      </w:tr>
      <w:tr w14:paraId="23E1D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4A1413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31.6</w:t>
            </w:r>
          </w:p>
        </w:tc>
        <w:tc>
          <w:tcPr>
            <w:tcW w:w="2321" w:type="dxa"/>
            <w:noWrap w:val="0"/>
            <w:vAlign w:val="center"/>
          </w:tcPr>
          <w:p w14:paraId="31EF573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7080" w:type="dxa"/>
            <w:noWrap w:val="0"/>
            <w:vAlign w:val="center"/>
          </w:tcPr>
          <w:p w14:paraId="4DB475EC">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1、受理方式：纸质方式受理，投诉书正、副本（经过质疑的事项才可投诉）。</w:t>
            </w:r>
          </w:p>
          <w:p w14:paraId="7A051D9C">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通讯方式</w:t>
            </w:r>
          </w:p>
          <w:p w14:paraId="5BAFFAE3">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名称：南宁市西乡塘区人民政府采购管理办公室</w:t>
            </w:r>
          </w:p>
          <w:p w14:paraId="68ACF888">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地址：南宁市西乡塘区衡阳西路11号</w:t>
            </w:r>
          </w:p>
          <w:p w14:paraId="52A52658">
            <w:pPr>
              <w:snapToGrid w:val="0"/>
              <w:spacing w:line="380" w:lineRule="exact"/>
              <w:rPr>
                <w:rFonts w:hint="eastAsia" w:ascii="宋体" w:hAnsi="宋体" w:eastAsia="宋体" w:cs="宋体"/>
                <w:color w:val="auto"/>
                <w:highlight w:val="none"/>
              </w:rPr>
            </w:pPr>
            <w:r>
              <w:rPr>
                <w:rFonts w:hint="eastAsia" w:ascii="宋体" w:hAnsi="宋体" w:eastAsia="宋体" w:cs="宋体"/>
                <w:color w:val="auto"/>
                <w:highlight w:val="none"/>
              </w:rPr>
              <w:t>联系电话：0771-3130365</w:t>
            </w:r>
          </w:p>
        </w:tc>
      </w:tr>
      <w:tr w14:paraId="712D1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79A384B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321" w:type="dxa"/>
            <w:noWrap w:val="0"/>
            <w:vAlign w:val="center"/>
          </w:tcPr>
          <w:p w14:paraId="42BBCBE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采购代理服务费</w:t>
            </w:r>
          </w:p>
        </w:tc>
        <w:tc>
          <w:tcPr>
            <w:tcW w:w="7080" w:type="dxa"/>
            <w:noWrap w:val="0"/>
            <w:vAlign w:val="center"/>
          </w:tcPr>
          <w:p w14:paraId="5EAFE5B6">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 是否收取采购代理服务理费：</w:t>
            </w:r>
          </w:p>
          <w:p w14:paraId="3A3E46C7">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☑是    □ 否</w:t>
            </w:r>
          </w:p>
          <w:p w14:paraId="76C31222">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2.采购代理服务费支付方式：</w:t>
            </w:r>
          </w:p>
          <w:p w14:paraId="0F0C6E76">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☑本项目采购代理服务费由成交供应商在签订合同前，</w:t>
            </w:r>
            <w:r>
              <w:rPr>
                <w:rFonts w:hint="eastAsia" w:ascii="宋体" w:hAnsi="宋体" w:eastAsia="宋体" w:cs="宋体"/>
                <w:color w:val="auto"/>
                <w:highlight w:val="none"/>
              </w:rPr>
              <w:t>以银行转账、电汇等方式</w:t>
            </w:r>
            <w:r>
              <w:rPr>
                <w:rFonts w:hint="eastAsia" w:ascii="宋体" w:hAnsi="宋体" w:eastAsia="宋体" w:cs="宋体"/>
                <w:color w:val="auto"/>
                <w:kern w:val="0"/>
                <w:szCs w:val="21"/>
                <w:highlight w:val="none"/>
              </w:rPr>
              <w:t>一次性向采购代理机构支付。</w:t>
            </w:r>
          </w:p>
          <w:p w14:paraId="0B47134F">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□采购人支付：</w:t>
            </w:r>
            <w:r>
              <w:rPr>
                <w:rFonts w:hint="eastAsia" w:ascii="宋体" w:hAnsi="宋体" w:eastAsia="宋体" w:cs="宋体"/>
                <w:color w:val="auto"/>
                <w:kern w:val="0"/>
                <w:szCs w:val="21"/>
                <w:highlight w:val="none"/>
                <w:u w:val="single"/>
              </w:rPr>
              <w:t xml:space="preserve">   </w:t>
            </w:r>
            <w:r>
              <w:rPr>
                <w:rFonts w:hint="eastAsia" w:ascii="宋体" w:hAnsi="宋体" w:eastAsia="宋体" w:cs="宋体"/>
                <w:i/>
                <w:iCs/>
                <w:color w:val="auto"/>
                <w:highlight w:val="none"/>
                <w:u w:val="single"/>
              </w:rPr>
              <w:t xml:space="preserve">/   </w:t>
            </w:r>
            <w:r>
              <w:rPr>
                <w:rFonts w:hint="eastAsia" w:ascii="宋体" w:hAnsi="宋体" w:eastAsia="宋体" w:cs="宋体"/>
                <w:i/>
                <w:iCs/>
                <w:color w:val="auto"/>
                <w:highlight w:val="none"/>
              </w:rPr>
              <w:t>。</w:t>
            </w:r>
          </w:p>
          <w:p w14:paraId="6DABDB02">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3.采购代理服务费收取标准：</w:t>
            </w:r>
          </w:p>
          <w:p w14:paraId="280DD795">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以项目（</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成交总金额/</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采购预算/□暂定成交金额/□其他</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）为计费额，按</w:t>
            </w:r>
            <w:r>
              <w:rPr>
                <w:rFonts w:hint="eastAsia" w:ascii="宋体" w:hAnsi="宋体" w:eastAsia="宋体" w:cs="宋体"/>
                <w:color w:val="auto"/>
                <w:highlight w:val="none"/>
              </w:rPr>
              <w:t>本须知正文第</w:t>
            </w:r>
            <w:bookmarkStart w:id="25" w:name="OLE_LINK29"/>
            <w:r>
              <w:rPr>
                <w:rFonts w:hint="eastAsia" w:ascii="宋体" w:hAnsi="宋体" w:eastAsia="宋体" w:cs="宋体"/>
                <w:color w:val="auto"/>
                <w:highlight w:val="none"/>
              </w:rPr>
              <w:t>33.2</w:t>
            </w:r>
            <w:bookmarkEnd w:id="25"/>
            <w:r>
              <w:rPr>
                <w:rFonts w:hint="eastAsia" w:ascii="宋体" w:hAnsi="宋体" w:eastAsia="宋体" w:cs="宋体"/>
                <w:color w:val="auto"/>
                <w:highlight w:val="none"/>
              </w:rPr>
              <w:t>条规定的收费计算标准（</w:t>
            </w:r>
            <w:r>
              <w:rPr>
                <w:rFonts w:hint="eastAsia" w:ascii="宋体" w:hAnsi="宋体" w:eastAsia="宋体" w:cs="宋体"/>
                <w:b/>
                <w:bCs/>
                <w:color w:val="auto"/>
                <w:kern w:val="0"/>
                <w:szCs w:val="21"/>
                <w:highlight w:val="none"/>
                <w:u w:val="single"/>
              </w:rPr>
              <w:t>工程类</w:t>
            </w:r>
            <w:r>
              <w:rPr>
                <w:rFonts w:hint="eastAsia" w:ascii="宋体" w:hAnsi="宋体" w:eastAsia="宋体" w:cs="宋体"/>
                <w:color w:val="auto"/>
                <w:highlight w:val="none"/>
              </w:rPr>
              <w:t>）</w:t>
            </w:r>
            <w:r>
              <w:rPr>
                <w:rFonts w:hint="eastAsia" w:ascii="宋体" w:hAnsi="宋体" w:eastAsia="宋体" w:cs="宋体"/>
                <w:color w:val="auto"/>
                <w:kern w:val="0"/>
                <w:szCs w:val="21"/>
                <w:highlight w:val="none"/>
              </w:rPr>
              <w:t>采用差额定率累进法计算出收费基准价格，采购代理机构收费以（</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收费基准价格/□收费基准价格下浮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/□收费基准价格上浮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）收取。</w:t>
            </w:r>
          </w:p>
          <w:p w14:paraId="5B1019C5">
            <w:pPr>
              <w:snapToGrid w:val="0"/>
              <w:spacing w:line="360" w:lineRule="auto"/>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固定采购代理收费：</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rPr>
              <w:t>。</w:t>
            </w:r>
          </w:p>
          <w:p w14:paraId="7F465886">
            <w:pPr>
              <w:tabs>
                <w:tab w:val="left" w:pos="4670"/>
              </w:tabs>
              <w:snapToGrid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 采购代理服务费收取银行账户的信息</w:t>
            </w:r>
            <w:r>
              <w:rPr>
                <w:rFonts w:hint="eastAsia" w:ascii="宋体" w:hAnsi="宋体" w:eastAsia="宋体" w:cs="宋体"/>
                <w:color w:val="auto"/>
                <w:kern w:val="0"/>
                <w:szCs w:val="21"/>
                <w:highlight w:val="none"/>
                <w:lang w:eastAsia="zh-CN"/>
              </w:rPr>
              <w:tab/>
            </w:r>
          </w:p>
          <w:p w14:paraId="2A65EEA7">
            <w:pPr>
              <w:snapToGrid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开户名称：</w:t>
            </w:r>
            <w:r>
              <w:rPr>
                <w:rFonts w:hint="eastAsia" w:ascii="宋体" w:hAnsi="宋体" w:eastAsia="宋体" w:cs="宋体"/>
                <w:color w:val="auto"/>
                <w:szCs w:val="21"/>
                <w:highlight w:val="none"/>
                <w:lang w:eastAsia="zh-CN"/>
              </w:rPr>
              <w:t>广西桂工建设管理咨询有限公司南宁分公司</w:t>
            </w:r>
          </w:p>
          <w:p w14:paraId="5B0780B9">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开户银行：中国建设银行股份有限公司南宁朝阳支行</w:t>
            </w:r>
          </w:p>
          <w:p w14:paraId="7B6FE2FC">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银行账号：4505 0160 4473 0999 9666</w:t>
            </w:r>
          </w:p>
        </w:tc>
      </w:tr>
      <w:tr w14:paraId="5618D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2103268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34.1</w:t>
            </w:r>
          </w:p>
        </w:tc>
        <w:tc>
          <w:tcPr>
            <w:tcW w:w="2321" w:type="dxa"/>
            <w:noWrap w:val="0"/>
            <w:vAlign w:val="center"/>
          </w:tcPr>
          <w:p w14:paraId="683ABB5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highlight w:val="none"/>
              </w:rPr>
              <w:t>解释</w:t>
            </w:r>
          </w:p>
        </w:tc>
        <w:tc>
          <w:tcPr>
            <w:tcW w:w="7080" w:type="dxa"/>
            <w:noWrap w:val="0"/>
            <w:vAlign w:val="center"/>
          </w:tcPr>
          <w:p w14:paraId="21E8DC66">
            <w:pPr>
              <w:snapToGrid w:val="0"/>
              <w:spacing w:line="360" w:lineRule="auto"/>
              <w:rPr>
                <w:rFonts w:hint="eastAsia" w:ascii="宋体" w:hAnsi="宋体" w:eastAsia="宋体" w:cs="宋体"/>
                <w:b w:val="0"/>
                <w:bCs w:val="0"/>
                <w:color w:val="auto"/>
                <w:kern w:val="0"/>
                <w:szCs w:val="21"/>
                <w:highlight w:val="none"/>
              </w:rPr>
            </w:pPr>
            <w:r>
              <w:rPr>
                <w:rFonts w:hint="eastAsia" w:ascii="宋体" w:hAnsi="宋体" w:eastAsia="宋体" w:cs="宋体"/>
                <w:b/>
                <w:color w:val="auto"/>
                <w:kern w:val="0"/>
                <w:szCs w:val="21"/>
                <w:highlight w:val="none"/>
              </w:rPr>
              <w:t>解释：</w:t>
            </w:r>
            <w:r>
              <w:rPr>
                <w:rFonts w:hint="eastAsia" w:ascii="宋体" w:hAnsi="宋体" w:eastAsia="宋体" w:cs="宋体"/>
                <w:color w:val="auto"/>
                <w:kern w:val="0"/>
                <w:szCs w:val="21"/>
                <w:highlight w:val="none"/>
              </w:rPr>
              <w:t>构成本竞争性磋商文件的各个组成文件应互为解释，互为说明；除竞争性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val="0"/>
                <w:bCs w:val="0"/>
                <w:color w:val="auto"/>
                <w:kern w:val="0"/>
                <w:szCs w:val="21"/>
                <w:highlight w:val="none"/>
              </w:rPr>
              <w:t>，由采购人或者采购代理机构负责解释。</w:t>
            </w:r>
          </w:p>
          <w:p w14:paraId="361FE69E">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b/>
                <w:color w:val="auto"/>
                <w:kern w:val="0"/>
                <w:szCs w:val="21"/>
                <w:highlight w:val="none"/>
              </w:rPr>
              <w:t>法律责任：</w:t>
            </w:r>
            <w:r>
              <w:rPr>
                <w:rFonts w:hint="eastAsia" w:ascii="宋体" w:hAnsi="宋体" w:eastAsia="宋体" w:cs="宋体"/>
                <w:color w:val="auto"/>
                <w:kern w:val="0"/>
                <w:szCs w:val="21"/>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6AD4F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3" w:type="dxa"/>
            <w:noWrap w:val="0"/>
            <w:vAlign w:val="center"/>
          </w:tcPr>
          <w:p w14:paraId="0081B9D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34.2</w:t>
            </w:r>
          </w:p>
        </w:tc>
        <w:tc>
          <w:tcPr>
            <w:tcW w:w="2321" w:type="dxa"/>
            <w:noWrap w:val="0"/>
            <w:vAlign w:val="center"/>
          </w:tcPr>
          <w:p w14:paraId="252BDEC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7080" w:type="dxa"/>
            <w:noWrap w:val="0"/>
            <w:vAlign w:val="center"/>
          </w:tcPr>
          <w:p w14:paraId="1894553B">
            <w:pPr>
              <w:pStyle w:val="11"/>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磋商文件中描述供应商的“公章”是指根据我国对公章的管理规定，用供应商法定主体行为名称制作的实物印章或供应商通过指定电子化政府采购平台办理数字证书（CA认证）获得的以法定主体行为名称制作的电子印章。除本竞争性磋商文件有特殊规定外，供应商的财务章、部门章、分公司章、工会章、合同章、投标专用章、业务专用章及银行的转账章、现金收讫章、现金付讫章等其他形式印章均不能代替公章。</w:t>
            </w:r>
          </w:p>
          <w:p w14:paraId="08E11EAE">
            <w:pPr>
              <w:pStyle w:val="11"/>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2.本竞争性磋商文件中描述供应商的“签字”是指供应商通过指定电子化政府采购平台办理数字证书（CA认证）获得的以供应商法定代表人或者委托代理人姓名制作的电子印章或手写签字。</w:t>
            </w:r>
          </w:p>
          <w:p w14:paraId="1D23BB1C">
            <w:pPr>
              <w:pStyle w:val="11"/>
              <w:tabs>
                <w:tab w:val="center" w:pos="4153"/>
                <w:tab w:val="right" w:pos="8306"/>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3.本竞争性磋商文件所称的“电子签章”“电子签名”，是指经“</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”平台认可的CA认证的电子签名数据为表现形式的印章，可用于签署电子响应文件，电子印章与实物印章具有同等法律效力，不因其采用电子化表现形式而否定其法律效力。</w:t>
            </w:r>
          </w:p>
          <w:p w14:paraId="0040FCD1">
            <w:pPr>
              <w:pStyle w:val="11"/>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为其他组织或者自然人时，本竞争性磋商文件规定的法定代表人指负责人或者自然人。本竞争性磋商文件所称负责人是指参加竞标的其他组织营业执照上的负责人，本竞争性磋商文件所称自然人指参与竞标的自然人本人。</w:t>
            </w:r>
          </w:p>
          <w:p w14:paraId="3280955E">
            <w:pPr>
              <w:pStyle w:val="11"/>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5.自然人竞标的，竞争性磋商文件规定盖公章处由自然人摁手指指印。</w:t>
            </w:r>
          </w:p>
          <w:p w14:paraId="53B7F94A">
            <w:pPr>
              <w:pStyle w:val="11"/>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6.同义词语：</w:t>
            </w:r>
            <w:r>
              <w:rPr>
                <w:rFonts w:hint="eastAsia" w:ascii="宋体" w:hAnsi="宋体" w:eastAsia="宋体" w:cs="宋体"/>
                <w:color w:val="auto"/>
                <w:highlight w:val="none"/>
              </w:rPr>
              <w:t>构成</w:t>
            </w:r>
            <w:r>
              <w:rPr>
                <w:rFonts w:hint="eastAsia" w:ascii="宋体" w:hAnsi="宋体" w:eastAsia="宋体" w:cs="宋体"/>
                <w:color w:val="auto"/>
                <w:highlight w:val="none"/>
                <w:lang w:eastAsia="zh-CN"/>
              </w:rPr>
              <w:t>竞争性磋商文件</w:t>
            </w:r>
            <w:r>
              <w:rPr>
                <w:rFonts w:hint="eastAsia" w:ascii="宋体" w:hAnsi="宋体" w:eastAsia="宋体" w:cs="宋体"/>
                <w:color w:val="auto"/>
                <w:highlight w:val="none"/>
              </w:rPr>
              <w:t>组成部分的“通用合同条款”、“专用合同条款”、“技术标准和要求”和“工程量清单”等章节中出现的措辞“发包人”和“承包人”，在采购阶段应当分别按“采购人”和“供应商”进行理解。</w:t>
            </w:r>
          </w:p>
          <w:p w14:paraId="5A213A0A">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 xml:space="preserve">    7.本竞争性磋商文件所称的“以上”“以下”“以内”“届满”，包括本数；所称的“不满”“超过”“以外”，不包括本数。</w:t>
            </w:r>
          </w:p>
        </w:tc>
      </w:tr>
    </w:tbl>
    <w:p w14:paraId="2360262F">
      <w:pPr>
        <w:pStyle w:val="3"/>
        <w:pageBreakBefore w:val="0"/>
        <w:widowControl w:val="0"/>
        <w:kinsoku/>
        <w:wordWrap/>
        <w:overflowPunct/>
        <w:topLinePunct w:val="0"/>
        <w:autoSpaceDE/>
        <w:autoSpaceDN/>
        <w:bidi w:val="0"/>
        <w:spacing w:line="360" w:lineRule="auto"/>
        <w:jc w:val="center"/>
        <w:rPr>
          <w:rFonts w:hint="eastAsia" w:ascii="宋体" w:hAnsi="宋体" w:eastAsia="宋体" w:cs="宋体"/>
          <w:b w:val="0"/>
          <w:bCs/>
          <w:color w:val="auto"/>
          <w:highlight w:val="none"/>
        </w:rPr>
      </w:pPr>
      <w:r>
        <w:rPr>
          <w:rFonts w:hint="eastAsia" w:ascii="宋体" w:hAnsi="宋体" w:eastAsia="宋体" w:cs="宋体"/>
          <w:b w:val="0"/>
          <w:bCs/>
          <w:color w:val="auto"/>
          <w:highlight w:val="none"/>
        </w:rPr>
        <w:br w:type="page"/>
      </w:r>
      <w:bookmarkStart w:id="26" w:name="_Toc30957"/>
      <w:bookmarkStart w:id="27" w:name="_Toc27094"/>
      <w:r>
        <w:rPr>
          <w:rFonts w:hint="eastAsia" w:ascii="宋体" w:hAnsi="宋体" w:eastAsia="宋体" w:cs="宋体"/>
          <w:b/>
          <w:bCs w:val="0"/>
          <w:color w:val="auto"/>
          <w:highlight w:val="none"/>
        </w:rPr>
        <w:t>第二节 供应商须知正文</w:t>
      </w:r>
      <w:bookmarkEnd w:id="26"/>
      <w:bookmarkEnd w:id="27"/>
    </w:p>
    <w:p w14:paraId="55B960EF">
      <w:pPr>
        <w:pStyle w:val="4"/>
        <w:pageBreakBefore w:val="0"/>
        <w:widowControl w:val="0"/>
        <w:kinsoku/>
        <w:wordWrap/>
        <w:overflowPunct/>
        <w:topLinePunct w:val="0"/>
        <w:autoSpaceDE/>
        <w:autoSpaceDN/>
        <w:bidi w:val="0"/>
        <w:spacing w:before="0" w:after="0" w:line="360" w:lineRule="auto"/>
        <w:rPr>
          <w:rFonts w:hint="eastAsia" w:ascii="宋体" w:hAnsi="宋体" w:eastAsia="宋体" w:cs="宋体"/>
          <w:b/>
          <w:bCs w:val="0"/>
          <w:color w:val="auto"/>
          <w:highlight w:val="none"/>
        </w:rPr>
      </w:pPr>
      <w:r>
        <w:rPr>
          <w:rFonts w:hint="eastAsia" w:ascii="宋体" w:hAnsi="宋体" w:eastAsia="宋体" w:cs="宋体"/>
          <w:b/>
          <w:bCs w:val="0"/>
          <w:color w:val="auto"/>
          <w:highlight w:val="none"/>
        </w:rPr>
        <w:t>一、总则</w:t>
      </w:r>
    </w:p>
    <w:p w14:paraId="48D45F76">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1.适用范围</w:t>
      </w:r>
    </w:p>
    <w:p w14:paraId="530B3F9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4D420F4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3C1412C5">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2.定义</w:t>
      </w:r>
    </w:p>
    <w:p w14:paraId="50ED873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52E3C5D9">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4810F19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1F781CA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2.4“服务”是指除货物和工程以外的其他政府采购对象。</w:t>
      </w:r>
    </w:p>
    <w:p w14:paraId="7952FD1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2.5“竞标”是指供应商按照本项目竞争性磋商公告规定的方式获取磋商文件、提交响应文件并希望获得标的的行为。</w:t>
      </w:r>
    </w:p>
    <w:p w14:paraId="3BFA70C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是指：供应商根据本磋商文件要求，编制包含资格证明、报价商务技术等所有内容的文件。</w:t>
      </w:r>
    </w:p>
    <w:p w14:paraId="2C2C2659">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2.7“实质性要求”是指磋商文件中已经指明不满足则响应文件按无效响应处理的条款，或者不能负偏离的条款，或者采购需求中带“▲”的条款。</w:t>
      </w:r>
    </w:p>
    <w:p w14:paraId="7DBAA05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4E5E21B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69ED03D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2.10“允许负偏离的条款”是指采购需求中的不属于“实质性要求”的条款。</w:t>
      </w:r>
    </w:p>
    <w:p w14:paraId="327AC92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2.11“书面形式”是指合同书、信件和数据电文（包括电报、电传、传真、电子数据交换和电子邮件）等可以有形地表现所载内容的形式。</w:t>
      </w:r>
    </w:p>
    <w:p w14:paraId="14EC654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2.12“首次报价”是指供应商提交的首次响应文件中的报价。</w:t>
      </w:r>
    </w:p>
    <w:p w14:paraId="6CA643A1">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2.13“评审报价”是指供应商提交的最后报价并经修正（如有）和政策功能价格扣除（如有）后的价格。</w:t>
      </w:r>
    </w:p>
    <w:p w14:paraId="5F469FD9">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3.供应商的资格条件</w:t>
      </w:r>
    </w:p>
    <w:p w14:paraId="38483A01">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6AD4B2AE">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4.磋商费用</w:t>
      </w:r>
    </w:p>
    <w:p w14:paraId="3C343B0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636653E6">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5.联合体竞标</w:t>
      </w:r>
    </w:p>
    <w:p w14:paraId="259DBA1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761692A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524D952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5.3根据《政府采购促进中小企业发展管理办法》（财库[2020]46号）第九规定，接受大中型企业与小微企业组成联合体的采购项目，对于联合协议约定小微企业的合同份额占到合同总金额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503DCE79">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6.转包与分包             </w:t>
      </w:r>
    </w:p>
    <w:p w14:paraId="4CC9B68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6.1本项目是否允许分包详见“供应商须知前附表”，本项目不允许违法分包。</w:t>
      </w:r>
    </w:p>
    <w:p w14:paraId="6DBC3FB1">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6.2根据《政府采购促进中小企业发展管理办法》（财库[2020]46号）第九条规定，允许大中型企业向一家或者多家小微企业分包的采购项目，对于分包意向协议约定小微企业的合同份额占到合同总金额 30%以上的，采购人、采购代理机构应当对大中型企业的报价给予 1%—2%的扣除，用扣除后的价格参加评审。接受分包的小微企业与分包企业之间存在直接控股、管理关系的，不享受价格扣除优惠政策。</w:t>
      </w:r>
    </w:p>
    <w:p w14:paraId="4E9C5C98">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7.特别说明</w:t>
      </w:r>
    </w:p>
    <w:p w14:paraId="4C1362D9">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7.1如果本磋商文件要求提供供应商或制造商的资格、信誉、荣誉、业绩与企业认证等材料的，资格、信誉、荣誉、业绩与企业认证等必须为供应商或者制造商所拥有或自身获得 。</w:t>
      </w:r>
    </w:p>
    <w:p w14:paraId="2EF95F93">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430417A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747981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7.4在政府采购活动中，采购人员及相关人员与供应商有下列利害关系之一的，应当回避：</w:t>
      </w:r>
    </w:p>
    <w:p w14:paraId="4029535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（1）参加采购活动前3年内与供应商存在劳动关系；</w:t>
      </w:r>
    </w:p>
    <w:p w14:paraId="1AD5434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（2）参加采购活动前3年内担任供应商的董事、监事；</w:t>
      </w:r>
    </w:p>
    <w:p w14:paraId="1455CC8B">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（3）参加采购活动前3年内是供应商的控股股东或者实际控制人；</w:t>
      </w:r>
    </w:p>
    <w:p w14:paraId="57F2327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（4）与供应商的法定代表人或者负责人有夫妻、直系血亲、三代以内旁系血亲或者近姻亲关系；</w:t>
      </w:r>
    </w:p>
    <w:p w14:paraId="1CB99A83">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（5）与供应商有其他可能影响政府采购活动公平、公正进行的关系。</w:t>
      </w:r>
    </w:p>
    <w:p w14:paraId="4F3FCFC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09EF68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7.5有下列情形之一的视为供应商相互串通竞标，响应文件将被视为无效：</w:t>
      </w:r>
    </w:p>
    <w:p w14:paraId="29D6766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（1）不同供应商的响应文件由同一单位或者个人编制；或者不同供应商报名的IP地址一致的；或者编制响应文件硬件设备CPU编号、硬盘编号、网卡地址一致的情况。 </w:t>
      </w:r>
    </w:p>
    <w:p w14:paraId="2FA3D65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5386C4B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11DE99F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（4）不同供应商的响应文件异常一致或者报价呈规律性差异；</w:t>
      </w:r>
    </w:p>
    <w:p w14:paraId="15B058B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6A675BEB">
      <w:pPr>
        <w:pageBreakBefore w:val="0"/>
        <w:widowControl w:val="0"/>
        <w:tabs>
          <w:tab w:val="left" w:pos="6931"/>
        </w:tabs>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r>
        <w:rPr>
          <w:rFonts w:hint="eastAsia" w:ascii="宋体" w:hAnsi="宋体" w:eastAsia="宋体" w:cs="宋体"/>
          <w:color w:val="auto"/>
          <w:szCs w:val="21"/>
          <w:highlight w:val="none"/>
        </w:rPr>
        <w:tab/>
      </w:r>
    </w:p>
    <w:p w14:paraId="1A55FFC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7.6供应商有下列情形之一的，属于恶意串通行为，将报同级监督管理部门：</w:t>
      </w:r>
    </w:p>
    <w:p w14:paraId="29C3F5D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59861E9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4BBACF6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0869DB2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5787CD2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2B0D9B6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18F3F64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（7）供应商与采购人或者采购代理机构之间、供应商相互之间，为谋求特定供应商成交或者排斥其他供应商的其他串通行为。</w:t>
      </w:r>
    </w:p>
    <w:p w14:paraId="6478A513">
      <w:pPr>
        <w:pStyle w:val="4"/>
        <w:pageBreakBefore w:val="0"/>
        <w:widowControl w:val="0"/>
        <w:kinsoku/>
        <w:wordWrap/>
        <w:overflowPunct/>
        <w:topLinePunct w:val="0"/>
        <w:autoSpaceDE/>
        <w:autoSpaceDN/>
        <w:bidi w:val="0"/>
        <w:spacing w:before="0" w:after="0" w:line="360" w:lineRule="auto"/>
        <w:rPr>
          <w:rFonts w:hint="eastAsia" w:ascii="宋体" w:hAnsi="宋体" w:eastAsia="宋体" w:cs="宋体"/>
          <w:b/>
          <w:bCs w:val="0"/>
          <w:color w:val="auto"/>
          <w:highlight w:val="none"/>
        </w:rPr>
      </w:pPr>
      <w:r>
        <w:rPr>
          <w:rFonts w:hint="eastAsia" w:ascii="宋体" w:hAnsi="宋体" w:eastAsia="宋体" w:cs="宋体"/>
          <w:b/>
          <w:bCs w:val="0"/>
          <w:color w:val="auto"/>
          <w:highlight w:val="none"/>
        </w:rPr>
        <w:t>二、磋商文件</w:t>
      </w:r>
    </w:p>
    <w:p w14:paraId="0821F580">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8.磋商文件的构成</w:t>
      </w:r>
    </w:p>
    <w:p w14:paraId="6B7D5C9F">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竞争性磋商公告；</w:t>
      </w:r>
    </w:p>
    <w:p w14:paraId="167C340A">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7E2A0B00">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2364199E">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评审程序、评审方法和评审标准；</w:t>
      </w:r>
    </w:p>
    <w:p w14:paraId="0E91BF5E">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0F74AB0C">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645D80AD">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第七章 </w:t>
      </w:r>
      <w:r>
        <w:rPr>
          <w:rFonts w:hint="eastAsia" w:ascii="宋体" w:hAnsi="宋体" w:eastAsia="宋体" w:cs="宋体"/>
          <w:color w:val="auto"/>
          <w:szCs w:val="21"/>
          <w:highlight w:val="none"/>
          <w:lang w:val="en-US" w:eastAsia="zh-CN"/>
        </w:rPr>
        <w:t>工程量清单、图纸；</w:t>
      </w:r>
    </w:p>
    <w:p w14:paraId="71BBF194">
      <w:pPr>
        <w:pageBreakBefore w:val="0"/>
        <w:widowControl w:val="0"/>
        <w:kinsoku/>
        <w:wordWrap/>
        <w:overflowPunct/>
        <w:topLinePunct w:val="0"/>
        <w:autoSpaceDE/>
        <w:autoSpaceDN/>
        <w:bidi w:val="0"/>
        <w:spacing w:line="360" w:lineRule="auto"/>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八</w:t>
      </w:r>
      <w:r>
        <w:rPr>
          <w:rFonts w:hint="eastAsia" w:ascii="宋体" w:hAnsi="宋体" w:eastAsia="宋体" w:cs="宋体"/>
          <w:color w:val="auto"/>
          <w:szCs w:val="21"/>
          <w:highlight w:val="none"/>
        </w:rPr>
        <w:t>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质疑、投诉材料格式</w:t>
      </w:r>
      <w:r>
        <w:rPr>
          <w:rFonts w:hint="eastAsia" w:ascii="宋体" w:hAnsi="宋体" w:eastAsia="宋体" w:cs="宋体"/>
          <w:color w:val="auto"/>
          <w:szCs w:val="21"/>
          <w:highlight w:val="none"/>
          <w:lang w:eastAsia="zh-CN"/>
        </w:rPr>
        <w:t>。</w:t>
      </w:r>
    </w:p>
    <w:p w14:paraId="71FF37B8">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9.供应商的询问</w:t>
      </w:r>
    </w:p>
    <w:p w14:paraId="002B9AD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257E4C37">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10.磋商文件的澄清和修改</w:t>
      </w:r>
    </w:p>
    <w:p w14:paraId="53702AF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1E5B821A">
      <w:pPr>
        <w:pageBreakBefore w:val="0"/>
        <w:widowControl w:val="0"/>
        <w:kinsoku/>
        <w:wordWrap/>
        <w:overflowPunct/>
        <w:topLinePunct w:val="0"/>
        <w:autoSpaceDE/>
        <w:autoSpaceDN/>
        <w:bidi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5648CF6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39E23A4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238C07A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10.5  采购人和采购代理机构可以视采购具体情况，变更提交首次响应文件截止时间和竞谈时间，将变更时间将在“</w:t>
      </w:r>
      <w:r>
        <w:rPr>
          <w:rFonts w:hint="eastAsia" w:ascii="宋体" w:hAnsi="宋体" w:eastAsia="宋体" w:cs="宋体"/>
          <w:color w:val="auto"/>
          <w:highlight w:val="none"/>
          <w:lang w:eastAsia="zh-CN"/>
        </w:rPr>
        <w:t>竞争性磋商公告</w:t>
      </w:r>
      <w:r>
        <w:rPr>
          <w:rFonts w:hint="eastAsia" w:ascii="宋体" w:hAnsi="宋体" w:eastAsia="宋体" w:cs="宋体"/>
          <w:color w:val="auto"/>
          <w:highlight w:val="none"/>
        </w:rPr>
        <w:t>”中“七、其他补充事宜3.网上查询地址”规定的政府采购信息发布媒体上发布更正公告。</w:t>
      </w:r>
    </w:p>
    <w:p w14:paraId="37705B0C">
      <w:pPr>
        <w:pageBreakBefore w:val="0"/>
        <w:widowControl w:val="0"/>
        <w:kinsoku/>
        <w:wordWrap/>
        <w:overflowPunct/>
        <w:topLinePunct w:val="0"/>
        <w:autoSpaceDE/>
        <w:autoSpaceDN/>
        <w:bidi w:val="0"/>
        <w:spacing w:line="360" w:lineRule="auto"/>
        <w:ind w:firstLine="400" w:firstLineChars="200"/>
        <w:rPr>
          <w:rFonts w:hint="eastAsia" w:ascii="宋体" w:hAnsi="宋体" w:eastAsia="宋体" w:cs="宋体"/>
          <w:color w:val="auto"/>
          <w:kern w:val="0"/>
          <w:sz w:val="20"/>
          <w:szCs w:val="21"/>
          <w:highlight w:val="none"/>
        </w:rPr>
      </w:pPr>
      <w:r>
        <w:rPr>
          <w:rFonts w:hint="eastAsia" w:ascii="宋体" w:hAnsi="宋体" w:eastAsia="宋体" w:cs="宋体"/>
          <w:color w:val="auto"/>
          <w:kern w:val="0"/>
          <w:sz w:val="20"/>
          <w:szCs w:val="21"/>
          <w:highlight w:val="none"/>
        </w:rPr>
        <w:t>▲</w:t>
      </w:r>
      <w:r>
        <w:rPr>
          <w:rFonts w:hint="eastAsia" w:ascii="宋体" w:hAnsi="宋体" w:eastAsia="宋体" w:cs="宋体"/>
          <w:b/>
          <w:color w:val="auto"/>
          <w:kern w:val="0"/>
          <w:sz w:val="20"/>
          <w:szCs w:val="21"/>
          <w:highlight w:val="none"/>
        </w:rPr>
        <w:t>响应文件未按磋商文件的澄清、修改的内容编制，又不符合实质性要求的，其响应文件作无效处理。</w:t>
      </w:r>
    </w:p>
    <w:p w14:paraId="0E383F22">
      <w:pPr>
        <w:pStyle w:val="4"/>
        <w:pageBreakBefore w:val="0"/>
        <w:widowControl w:val="0"/>
        <w:kinsoku/>
        <w:wordWrap/>
        <w:overflowPunct/>
        <w:topLinePunct w:val="0"/>
        <w:autoSpaceDE/>
        <w:autoSpaceDN/>
        <w:bidi w:val="0"/>
        <w:spacing w:before="0" w:after="0" w:line="360" w:lineRule="auto"/>
        <w:ind w:firstLine="640" w:firstLineChars="200"/>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三、响应文件的编制</w:t>
      </w:r>
    </w:p>
    <w:p w14:paraId="42310938">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11.响应文件的编制原则</w:t>
      </w:r>
    </w:p>
    <w:p w14:paraId="369CCBEB">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供应商必须按照磋商文件的要求编制响应文件，并对其提交的响应文件的真实性、合法性承担法律责任。响应文件必须对磋商文件作出实质性响应。</w:t>
      </w:r>
    </w:p>
    <w:p w14:paraId="756D4E9A">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12.响应文件的组成</w:t>
      </w:r>
    </w:p>
    <w:p w14:paraId="718535F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12.1响应文件由资格证明文件、报价文件、商务和技术文件三部分组成。</w:t>
      </w:r>
    </w:p>
    <w:p w14:paraId="5C7772CD">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12.1.1资格证明文件：详见须知前附表</w:t>
      </w:r>
    </w:p>
    <w:p w14:paraId="09789078">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12.1.2商务技术文件：详见须知前附表</w:t>
      </w:r>
    </w:p>
    <w:p w14:paraId="1425C897">
      <w:pPr>
        <w:pageBreakBefore w:val="0"/>
        <w:widowControl w:val="0"/>
        <w:kinsoku/>
        <w:wordWrap/>
        <w:overflowPunct/>
        <w:topLinePunct w:val="0"/>
        <w:autoSpaceDE/>
        <w:autoSpaceDN/>
        <w:bidi w:val="0"/>
        <w:spacing w:line="360" w:lineRule="auto"/>
        <w:ind w:left="420" w:leftChars="20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12.1.3报价文件：详见须知前附表</w:t>
      </w:r>
    </w:p>
    <w:p w14:paraId="2591A6B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12.2响应文件电子版：详见须知前附表</w:t>
      </w:r>
    </w:p>
    <w:p w14:paraId="477168B8">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13.计量单位</w:t>
      </w:r>
    </w:p>
    <w:p w14:paraId="538E75C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60548A68">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14.竞标的风险</w:t>
      </w:r>
    </w:p>
    <w:p w14:paraId="3BFE5F0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717D98DF">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15.响应报价要求和构成</w:t>
      </w:r>
    </w:p>
    <w:p w14:paraId="1C373385">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7214FAE9">
      <w:pPr>
        <w:pageBreakBefore w:val="0"/>
        <w:widowControl w:val="0"/>
        <w:tabs>
          <w:tab w:val="left" w:pos="2492"/>
        </w:tabs>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32B52C6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0A6844C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15.3.1供应商的响应报价应符合以下要求，否则响应文件按无效响应处理：</w:t>
      </w:r>
    </w:p>
    <w:p w14:paraId="02B5447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的全部内容分别作完整唯一总价报价，不得存在漏项报价；</w:t>
      </w:r>
    </w:p>
    <w:p w14:paraId="5683F4C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（2）供应商必须就所竞标项目的单项内容作唯一报价。</w:t>
      </w:r>
    </w:p>
    <w:p w14:paraId="7E5512B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15.3.2响应报价（包含首次报价、最后报价）超过所竞标项目规定的采购预算金额或者最高限价的，其响应文件将作无效处理。</w:t>
      </w:r>
    </w:p>
    <w:p w14:paraId="6C5DB17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15.3.3响应报价（包含首次报价、最后报价）超过项目采购预算金额或者最高限价的，其响应文件将作无效处理。</w:t>
      </w:r>
    </w:p>
    <w:p w14:paraId="5D5F1800">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16.竞标有效期</w:t>
      </w:r>
    </w:p>
    <w:p w14:paraId="1FBC047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41185E4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039686C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54BE3736">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17.磋商保证金</w:t>
      </w:r>
    </w:p>
    <w:p w14:paraId="4501A4F9">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3AA2E581">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18.响应文件编制的要求</w:t>
      </w:r>
    </w:p>
    <w:p w14:paraId="4F669783">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eastAsia="宋体" w:cs="宋体"/>
          <w:color w:val="auto"/>
          <w:highlight w:val="none"/>
        </w:rPr>
        <w:t>由此引发的</w:t>
      </w:r>
      <w:r>
        <w:rPr>
          <w:rFonts w:hint="eastAsia" w:ascii="宋体" w:hAnsi="宋体" w:eastAsia="宋体" w:cs="宋体"/>
          <w:color w:val="auto"/>
          <w:szCs w:val="21"/>
          <w:highlight w:val="none"/>
        </w:rPr>
        <w:t>后果由供应商承担。</w:t>
      </w:r>
    </w:p>
    <w:p w14:paraId="38CBC023">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18.2响应文件应按资格证明、报价分别编制，商务技术文件合并编制，本磋商只接受电子版响应文件，要求见本章“12.2响应文件电子版要求”。</w:t>
      </w:r>
    </w:p>
    <w:p w14:paraId="50848D7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18.3响应文件须由供应商在</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规定位置进行签署、盖章，否则其响应文件按无效响应处理。骑缝盖公章不视为在规定位置盖章。</w:t>
      </w:r>
    </w:p>
    <w:p w14:paraId="773DAD6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18.4响应文件中标注的供应商名称应与营业执照（事业单位法人证书、执业许可证、自然人身份证）及电子公章一致，否则其响应文件按无效响应处理。</w:t>
      </w:r>
    </w:p>
    <w:p w14:paraId="4A43DE2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18.5响应文件应避免涂改、行间插字或者删除，否则其响应文件按无效响应处理。</w:t>
      </w:r>
    </w:p>
    <w:p w14:paraId="5E4DEDDC">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19.响应文件的密封和标记</w:t>
      </w:r>
    </w:p>
    <w:p w14:paraId="0C2D3FF9">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07F65E9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19.2使用“广西政府采购云平台电子交易客户端”需要提前申领CA数字证书，申领流程见该项目采购公告附件。</w:t>
      </w:r>
    </w:p>
    <w:p w14:paraId="6F444EB5">
      <w:pPr>
        <w:pageBreakBefore w:val="0"/>
        <w:widowControl w:val="0"/>
        <w:kinsoku/>
        <w:wordWrap/>
        <w:overflowPunct/>
        <w:topLinePunct w:val="0"/>
        <w:autoSpaceDE/>
        <w:autoSpaceDN/>
        <w:bidi w:val="0"/>
        <w:spacing w:line="360" w:lineRule="auto"/>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19.3为确保网上操作合法、有效和安全，供应商应当在响应文件提交截止时间前完成在“政府采购云平台”的身份认证，确保在电子交易过程中能够对相关数据电文进行加密和使用电子签名。</w:t>
      </w:r>
    </w:p>
    <w:p w14:paraId="3837002A">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20.响应文件的提交</w:t>
      </w:r>
    </w:p>
    <w:p w14:paraId="1108F1B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05A88EBB">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36E1000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w:t>
      </w:r>
    </w:p>
    <w:p w14:paraId="669C84B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3B39176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5821327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详见“供应商须知前附表”。</w:t>
      </w:r>
    </w:p>
    <w:p w14:paraId="53CE3E7B">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21.首次响应文件的补充、修改与撤回</w:t>
      </w:r>
    </w:p>
    <w:p w14:paraId="45FCC66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详见“供应商须知前附表”。</w:t>
      </w:r>
    </w:p>
    <w:p w14:paraId="55CB76C0">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22. 首次响应文件的退回</w:t>
      </w:r>
    </w:p>
    <w:p w14:paraId="6E6D774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在首次响应文件提交截止时间止提交响应文件的供应商不足3家时电子响应文件由代理机构在“</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”平台操作退回，除此之外采购人和采购代理机构对已提交的电子响应文件概不退回。</w:t>
      </w:r>
    </w:p>
    <w:p w14:paraId="55856A25">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23. 截止时间后的撤回</w:t>
      </w:r>
    </w:p>
    <w:p w14:paraId="2B2EE15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本项目不收取磋商保证金，供应商在首次响应文件提交截止时间后可向采购人、采购代理机构书面申请撤回电子响应文件。</w:t>
      </w:r>
    </w:p>
    <w:p w14:paraId="7532CDD8">
      <w:pPr>
        <w:pStyle w:val="4"/>
        <w:pageBreakBefore w:val="0"/>
        <w:widowControl w:val="0"/>
        <w:kinsoku/>
        <w:wordWrap/>
        <w:overflowPunct/>
        <w:topLinePunct w:val="0"/>
        <w:autoSpaceDE/>
        <w:autoSpaceDN/>
        <w:bidi w:val="0"/>
        <w:spacing w:before="0" w:after="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四、评审及磋商</w:t>
      </w:r>
    </w:p>
    <w:p w14:paraId="6D28760C">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24.磋商小组成立</w:t>
      </w:r>
    </w:p>
    <w:p w14:paraId="536C165B">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18AE0BB">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27AA707">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25.首次响应文件的开启</w:t>
      </w:r>
    </w:p>
    <w:p w14:paraId="28EC0F0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25.1首次响应文件由磋商小组或者采购代理机构在“供应商须知前附表”规定的时间开启。</w:t>
      </w:r>
    </w:p>
    <w:p w14:paraId="2177450D">
      <w:pPr>
        <w:pageBreakBefore w:val="0"/>
        <w:widowControl w:val="0"/>
        <w:kinsoku/>
        <w:wordWrap/>
        <w:overflowPunct/>
        <w:topLinePunct w:val="0"/>
        <w:autoSpaceDE/>
        <w:autoSpaceDN/>
        <w:bidi w:val="0"/>
        <w:spacing w:line="360" w:lineRule="auto"/>
        <w:ind w:firstLine="420" w:firstLineChars="200"/>
        <w:jc w:val="both"/>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25.2 </w:t>
      </w:r>
      <w:r>
        <w:rPr>
          <w:rFonts w:hint="eastAsia" w:ascii="宋体" w:hAnsi="宋体" w:eastAsia="宋体" w:cs="宋体"/>
          <w:bCs/>
          <w:color w:val="auto"/>
          <w:kern w:val="0"/>
          <w:sz w:val="21"/>
          <w:szCs w:val="21"/>
          <w:highlight w:val="none"/>
          <w:lang w:val="en-US" w:eastAsia="zh-CN" w:bidi="ar-SA"/>
        </w:rPr>
        <w:t>响应文件解密</w:t>
      </w:r>
    </w:p>
    <w:p w14:paraId="22A8181C">
      <w:pPr>
        <w:pageBreakBefore w:val="0"/>
        <w:widowControl w:val="0"/>
        <w:kinsoku/>
        <w:wordWrap/>
        <w:overflowPunct/>
        <w:topLinePunct w:val="0"/>
        <w:autoSpaceDE/>
        <w:autoSpaceDN/>
        <w:bidi w:val="0"/>
        <w:snapToGrid w:val="0"/>
        <w:spacing w:line="360" w:lineRule="auto"/>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采购代理机构将在“供应商须知前附表”规定的时</w:t>
      </w:r>
      <w:r>
        <w:rPr>
          <w:rFonts w:hint="eastAsia" w:ascii="宋体" w:hAnsi="宋体" w:eastAsia="宋体" w:cs="宋体"/>
          <w:color w:val="auto"/>
          <w:kern w:val="0"/>
          <w:sz w:val="21"/>
          <w:szCs w:val="21"/>
          <w:highlight w:val="none"/>
          <w:lang w:val="en-US" w:eastAsia="zh-CN" w:bidi="ar-SA"/>
        </w:rPr>
        <w:t>间通过电子交易平台组织响应文件开启，采购机构依托电子交易平台发起开始解密指令，供应商的法定代表人或其委托代理人</w:t>
      </w:r>
      <w:r>
        <w:rPr>
          <w:rFonts w:hint="eastAsia" w:ascii="宋体" w:hAnsi="宋体" w:eastAsia="宋体" w:cs="宋体"/>
          <w:b/>
          <w:color w:val="auto"/>
          <w:kern w:val="0"/>
          <w:sz w:val="21"/>
          <w:szCs w:val="21"/>
          <w:highlight w:val="none"/>
          <w:lang w:val="en-US" w:eastAsia="zh-CN" w:bidi="ar-SA"/>
        </w:rPr>
        <w:t>须携带加密时所用的CA锁按平台提示和采购文件的规定登录到“广西政府采购云平台”平台电子开标大厅签到并在发起解密指令之时起30分钟内完成对电子响应文件在线解密</w:t>
      </w:r>
      <w:r>
        <w:rPr>
          <w:rFonts w:hint="eastAsia" w:ascii="宋体" w:hAnsi="宋体" w:eastAsia="宋体" w:cs="宋体"/>
          <w:color w:val="auto"/>
          <w:kern w:val="0"/>
          <w:sz w:val="21"/>
          <w:szCs w:val="21"/>
          <w:highlight w:val="none"/>
          <w:lang w:val="en-US" w:eastAsia="zh-CN" w:bidi="ar-SA"/>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eastAsia="宋体" w:cs="宋体"/>
          <w:b/>
          <w:color w:val="auto"/>
          <w:kern w:val="0"/>
          <w:sz w:val="21"/>
          <w:szCs w:val="21"/>
          <w:highlight w:val="none"/>
          <w:lang w:val="en-US" w:eastAsia="zh-CN" w:bidi="ar-SA"/>
        </w:rPr>
        <w:t>视为响应文件无效。</w:t>
      </w:r>
      <w:r>
        <w:rPr>
          <w:rFonts w:hint="eastAsia" w:ascii="宋体" w:hAnsi="宋体" w:eastAsia="宋体" w:cs="宋体"/>
          <w:color w:val="auto"/>
          <w:kern w:val="0"/>
          <w:sz w:val="21"/>
          <w:szCs w:val="21"/>
          <w:highlight w:val="none"/>
          <w:lang w:val="en-US" w:eastAsia="zh-CN" w:bidi="ar-SA"/>
        </w:rPr>
        <w:t>（解密</w:t>
      </w:r>
      <w:r>
        <w:rPr>
          <w:rFonts w:hint="eastAsia" w:ascii="宋体" w:hAnsi="宋体" w:eastAsia="宋体" w:cs="宋体"/>
          <w:bCs/>
          <w:color w:val="auto"/>
          <w:kern w:val="0"/>
          <w:sz w:val="21"/>
          <w:szCs w:val="21"/>
          <w:highlight w:val="none"/>
          <w:lang w:val="en-US" w:eastAsia="zh-CN" w:bidi="ar-SA"/>
        </w:rPr>
        <w:t>异常情况处理：详见本章</w:t>
      </w:r>
      <w:r>
        <w:rPr>
          <w:rFonts w:hint="eastAsia" w:ascii="宋体" w:hAnsi="宋体" w:eastAsia="宋体" w:cs="宋体"/>
          <w:color w:val="auto"/>
          <w:kern w:val="0"/>
          <w:sz w:val="21"/>
          <w:szCs w:val="21"/>
          <w:highlight w:val="none"/>
          <w:lang w:val="en-US" w:eastAsia="zh-CN" w:bidi="ar-SA"/>
        </w:rPr>
        <w:t>26.4电子交易活动的中止。）</w:t>
      </w:r>
    </w:p>
    <w:p w14:paraId="1E319DAA">
      <w:pPr>
        <w:pageBreakBefore w:val="0"/>
        <w:widowControl w:val="0"/>
        <w:kinsoku/>
        <w:wordWrap/>
        <w:overflowPunct/>
        <w:topLinePunct w:val="0"/>
        <w:autoSpaceDE/>
        <w:autoSpaceDN/>
        <w:bidi w:val="0"/>
        <w:spacing w:line="360" w:lineRule="auto"/>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如</w:t>
      </w:r>
      <w:r>
        <w:rPr>
          <w:rFonts w:hint="eastAsia" w:ascii="宋体" w:hAnsi="宋体" w:eastAsia="宋体" w:cs="宋体"/>
          <w:bCs/>
          <w:color w:val="auto"/>
          <w:kern w:val="0"/>
          <w:sz w:val="21"/>
          <w:szCs w:val="21"/>
          <w:highlight w:val="none"/>
          <w:lang w:val="en-US" w:eastAsia="zh-CN" w:bidi="ar-SA"/>
        </w:rPr>
        <w:t>供应商成功解密响应文件，但未在“广西政府采购云平台”电子开标大厅参加磋商的，视同认可磋商过程和结果，</w:t>
      </w:r>
      <w:r>
        <w:rPr>
          <w:rFonts w:hint="eastAsia" w:ascii="宋体" w:hAnsi="宋体" w:eastAsia="宋体" w:cs="宋体"/>
          <w:color w:val="auto"/>
          <w:kern w:val="0"/>
          <w:sz w:val="21"/>
          <w:szCs w:val="21"/>
          <w:highlight w:val="none"/>
          <w:lang w:val="en-US" w:eastAsia="zh-CN" w:bidi="ar-SA"/>
        </w:rPr>
        <w:t>由此产生的后果由供应商自行负责。 参与磋商的供应商不足3家的，不得磋商。</w:t>
      </w:r>
    </w:p>
    <w:p w14:paraId="433269A2">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26.评审程序、评审方法和评审标准</w:t>
      </w:r>
    </w:p>
    <w:p w14:paraId="3529277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26.1磋商小组按照“第四章 评审程序、评审方法和评审标准”规定的方法、评审因素、标准和程序对响应文件进行评审。</w:t>
      </w:r>
    </w:p>
    <w:p w14:paraId="2958B33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26.2 磋商文件内容违反国家有关强制性规定的，磋商小组应当停止评审并向采购人或者采购代理机构说明情况，并在评审报告中书面体现。</w:t>
      </w:r>
    </w:p>
    <w:p w14:paraId="7CE1AA76">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26.3 采购需求负偏离要求及磋商顺序详见 “ 供应商须知前附表”。</w:t>
      </w:r>
    </w:p>
    <w:p w14:paraId="3E5BF3F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26.4电子交易活动的中止。采购过程中出现以下情形，导致电子交易平台无法正常运行，或者无法保证电子交易的公平、公正和安全时，采购机构可中止电子交易活动：</w:t>
      </w:r>
    </w:p>
    <w:p w14:paraId="559F4B0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14:paraId="021D4745">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14:paraId="7C72CC6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14:paraId="5D54041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14:paraId="3D826BA9">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（5）其他无法保证电子交易的公平、公正和安全的情况。</w:t>
      </w:r>
    </w:p>
    <w:p w14:paraId="130415B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79FA680">
      <w:pPr>
        <w:pStyle w:val="4"/>
        <w:pageBreakBefore w:val="0"/>
        <w:widowControl w:val="0"/>
        <w:kinsoku/>
        <w:wordWrap/>
        <w:overflowPunct/>
        <w:topLinePunct w:val="0"/>
        <w:autoSpaceDE/>
        <w:autoSpaceDN/>
        <w:bidi w:val="0"/>
        <w:spacing w:before="0" w:after="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五、成交及合同</w:t>
      </w:r>
    </w:p>
    <w:p w14:paraId="32749ADE">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27.确定成交供应商及结果公告</w:t>
      </w:r>
    </w:p>
    <w:p w14:paraId="0CE28AA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27.1确定成交供应商。</w:t>
      </w:r>
      <w:r>
        <w:rPr>
          <w:rFonts w:hint="eastAsia" w:ascii="宋体" w:hAnsi="宋体" w:eastAsia="宋体" w:cs="宋体"/>
          <w:color w:val="auto"/>
          <w:kern w:val="0"/>
          <w:szCs w:val="21"/>
          <w:highlight w:val="none"/>
          <w:u w:val="single"/>
        </w:rPr>
        <w:t xml:space="preserve"> 由采购人直接委托评审专家确定</w:t>
      </w:r>
      <w:r>
        <w:rPr>
          <w:rFonts w:hint="eastAsia" w:ascii="宋体" w:hAnsi="宋体" w:eastAsia="宋体" w:cs="宋体"/>
          <w:color w:val="auto"/>
          <w:szCs w:val="21"/>
          <w:highlight w:val="none"/>
          <w:u w:val="single"/>
        </w:rPr>
        <w:t>，评审报告提出的排序第一的供应商为成交供应商。</w:t>
      </w:r>
    </w:p>
    <w:p w14:paraId="1FEC6E0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27.2成交通知及成交结果公告。</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w:t>
      </w:r>
      <w:r>
        <w:rPr>
          <w:rFonts w:hint="eastAsia" w:ascii="宋体" w:hAnsi="宋体" w:eastAsia="宋体" w:cs="宋体"/>
          <w:color w:val="auto"/>
          <w:kern w:val="0"/>
          <w:szCs w:val="21"/>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宋体" w:hAnsi="宋体" w:eastAsia="宋体" w:cs="宋体"/>
          <w:color w:val="auto"/>
          <w:szCs w:val="21"/>
          <w:highlight w:val="none"/>
        </w:rPr>
        <w:t>同时向成交供应商发出成交通知书，成交通知书规定签订合同的时间不得超过25日。</w:t>
      </w:r>
    </w:p>
    <w:p w14:paraId="0C0782C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一并保存。成交供应商享受《政府采购促进中小企业发展管理办法》（财库〔2020〕46号）规定的中小企业扶持政策的，采购人、采购代理机构应当随成交结果公开成交供应商的《中小企业声明函》。</w:t>
      </w:r>
    </w:p>
    <w:p w14:paraId="395A097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AB9DA8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27.5</w:t>
      </w:r>
      <w:r>
        <w:rPr>
          <w:rFonts w:hint="eastAsia" w:ascii="宋体" w:hAnsi="宋体" w:eastAsia="宋体" w:cs="宋体"/>
          <w:color w:val="auto"/>
          <w:szCs w:val="21"/>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6FEAA379">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28.履约保证金</w:t>
      </w:r>
    </w:p>
    <w:p w14:paraId="11B0AC8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
          <w:bCs/>
          <w:color w:val="auto"/>
          <w:sz w:val="24"/>
          <w:highlight w:val="none"/>
        </w:rPr>
      </w:pPr>
      <w:r>
        <w:rPr>
          <w:rFonts w:hint="eastAsia" w:ascii="宋体" w:hAnsi="宋体" w:eastAsia="宋体" w:cs="宋体"/>
          <w:color w:val="auto"/>
          <w:szCs w:val="21"/>
          <w:highlight w:val="none"/>
        </w:rPr>
        <w:t>详见 “供应商须知前附表”</w:t>
      </w:r>
    </w:p>
    <w:p w14:paraId="0DDF2E8D">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29.签订合同</w:t>
      </w:r>
    </w:p>
    <w:p w14:paraId="19924C72">
      <w:pPr>
        <w:pStyle w:val="78"/>
        <w:pageBreakBefore w:val="0"/>
        <w:widowControl w:val="0"/>
        <w:kinsoku/>
        <w:wordWrap/>
        <w:overflowPunct/>
        <w:topLinePunct w:val="0"/>
        <w:autoSpaceDE/>
        <w:autoSpaceDN/>
        <w:bidi w:val="0"/>
        <w:snapToGrid w:val="0"/>
        <w:spacing w:before="0" w:line="360" w:lineRule="auto"/>
        <w:ind w:firstLine="4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eastAsia="宋体" w:cs="宋体"/>
          <w:color w:val="auto"/>
          <w:sz w:val="21"/>
          <w:szCs w:val="21"/>
          <w:highlight w:val="none"/>
          <w:lang w:val="zh-CN"/>
        </w:rPr>
        <w:t>如成交供应商为联合体的，由联合体成员各方法定代表人或其授权代表与采购人代表签订合同。</w:t>
      </w:r>
    </w:p>
    <w:p w14:paraId="3D8BD51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1E14FE9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D424AD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29.4如签订合同并生效后，供应商无故拒绝或延期，除按照合同条款处理外，列入不良行为记录，并给予通报。</w:t>
      </w:r>
    </w:p>
    <w:p w14:paraId="5AD84463">
      <w:pPr>
        <w:pStyle w:val="78"/>
        <w:pageBreakBefore w:val="0"/>
        <w:widowControl w:val="0"/>
        <w:kinsoku/>
        <w:wordWrap/>
        <w:overflowPunct/>
        <w:topLinePunct w:val="0"/>
        <w:autoSpaceDE/>
        <w:autoSpaceDN/>
        <w:bidi w:val="0"/>
        <w:spacing w:before="0"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29.5采购合同由采购人与成交供应商根据磋商文件、响应文件等内容通过政府采购电子交易平台在线签订，自动备案，在线签订须携带的材料见“</w:t>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rPr>
        <w:t>供应商须知前附表”。</w:t>
      </w:r>
    </w:p>
    <w:p w14:paraId="643CDE62">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30.政府采购合同公告</w:t>
      </w:r>
    </w:p>
    <w:p w14:paraId="692833A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采购人或者受托采购代理机构应当自政府采购合同签订之日起2个工作日内，将政府采购合同</w:t>
      </w:r>
      <w:r>
        <w:rPr>
          <w:rFonts w:hint="eastAsia" w:ascii="宋体" w:hAnsi="宋体" w:eastAsia="宋体" w:cs="宋体"/>
          <w:bCs/>
          <w:color w:val="auto"/>
          <w:highlight w:val="none"/>
        </w:rPr>
        <w:t>在</w:t>
      </w:r>
      <w:r>
        <w:rPr>
          <w:rFonts w:hint="eastAsia" w:ascii="宋体" w:hAnsi="宋体" w:eastAsia="宋体" w:cs="宋体"/>
          <w:color w:val="auto"/>
          <w:kern w:val="0"/>
          <w:szCs w:val="21"/>
          <w:highlight w:val="none"/>
        </w:rPr>
        <w:t>“广西政府采购网”（http://zfcg.gxzf.gov.cn）</w:t>
      </w:r>
      <w:r>
        <w:rPr>
          <w:rFonts w:hint="eastAsia" w:ascii="宋体" w:hAnsi="宋体" w:eastAsia="宋体" w:cs="宋体"/>
          <w:color w:val="auto"/>
          <w:highlight w:val="none"/>
        </w:rPr>
        <w:t>上公告，但政府采购合同中涉及国家秘密、商业秘密的内容除外。</w:t>
      </w:r>
    </w:p>
    <w:p w14:paraId="69B84F82">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31. 询问、质疑和投诉</w:t>
      </w:r>
    </w:p>
    <w:p w14:paraId="154EE1B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31.1供应商对政府采购活动事项有疑问的，可以向采购人、采购代理机构提出询问，采购人或者采购代理机构应当在3个工作日内对供应商依法提出的询问作出答复。</w:t>
      </w:r>
    </w:p>
    <w:p w14:paraId="23DBFA4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auto"/>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highlight w:val="none"/>
        </w:rPr>
        <w:t>。</w:t>
      </w:r>
      <w:r>
        <w:rPr>
          <w:rFonts w:hint="eastAsia" w:ascii="宋体" w:hAnsi="宋体" w:eastAsia="宋体" w:cs="宋体"/>
          <w:b/>
          <w:color w:val="auto"/>
          <w:szCs w:val="21"/>
          <w:highlight w:val="none"/>
        </w:rPr>
        <w:t xml:space="preserve">具体质疑起算时间及处理方式如下： </w:t>
      </w:r>
    </w:p>
    <w:p w14:paraId="2D4ACFC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（1）潜在供应商依法获取采购文件后，认为采购文件使自己的权益受到损害的，应当在</w:t>
      </w:r>
      <w:r>
        <w:rPr>
          <w:rFonts w:hint="eastAsia" w:ascii="宋体" w:hAnsi="宋体" w:eastAsia="宋体" w:cs="宋体"/>
          <w:bCs/>
          <w:color w:val="auto"/>
          <w:highlight w:val="none"/>
          <w:lang w:eastAsia="zh-CN"/>
        </w:rPr>
        <w:t>竞争性磋商文件</w:t>
      </w:r>
      <w:r>
        <w:rPr>
          <w:rFonts w:hint="eastAsia" w:ascii="宋体" w:hAnsi="宋体" w:eastAsia="宋体" w:cs="宋体"/>
          <w:bCs/>
          <w:color w:val="auto"/>
          <w:highlight w:val="none"/>
        </w:rPr>
        <w:t>公告期限届满之日起7个工作日内提出质疑。</w:t>
      </w:r>
      <w:r>
        <w:rPr>
          <w:rFonts w:hint="eastAsia" w:ascii="宋体" w:hAnsi="宋体" w:eastAsia="宋体" w:cs="宋体"/>
          <w:color w:val="auto"/>
          <w:highlight w:val="none"/>
        </w:rPr>
        <w:t>委托代理协议无特殊约定的，</w:t>
      </w:r>
      <w:r>
        <w:rPr>
          <w:rFonts w:hint="eastAsia" w:ascii="宋体" w:hAnsi="宋体" w:eastAsia="宋体" w:cs="宋体"/>
          <w:bCs/>
          <w:color w:val="auto"/>
          <w:highlight w:val="none"/>
        </w:rPr>
        <w:t>对竞争性磋商文件中采购需求（含资格要求、采购预算和评分办法）的质疑由采购人受理并负责答复；对竞争性磋商文件中的采购执行程序的质疑由采购代理机构受理并负责答复。</w:t>
      </w:r>
    </w:p>
    <w:p w14:paraId="437103C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ED83554">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（3）供应商认为成交结果使自己的权益受到损害的，应当在成交结果公告期限届满之日起7个工作日内提出质疑，由采购人受理并负责答复。</w:t>
      </w:r>
    </w:p>
    <w:p w14:paraId="2B32C220">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6C4E22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auto"/>
          <w:highlight w:val="none"/>
        </w:rPr>
        <w:t>（质疑函格式后附）</w:t>
      </w:r>
      <w:r>
        <w:rPr>
          <w:rFonts w:hint="eastAsia" w:ascii="宋体" w:hAnsi="宋体" w:eastAsia="宋体" w:cs="宋体"/>
          <w:color w:val="auto"/>
          <w:highlight w:val="none"/>
        </w:rPr>
        <w:t>：</w:t>
      </w:r>
    </w:p>
    <w:p w14:paraId="38FA9D6F">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（1）供应商的姓名或者名称、地址、邮编、联系人及联系电话；</w:t>
      </w:r>
    </w:p>
    <w:p w14:paraId="46D1BFA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（2）质疑项目的名称、编号；</w:t>
      </w:r>
    </w:p>
    <w:p w14:paraId="32465C7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（3）具体、明确的质疑事项和与质疑事项相关的请求；</w:t>
      </w:r>
    </w:p>
    <w:p w14:paraId="0DB656A3">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14:paraId="2AC6DA8C">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（5）必要的法律依据；</w:t>
      </w:r>
    </w:p>
    <w:p w14:paraId="198E64AA">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（6）提出质疑的日期。</w:t>
      </w:r>
    </w:p>
    <w:p w14:paraId="17FDDDD2">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供应商为自然人的，应当由本人签字；供应商为法人或者其他组织的，应当由法定代表人、主要负责人，或者其委托代理人签字或者盖章，并加盖公章。</w:t>
      </w:r>
    </w:p>
    <w:p w14:paraId="6E2B8A3E">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2D23028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5D26F8">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1D2B3DBD">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质疑答复导致成交结果改变的，采购人或者采购代理机构应当将有关情况书面报告本级财政部门。</w:t>
      </w:r>
    </w:p>
    <w:p w14:paraId="5EAA6387">
      <w:pPr>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7E96123B">
      <w:pPr>
        <w:pStyle w:val="4"/>
        <w:pageBreakBefore w:val="0"/>
        <w:widowControl w:val="0"/>
        <w:kinsoku/>
        <w:wordWrap/>
        <w:overflowPunct/>
        <w:topLinePunct w:val="0"/>
        <w:autoSpaceDE/>
        <w:autoSpaceDN/>
        <w:bidi w:val="0"/>
        <w:spacing w:before="0" w:after="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六、验收</w:t>
      </w:r>
    </w:p>
    <w:p w14:paraId="3C377107">
      <w:pPr>
        <w:pageBreakBefore w:val="0"/>
        <w:widowControl w:val="0"/>
        <w:tabs>
          <w:tab w:val="left" w:pos="0"/>
        </w:tabs>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32.验收</w:t>
      </w:r>
    </w:p>
    <w:p w14:paraId="13D964B2">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FF44173">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32.2采购人可以邀请参加本项目的其他供应商或者第三方机构参与验收。参与验收的供应商或者第三方机构的意见作为验收书的参考资料一并存档。</w:t>
      </w:r>
    </w:p>
    <w:p w14:paraId="38240FE4">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98218BB">
      <w:pPr>
        <w:pageBreakBefore w:val="0"/>
        <w:widowControl w:val="0"/>
        <w:tabs>
          <w:tab w:val="left" w:pos="0"/>
        </w:tabs>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7667D42">
      <w:pPr>
        <w:pStyle w:val="4"/>
        <w:pageBreakBefore w:val="0"/>
        <w:widowControl w:val="0"/>
        <w:kinsoku/>
        <w:wordWrap/>
        <w:overflowPunct/>
        <w:topLinePunct w:val="0"/>
        <w:autoSpaceDE/>
        <w:autoSpaceDN/>
        <w:bidi w:val="0"/>
        <w:spacing w:before="0" w:after="0"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七、其他事项</w:t>
      </w:r>
    </w:p>
    <w:p w14:paraId="08161D5F">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33.代理服务费</w:t>
      </w:r>
    </w:p>
    <w:p w14:paraId="0FEE41FA">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代理服务收费标准及缴费账户详见“供应商须知前附表”，供应商为联合体的，可以由联合体中的一方或者多方共同交纳代理服务费。</w:t>
      </w:r>
    </w:p>
    <w:p w14:paraId="6B6E8DD8">
      <w:pPr>
        <w:pStyle w:val="13"/>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33.2采购代理服务费收费计算标准：</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2CBF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noWrap w:val="0"/>
            <w:vAlign w:val="top"/>
          </w:tcPr>
          <w:p w14:paraId="233CEE7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0DAD4BC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noWrap w:val="0"/>
            <w:vAlign w:val="center"/>
          </w:tcPr>
          <w:p w14:paraId="0E90E669">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532" w:type="dxa"/>
            <w:noWrap w:val="0"/>
            <w:vAlign w:val="center"/>
          </w:tcPr>
          <w:p w14:paraId="1FA4237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546" w:type="dxa"/>
            <w:noWrap w:val="0"/>
            <w:vAlign w:val="center"/>
          </w:tcPr>
          <w:p w14:paraId="4F95D96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14:paraId="61C0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05C2E64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43568031">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532" w:type="dxa"/>
            <w:noWrap w:val="0"/>
            <w:vAlign w:val="top"/>
          </w:tcPr>
          <w:p w14:paraId="42B59A3F">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546" w:type="dxa"/>
            <w:noWrap w:val="0"/>
            <w:vAlign w:val="top"/>
          </w:tcPr>
          <w:p w14:paraId="099809E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1027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63C8A0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5D33687C">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532" w:type="dxa"/>
            <w:noWrap w:val="0"/>
            <w:vAlign w:val="top"/>
          </w:tcPr>
          <w:p w14:paraId="44F6B1BD">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546" w:type="dxa"/>
            <w:noWrap w:val="0"/>
            <w:vAlign w:val="top"/>
          </w:tcPr>
          <w:p w14:paraId="7E3ECB2E">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4ACD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3FCEA8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37A23803">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532" w:type="dxa"/>
            <w:noWrap w:val="0"/>
            <w:vAlign w:val="top"/>
          </w:tcPr>
          <w:p w14:paraId="2A82C4B3">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546" w:type="dxa"/>
            <w:noWrap w:val="0"/>
            <w:vAlign w:val="top"/>
          </w:tcPr>
          <w:p w14:paraId="534CA11B">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3DC7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79BFC61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716AF0B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532" w:type="dxa"/>
            <w:noWrap w:val="0"/>
            <w:vAlign w:val="top"/>
          </w:tcPr>
          <w:p w14:paraId="6B435914">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546" w:type="dxa"/>
            <w:noWrap w:val="0"/>
            <w:vAlign w:val="top"/>
          </w:tcPr>
          <w:p w14:paraId="3DB7D874">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488D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637BD88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2A118C1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532" w:type="dxa"/>
            <w:noWrap w:val="0"/>
            <w:vAlign w:val="top"/>
          </w:tcPr>
          <w:p w14:paraId="17D5D149">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546" w:type="dxa"/>
            <w:noWrap w:val="0"/>
            <w:vAlign w:val="top"/>
          </w:tcPr>
          <w:p w14:paraId="1222C734">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60D6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7DA914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3BB9BE2B">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2" w:type="dxa"/>
            <w:noWrap w:val="0"/>
            <w:vAlign w:val="top"/>
          </w:tcPr>
          <w:p w14:paraId="5BC1AE8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546" w:type="dxa"/>
            <w:noWrap w:val="0"/>
            <w:vAlign w:val="top"/>
          </w:tcPr>
          <w:p w14:paraId="14E92A7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7184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1724B8E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30A2CC32">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2" w:type="dxa"/>
            <w:noWrap w:val="0"/>
            <w:vAlign w:val="top"/>
          </w:tcPr>
          <w:p w14:paraId="7D4B66D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546" w:type="dxa"/>
            <w:noWrap w:val="0"/>
            <w:vAlign w:val="top"/>
          </w:tcPr>
          <w:p w14:paraId="30DA9CE4">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6071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2CBCCEF5">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1D2B032A">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2" w:type="dxa"/>
            <w:noWrap w:val="0"/>
            <w:vAlign w:val="top"/>
          </w:tcPr>
          <w:p w14:paraId="7111689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46" w:type="dxa"/>
            <w:noWrap w:val="0"/>
            <w:vAlign w:val="top"/>
          </w:tcPr>
          <w:p w14:paraId="36CAA024">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0E09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5307635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75D2EC4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532" w:type="dxa"/>
            <w:noWrap w:val="0"/>
            <w:vAlign w:val="top"/>
          </w:tcPr>
          <w:p w14:paraId="4E240636">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46" w:type="dxa"/>
            <w:noWrap w:val="0"/>
            <w:vAlign w:val="top"/>
          </w:tcPr>
          <w:p w14:paraId="705CA804">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7D41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noWrap w:val="0"/>
            <w:vAlign w:val="top"/>
          </w:tcPr>
          <w:p w14:paraId="3E2F690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w:t>
            </w:r>
            <w:r>
              <w:rPr>
                <w:rFonts w:hint="eastAsia" w:ascii="宋体" w:hAnsi="宋体" w:eastAsia="宋体" w:cs="宋体"/>
                <w:color w:val="auto"/>
                <w:highlight w:val="none"/>
                <w:lang w:val="en-US" w:eastAsia="zh-CN"/>
              </w:rPr>
              <w:t>元</w:t>
            </w:r>
            <w:r>
              <w:rPr>
                <w:rFonts w:hint="eastAsia" w:ascii="宋体" w:hAnsi="宋体" w:eastAsia="宋体" w:cs="宋体"/>
                <w:color w:val="auto"/>
                <w:szCs w:val="21"/>
                <w:highlight w:val="none"/>
              </w:rPr>
              <w:t>以上</w:t>
            </w:r>
          </w:p>
        </w:tc>
        <w:tc>
          <w:tcPr>
            <w:tcW w:w="1659" w:type="dxa"/>
            <w:noWrap w:val="0"/>
            <w:vAlign w:val="top"/>
          </w:tcPr>
          <w:p w14:paraId="4E66570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532" w:type="dxa"/>
            <w:noWrap w:val="0"/>
            <w:vAlign w:val="top"/>
          </w:tcPr>
          <w:p w14:paraId="0C276B38">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46" w:type="dxa"/>
            <w:noWrap w:val="0"/>
            <w:vAlign w:val="top"/>
          </w:tcPr>
          <w:p w14:paraId="12C72565">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3212D79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注：</w:t>
      </w:r>
    </w:p>
    <w:p w14:paraId="3D1A0FB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14:paraId="00D2355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14:paraId="305DC7E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例如：某采购代理业务成交金额或者暂定价为150万元，计算采购代理收费额如下：</w:t>
      </w:r>
    </w:p>
    <w:p w14:paraId="77E6265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100 万元 ×l ％＝ </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 xml:space="preserve"> 万元</w:t>
      </w:r>
    </w:p>
    <w:p w14:paraId="76528BA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150 － 100 ）万元 ×0.</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 0.</w:t>
      </w:r>
      <w:r>
        <w:rPr>
          <w:rFonts w:hint="eastAsia" w:ascii="宋体" w:hAnsi="宋体" w:eastAsia="宋体" w:cs="宋体"/>
          <w:color w:val="auto"/>
          <w:highlight w:val="none"/>
          <w:lang w:val="en-US" w:eastAsia="zh-CN"/>
        </w:rPr>
        <w:t>35</w:t>
      </w:r>
      <w:r>
        <w:rPr>
          <w:rFonts w:hint="eastAsia" w:ascii="宋体" w:hAnsi="宋体" w:eastAsia="宋体" w:cs="宋体"/>
          <w:color w:val="auto"/>
          <w:highlight w:val="none"/>
        </w:rPr>
        <w:t>万元</w:t>
      </w:r>
    </w:p>
    <w:p w14:paraId="520980F4">
      <w:pPr>
        <w:pageBreakBefore w:val="0"/>
        <w:widowControl w:val="0"/>
        <w:tabs>
          <w:tab w:val="left" w:pos="2835"/>
        </w:tabs>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rPr>
        <w:t>合计收费＝ 1 ＋ 0.</w:t>
      </w:r>
      <w:r>
        <w:rPr>
          <w:rFonts w:hint="eastAsia" w:ascii="宋体" w:hAnsi="宋体" w:eastAsia="宋体" w:cs="宋体"/>
          <w:color w:val="auto"/>
          <w:highlight w:val="none"/>
          <w:lang w:val="en-US" w:eastAsia="zh-CN"/>
        </w:rPr>
        <w:t>35</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1.35</w:t>
      </w:r>
      <w:r>
        <w:rPr>
          <w:rFonts w:hint="eastAsia" w:ascii="宋体" w:hAnsi="宋体" w:eastAsia="宋体" w:cs="宋体"/>
          <w:color w:val="auto"/>
          <w:highlight w:val="none"/>
        </w:rPr>
        <w:t xml:space="preserve"> 万元</w:t>
      </w:r>
    </w:p>
    <w:p w14:paraId="3054B8E4">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34.需要补充的其他内容</w:t>
      </w:r>
    </w:p>
    <w:p w14:paraId="131864A0">
      <w:pPr>
        <w:pageBreakBefore w:val="0"/>
        <w:widowControl w:val="0"/>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34.1本磋商文件解释规则详见“供应商须知前附表”。</w:t>
      </w:r>
    </w:p>
    <w:p w14:paraId="25FEC3CC">
      <w:pPr>
        <w:pageBreakBefore w:val="0"/>
        <w:widowControl w:val="0"/>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34.2 其他事项详见“供应商须知前附表”。</w:t>
      </w:r>
    </w:p>
    <w:p w14:paraId="75FC7DB5">
      <w:pPr>
        <w:pageBreakBefore w:val="0"/>
        <w:widowControl w:val="0"/>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工程由中小企业承建，即工程施工单位为中小企业（不对其中涉及的货物的制造商和服务的承接商作出要求）的，享受本文件规定的中小企业扶持政策。</w:t>
      </w:r>
    </w:p>
    <w:p w14:paraId="03737EB2">
      <w:pPr>
        <w:pageBreakBefore w:val="0"/>
        <w:widowControl w:val="0"/>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以联合体形式参加政府采购活动，联合体各方均为中小企业的，联合体视同中小企业。其中，联合体各方均为小微企业的，联合体视同小微企业。</w:t>
      </w:r>
    </w:p>
    <w:p w14:paraId="0521EBB7">
      <w:pPr>
        <w:pageBreakBefore w:val="0"/>
        <w:widowControl w:val="0"/>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依据本文件规定享受扶持政策获得政府采购合同的，小微企业不得将合同分包给大中型企业，中型企业不得将合同分包给大型企业。</w:t>
      </w:r>
    </w:p>
    <w:p w14:paraId="7CD035E5">
      <w:pPr>
        <w:pageBreakBefore w:val="0"/>
        <w:widowControl w:val="0"/>
        <w:kinsoku/>
        <w:wordWrap/>
        <w:overflowPunct/>
        <w:topLinePunct w:val="0"/>
        <w:autoSpaceDE/>
        <w:autoSpaceDN/>
        <w:bidi w:val="0"/>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35. 政采贷相关说明</w:t>
      </w:r>
    </w:p>
    <w:p w14:paraId="5749B727">
      <w:pPr>
        <w:pageBreakBefore w:val="0"/>
        <w:widowControl w:val="0"/>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为优化政府采购营商环境，缓解供应商资金难题，南宁市政府采购试行政府采购信用融资制度，中标供应商如有融资需求，可凭政府采购合同通过以下方式申请政府采购信用融资贷款：</w:t>
      </w:r>
    </w:p>
    <w:p w14:paraId="221C9090">
      <w:pPr>
        <w:pageBreakBefore w:val="0"/>
        <w:widowControl w:val="0"/>
        <w:numPr>
          <w:ilvl w:val="0"/>
          <w:numId w:val="1"/>
        </w:numPr>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线下渠道：在“南宁市公共资源交易中心”官网（网址：</w:t>
      </w:r>
      <w:r>
        <w:rPr>
          <w:rFonts w:hint="eastAsia" w:ascii="宋体" w:hAnsi="宋体" w:eastAsia="宋体" w:cs="宋体"/>
          <w:color w:val="auto"/>
          <w:kern w:val="0"/>
          <w:sz w:val="21"/>
          <w:szCs w:val="21"/>
          <w:highlight w:val="none"/>
          <w:lang w:val="en-US" w:eastAsia="zh-CN" w:bidi="ar-SA"/>
        </w:rPr>
        <w:fldChar w:fldCharType="begin"/>
      </w:r>
      <w:r>
        <w:rPr>
          <w:rFonts w:hint="eastAsia" w:ascii="宋体" w:hAnsi="宋体" w:eastAsia="宋体" w:cs="宋体"/>
          <w:color w:val="auto"/>
          <w:kern w:val="0"/>
          <w:sz w:val="21"/>
          <w:szCs w:val="21"/>
          <w:highlight w:val="none"/>
          <w:lang w:val="en-US" w:eastAsia="zh-CN" w:bidi="ar-SA"/>
        </w:rPr>
        <w:instrText xml:space="preserve"> HYPERLINK "http://www.nnggzy.org.cn）\“交易信息-政府采购-政府采购信用融资\”中融资银行和南宁市企业融资服务中心专栏信息申请政府采购信用融资。" </w:instrText>
      </w:r>
      <w:r>
        <w:rPr>
          <w:rFonts w:hint="eastAsia" w:ascii="宋体" w:hAnsi="宋体" w:eastAsia="宋体" w:cs="宋体"/>
          <w:color w:val="auto"/>
          <w:kern w:val="0"/>
          <w:sz w:val="21"/>
          <w:szCs w:val="21"/>
          <w:highlight w:val="none"/>
          <w:lang w:val="en-US" w:eastAsia="zh-CN" w:bidi="ar-SA"/>
        </w:rPr>
        <w:fldChar w:fldCharType="separate"/>
      </w:r>
      <w:r>
        <w:rPr>
          <w:rFonts w:hint="eastAsia" w:ascii="宋体" w:hAnsi="宋体" w:eastAsia="宋体" w:cs="宋体"/>
          <w:color w:val="auto"/>
          <w:kern w:val="0"/>
          <w:sz w:val="21"/>
          <w:szCs w:val="21"/>
          <w:highlight w:val="none"/>
          <w:lang w:val="en-US" w:eastAsia="zh-CN" w:bidi="ar-SA"/>
        </w:rPr>
        <w:t>http://www.nnggzy.org.cn）“交易信息-政府采购-政府采购信用融资”中融资银行和南宁市企业融资服务中心专栏信息申请政府采购信用融资。</w:t>
      </w:r>
      <w:r>
        <w:rPr>
          <w:rFonts w:hint="eastAsia" w:ascii="宋体" w:hAnsi="宋体" w:eastAsia="宋体" w:cs="宋体"/>
          <w:color w:val="auto"/>
          <w:kern w:val="0"/>
          <w:sz w:val="21"/>
          <w:szCs w:val="21"/>
          <w:highlight w:val="none"/>
          <w:lang w:val="en-US" w:eastAsia="zh-CN" w:bidi="ar-SA"/>
        </w:rPr>
        <w:fldChar w:fldCharType="end"/>
      </w:r>
    </w:p>
    <w:p w14:paraId="421A33ED">
      <w:pPr>
        <w:pageBreakBefore w:val="0"/>
        <w:widowControl w:val="0"/>
        <w:numPr>
          <w:ilvl w:val="0"/>
          <w:numId w:val="1"/>
        </w:numPr>
        <w:kinsoku/>
        <w:wordWrap/>
        <w:overflowPunct/>
        <w:topLinePunct w:val="0"/>
        <w:autoSpaceDE/>
        <w:autoSpaceDN/>
        <w:bidi w:val="0"/>
        <w:spacing w:line="360" w:lineRule="auto"/>
        <w:ind w:firstLine="420" w:firstLineChars="200"/>
        <w:jc w:val="both"/>
        <w:textAlignment w:val="center"/>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72B3A32B">
      <w:pPr>
        <w:pStyle w:val="21"/>
        <w:rPr>
          <w:rFonts w:hint="eastAsia" w:ascii="宋体" w:hAnsi="宋体" w:eastAsia="宋体" w:cs="宋体"/>
          <w:color w:val="auto"/>
          <w:szCs w:val="21"/>
          <w:highlight w:val="none"/>
        </w:rPr>
      </w:pPr>
    </w:p>
    <w:p w14:paraId="56D6137B">
      <w:pPr>
        <w:pStyle w:val="21"/>
        <w:rPr>
          <w:rFonts w:hint="eastAsia" w:ascii="宋体" w:hAnsi="宋体" w:eastAsia="宋体" w:cs="宋体"/>
          <w:color w:val="auto"/>
          <w:szCs w:val="21"/>
          <w:highlight w:val="none"/>
        </w:rPr>
      </w:pPr>
    </w:p>
    <w:p w14:paraId="186A457D">
      <w:pPr>
        <w:pStyle w:val="21"/>
        <w:rPr>
          <w:rFonts w:hint="eastAsia" w:ascii="宋体" w:hAnsi="宋体" w:eastAsia="宋体" w:cs="宋体"/>
          <w:color w:val="auto"/>
          <w:szCs w:val="21"/>
          <w:highlight w:val="none"/>
        </w:rPr>
      </w:pPr>
    </w:p>
    <w:p w14:paraId="1A65725A">
      <w:pPr>
        <w:pStyle w:val="2"/>
        <w:pageBreakBefore w:val="0"/>
        <w:kinsoku/>
        <w:wordWrap/>
        <w:overflowPunct/>
        <w:topLinePunct w:val="0"/>
        <w:autoSpaceDE/>
        <w:autoSpaceDN/>
        <w:bidi w:val="0"/>
        <w:spacing w:line="360" w:lineRule="auto"/>
        <w:jc w:val="center"/>
        <w:textAlignment w:val="auto"/>
        <w:rPr>
          <w:rFonts w:hint="eastAsia" w:ascii="宋体" w:hAnsi="宋体" w:eastAsia="宋体" w:cs="宋体"/>
          <w:b/>
          <w:bCs/>
          <w:color w:val="auto"/>
          <w:highlight w:val="none"/>
        </w:rPr>
      </w:pPr>
      <w:bookmarkStart w:id="28" w:name="_Toc3879"/>
      <w:bookmarkStart w:id="29" w:name="_Toc8412"/>
      <w:bookmarkStart w:id="30" w:name="_Toc21081"/>
      <w:bookmarkStart w:id="31" w:name="_Toc8593"/>
      <w:bookmarkStart w:id="32" w:name="_Toc17511"/>
      <w:bookmarkStart w:id="33" w:name="_Toc28979"/>
      <w:r>
        <w:rPr>
          <w:rFonts w:hint="eastAsia" w:ascii="宋体" w:hAnsi="宋体" w:eastAsia="宋体" w:cs="宋体"/>
          <w:b/>
          <w:bCs/>
          <w:color w:val="auto"/>
          <w:highlight w:val="none"/>
        </w:rPr>
        <w:br w:type="page"/>
      </w:r>
      <w:r>
        <w:rPr>
          <w:rFonts w:hint="eastAsia" w:ascii="宋体" w:hAnsi="宋体" w:eastAsia="宋体" w:cs="宋体"/>
          <w:b/>
          <w:bCs/>
          <w:color w:val="auto"/>
          <w:highlight w:val="none"/>
        </w:rPr>
        <w:t>第四章  评审程序、评审方法和评审标准</w:t>
      </w:r>
      <w:bookmarkEnd w:id="28"/>
      <w:bookmarkEnd w:id="29"/>
      <w:bookmarkEnd w:id="30"/>
      <w:bookmarkEnd w:id="31"/>
      <w:bookmarkEnd w:id="32"/>
      <w:bookmarkEnd w:id="33"/>
    </w:p>
    <w:p w14:paraId="41600277">
      <w:pPr>
        <w:pStyle w:val="3"/>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highlight w:val="none"/>
        </w:rPr>
      </w:pPr>
      <w:bookmarkStart w:id="34" w:name="_Toc11607"/>
      <w:bookmarkStart w:id="35" w:name="_Toc17424"/>
      <w:r>
        <w:rPr>
          <w:rFonts w:hint="eastAsia" w:ascii="宋体" w:hAnsi="宋体" w:eastAsia="宋体" w:cs="宋体"/>
          <w:b w:val="0"/>
          <w:bCs/>
          <w:color w:val="auto"/>
          <w:highlight w:val="none"/>
        </w:rPr>
        <w:t>第一节 评审程序和评审方法</w:t>
      </w:r>
      <w:bookmarkEnd w:id="34"/>
      <w:bookmarkEnd w:id="35"/>
    </w:p>
    <w:p w14:paraId="69A6846C">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5D7418C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由磋商小组确认磋商文件。</w:t>
      </w:r>
    </w:p>
    <w:p w14:paraId="3644C534">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2.资格审查</w:t>
      </w:r>
    </w:p>
    <w:p w14:paraId="1AAF64EB">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2.1响应文件开启后，磋商小组依法对供应商的资格证明文件进行审查。</w:t>
      </w:r>
    </w:p>
    <w:p w14:paraId="39F12E1B">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5C365C8B">
      <w:pPr>
        <w:keepNext w:val="0"/>
        <w:keepLines w:val="0"/>
        <w:pageBreakBefore w:val="0"/>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eastAsia="宋体" w:cs="宋体"/>
          <w:color w:val="auto"/>
          <w:szCs w:val="21"/>
          <w:highlight w:val="none"/>
          <w:lang w:eastAsia="zh-CN"/>
        </w:rPr>
        <w:t>广西政府采购云平台</w:t>
      </w:r>
      <w:r>
        <w:rPr>
          <w:rFonts w:hint="eastAsia" w:ascii="宋体" w:hAnsi="宋体" w:eastAsia="宋体" w:cs="宋体"/>
          <w:color w:val="auto"/>
          <w:szCs w:val="21"/>
          <w:highlight w:val="none"/>
        </w:rPr>
        <w:t>”平台“信用中国”网站(</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"http://www.creditchina.gov.cn" </w:instrText>
      </w:r>
      <w:r>
        <w:rPr>
          <w:rFonts w:hint="eastAsia" w:ascii="宋体" w:hAnsi="宋体" w:eastAsia="宋体" w:cs="宋体"/>
          <w:color w:val="auto"/>
          <w:szCs w:val="21"/>
          <w:highlight w:val="none"/>
        </w:rPr>
        <w:fldChar w:fldCharType="separate"/>
      </w:r>
      <w:r>
        <w:rPr>
          <w:rStyle w:val="35"/>
          <w:rFonts w:hint="eastAsia" w:ascii="宋体" w:hAnsi="宋体" w:eastAsia="宋体" w:cs="宋体"/>
          <w:color w:val="auto"/>
          <w:highlight w:val="none"/>
        </w:rPr>
        <w:t>www.creditchina.gov.cn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 </w:instrText>
      </w:r>
      <w:r>
        <w:rPr>
          <w:rFonts w:hint="eastAsia" w:ascii="宋体" w:hAnsi="宋体" w:eastAsia="宋体" w:cs="宋体"/>
          <w:color w:val="auto"/>
          <w:szCs w:val="21"/>
          <w:highlight w:val="none"/>
        </w:rPr>
        <w:fldChar w:fldCharType="separate"/>
      </w:r>
      <w:r>
        <w:rPr>
          <w:rStyle w:val="35"/>
          <w:rFonts w:hint="eastAsia" w:ascii="宋体" w:hAnsi="宋体" w:eastAsia="宋体" w:cs="宋体"/>
          <w:color w:val="auto"/>
          <w:highlight w:val="none"/>
        </w:rPr>
        <w:t>www.ccgp.gov.cn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)链接入口。</w:t>
      </w:r>
    </w:p>
    <w:p w14:paraId="0A5AB4D8">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769C6160">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查询记录和证据留存方式：在查询网站中直接打印查询记录，截图另存为电子文档作为评审资料保存。</w:t>
      </w:r>
    </w:p>
    <w:p w14:paraId="47CF199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BFF93C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2.2资格审查标准为本磋商文件中载明对供应商资格要求的条件。资格审查采用合格制，凡符合磋商文件规定的供应商资格要求的响应文件均通过资格审查。</w:t>
      </w:r>
    </w:p>
    <w:p w14:paraId="5C280CB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2.3供应商有下列情形之一的，资格审查不通过，其响应文件按无效响应处理：</w:t>
      </w:r>
    </w:p>
    <w:p w14:paraId="19432187">
      <w:pPr>
        <w:keepNext w:val="0"/>
        <w:keepLines w:val="0"/>
        <w:pageBreakBefore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（1）不具备磋商文件中规定的资格要求的；</w:t>
      </w:r>
    </w:p>
    <w:p w14:paraId="7A9E77B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（2）响应文件未提供任一项“供应商须知前附表”资格证明文件规定的“必须提供”的文件资料的；</w:t>
      </w:r>
    </w:p>
    <w:p w14:paraId="0CC12FC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（3）响应文件提供的资格证明文件出现任一项不符合“供应商须知前附表”资格证明文件规定的“必须提供”的文件资料要求或者无效的。</w:t>
      </w:r>
    </w:p>
    <w:p w14:paraId="3A5EBB6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（4）同一合同项下的不同供应商，单位负责人为同一人或者存在直接控股、管理关系的；为本项目提供过整体设计、规范编制或者项目管理、监理、检测等服务的。</w:t>
      </w:r>
    </w:p>
    <w:p w14:paraId="7F90436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1EEB144D">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3.符合性审查</w:t>
      </w:r>
    </w:p>
    <w:p w14:paraId="36852AF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3.1由磋商小组对通过资格审查的合格供应商的响应文件的响应报价、商务、技术等实质性要求进行符合性审查，以确定其是否满足磋商文件的实质性要求。</w:t>
      </w:r>
    </w:p>
    <w:p w14:paraId="657B745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43FE77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Cs w:val="21"/>
          <w:highlight w:val="none"/>
        </w:rPr>
        <w:t>。供应商为自然人的，必须由本人签字并附身份证明。</w:t>
      </w:r>
    </w:p>
    <w:p w14:paraId="04EAD794">
      <w:pPr>
        <w:keepNext w:val="0"/>
        <w:keepLines w:val="0"/>
        <w:pageBreakBefore w:val="0"/>
        <w:kinsoku/>
        <w:wordWrap/>
        <w:overflowPunct/>
        <w:topLinePunct w:val="0"/>
        <w:autoSpaceDE/>
        <w:autoSpaceDN/>
        <w:bidi w:val="0"/>
        <w:spacing w:line="360" w:lineRule="auto"/>
        <w:ind w:firstLine="396"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首次响应文件报价出现前后不一致的，按照下列规定修正： </w:t>
      </w:r>
    </w:p>
    <w:p w14:paraId="61A32B9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（1）响应文件中报价表内容与响应文件中相应内容不一致的，以报价表为准；</w:t>
      </w:r>
    </w:p>
    <w:p w14:paraId="4C766E9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0FF20AA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1704509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699FD3C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3A7A43D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15CAA81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在评审时，如发现下列情形之一的，将被视为响应文件无效处理：</w:t>
      </w:r>
    </w:p>
    <w:p w14:paraId="05C459F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439A11E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6982285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17E0509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7CDF053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4）商务条款中标“▲”的条款发生负偏离的或者允许负偏离的条款数超过“供应商须知前附表”规定项数的或者标明实质性的要求发生负偏离；</w:t>
      </w:r>
    </w:p>
    <w:p w14:paraId="0118CA3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5）未对竞标有效期作出响应或者响应文件承诺的竞标有效期不满足磋商文件要求；</w:t>
      </w:r>
    </w:p>
    <w:p w14:paraId="08FBB86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6）响应文件的实质性内容未使用中文表述、使用计量单位不符合磋商文件要求；</w:t>
      </w:r>
    </w:p>
    <w:p w14:paraId="2542588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7）响应文件中的文件资料因填写不齐全或者内容虚假或者出现其他情形而导致被磋商小组认定无效；</w:t>
      </w:r>
    </w:p>
    <w:p w14:paraId="1E62AA8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8）响应文件含有采购人不能接受的附加条件；</w:t>
      </w:r>
    </w:p>
    <w:p w14:paraId="379310F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9）属于“供应商须知正文”第7.5条情形；</w:t>
      </w:r>
    </w:p>
    <w:p w14:paraId="646A41F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10）技术需求允许负偏离的条款数超过“供应商须知前附表”规定项数；</w:t>
      </w:r>
    </w:p>
    <w:p w14:paraId="0D28579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11）虚假竞标，或者出现其他情形而导致被磋商小组认定无效；</w:t>
      </w:r>
    </w:p>
    <w:p w14:paraId="446D616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12）竞标技术方案不明确，磋商文件未允许但响应文件中存在一个或者一个以上备选（替代）竞标方案；</w:t>
      </w:r>
    </w:p>
    <w:p w14:paraId="18793AB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13）响应文件标注的项目名称或者项目编号与竞争性磋商文件标注的项目名称或者项目编号不一致的；</w:t>
      </w:r>
    </w:p>
    <w:p w14:paraId="145B75C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14）未响应磋商文件实质性要求；</w:t>
      </w:r>
    </w:p>
    <w:p w14:paraId="6B10D77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15）法律、法规和磋商文件规定的其他无效情形。</w:t>
      </w:r>
    </w:p>
    <w:p w14:paraId="4251EB89">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3F3525D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3D7C397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0269D27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进行报价或者存在漏项报价；供应商未就所竞标项目的单项内容作唯一报价；供应商未就所竞标项目的全部内容作唯一总价报价；供应商响应文件中存在有选择、有条件报价的（磋商文件允许有备选方案或者其他约定的除外）；</w:t>
      </w:r>
    </w:p>
    <w:p w14:paraId="214EDFF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项目规定的采购预算金额或者最高限价的（如本项目公布了最高限价）；响应报价（包含首次报价、最后报价）超过磋商文件项目采购预算金额或者最高限价的（如本项目公布了最高限价）；</w:t>
      </w:r>
    </w:p>
    <w:p w14:paraId="382C8AA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项目规定的采购预算金额或者最高限价（如本项目公布了最高限价）；或者经供应商确认修正后响应报价（包含首次报价、最后报价）超过磋商文件分项采购预算金额或者最高限价的（如本项目公布了最高限价）。</w:t>
      </w:r>
    </w:p>
    <w:p w14:paraId="59D332D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6）供应商已标价工程量清单中的项目编码（12位）、项目名称、项目特征、计量单位、工程量与工程量清单不一致的；</w:t>
      </w:r>
    </w:p>
    <w:p w14:paraId="2C1B6C06">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）响应文件响应的标的数量及单位与</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要求实质性不一致的。</w:t>
      </w:r>
    </w:p>
    <w:p w14:paraId="0D265B8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F5CBCBC">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3DCD3E28">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4.磋商程序</w:t>
      </w:r>
    </w:p>
    <w:p w14:paraId="77BCC838">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4.1磋商小组按照“供应商须知前附表”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4181DA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FA8F89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4.3对磋商文件作出的实质性变动是磋商文件的有效组成部分，由磋商小组及时以电子澄清函形式同时通知所有参加磋商的供应商。</w:t>
      </w:r>
    </w:p>
    <w:p w14:paraId="4F628BA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4E2B09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4.5磋商中，</w:t>
      </w:r>
      <w:r>
        <w:rPr>
          <w:rFonts w:hint="eastAsia" w:ascii="宋体" w:hAnsi="宋体" w:eastAsia="宋体" w:cs="宋体"/>
          <w:color w:val="auto"/>
          <w:spacing w:val="-6"/>
          <w:szCs w:val="21"/>
          <w:highlight w:val="none"/>
        </w:rPr>
        <w:t>磋商的任何一方不得透露与磋商有关的其他供应商的技术资料、价格和其他信息。</w:t>
      </w:r>
    </w:p>
    <w:p w14:paraId="0D56F341">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
          <w:color w:val="auto"/>
          <w:highlight w:val="none"/>
        </w:rPr>
      </w:pPr>
      <w:r>
        <w:rPr>
          <w:rFonts w:hint="eastAsia" w:ascii="宋体" w:hAnsi="宋体" w:eastAsia="宋体" w:cs="宋体"/>
          <w:color w:val="auto"/>
          <w:szCs w:val="21"/>
          <w:highlight w:val="none"/>
        </w:rPr>
        <w:t>4.6磋商小组应对磋商过程和重要磋商内容进行记录，作为</w:t>
      </w:r>
      <w:r>
        <w:rPr>
          <w:rFonts w:hint="eastAsia" w:ascii="宋体" w:hAnsi="宋体" w:eastAsia="宋体" w:cs="宋体"/>
          <w:color w:val="auto"/>
          <w:szCs w:val="21"/>
          <w:highlight w:val="none"/>
          <w:lang w:eastAsia="zh-CN"/>
        </w:rPr>
        <w:t>评审报告</w:t>
      </w:r>
      <w:r>
        <w:rPr>
          <w:rFonts w:hint="eastAsia" w:ascii="宋体" w:hAnsi="宋体" w:eastAsia="宋体" w:cs="宋体"/>
          <w:color w:val="auto"/>
          <w:szCs w:val="21"/>
          <w:highlight w:val="none"/>
        </w:rPr>
        <w:t>一部分，磋商小组在记录上签字确认。</w:t>
      </w:r>
      <w:r>
        <w:rPr>
          <w:rFonts w:hint="eastAsia" w:ascii="宋体" w:hAnsi="宋体" w:eastAsia="宋体" w:cs="宋体"/>
          <w:b/>
          <w:color w:val="auto"/>
          <w:highlight w:val="none"/>
        </w:rPr>
        <w:t>主要内容包括：</w:t>
      </w:r>
    </w:p>
    <w:p w14:paraId="5656023F">
      <w:pPr>
        <w:pStyle w:val="78"/>
        <w:keepNext w:val="0"/>
        <w:keepLines w:val="0"/>
        <w:pageBreakBefore w:val="0"/>
        <w:kinsoku/>
        <w:wordWrap/>
        <w:overflowPunct/>
        <w:topLinePunct w:val="0"/>
        <w:autoSpaceDE/>
        <w:autoSpaceDN/>
        <w:bidi w:val="0"/>
        <w:spacing w:before="0" w:line="360" w:lineRule="auto"/>
        <w:ind w:firstLine="396"/>
        <w:textAlignment w:val="auto"/>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（1）按照相关规定进行公示的，公示情况说明；</w:t>
      </w:r>
    </w:p>
    <w:p w14:paraId="66EF1ED3">
      <w:pPr>
        <w:pStyle w:val="78"/>
        <w:keepNext w:val="0"/>
        <w:keepLines w:val="0"/>
        <w:pageBreakBefore w:val="0"/>
        <w:kinsoku/>
        <w:wordWrap/>
        <w:overflowPunct/>
        <w:topLinePunct w:val="0"/>
        <w:autoSpaceDE/>
        <w:autoSpaceDN/>
        <w:bidi w:val="0"/>
        <w:spacing w:before="0" w:line="360" w:lineRule="auto"/>
        <w:ind w:firstLine="396"/>
        <w:textAlignment w:val="auto"/>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（2）磋商日期和地点，磋商人员名单；</w:t>
      </w:r>
    </w:p>
    <w:p w14:paraId="600E27E9">
      <w:pPr>
        <w:pStyle w:val="78"/>
        <w:keepNext w:val="0"/>
        <w:keepLines w:val="0"/>
        <w:pageBreakBefore w:val="0"/>
        <w:kinsoku/>
        <w:wordWrap/>
        <w:overflowPunct/>
        <w:topLinePunct w:val="0"/>
        <w:autoSpaceDE/>
        <w:autoSpaceDN/>
        <w:bidi w:val="0"/>
        <w:spacing w:before="0" w:line="360" w:lineRule="auto"/>
        <w:ind w:firstLine="396"/>
        <w:textAlignment w:val="auto"/>
        <w:rPr>
          <w:rFonts w:hint="eastAsia" w:ascii="宋体" w:hAnsi="宋体" w:eastAsia="宋体" w:cs="宋体"/>
          <w:color w:val="auto"/>
          <w:spacing w:val="-6"/>
          <w:kern w:val="2"/>
          <w:sz w:val="21"/>
          <w:szCs w:val="21"/>
          <w:highlight w:val="none"/>
        </w:rPr>
      </w:pPr>
      <w:r>
        <w:rPr>
          <w:rFonts w:hint="eastAsia" w:ascii="宋体" w:hAnsi="宋体" w:eastAsia="宋体" w:cs="宋体"/>
          <w:color w:val="auto"/>
          <w:spacing w:val="-6"/>
          <w:kern w:val="2"/>
          <w:sz w:val="21"/>
          <w:szCs w:val="21"/>
          <w:highlight w:val="none"/>
        </w:rPr>
        <w:t>（3）合同主要条款及价格商定情况。</w:t>
      </w:r>
    </w:p>
    <w:p w14:paraId="0B716E71">
      <w:pPr>
        <w:keepNext w:val="0"/>
        <w:keepLines w:val="0"/>
        <w:pageBreakBefore w:val="0"/>
        <w:widowControl/>
        <w:tabs>
          <w:tab w:val="left" w:pos="540"/>
        </w:tabs>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4.7磋商过程中重新提交的响应文件，供应商可以在开启前补充、修改。</w:t>
      </w:r>
    </w:p>
    <w:p w14:paraId="328846B1">
      <w:pPr>
        <w:keepNext w:val="0"/>
        <w:keepLines w:val="0"/>
        <w:pageBreakBefore w:val="0"/>
        <w:tabs>
          <w:tab w:val="left" w:pos="2835"/>
        </w:tabs>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4.8对磋商过程提交的响应文件进行有效性、完整性和响应程度审查，通过审查的合格供应商不足3家的，采购人或者采购代理机构应当重新开展采购活动。</w:t>
      </w:r>
    </w:p>
    <w:p w14:paraId="11465EEA">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 w:val="24"/>
          <w:highlight w:val="none"/>
        </w:rPr>
        <w:t>5.最后报价</w:t>
      </w:r>
    </w:p>
    <w:p w14:paraId="473E1EA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31C5FAE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4EE4372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50358A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5.4已经提交响应文件的供应商，在提交最后报价之前，可以根据磋商情况退出磋商，退出磋商的供应商的响应文件按无效响应处理。</w:t>
      </w:r>
    </w:p>
    <w:p w14:paraId="4745B54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5.5供应商未在规定时间内提交最后报价的，视同退出磋商，其响应文件按无效处理。</w:t>
      </w:r>
    </w:p>
    <w:p w14:paraId="607B67BA">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5.6磋商小组收齐某一分标最后报价后统一开启，磋商小组对最后报价进行有效性、完整性和响应程度的审查。</w:t>
      </w:r>
    </w:p>
    <w:p w14:paraId="432D098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5.7最终响应文件的报价出现前后不一致的，按照本章第3.4条的规定修正。 </w:t>
      </w:r>
    </w:p>
    <w:p w14:paraId="2FA971B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5.8修正后的最终报价出现下列情形的，按无效响应处理：</w:t>
      </w:r>
    </w:p>
    <w:p w14:paraId="35FB47C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BC732F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（2）经供应商确认修正后的响应报价（包含首次报价、最后报价）超过所竞标分标规定的采购预算金额或者最高限价的（如本项目公布了最高限价）；</w:t>
      </w:r>
    </w:p>
    <w:p w14:paraId="577DBB1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0BFB1DD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5.9经供应商确认修正后的最后报价作为评审及签订合同的依据。</w:t>
      </w:r>
    </w:p>
    <w:p w14:paraId="5BB74B9D">
      <w:pPr>
        <w:snapToGrid w:val="0"/>
        <w:spacing w:line="360" w:lineRule="auto"/>
        <w:ind w:firstLine="424" w:firstLineChars="202"/>
        <w:jc w:val="left"/>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5.10异常低价响应审查</w:t>
      </w:r>
    </w:p>
    <w:p w14:paraId="0BA285F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（1）磋商小组在评审中发现下列情形之一的，应当启动异常低价响应审查程序：</w:t>
      </w:r>
    </w:p>
    <w:p w14:paraId="55085E7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①响应报价低于全部通过符合性审查供应商响应报价平均值</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的，即响应报价＜全部通过符合性审查供应商响应报价平均值×</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i/>
          <w:color w:val="auto"/>
          <w:szCs w:val="21"/>
          <w:highlight w:val="none"/>
        </w:rPr>
        <w:t>（范围为50%-65%）</w:t>
      </w:r>
    </w:p>
    <w:p w14:paraId="3EB52DF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②响应报价低于通过符合性审查的次低报价供应商响应报价</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的，即响应报价＜通过符合性审查的次低报价供应商响应报价×</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i/>
          <w:color w:val="auto"/>
          <w:szCs w:val="21"/>
          <w:highlight w:val="none"/>
        </w:rPr>
        <w:t>（范围为50%-65%）</w:t>
      </w:r>
    </w:p>
    <w:p w14:paraId="210B66F6">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③响应报价低于采购项目最高限价</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45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的，即响应报价＜采购项目最高限价×</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4</w:t>
      </w:r>
      <w:r>
        <w:rPr>
          <w:rFonts w:hint="eastAsia" w:ascii="宋体" w:hAnsi="宋体" w:eastAsia="宋体" w:cs="宋体"/>
          <w:color w:val="auto"/>
          <w:szCs w:val="21"/>
          <w:highlight w:val="none"/>
          <w:u w:val="single"/>
        </w:rPr>
        <w:t xml:space="preserve">5% </w:t>
      </w:r>
      <w:r>
        <w:rPr>
          <w:rFonts w:hint="eastAsia" w:ascii="宋体" w:hAnsi="宋体" w:eastAsia="宋体" w:cs="宋体"/>
          <w:color w:val="auto"/>
          <w:szCs w:val="21"/>
          <w:highlight w:val="none"/>
        </w:rPr>
        <w:t>；</w:t>
      </w:r>
      <w:r>
        <w:rPr>
          <w:rFonts w:hint="eastAsia" w:ascii="宋体" w:hAnsi="宋体" w:eastAsia="宋体" w:cs="宋体"/>
          <w:i/>
          <w:color w:val="auto"/>
          <w:szCs w:val="21"/>
          <w:highlight w:val="none"/>
        </w:rPr>
        <w:t>（范围为45%-65%）</w:t>
      </w:r>
    </w:p>
    <w:p w14:paraId="343A554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④磋商小组基于专业判断，认为供应商报价过低，有可能影响产品质量或者不能诚信履约的其他情形。</w:t>
      </w:r>
    </w:p>
    <w:p w14:paraId="14210527">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2EDC9F8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color w:val="auto"/>
          <w:szCs w:val="21"/>
          <w:highlight w:val="none"/>
        </w:rPr>
        <w:t>相关供应商不能提供书面说明、证明材料，或者提供的书面说明、证明材料不能证明其报价合理性的，磋商小组应当将其作为无效响应处理。</w:t>
      </w:r>
    </w:p>
    <w:p w14:paraId="26C44574">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734D6D84">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6E923BC5">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供应商出现最后报价按无效响应处理或者响应文件按无效处理时</w:t>
      </w:r>
      <w:r>
        <w:rPr>
          <w:rFonts w:hint="eastAsia" w:ascii="宋体" w:hAnsi="宋体" w:eastAsia="宋体" w:cs="宋体"/>
          <w:color w:val="auto"/>
          <w:sz w:val="22"/>
          <w:szCs w:val="22"/>
          <w:highlight w:val="none"/>
        </w:rPr>
        <w:t>，磋商小组应当告知有关供应商</w:t>
      </w:r>
      <w:r>
        <w:rPr>
          <w:rFonts w:hint="eastAsia" w:ascii="宋体" w:hAnsi="宋体" w:eastAsia="宋体" w:cs="宋体"/>
          <w:color w:val="auto"/>
          <w:szCs w:val="21"/>
          <w:highlight w:val="none"/>
        </w:rPr>
        <w:t>。</w:t>
      </w:r>
    </w:p>
    <w:p w14:paraId="59DD9D9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最后报价结束后，磋商小组不得再与供应商进行任何形式的商谈。</w:t>
      </w:r>
    </w:p>
    <w:p w14:paraId="2F76E981">
      <w:pPr>
        <w:keepNext w:val="0"/>
        <w:keepLines w:val="0"/>
        <w:pageBreakBefore w:val="0"/>
        <w:kinsoku/>
        <w:wordWrap/>
        <w:overflowPunct/>
        <w:topLinePunct w:val="0"/>
        <w:autoSpaceDE/>
        <w:autoSpaceDN/>
        <w:bidi w:val="0"/>
        <w:spacing w:line="360" w:lineRule="auto"/>
        <w:ind w:firstLine="200"/>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6.比较与评价</w:t>
      </w:r>
    </w:p>
    <w:p w14:paraId="33A308D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6.1评审方法：综合评分法。</w:t>
      </w:r>
    </w:p>
    <w:p w14:paraId="15897E9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6.2经磋商确定最终采购需求和提交最后报价的供应商后，由</w:t>
      </w:r>
      <w:bookmarkStart w:id="36" w:name="OLE_LINK35"/>
      <w:r>
        <w:rPr>
          <w:rFonts w:hint="eastAsia" w:ascii="宋体" w:hAnsi="宋体" w:eastAsia="宋体" w:cs="宋体"/>
          <w:color w:val="auto"/>
          <w:szCs w:val="21"/>
          <w:highlight w:val="none"/>
        </w:rPr>
        <w:t>磋商小组</w:t>
      </w:r>
      <w:bookmarkEnd w:id="36"/>
      <w:r>
        <w:rPr>
          <w:rFonts w:hint="eastAsia" w:ascii="宋体" w:hAnsi="宋体" w:eastAsia="宋体" w:cs="宋体"/>
          <w:color w:val="auto"/>
          <w:szCs w:val="21"/>
          <w:highlight w:val="none"/>
        </w:rPr>
        <w:t>采用综合评分法对提交最后报价的供应商的响应文件和最后报价进行综合评分。</w:t>
      </w:r>
    </w:p>
    <w:p w14:paraId="3EFC2DFB">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6.3评审时，磋商小组各成员应当独立对每个有效响应的文件进行评价、打分，然后汇总每个供应商每项评分因素的得分。</w:t>
      </w:r>
    </w:p>
    <w:p w14:paraId="1E6CBADE">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成员要根据政府采购法律法规和采购文件所载明的评审方法、标准进行评审。对供应商的价格分等客观评分项的评分应当一致，对其他需要借助专业知识评判的主观评分项，应当严格按照评分细则公正评分。</w:t>
      </w:r>
    </w:p>
    <w:p w14:paraId="632521AD">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（2）磋商小组按照磋商文件中规定的评审标准计算各供应商的报价得分。项目评审过程中，不得去掉最后报价中的最高报价和最低报价。</w:t>
      </w:r>
    </w:p>
    <w:p w14:paraId="3F91A477">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（3）各供应商的得分为磋商小组所有成员的有效评分的算术平均数。</w:t>
      </w:r>
    </w:p>
    <w:p w14:paraId="0332D701">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4F0FF4F2">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6.5由磋商小组根据综合评分情况，按照评审得分由高到低顺序推荐3名以上成交候选供应商，并编写评</w:t>
      </w:r>
      <w:r>
        <w:rPr>
          <w:rFonts w:hint="eastAsia" w:ascii="宋体" w:hAnsi="宋体" w:eastAsia="宋体" w:cs="宋体"/>
          <w:color w:val="auto"/>
          <w:kern w:val="0"/>
          <w:szCs w:val="21"/>
          <w:highlight w:val="none"/>
        </w:rPr>
        <w:t>审报告。符合本章第5.3条情形的，可以推荐2家成交候选供应商。评审得分相同的，按照最后报价由低到高的顺序推荐。评审得分且最后报价相同的，按照技术指标优劣顺序推荐。</w:t>
      </w:r>
    </w:p>
    <w:p w14:paraId="7304413F">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0A40F0D">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7.评审复核</w:t>
      </w:r>
    </w:p>
    <w:p w14:paraId="425A15C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7.1评审报告签署前，</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要对评审结果进行复核，复核意见要体现在评审报告中。</w:t>
      </w:r>
    </w:p>
    <w:p w14:paraId="247C1540">
      <w:pPr>
        <w:keepNext w:val="0"/>
        <w:keepLines w:val="0"/>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7.2评审结果汇总完成后，采购人、采购代理机构和</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均不得修改评审结果或者要求重新评审，但资格性检查认定错误、分值汇总计算错误、分项评分超出评分标准范围、客观分评分不一致、经</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一致认定评分畸高、畸低的情形除外。出现上述除外情形的，</w:t>
      </w:r>
      <w:r>
        <w:rPr>
          <w:rFonts w:hint="eastAsia" w:ascii="宋体" w:hAnsi="宋体" w:eastAsia="宋体" w:cs="宋体"/>
          <w:color w:val="auto"/>
          <w:szCs w:val="21"/>
          <w:highlight w:val="none"/>
          <w:lang w:eastAsia="zh-CN"/>
        </w:rPr>
        <w:t>磋商小组</w:t>
      </w:r>
      <w:r>
        <w:rPr>
          <w:rFonts w:hint="eastAsia" w:ascii="宋体" w:hAnsi="宋体" w:eastAsia="宋体" w:cs="宋体"/>
          <w:color w:val="auto"/>
          <w:szCs w:val="21"/>
          <w:highlight w:val="none"/>
        </w:rPr>
        <w:t>应当现场修改评审结果，并在评审报告中明确记载。</w:t>
      </w:r>
    </w:p>
    <w:p w14:paraId="3CED0D65">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.评审标准</w:t>
      </w:r>
    </w:p>
    <w:p w14:paraId="6BCEAFCE">
      <w:pPr>
        <w:pageBreakBefore w:val="0"/>
        <w:kinsoku/>
        <w:wordWrap/>
        <w:overflowPunct/>
        <w:topLinePunct w:val="0"/>
        <w:autoSpaceDE/>
        <w:autoSpaceDN/>
        <w:bidi w:val="0"/>
        <w:spacing w:line="360" w:lineRule="auto"/>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highlight w:val="none"/>
          <w:lang w:val="en-US" w:eastAsia="zh-CN"/>
        </w:rPr>
        <w:t>8</w:t>
      </w:r>
      <w:r>
        <w:rPr>
          <w:rFonts w:hint="eastAsia" w:ascii="宋体" w:hAnsi="宋体" w:eastAsia="宋体" w:cs="宋体"/>
          <w:bCs/>
          <w:color w:val="auto"/>
          <w:highlight w:val="none"/>
        </w:rPr>
        <w:t>.</w:t>
      </w:r>
      <w:r>
        <w:rPr>
          <w:rFonts w:hint="eastAsia" w:ascii="宋体" w:hAnsi="宋体" w:eastAsia="宋体" w:cs="宋体"/>
          <w:bCs/>
          <w:color w:val="auto"/>
          <w:szCs w:val="21"/>
          <w:highlight w:val="none"/>
        </w:rPr>
        <w:t>1评审依据：磋商小组将以响应文件为评审依据，对供应商的报价、技术、商务等方面内容按百分制打分，供应商总得分=报价分+技术分+商务分。（计分方法按四舍五入取至百分位）</w:t>
      </w:r>
    </w:p>
    <w:tbl>
      <w:tblPr>
        <w:tblStyle w:val="29"/>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25"/>
        <w:gridCol w:w="6536"/>
        <w:gridCol w:w="851"/>
      </w:tblGrid>
      <w:tr w14:paraId="4762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blHeader/>
          <w:jc w:val="center"/>
        </w:trPr>
        <w:tc>
          <w:tcPr>
            <w:tcW w:w="693" w:type="dxa"/>
            <w:noWrap w:val="0"/>
            <w:vAlign w:val="center"/>
          </w:tcPr>
          <w:p w14:paraId="0E5DB99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125" w:type="dxa"/>
            <w:noWrap w:val="0"/>
            <w:vAlign w:val="center"/>
          </w:tcPr>
          <w:p w14:paraId="2315EAA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536" w:type="dxa"/>
            <w:noWrap w:val="0"/>
            <w:vAlign w:val="center"/>
          </w:tcPr>
          <w:p w14:paraId="73C0BE6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851" w:type="dxa"/>
            <w:noWrap w:val="0"/>
            <w:vAlign w:val="center"/>
          </w:tcPr>
          <w:p w14:paraId="7D754BD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7D6A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93" w:type="dxa"/>
            <w:noWrap w:val="0"/>
            <w:vAlign w:val="center"/>
          </w:tcPr>
          <w:p w14:paraId="2333FE3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125" w:type="dxa"/>
            <w:noWrap w:val="0"/>
            <w:vAlign w:val="center"/>
          </w:tcPr>
          <w:p w14:paraId="5DE5141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6536" w:type="dxa"/>
            <w:noWrap w:val="0"/>
            <w:vAlign w:val="top"/>
          </w:tcPr>
          <w:p w14:paraId="5B8FBB92">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1.本项目为专门面向中小企业采购的项目，按照《政府采购促进中小企业发展管理办法》（财库〔2020〕46号）的规定，对供应商最后报价不再执行价格评审优惠的扶持政策。</w:t>
            </w:r>
          </w:p>
          <w:p w14:paraId="3DD56232">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2.评审报价为供应商的最后报价，评审报价只是作为评审时使用。最终成交供应商的成交金额等于最后报价（如有修正，以确认修正后的最后报价为准）。</w:t>
            </w:r>
          </w:p>
          <w:p w14:paraId="09B00C81">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3.以进入比较与评价环节的最低的评审报价为基准价，基准价得分为30分。</w:t>
            </w:r>
          </w:p>
          <w:p w14:paraId="45D4A61E">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4.价格分计算公式：</w:t>
            </w:r>
          </w:p>
          <w:p w14:paraId="0F7C4EC4">
            <w:pPr>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val="en-US" w:eastAsia="zh-CN"/>
              </w:rPr>
              <w:t>报价得分=（基准价/评审报价）×30分</w:t>
            </w:r>
          </w:p>
        </w:tc>
        <w:tc>
          <w:tcPr>
            <w:tcW w:w="851" w:type="dxa"/>
            <w:noWrap w:val="0"/>
            <w:vAlign w:val="center"/>
          </w:tcPr>
          <w:p w14:paraId="70A54CB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30分</w:t>
            </w:r>
          </w:p>
        </w:tc>
      </w:tr>
      <w:tr w14:paraId="6B18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5C61B25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w:t>
            </w:r>
          </w:p>
        </w:tc>
        <w:tc>
          <w:tcPr>
            <w:tcW w:w="7661" w:type="dxa"/>
            <w:gridSpan w:val="2"/>
            <w:noWrap w:val="0"/>
            <w:vAlign w:val="center"/>
          </w:tcPr>
          <w:p w14:paraId="6FEE6038">
            <w:pPr>
              <w:keepNext w:val="0"/>
              <w:keepLines w:val="0"/>
              <w:pageBreakBefore w:val="0"/>
              <w:widowControl/>
              <w:kinsoku/>
              <w:wordWrap/>
              <w:overflowPunct/>
              <w:topLinePunct w:val="0"/>
              <w:autoSpaceDE/>
              <w:autoSpaceDN/>
              <w:bidi w:val="0"/>
              <w:adjustRightInd/>
              <w:snapToGrid/>
              <w:spacing w:line="360" w:lineRule="exact"/>
              <w:ind w:firstLine="422" w:firstLineChars="200"/>
              <w:jc w:val="center"/>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技术分</w:t>
            </w:r>
          </w:p>
        </w:tc>
        <w:tc>
          <w:tcPr>
            <w:tcW w:w="851" w:type="dxa"/>
            <w:noWrap w:val="0"/>
            <w:vAlign w:val="top"/>
          </w:tcPr>
          <w:p w14:paraId="08EDB98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val="en-US" w:eastAsia="zh-CN"/>
              </w:rPr>
              <w:t>66</w:t>
            </w:r>
            <w:r>
              <w:rPr>
                <w:rFonts w:hint="eastAsia" w:ascii="宋体" w:hAnsi="宋体" w:eastAsia="宋体" w:cs="宋体"/>
                <w:b/>
                <w:color w:val="auto"/>
                <w:kern w:val="0"/>
                <w:szCs w:val="21"/>
                <w:highlight w:val="none"/>
              </w:rPr>
              <w:t>分</w:t>
            </w:r>
          </w:p>
        </w:tc>
      </w:tr>
      <w:tr w14:paraId="3400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jc w:val="center"/>
        </w:trPr>
        <w:tc>
          <w:tcPr>
            <w:tcW w:w="693" w:type="dxa"/>
            <w:noWrap w:val="0"/>
            <w:vAlign w:val="center"/>
          </w:tcPr>
          <w:p w14:paraId="24A6B0D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2.1</w:t>
            </w:r>
          </w:p>
        </w:tc>
        <w:tc>
          <w:tcPr>
            <w:tcW w:w="1125" w:type="dxa"/>
            <w:noWrap w:val="0"/>
            <w:vAlign w:val="center"/>
          </w:tcPr>
          <w:p w14:paraId="7131C4C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color w:val="auto"/>
                <w:highlight w:val="none"/>
              </w:rPr>
              <w:t>主要施工方法</w:t>
            </w:r>
          </w:p>
        </w:tc>
        <w:tc>
          <w:tcPr>
            <w:tcW w:w="6536" w:type="dxa"/>
            <w:noWrap w:val="0"/>
            <w:vAlign w:val="center"/>
          </w:tcPr>
          <w:p w14:paraId="0441EC6F">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针对供应商提供的主要施工方法【(1)工程施工；(2)主要物资计划；(3)项目的重点难点；(4)供应商针对本项目特点提出的其他施工方法】按以下标准计分：</w:t>
            </w:r>
          </w:p>
          <w:p w14:paraId="542E8505">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一档（15分）：对各主要分部施工工程分别进行了具体的施工技术方案的阐述，提供的各主要分部施工方法符合项目实际，能指导具体施工并确保施工质量和施工安全。有主要建筑材料的资源稳定供应的保证措施，完全满足施工需要。针对本工程的特点，阐述本工程的重点和难点，解决重点和难点问题的方法和措施科学合理。</w:t>
            </w:r>
          </w:p>
          <w:p w14:paraId="4D4BBDE6">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二档（11分）：对各主要分部施工工程分别进行了具体的施工技术方案的阐述，提供的各主要分部施工方法符合项目实际，能指导具体施工并确保施工质量和施工安全。有主要建筑材料稳定供应的保证措施，满足施工需要。</w:t>
            </w:r>
          </w:p>
          <w:p w14:paraId="5C943CBF">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三档（7分）：对各主要分部施工工程分别进行了具体的施工技术方案的阐述，提供的各主要分部施工方法符合项目实际，能指导具体施工并确保施工质量和施工安全。</w:t>
            </w:r>
          </w:p>
          <w:p w14:paraId="28D50420">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四档（3分）：提供的主要施工方法符合项目实际，但未能针对各主要分部施工配有全面的施工技术方案。</w:t>
            </w:r>
          </w:p>
          <w:p w14:paraId="44ECB4C0">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注：供应商满足某一档全部要求时，即获得该档对应分值，不得累计或叠加得分。</w:t>
            </w:r>
          </w:p>
        </w:tc>
        <w:tc>
          <w:tcPr>
            <w:tcW w:w="851" w:type="dxa"/>
            <w:noWrap w:val="0"/>
            <w:vAlign w:val="center"/>
          </w:tcPr>
          <w:p w14:paraId="622815E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color w:val="auto"/>
                <w:kern w:val="0"/>
                <w:szCs w:val="21"/>
                <w:highlight w:val="none"/>
                <w:lang w:val="en-US" w:eastAsia="zh-CN"/>
              </w:rPr>
              <w:t>15分</w:t>
            </w:r>
          </w:p>
        </w:tc>
      </w:tr>
      <w:tr w14:paraId="1550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3" w:type="dxa"/>
            <w:noWrap w:val="0"/>
            <w:vAlign w:val="center"/>
          </w:tcPr>
          <w:p w14:paraId="737BDCA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2.2</w:t>
            </w:r>
          </w:p>
        </w:tc>
        <w:tc>
          <w:tcPr>
            <w:tcW w:w="1125" w:type="dxa"/>
            <w:noWrap w:val="0"/>
            <w:vAlign w:val="center"/>
          </w:tcPr>
          <w:p w14:paraId="0ABD176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确保工程质量的技术组织措施</w:t>
            </w:r>
          </w:p>
        </w:tc>
        <w:tc>
          <w:tcPr>
            <w:tcW w:w="6536" w:type="dxa"/>
            <w:noWrap w:val="0"/>
            <w:vAlign w:val="center"/>
          </w:tcPr>
          <w:p w14:paraId="628F8A07">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针对供应商提供的确保工程质量的技术组织措施【①质量技术管理班子和制度；②关键材料质量控制内容；③材料组织计划；④供应商针对本项目特点提出的其他确保工程质量的技术组织措施】按以下标准计分：</w:t>
            </w:r>
          </w:p>
          <w:p w14:paraId="11A8C64D">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一档（15分）：有专门的质量技术管理班子和制度，且人员配备合理，制度健全。主要工序有质量技术保证措施和手段，自控体系完整，能有效保证技术质量，完全能达到承诺的质量标准。有主要建筑材料质量保证措施确保施工质量，对材料的环保要求的把控措施。有投入的施工材料组织计划且计划周密，并根据本项目的特点提出其他有针对性的确保工程质量的技术组织措施，满足施工需要。</w:t>
            </w:r>
          </w:p>
          <w:p w14:paraId="3765A528">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二档（11分）：有专门的质量技术管理班子和制度，且人员配备基本合理，制度较健全。主要工序有较好的质量技术保证措施和手段，基本能有效保证技术质量，提供的自控体系较完整。有主要建筑材料质量保证措施确保施工质量。</w:t>
            </w:r>
          </w:p>
          <w:p w14:paraId="74BB1845">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三档（7分）：有专门的质量技术管理班子和制度，有人员配备，制度健全。有主要工序的质量技术保证措施和手段及自控体系，能保证技术质量，达到承诺的质量标准。</w:t>
            </w:r>
          </w:p>
          <w:p w14:paraId="6C23CAA1">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四档（3分）：有专门的质量技术管理班子和制度但质量技术管理班子和制度不健全，主要工序无质量技术保证措施和手段，自控体系不完整，不能有效保证承诺的技术质量。</w:t>
            </w:r>
          </w:p>
          <w:p w14:paraId="3238883C">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注：供应商满足某一档全部要求时，即获得该档对应分值，不得累计或叠加得分。</w:t>
            </w:r>
          </w:p>
        </w:tc>
        <w:tc>
          <w:tcPr>
            <w:tcW w:w="851" w:type="dxa"/>
            <w:noWrap w:val="0"/>
            <w:vAlign w:val="center"/>
          </w:tcPr>
          <w:p w14:paraId="2BBC080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0"/>
                <w:szCs w:val="21"/>
                <w:highlight w:val="none"/>
                <w:lang w:val="en-US" w:eastAsia="zh-CN"/>
              </w:rPr>
              <w:t>15分</w:t>
            </w:r>
          </w:p>
        </w:tc>
      </w:tr>
      <w:tr w14:paraId="2000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3" w:type="dxa"/>
            <w:noWrap w:val="0"/>
            <w:vAlign w:val="center"/>
          </w:tcPr>
          <w:p w14:paraId="5BF195A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2.3</w:t>
            </w:r>
          </w:p>
        </w:tc>
        <w:tc>
          <w:tcPr>
            <w:tcW w:w="1125" w:type="dxa"/>
            <w:noWrap w:val="0"/>
            <w:vAlign w:val="center"/>
          </w:tcPr>
          <w:p w14:paraId="3F66C85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确保安全生产的技术组织措施</w:t>
            </w:r>
          </w:p>
        </w:tc>
        <w:tc>
          <w:tcPr>
            <w:tcW w:w="6536" w:type="dxa"/>
            <w:noWrap w:val="0"/>
            <w:vAlign w:val="center"/>
          </w:tcPr>
          <w:p w14:paraId="47655D55">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针对供应商提供的确保安全生产的技术组织措施【①安全管理制度和人员；②安全技术措施；③防火、救援等应急措施；④确保文明施工的技术组织措施；⑤环保等相关措施；⑥供应商针对本项目其他特点提出其他确保安全生产的技术组织措施】按以下标准计分：</w:t>
            </w:r>
          </w:p>
          <w:p w14:paraId="26FCEF7F">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一档（15分）：保证安全生产的技术措施有专门的安全管理人员和制度，且人员配备合理，制度健全，各道工序安全技术措施有针对性，确保工程质量的技术组织措施符合实际且满足有关安全技术标准要求。现场防火、应急救援、社会治安安全措施得力，能针对本工程项目场地和施工特点提出全面得力的确保文明施工的技术组织措施、环境保护措施，且措施内容达到《建筑施工安全生产检查标准》（JGJ59-2011）合格标准并符合《广西壮族自治区建筑工程文明施工导则》要求，各项措施科学、具体、有效，有具体实现现场文明施工目标的承诺。</w:t>
            </w:r>
          </w:p>
          <w:p w14:paraId="4822ED7F">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二档（11分）：保证安全生产的技术措施有专门的安全管理人员和制度，且人员配备和制度健全，阐述了可行的有针对性的各道工序安全技术措施，确保工程质量的技术组织措施符合实际且满足有关安全技术标准要求，措施可行且考虑周全。提供可行的有关于现场防火、应急救援、社会治安安全的措施。提出可行的确保文明施工的技术组织措施、环境保护措施，且措施内容达到《建筑施工安全生产检查标准》（JGJ59-2011）合格标准并符合《广西壮族自治区建筑工程文明施工导则》要求。</w:t>
            </w:r>
          </w:p>
          <w:p w14:paraId="6378990B">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三档（7分）：保证安全生产的技术措施有专门的安全管理人员和制度，且人员配备和制度合理，阐述了各道工序安全技术措施但缺乏针对性，确保工程质量的技术组织措符合实际且满足有关安全技术标准要求且措施可行。</w:t>
            </w:r>
          </w:p>
          <w:p w14:paraId="214F9268">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四档（3分）：保证安全生产的技术措施有专门的安全管理人员和制度，各道工序安全技术措施阐述不完整，确保工程质量的技术组织措施满足有关安全技术标准要求但措施考虑欠周全。</w:t>
            </w:r>
          </w:p>
          <w:p w14:paraId="08D0CB60">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注：供应商满足某一档全部要求时，即获得该档对应分值，不得累计或叠加得分。</w:t>
            </w:r>
          </w:p>
        </w:tc>
        <w:tc>
          <w:tcPr>
            <w:tcW w:w="851" w:type="dxa"/>
            <w:noWrap w:val="0"/>
            <w:vAlign w:val="center"/>
          </w:tcPr>
          <w:p w14:paraId="443C392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Cs w:val="21"/>
                <w:highlight w:val="none"/>
                <w:lang w:val="en-US" w:eastAsia="zh-CN"/>
              </w:rPr>
            </w:pPr>
            <w:r>
              <w:rPr>
                <w:rFonts w:hint="eastAsia" w:ascii="宋体" w:hAnsi="宋体" w:eastAsia="宋体" w:cs="宋体"/>
                <w:b/>
                <w:bCs w:val="0"/>
                <w:color w:val="auto"/>
                <w:kern w:val="0"/>
                <w:szCs w:val="21"/>
                <w:highlight w:val="none"/>
                <w:lang w:val="en-US" w:eastAsia="zh-CN"/>
              </w:rPr>
              <w:t>15分</w:t>
            </w:r>
          </w:p>
        </w:tc>
      </w:tr>
      <w:tr w14:paraId="3835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29750A5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rPr>
              <w:t>2.</w:t>
            </w:r>
            <w:r>
              <w:rPr>
                <w:rFonts w:hint="eastAsia" w:ascii="宋体" w:hAnsi="宋体" w:eastAsia="宋体" w:cs="宋体"/>
                <w:b w:val="0"/>
                <w:bCs/>
                <w:color w:val="auto"/>
                <w:kern w:val="0"/>
                <w:szCs w:val="21"/>
                <w:highlight w:val="none"/>
                <w:lang w:val="en-US" w:eastAsia="zh-CN"/>
              </w:rPr>
              <w:t>4</w:t>
            </w:r>
          </w:p>
        </w:tc>
        <w:tc>
          <w:tcPr>
            <w:tcW w:w="1125" w:type="dxa"/>
            <w:noWrap w:val="0"/>
            <w:vAlign w:val="center"/>
          </w:tcPr>
          <w:p w14:paraId="4955AB6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确保工期的技术组织措施</w:t>
            </w:r>
          </w:p>
        </w:tc>
        <w:tc>
          <w:tcPr>
            <w:tcW w:w="6536" w:type="dxa"/>
            <w:noWrap w:val="0"/>
            <w:vAlign w:val="center"/>
          </w:tcPr>
          <w:p w14:paraId="3E146EDB">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2"/>
                <w:sz w:val="21"/>
                <w:szCs w:val="24"/>
                <w:highlight w:val="none"/>
                <w:lang w:val="en-US" w:eastAsia="zh-CN" w:bidi="ar-SA"/>
              </w:rPr>
            </w:pPr>
            <w:r>
              <w:rPr>
                <w:rFonts w:hint="eastAsia" w:ascii="宋体" w:hAnsi="宋体" w:eastAsia="宋体" w:cs="宋体"/>
                <w:bCs/>
                <w:color w:val="auto"/>
                <w:kern w:val="2"/>
                <w:sz w:val="21"/>
                <w:szCs w:val="24"/>
                <w:highlight w:val="none"/>
                <w:lang w:val="en-US" w:eastAsia="zh-CN" w:bidi="ar-SA"/>
              </w:rPr>
              <w:t>针对供应商提供的确保工期的技术组织措施【①工期保障措施；②施工进度计划；③施工进度图（表）；④劳动力计划；⑤供应商针对本项目特点提出其他确保工期的技术组织措施】按以下标准计分：</w:t>
            </w:r>
          </w:p>
          <w:p w14:paraId="257151D0">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2"/>
                <w:sz w:val="21"/>
                <w:szCs w:val="24"/>
                <w:highlight w:val="none"/>
                <w:lang w:val="en-US" w:eastAsia="zh-CN" w:bidi="ar-SA"/>
              </w:rPr>
            </w:pPr>
            <w:r>
              <w:rPr>
                <w:rFonts w:hint="eastAsia" w:ascii="宋体" w:hAnsi="宋体" w:eastAsia="宋体" w:cs="宋体"/>
                <w:bCs/>
                <w:color w:val="auto"/>
                <w:kern w:val="2"/>
                <w:sz w:val="21"/>
                <w:szCs w:val="24"/>
                <w:highlight w:val="none"/>
                <w:lang w:val="en-US" w:eastAsia="zh-CN" w:bidi="ar-SA"/>
              </w:rPr>
              <w:t>一档（15分）：保证工期的施工组织措施方案中在施工工艺、施工方法、材料选用、劳动力安排、技术等方面有保证工期的具体措施且措施得当，有控制工期的施工进度计划。有施工总进度表或施工网络图，各项计划图表编制完善，安排科学合理，符合本项目施工实际要求。有具体周密的劳动力安排计划，能保障供应商承诺的工期。</w:t>
            </w:r>
          </w:p>
          <w:p w14:paraId="5E9A2399">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2"/>
                <w:sz w:val="21"/>
                <w:szCs w:val="24"/>
                <w:highlight w:val="none"/>
                <w:lang w:val="en-US" w:eastAsia="zh-CN" w:bidi="ar-SA"/>
              </w:rPr>
            </w:pPr>
            <w:r>
              <w:rPr>
                <w:rFonts w:hint="eastAsia" w:ascii="宋体" w:hAnsi="宋体" w:eastAsia="宋体" w:cs="宋体"/>
                <w:bCs/>
                <w:color w:val="auto"/>
                <w:kern w:val="2"/>
                <w:sz w:val="21"/>
                <w:szCs w:val="24"/>
                <w:highlight w:val="none"/>
                <w:lang w:val="en-US" w:eastAsia="zh-CN" w:bidi="ar-SA"/>
              </w:rPr>
              <w:t>二档（11分）：保证工期的施工组织措施方案中在施工工艺、施工方法、材料选用、劳动力安排、技术等方面有保证工期的具体措施且措施可行，有控制工期的施工进度计划，有施工总进度表或施工网络图，对供应商承诺的工期有一定的保障。</w:t>
            </w:r>
          </w:p>
          <w:p w14:paraId="48DE8422">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2"/>
                <w:sz w:val="21"/>
                <w:szCs w:val="24"/>
                <w:highlight w:val="none"/>
                <w:lang w:val="en-US" w:eastAsia="zh-CN" w:bidi="ar-SA"/>
              </w:rPr>
            </w:pPr>
            <w:r>
              <w:rPr>
                <w:rFonts w:hint="eastAsia" w:ascii="宋体" w:hAnsi="宋体" w:eastAsia="宋体" w:cs="宋体"/>
                <w:bCs/>
                <w:color w:val="auto"/>
                <w:kern w:val="2"/>
                <w:sz w:val="21"/>
                <w:szCs w:val="24"/>
                <w:highlight w:val="none"/>
                <w:lang w:val="en-US" w:eastAsia="zh-CN" w:bidi="ar-SA"/>
              </w:rPr>
              <w:t>三档（7分）：保证工期的施工组织措施方案中在施工工艺、施工方法、材料选用、劳动力安排、技术等方面有具体措施，且有控制工期的施工进度计划，但考虑欠周全。</w:t>
            </w:r>
          </w:p>
          <w:p w14:paraId="36DEA318">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2"/>
                <w:sz w:val="21"/>
                <w:szCs w:val="24"/>
                <w:highlight w:val="none"/>
                <w:lang w:val="en-US" w:eastAsia="zh-CN" w:bidi="ar-SA"/>
              </w:rPr>
            </w:pPr>
            <w:r>
              <w:rPr>
                <w:rFonts w:hint="eastAsia" w:ascii="宋体" w:hAnsi="宋体" w:eastAsia="宋体" w:cs="宋体"/>
                <w:bCs/>
                <w:color w:val="auto"/>
                <w:kern w:val="2"/>
                <w:sz w:val="21"/>
                <w:szCs w:val="24"/>
                <w:highlight w:val="none"/>
                <w:lang w:val="en-US" w:eastAsia="zh-CN" w:bidi="ar-SA"/>
              </w:rPr>
              <w:t>四档（3分）：保证工期的施工组织措施方案中有施工工艺、施工方法、劳动力安排等方面有具体实施措施但未提供控制工期的施工进度计划。</w:t>
            </w:r>
          </w:p>
          <w:p w14:paraId="30B30DBA">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2"/>
                <w:sz w:val="21"/>
                <w:szCs w:val="24"/>
                <w:highlight w:val="none"/>
                <w:lang w:val="en-US" w:eastAsia="zh-CN" w:bidi="ar-SA"/>
              </w:rPr>
            </w:pPr>
            <w:r>
              <w:rPr>
                <w:rFonts w:hint="eastAsia" w:ascii="宋体" w:hAnsi="宋体" w:eastAsia="宋体" w:cs="宋体"/>
                <w:bCs/>
                <w:color w:val="auto"/>
                <w:kern w:val="2"/>
                <w:sz w:val="21"/>
                <w:szCs w:val="24"/>
                <w:highlight w:val="none"/>
                <w:lang w:val="en-US" w:eastAsia="zh-CN" w:bidi="ar-SA"/>
              </w:rPr>
              <w:t>注：供应商满足某一档全部要求时，即获得该档对应分值，不得累计或叠加得分。</w:t>
            </w:r>
          </w:p>
        </w:tc>
        <w:tc>
          <w:tcPr>
            <w:tcW w:w="851" w:type="dxa"/>
            <w:noWrap w:val="0"/>
            <w:vAlign w:val="center"/>
          </w:tcPr>
          <w:p w14:paraId="4526874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Cs w:val="21"/>
                <w:highlight w:val="none"/>
                <w:lang w:val="en-US" w:eastAsia="zh-CN"/>
              </w:rPr>
              <w:t>15分</w:t>
            </w:r>
          </w:p>
        </w:tc>
      </w:tr>
      <w:tr w14:paraId="41ED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2D9DA02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2.5</w:t>
            </w:r>
          </w:p>
        </w:tc>
        <w:tc>
          <w:tcPr>
            <w:tcW w:w="1125" w:type="dxa"/>
            <w:noWrap w:val="0"/>
            <w:vAlign w:val="center"/>
          </w:tcPr>
          <w:p w14:paraId="2868F88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Cs w:val="21"/>
                <w:highlight w:val="none"/>
                <w:lang w:val="en-US" w:eastAsia="zh-CN"/>
              </w:rPr>
            </w:pPr>
            <w:r>
              <w:rPr>
                <w:rFonts w:hint="eastAsia" w:ascii="宋体" w:hAnsi="宋体" w:eastAsia="宋体" w:cs="宋体"/>
                <w:b/>
                <w:bCs w:val="0"/>
                <w:color w:val="auto"/>
                <w:kern w:val="0"/>
                <w:szCs w:val="21"/>
                <w:highlight w:val="none"/>
                <w:lang w:val="en-US" w:eastAsia="zh-CN"/>
              </w:rPr>
              <w:t>项目经理</w:t>
            </w:r>
          </w:p>
        </w:tc>
        <w:tc>
          <w:tcPr>
            <w:tcW w:w="6536" w:type="dxa"/>
            <w:noWrap w:val="0"/>
            <w:vAlign w:val="center"/>
          </w:tcPr>
          <w:p w14:paraId="64F75B93">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val="en-US" w:eastAsia="zh-CN"/>
              </w:rPr>
              <w:t>供应商</w:t>
            </w:r>
            <w:r>
              <w:rPr>
                <w:rFonts w:hint="eastAsia" w:ascii="宋体" w:hAnsi="宋体" w:eastAsia="宋体" w:cs="宋体"/>
                <w:bCs/>
                <w:color w:val="auto"/>
                <w:highlight w:val="none"/>
              </w:rPr>
              <w:t>拟投入本项目的项目经理具有</w:t>
            </w:r>
            <w:r>
              <w:rPr>
                <w:rFonts w:hint="eastAsia" w:ascii="宋体" w:hAnsi="宋体" w:eastAsia="宋体" w:cs="宋体"/>
                <w:bCs/>
                <w:color w:val="auto"/>
                <w:highlight w:val="none"/>
                <w:lang w:val="en-US" w:eastAsia="zh-CN"/>
              </w:rPr>
              <w:t>工</w:t>
            </w:r>
            <w:r>
              <w:rPr>
                <w:rFonts w:hint="eastAsia" w:ascii="宋体" w:hAnsi="宋体" w:eastAsia="宋体" w:cs="宋体"/>
                <w:bCs/>
                <w:color w:val="auto"/>
                <w:kern w:val="0"/>
                <w:szCs w:val="21"/>
                <w:highlight w:val="none"/>
              </w:rPr>
              <w:t>程类中级及以上技术职称的得</w:t>
            </w: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highlight w:val="none"/>
              </w:rPr>
              <w:t>分</w:t>
            </w:r>
            <w:r>
              <w:rPr>
                <w:rFonts w:hint="eastAsia" w:ascii="宋体" w:hAnsi="宋体" w:eastAsia="宋体" w:cs="宋体"/>
                <w:bCs/>
                <w:color w:val="auto"/>
                <w:highlight w:val="none"/>
                <w:lang w:eastAsia="zh-CN"/>
              </w:rPr>
              <w:t>。</w:t>
            </w:r>
          </w:p>
          <w:p w14:paraId="79F22504">
            <w:pPr>
              <w:pStyle w:val="13"/>
              <w:keepNext w:val="0"/>
              <w:keepLines w:val="0"/>
              <w:pageBreakBefore w:val="0"/>
              <w:kinsoku/>
              <w:wordWrap/>
              <w:overflowPunct/>
              <w:topLinePunct w:val="0"/>
              <w:autoSpaceDE/>
              <w:autoSpaceDN/>
              <w:bidi w:val="0"/>
              <w:adjustRightInd/>
              <w:snapToGrid/>
              <w:spacing w:after="0" w:line="36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注：</w:t>
            </w:r>
            <w:r>
              <w:rPr>
                <w:rFonts w:hint="eastAsia" w:ascii="宋体" w:hAnsi="宋体" w:eastAsia="宋体" w:cs="宋体"/>
                <w:color w:val="auto"/>
                <w:highlight w:val="none"/>
              </w:rPr>
              <w:t>须提供</w:t>
            </w:r>
            <w:r>
              <w:rPr>
                <w:rFonts w:hint="eastAsia" w:ascii="宋体" w:hAnsi="宋体" w:eastAsia="宋体" w:cs="宋体"/>
                <w:color w:val="auto"/>
                <w:highlight w:val="none"/>
                <w:lang w:val="en-US" w:eastAsia="zh-CN"/>
              </w:rPr>
              <w:t>竞标</w:t>
            </w:r>
            <w:r>
              <w:rPr>
                <w:rFonts w:hint="eastAsia" w:ascii="宋体" w:hAnsi="宋体" w:eastAsia="宋体" w:cs="宋体"/>
                <w:color w:val="auto"/>
                <w:highlight w:val="none"/>
              </w:rPr>
              <w:t>截止之日前半年内</w:t>
            </w:r>
            <w:r>
              <w:rPr>
                <w:rFonts w:hint="eastAsia" w:ascii="宋体" w:hAnsi="宋体" w:eastAsia="宋体" w:cs="宋体"/>
                <w:color w:val="auto"/>
                <w:highlight w:val="none"/>
                <w:lang w:eastAsia="zh-CN"/>
              </w:rPr>
              <w:t>竞标人</w:t>
            </w:r>
            <w:r>
              <w:rPr>
                <w:rFonts w:hint="eastAsia" w:ascii="宋体" w:hAnsi="宋体" w:eastAsia="宋体" w:cs="宋体"/>
                <w:color w:val="auto"/>
                <w:highlight w:val="none"/>
              </w:rPr>
              <w:t>任意</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个月的</w:t>
            </w:r>
            <w:r>
              <w:rPr>
                <w:rFonts w:hint="eastAsia" w:ascii="宋体" w:hAnsi="宋体" w:eastAsia="宋体" w:cs="宋体"/>
                <w:color w:val="auto"/>
                <w:highlight w:val="none"/>
                <w:lang w:val="en-US" w:eastAsia="zh-CN"/>
              </w:rPr>
              <w:t>竞标</w:t>
            </w:r>
            <w:r>
              <w:rPr>
                <w:rFonts w:hint="eastAsia" w:ascii="宋体" w:hAnsi="宋体" w:eastAsia="宋体" w:cs="宋体"/>
                <w:color w:val="auto"/>
                <w:highlight w:val="none"/>
              </w:rPr>
              <w:t>单位为其在本单位依法缴纳社保费的凭证及有关社保证明材料的复印件。</w:t>
            </w:r>
          </w:p>
        </w:tc>
        <w:tc>
          <w:tcPr>
            <w:tcW w:w="851" w:type="dxa"/>
            <w:noWrap w:val="0"/>
            <w:vAlign w:val="center"/>
          </w:tcPr>
          <w:p w14:paraId="7C01D81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Cs w:val="21"/>
                <w:highlight w:val="none"/>
                <w:lang w:val="en-US" w:eastAsia="zh-CN"/>
              </w:rPr>
            </w:pPr>
            <w:r>
              <w:rPr>
                <w:rFonts w:hint="eastAsia" w:ascii="宋体" w:hAnsi="宋体" w:eastAsia="宋体" w:cs="宋体"/>
                <w:b/>
                <w:bCs w:val="0"/>
                <w:color w:val="auto"/>
                <w:kern w:val="0"/>
                <w:szCs w:val="21"/>
                <w:highlight w:val="none"/>
                <w:lang w:val="en-US" w:eastAsia="zh-CN"/>
              </w:rPr>
              <w:t>3分</w:t>
            </w:r>
          </w:p>
        </w:tc>
      </w:tr>
      <w:tr w14:paraId="1145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3" w:type="dxa"/>
            <w:noWrap w:val="0"/>
            <w:vAlign w:val="center"/>
          </w:tcPr>
          <w:p w14:paraId="49D38EB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lang w:val="en-US" w:eastAsia="zh-CN"/>
              </w:rPr>
              <w:t>2.6</w:t>
            </w:r>
          </w:p>
        </w:tc>
        <w:tc>
          <w:tcPr>
            <w:tcW w:w="1125" w:type="dxa"/>
            <w:noWrap w:val="0"/>
            <w:vAlign w:val="center"/>
          </w:tcPr>
          <w:p w14:paraId="1BBBE14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Cs w:val="21"/>
                <w:highlight w:val="none"/>
                <w:lang w:val="en-US" w:eastAsia="zh-CN"/>
              </w:rPr>
            </w:pPr>
            <w:r>
              <w:rPr>
                <w:rFonts w:hint="eastAsia" w:ascii="宋体" w:hAnsi="宋体" w:eastAsia="宋体" w:cs="宋体"/>
                <w:b/>
                <w:bCs w:val="0"/>
                <w:color w:val="auto"/>
                <w:kern w:val="0"/>
                <w:szCs w:val="21"/>
                <w:highlight w:val="none"/>
                <w:lang w:val="en-US" w:eastAsia="zh-CN"/>
              </w:rPr>
              <w:t>技术负责人</w:t>
            </w:r>
          </w:p>
        </w:tc>
        <w:tc>
          <w:tcPr>
            <w:tcW w:w="6536" w:type="dxa"/>
            <w:noWrap w:val="0"/>
            <w:vAlign w:val="center"/>
          </w:tcPr>
          <w:p w14:paraId="1229AE6C">
            <w:pPr>
              <w:pStyle w:val="13"/>
              <w:keepNext w:val="0"/>
              <w:keepLines w:val="0"/>
              <w:pageBreakBefore w:val="0"/>
              <w:kinsoku/>
              <w:wordWrap/>
              <w:overflowPunct/>
              <w:topLinePunct w:val="0"/>
              <w:autoSpaceDE/>
              <w:autoSpaceDN/>
              <w:bidi w:val="0"/>
              <w:adjustRightInd/>
              <w:snapToGrid/>
              <w:spacing w:after="0" w:line="3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供应商拟投入的技术负责人具有工程类中级及以上技术职称的得3分。</w:t>
            </w:r>
          </w:p>
          <w:p w14:paraId="5DA2ECCF">
            <w:pPr>
              <w:pStyle w:val="13"/>
              <w:keepNext w:val="0"/>
              <w:keepLines w:val="0"/>
              <w:pageBreakBefore w:val="0"/>
              <w:kinsoku/>
              <w:wordWrap/>
              <w:overflowPunct/>
              <w:topLinePunct w:val="0"/>
              <w:autoSpaceDE/>
              <w:autoSpaceDN/>
              <w:bidi w:val="0"/>
              <w:adjustRightInd/>
              <w:snapToGrid/>
              <w:spacing w:after="0" w:line="36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w:t>
            </w:r>
            <w:r>
              <w:rPr>
                <w:rFonts w:hint="eastAsia" w:ascii="宋体" w:hAnsi="宋体" w:eastAsia="宋体" w:cs="宋体"/>
                <w:color w:val="auto"/>
                <w:highlight w:val="none"/>
              </w:rPr>
              <w:t>须提供</w:t>
            </w:r>
            <w:r>
              <w:rPr>
                <w:rFonts w:hint="eastAsia" w:ascii="宋体" w:hAnsi="宋体" w:eastAsia="宋体" w:cs="宋体"/>
                <w:color w:val="auto"/>
                <w:highlight w:val="none"/>
                <w:lang w:val="en-US" w:eastAsia="zh-CN"/>
              </w:rPr>
              <w:t>竞标</w:t>
            </w:r>
            <w:r>
              <w:rPr>
                <w:rFonts w:hint="eastAsia" w:ascii="宋体" w:hAnsi="宋体" w:eastAsia="宋体" w:cs="宋体"/>
                <w:color w:val="auto"/>
                <w:highlight w:val="none"/>
              </w:rPr>
              <w:t>截止之日前半年内</w:t>
            </w:r>
            <w:r>
              <w:rPr>
                <w:rFonts w:hint="eastAsia" w:ascii="宋体" w:hAnsi="宋体" w:eastAsia="宋体" w:cs="宋体"/>
                <w:color w:val="auto"/>
                <w:highlight w:val="none"/>
                <w:lang w:eastAsia="zh-CN"/>
              </w:rPr>
              <w:t>竞标人</w:t>
            </w:r>
            <w:r>
              <w:rPr>
                <w:rFonts w:hint="eastAsia" w:ascii="宋体" w:hAnsi="宋体" w:eastAsia="宋体" w:cs="宋体"/>
                <w:color w:val="auto"/>
                <w:highlight w:val="none"/>
              </w:rPr>
              <w:t>任意</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个月的</w:t>
            </w:r>
            <w:r>
              <w:rPr>
                <w:rFonts w:hint="eastAsia" w:ascii="宋体" w:hAnsi="宋体" w:eastAsia="宋体" w:cs="宋体"/>
                <w:color w:val="auto"/>
                <w:highlight w:val="none"/>
                <w:lang w:val="en-US" w:eastAsia="zh-CN"/>
              </w:rPr>
              <w:t>竞标</w:t>
            </w:r>
            <w:r>
              <w:rPr>
                <w:rFonts w:hint="eastAsia" w:ascii="宋体" w:hAnsi="宋体" w:eastAsia="宋体" w:cs="宋体"/>
                <w:color w:val="auto"/>
                <w:highlight w:val="none"/>
              </w:rPr>
              <w:t>单位为其在本单位依法缴纳社保费的凭证及有关社保证明材料的复印件。</w:t>
            </w:r>
          </w:p>
        </w:tc>
        <w:tc>
          <w:tcPr>
            <w:tcW w:w="851" w:type="dxa"/>
            <w:noWrap w:val="0"/>
            <w:vAlign w:val="center"/>
          </w:tcPr>
          <w:p w14:paraId="2B8EE07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Cs w:val="21"/>
                <w:highlight w:val="none"/>
                <w:lang w:val="en-US" w:eastAsia="zh-CN"/>
              </w:rPr>
            </w:pPr>
            <w:r>
              <w:rPr>
                <w:rFonts w:hint="eastAsia" w:ascii="宋体" w:hAnsi="宋体" w:eastAsia="宋体" w:cs="宋体"/>
                <w:b/>
                <w:bCs w:val="0"/>
                <w:color w:val="auto"/>
                <w:kern w:val="0"/>
                <w:szCs w:val="21"/>
                <w:highlight w:val="none"/>
                <w:lang w:val="en-US" w:eastAsia="zh-CN"/>
              </w:rPr>
              <w:t>3分</w:t>
            </w:r>
          </w:p>
        </w:tc>
      </w:tr>
      <w:tr w14:paraId="2B80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3" w:type="dxa"/>
            <w:noWrap w:val="0"/>
            <w:vAlign w:val="center"/>
          </w:tcPr>
          <w:p w14:paraId="2FF6A88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lang w:val="en-US" w:eastAsia="zh-CN"/>
              </w:rPr>
              <w:t>3</w:t>
            </w:r>
          </w:p>
        </w:tc>
        <w:tc>
          <w:tcPr>
            <w:tcW w:w="7661" w:type="dxa"/>
            <w:gridSpan w:val="2"/>
            <w:noWrap w:val="0"/>
            <w:vAlign w:val="center"/>
          </w:tcPr>
          <w:p w14:paraId="41A6DAFD">
            <w:pPr>
              <w:keepNext w:val="0"/>
              <w:keepLines w:val="0"/>
              <w:pageBreakBefore w:val="0"/>
              <w:widowControl/>
              <w:kinsoku/>
              <w:wordWrap/>
              <w:overflowPunct/>
              <w:topLinePunct w:val="0"/>
              <w:autoSpaceDE/>
              <w:autoSpaceDN/>
              <w:bidi w:val="0"/>
              <w:adjustRightInd/>
              <w:snapToGrid/>
              <w:spacing w:line="360" w:lineRule="exact"/>
              <w:ind w:firstLine="422" w:firstLineChars="200"/>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商务分</w:t>
            </w:r>
          </w:p>
        </w:tc>
        <w:tc>
          <w:tcPr>
            <w:tcW w:w="851" w:type="dxa"/>
            <w:noWrap w:val="0"/>
            <w:vAlign w:val="center"/>
          </w:tcPr>
          <w:p w14:paraId="6DFB9A1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4</w:t>
            </w:r>
            <w:r>
              <w:rPr>
                <w:rFonts w:hint="eastAsia" w:ascii="宋体" w:hAnsi="宋体" w:eastAsia="宋体" w:cs="宋体"/>
                <w:b/>
                <w:bCs/>
                <w:color w:val="auto"/>
                <w:kern w:val="0"/>
                <w:szCs w:val="21"/>
                <w:highlight w:val="none"/>
              </w:rPr>
              <w:t>分</w:t>
            </w:r>
          </w:p>
        </w:tc>
      </w:tr>
      <w:tr w14:paraId="01F7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jc w:val="center"/>
        </w:trPr>
        <w:tc>
          <w:tcPr>
            <w:tcW w:w="693" w:type="dxa"/>
            <w:noWrap w:val="0"/>
            <w:vAlign w:val="center"/>
          </w:tcPr>
          <w:p w14:paraId="6D38EC29">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3.1</w:t>
            </w:r>
          </w:p>
        </w:tc>
        <w:tc>
          <w:tcPr>
            <w:tcW w:w="1125" w:type="dxa"/>
            <w:noWrap w:val="0"/>
            <w:vAlign w:val="center"/>
          </w:tcPr>
          <w:p w14:paraId="085C58C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szCs w:val="21"/>
                <w:highlight w:val="none"/>
                <w:lang w:val="en-US" w:eastAsia="zh-CN"/>
              </w:rPr>
              <w:t>业绩分</w:t>
            </w:r>
          </w:p>
        </w:tc>
        <w:tc>
          <w:tcPr>
            <w:tcW w:w="6536" w:type="dxa"/>
            <w:noWrap w:val="0"/>
            <w:vAlign w:val="center"/>
          </w:tcPr>
          <w:p w14:paraId="786B1E54">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highlight w:val="none"/>
                <w:lang w:val="en-US" w:eastAsia="zh-CN"/>
              </w:rPr>
              <w:t>2023年01月01日至今</w:t>
            </w:r>
            <w:r>
              <w:rPr>
                <w:rFonts w:hint="eastAsia" w:ascii="宋体" w:hAnsi="宋体" w:eastAsia="宋体" w:cs="宋体"/>
                <w:bCs/>
                <w:color w:val="auto"/>
                <w:highlight w:val="none"/>
              </w:rPr>
              <w:t>竞标人承担过类似项目</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lang w:val="en-US" w:eastAsia="zh-CN"/>
              </w:rPr>
              <w:t>类似项目指维修工程）</w:t>
            </w:r>
            <w:r>
              <w:rPr>
                <w:rFonts w:hint="eastAsia" w:ascii="宋体" w:hAnsi="宋体" w:eastAsia="宋体" w:cs="宋体"/>
                <w:bCs/>
                <w:color w:val="auto"/>
                <w:highlight w:val="none"/>
              </w:rPr>
              <w:t>的，每有一个得</w:t>
            </w:r>
            <w:r>
              <w:rPr>
                <w:rFonts w:hint="eastAsia" w:ascii="宋体" w:hAnsi="宋体" w:eastAsia="宋体" w:cs="宋体"/>
                <w:bCs/>
                <w:color w:val="auto"/>
                <w:highlight w:val="none"/>
                <w:lang w:val="en-US" w:eastAsia="zh-CN"/>
              </w:rPr>
              <w:t>2</w:t>
            </w:r>
            <w:r>
              <w:rPr>
                <w:rFonts w:hint="eastAsia" w:ascii="宋体" w:hAnsi="宋体" w:eastAsia="宋体" w:cs="宋体"/>
                <w:bCs/>
                <w:color w:val="auto"/>
                <w:highlight w:val="none"/>
              </w:rPr>
              <w:t>分。此项满分</w:t>
            </w:r>
            <w:r>
              <w:rPr>
                <w:rFonts w:hint="eastAsia" w:ascii="宋体" w:hAnsi="宋体" w:eastAsia="宋体" w:cs="宋体"/>
                <w:bCs/>
                <w:color w:val="auto"/>
                <w:highlight w:val="none"/>
                <w:lang w:val="en-US" w:eastAsia="zh-CN"/>
              </w:rPr>
              <w:t>4</w:t>
            </w:r>
            <w:r>
              <w:rPr>
                <w:rFonts w:hint="eastAsia" w:ascii="宋体" w:hAnsi="宋体" w:eastAsia="宋体" w:cs="宋体"/>
                <w:bCs/>
                <w:color w:val="auto"/>
                <w:highlight w:val="none"/>
              </w:rPr>
              <w:t>分（提供项目中标/成交通知书或合同证明材料复印件，未提供不得分）。</w:t>
            </w:r>
          </w:p>
        </w:tc>
        <w:tc>
          <w:tcPr>
            <w:tcW w:w="851" w:type="dxa"/>
            <w:noWrap w:val="0"/>
            <w:vAlign w:val="center"/>
          </w:tcPr>
          <w:p w14:paraId="5A61695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kern w:val="0"/>
                <w:szCs w:val="21"/>
                <w:highlight w:val="none"/>
              </w:rPr>
            </w:pPr>
            <w:r>
              <w:rPr>
                <w:rFonts w:hint="eastAsia" w:ascii="宋体" w:hAnsi="宋体" w:eastAsia="宋体" w:cs="宋体"/>
                <w:b/>
                <w:bCs w:val="0"/>
                <w:color w:val="auto"/>
                <w:szCs w:val="21"/>
                <w:highlight w:val="none"/>
                <w:lang w:val="en-US" w:eastAsia="zh-CN"/>
              </w:rPr>
              <w:t>4</w:t>
            </w:r>
            <w:r>
              <w:rPr>
                <w:rFonts w:hint="eastAsia" w:ascii="宋体" w:hAnsi="宋体" w:eastAsia="宋体" w:cs="宋体"/>
                <w:b/>
                <w:bCs w:val="0"/>
                <w:color w:val="auto"/>
                <w:szCs w:val="21"/>
                <w:highlight w:val="none"/>
              </w:rPr>
              <w:t>分</w:t>
            </w:r>
          </w:p>
        </w:tc>
      </w:tr>
      <w:tr w14:paraId="1078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354" w:type="dxa"/>
            <w:gridSpan w:val="3"/>
            <w:noWrap w:val="0"/>
            <w:vAlign w:val="center"/>
          </w:tcPr>
          <w:p w14:paraId="2287348C">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宋体" w:hAnsi="宋体" w:eastAsia="宋体" w:cs="宋体"/>
                <w:bCs/>
                <w:color w:val="auto"/>
                <w:highlight w:val="none"/>
                <w:lang w:val="en-US"/>
              </w:rPr>
            </w:pPr>
            <w:r>
              <w:rPr>
                <w:rFonts w:hint="eastAsia" w:ascii="宋体" w:hAnsi="宋体" w:eastAsia="宋体" w:cs="宋体"/>
                <w:b/>
                <w:bCs w:val="0"/>
                <w:color w:val="auto"/>
                <w:szCs w:val="21"/>
                <w:highlight w:val="none"/>
                <w:lang w:val="en-US" w:eastAsia="zh-CN"/>
              </w:rPr>
              <w:t>总得分=1+2+3</w:t>
            </w:r>
          </w:p>
        </w:tc>
        <w:tc>
          <w:tcPr>
            <w:tcW w:w="851" w:type="dxa"/>
            <w:noWrap w:val="0"/>
            <w:vAlign w:val="center"/>
          </w:tcPr>
          <w:p w14:paraId="1FCE989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100分</w:t>
            </w:r>
          </w:p>
        </w:tc>
      </w:tr>
    </w:tbl>
    <w:p w14:paraId="5D294C6F">
      <w:pPr>
        <w:widowControl w:val="0"/>
        <w:spacing w:line="360" w:lineRule="auto"/>
        <w:ind w:firstLine="420" w:firstLineChars="200"/>
        <w:jc w:val="both"/>
        <w:rPr>
          <w:rFonts w:hint="eastAsia" w:ascii="宋体" w:hAnsi="宋体" w:eastAsia="宋体" w:cs="宋体"/>
          <w:bCs/>
          <w:color w:val="auto"/>
          <w:kern w:val="2"/>
          <w:sz w:val="21"/>
          <w:szCs w:val="21"/>
          <w:highlight w:val="none"/>
          <w:lang w:val="en-US" w:eastAsia="zh-CN" w:bidi="ar-SA"/>
        </w:rPr>
      </w:pPr>
      <w:bookmarkStart w:id="37" w:name="_Toc11595"/>
      <w:bookmarkStart w:id="38" w:name="_Toc22545"/>
      <w:r>
        <w:rPr>
          <w:rFonts w:hint="eastAsia" w:ascii="宋体" w:hAnsi="宋体" w:eastAsia="宋体" w:cs="宋体"/>
          <w:bCs/>
          <w:color w:val="auto"/>
          <w:kern w:val="2"/>
          <w:sz w:val="21"/>
          <w:szCs w:val="21"/>
          <w:highlight w:val="none"/>
          <w:lang w:val="en-US" w:eastAsia="zh-CN" w:bidi="ar-SA"/>
        </w:rPr>
        <w:t>8.2商务技术评审因素为客观评分项的，应在评分项目或评分标准中予以标注为“客观分”。对供应商的客观评分项目，各评审专家评分应当一致。</w:t>
      </w:r>
    </w:p>
    <w:p w14:paraId="491DE2F6">
      <w:pPr>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8.3.终止竞争性磋商采购活动</w:t>
      </w:r>
    </w:p>
    <w:p w14:paraId="2AF5BD9E">
      <w:pPr>
        <w:spacing w:line="360" w:lineRule="auto"/>
        <w:ind w:firstLine="420" w:firstLineChars="20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691F164B">
      <w:pPr>
        <w:outlineLvl w:val="9"/>
        <w:rPr>
          <w:rFonts w:hint="eastAsia" w:ascii="宋体" w:hAnsi="宋体" w:eastAsia="宋体" w:cs="宋体"/>
          <w:b w:val="0"/>
          <w:bCs/>
          <w:color w:val="auto"/>
          <w:highlight w:val="none"/>
        </w:rPr>
      </w:pPr>
    </w:p>
    <w:p w14:paraId="3B5B3E1E">
      <w:pPr>
        <w:outlineLvl w:val="9"/>
        <w:rPr>
          <w:rFonts w:hint="eastAsia" w:ascii="宋体" w:hAnsi="宋体" w:eastAsia="宋体" w:cs="宋体"/>
          <w:b w:val="0"/>
          <w:bCs/>
          <w:color w:val="auto"/>
          <w:highlight w:val="none"/>
        </w:rPr>
      </w:pPr>
    </w:p>
    <w:bookmarkEnd w:id="37"/>
    <w:bookmarkEnd w:id="38"/>
    <w:p w14:paraId="56FDA23D">
      <w:pPr>
        <w:pStyle w:val="3"/>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highlight w:val="none"/>
        </w:rPr>
      </w:pPr>
      <w:bookmarkStart w:id="39" w:name="_Toc7776"/>
      <w:bookmarkStart w:id="40" w:name="_Toc27282"/>
      <w:bookmarkStart w:id="41" w:name="_Toc12890"/>
      <w:bookmarkStart w:id="42" w:name="_Toc5005"/>
      <w:bookmarkStart w:id="43" w:name="_Toc26272"/>
      <w:r>
        <w:rPr>
          <w:rFonts w:hint="eastAsia" w:ascii="宋体" w:hAnsi="宋体" w:eastAsia="宋体" w:cs="宋体"/>
          <w:b w:val="0"/>
          <w:bCs/>
          <w:color w:val="auto"/>
          <w:highlight w:val="none"/>
        </w:rPr>
        <w:t>第二节 评审报告</w:t>
      </w:r>
    </w:p>
    <w:p w14:paraId="17449D24">
      <w:pPr>
        <w:spacing w:line="360" w:lineRule="auto"/>
        <w:rPr>
          <w:rFonts w:hint="eastAsia" w:ascii="宋体" w:hAnsi="宋体" w:eastAsia="宋体" w:cs="宋体"/>
          <w:b/>
          <w:bCs/>
          <w:color w:val="auto"/>
          <w:sz w:val="24"/>
          <w:szCs w:val="32"/>
          <w:highlight w:val="none"/>
        </w:rPr>
      </w:pPr>
      <w:bookmarkStart w:id="44" w:name="_Toc2025"/>
      <w:bookmarkStart w:id="45" w:name="_Toc20045"/>
      <w:r>
        <w:rPr>
          <w:rFonts w:hint="eastAsia" w:ascii="宋体" w:hAnsi="宋体" w:eastAsia="宋体" w:cs="宋体"/>
          <w:b/>
          <w:bCs/>
          <w:color w:val="auto"/>
          <w:sz w:val="24"/>
          <w:szCs w:val="32"/>
          <w:highlight w:val="none"/>
        </w:rPr>
        <w:t>1.成交标准</w:t>
      </w:r>
    </w:p>
    <w:p w14:paraId="2356CDA0">
      <w:pPr>
        <w:spacing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bCs/>
          <w:color w:val="auto"/>
          <w:szCs w:val="21"/>
          <w:highlight w:val="none"/>
        </w:rPr>
        <w:t>由磋商小组根据综合评分情况，按照评审得分由高到低顺序推荐3名以上成交候选供应商</w:t>
      </w:r>
      <w:r>
        <w:rPr>
          <w:rFonts w:hint="eastAsia" w:ascii="宋体" w:hAnsi="宋体" w:eastAsia="宋体" w:cs="宋体"/>
          <w:color w:val="auto"/>
          <w:highlight w:val="none"/>
        </w:rPr>
        <w:t>,并在线编写电子评审报告</w:t>
      </w:r>
      <w:r>
        <w:rPr>
          <w:rFonts w:hint="eastAsia" w:ascii="宋体" w:hAnsi="宋体" w:eastAsia="宋体" w:cs="宋体"/>
          <w:bCs/>
          <w:color w:val="auto"/>
          <w:szCs w:val="21"/>
          <w:highlight w:val="none"/>
        </w:rPr>
        <w:t>。符合本章第一节第5.3条情形的，可以推荐2家成交候选供应商。评审得分相同的，按照最后报价（不计算价格折扣）由低到高的顺序推荐。评审得分且最后报价（不计算价格折扣）相同的，按照技术商务指标优劣顺序推荐（按技术得分由高到低排序，技术得分相同的按照</w:t>
      </w:r>
      <w:r>
        <w:rPr>
          <w:rFonts w:hint="eastAsia" w:ascii="宋体" w:hAnsi="宋体" w:eastAsia="宋体" w:cs="宋体"/>
          <w:bCs/>
          <w:color w:val="auto"/>
          <w:szCs w:val="21"/>
          <w:highlight w:val="none"/>
          <w:lang w:eastAsia="zh-CN"/>
        </w:rPr>
        <w:t>商务</w:t>
      </w:r>
      <w:r>
        <w:rPr>
          <w:rFonts w:hint="eastAsia" w:ascii="宋体" w:hAnsi="宋体" w:eastAsia="宋体" w:cs="宋体"/>
          <w:bCs/>
          <w:color w:val="auto"/>
          <w:szCs w:val="21"/>
          <w:highlight w:val="none"/>
        </w:rPr>
        <w:t>分由高到低排序）。评审得分、最后报价（不计算价格折扣）、技术得分、商务分均相同的，由磋商小组随机抽取推荐。</w:t>
      </w:r>
    </w:p>
    <w:p w14:paraId="1ED1769E">
      <w:pPr>
        <w:spacing w:line="360" w:lineRule="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2.评标争议事项处理</w:t>
      </w:r>
    </w:p>
    <w:p w14:paraId="11446169">
      <w:pPr>
        <w:pStyle w:val="78"/>
        <w:spacing w:before="0"/>
        <w:ind w:firstLine="420"/>
        <w:rPr>
          <w:rFonts w:hint="eastAsia" w:ascii="宋体" w:hAnsi="宋体" w:eastAsia="宋体" w:cs="宋体"/>
          <w:color w:val="auto"/>
          <w:kern w:val="2"/>
          <w:sz w:val="21"/>
          <w:szCs w:val="24"/>
          <w:highlight w:val="none"/>
        </w:rPr>
      </w:pPr>
      <w:r>
        <w:rPr>
          <w:rFonts w:hint="eastAsia" w:ascii="宋体" w:hAnsi="宋体" w:eastAsia="宋体" w:cs="宋体"/>
          <w:color w:val="auto"/>
          <w:kern w:val="2"/>
          <w:sz w:val="21"/>
          <w:szCs w:val="24"/>
          <w:highlight w:val="none"/>
        </w:rPr>
        <w:t>磋商小组成员对需要共同认定的事项存在争议的，应当按照少数服从多数的原则作出结论。持不同意见的磋商小组成员应当在</w:t>
      </w:r>
      <w:r>
        <w:rPr>
          <w:rFonts w:hint="eastAsia" w:ascii="宋体" w:hAnsi="宋体" w:eastAsia="宋体" w:cs="宋体"/>
          <w:color w:val="auto"/>
          <w:kern w:val="2"/>
          <w:sz w:val="21"/>
          <w:szCs w:val="24"/>
          <w:highlight w:val="none"/>
          <w:lang w:eastAsia="zh-CN"/>
        </w:rPr>
        <w:t>评审报告</w:t>
      </w:r>
      <w:r>
        <w:rPr>
          <w:rFonts w:hint="eastAsia" w:ascii="宋体" w:hAnsi="宋体" w:eastAsia="宋体" w:cs="宋体"/>
          <w:color w:val="auto"/>
          <w:kern w:val="2"/>
          <w:sz w:val="21"/>
          <w:szCs w:val="24"/>
          <w:highlight w:val="none"/>
        </w:rPr>
        <w:t>上签署不同意见及理由，否则视为同意</w:t>
      </w:r>
      <w:r>
        <w:rPr>
          <w:rFonts w:hint="eastAsia" w:ascii="宋体" w:hAnsi="宋体" w:eastAsia="宋体" w:cs="宋体"/>
          <w:color w:val="auto"/>
          <w:kern w:val="2"/>
          <w:sz w:val="21"/>
          <w:szCs w:val="24"/>
          <w:highlight w:val="none"/>
          <w:lang w:eastAsia="zh-CN"/>
        </w:rPr>
        <w:t>评审报告</w:t>
      </w:r>
      <w:r>
        <w:rPr>
          <w:rFonts w:hint="eastAsia" w:ascii="宋体" w:hAnsi="宋体" w:eastAsia="宋体" w:cs="宋体"/>
          <w:color w:val="auto"/>
          <w:kern w:val="2"/>
          <w:sz w:val="21"/>
          <w:szCs w:val="24"/>
          <w:highlight w:val="none"/>
        </w:rPr>
        <w:t>。</w:t>
      </w:r>
    </w:p>
    <w:p w14:paraId="2A7B2E6E">
      <w:pPr>
        <w:pStyle w:val="78"/>
        <w:spacing w:before="0"/>
        <w:ind w:firstLine="420"/>
        <w:rPr>
          <w:rFonts w:hint="eastAsia" w:ascii="宋体" w:hAnsi="宋体" w:eastAsia="宋体" w:cs="宋体"/>
          <w:color w:val="auto"/>
          <w:kern w:val="2"/>
          <w:sz w:val="21"/>
          <w:szCs w:val="24"/>
          <w:highlight w:val="none"/>
        </w:rPr>
      </w:pPr>
    </w:p>
    <w:p w14:paraId="7556976A">
      <w:pPr>
        <w:pStyle w:val="78"/>
        <w:spacing w:before="0"/>
        <w:ind w:firstLine="420"/>
        <w:rPr>
          <w:rFonts w:hint="eastAsia" w:ascii="宋体" w:hAnsi="宋体" w:eastAsia="宋体" w:cs="宋体"/>
          <w:color w:val="auto"/>
          <w:kern w:val="2"/>
          <w:sz w:val="21"/>
          <w:szCs w:val="24"/>
          <w:highlight w:val="none"/>
        </w:rPr>
      </w:pPr>
    </w:p>
    <w:p w14:paraId="668FBEF0">
      <w:pPr>
        <w:pStyle w:val="3"/>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val="0"/>
          <w:bCs/>
          <w:color w:val="auto"/>
          <w:highlight w:val="none"/>
        </w:rPr>
        <w:t>第三节 评审过程的保密与录像</w:t>
      </w:r>
      <w:bookmarkEnd w:id="44"/>
      <w:bookmarkEnd w:id="45"/>
    </w:p>
    <w:p w14:paraId="607A9C88">
      <w:pPr>
        <w:spacing w:line="360" w:lineRule="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1.保密。</w:t>
      </w:r>
    </w:p>
    <w:p w14:paraId="76553444">
      <w:pPr>
        <w:widowControl/>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评审活动在严格保密的情况下进行。评审过程中凡是与响应文件评审和比较、中标成交供应商推荐等评审有关的情况，以及涉及国家秘密和商业秘密等信息，</w:t>
      </w:r>
      <w:r>
        <w:rPr>
          <w:rFonts w:hint="eastAsia" w:ascii="宋体" w:hAnsi="宋体" w:eastAsia="宋体" w:cs="宋体"/>
          <w:color w:val="auto"/>
          <w:highlight w:val="none"/>
          <w:lang w:eastAsia="zh-CN"/>
        </w:rPr>
        <w:t>磋商小组</w:t>
      </w:r>
      <w:r>
        <w:rPr>
          <w:rFonts w:hint="eastAsia" w:ascii="宋体" w:hAnsi="宋体" w:eastAsia="宋体" w:cs="宋体"/>
          <w:color w:val="auto"/>
          <w:highlight w:val="none"/>
        </w:rPr>
        <w:t>成员、采购人和采购</w:t>
      </w:r>
      <w:r>
        <w:rPr>
          <w:rFonts w:hint="eastAsia" w:ascii="宋体" w:hAnsi="宋体" w:eastAsia="宋体" w:cs="宋体"/>
          <w:color w:val="auto"/>
          <w:highlight w:val="none"/>
          <w:lang w:eastAsia="zh-CN"/>
        </w:rPr>
        <w:t>代理</w:t>
      </w:r>
      <w:r>
        <w:rPr>
          <w:rFonts w:hint="eastAsia" w:ascii="宋体" w:hAnsi="宋体" w:eastAsia="宋体" w:cs="宋体"/>
          <w:color w:val="auto"/>
          <w:highlight w:val="none"/>
        </w:rPr>
        <w:t>机构工作人员、相关监督人员等与评审有关的人员应当予以保密。</w:t>
      </w:r>
    </w:p>
    <w:p w14:paraId="56942315">
      <w:pPr>
        <w:spacing w:line="360" w:lineRule="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2.录音录像。</w:t>
      </w:r>
    </w:p>
    <w:p w14:paraId="2E0B68EC">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采购代理机构对评审工作现场及操作屏幕进行全过程录音录像，录音录像资料作为采购项目文件随其他文件一并存档。</w:t>
      </w:r>
    </w:p>
    <w:p w14:paraId="055B2B85">
      <w:pPr>
        <w:jc w:val="center"/>
        <w:outlineLvl w:val="9"/>
        <w:rPr>
          <w:rFonts w:hint="eastAsia" w:ascii="宋体" w:hAnsi="宋体" w:eastAsia="宋体" w:cs="宋体"/>
          <w:b/>
          <w:bCs/>
          <w:color w:val="auto"/>
          <w:highlight w:val="none"/>
        </w:rPr>
      </w:pPr>
    </w:p>
    <w:p w14:paraId="3CE0CB55">
      <w:pPr>
        <w:outlineLvl w:val="9"/>
        <w:rPr>
          <w:rFonts w:hint="eastAsia" w:ascii="宋体" w:hAnsi="宋体" w:eastAsia="宋体" w:cs="宋体"/>
          <w:b/>
          <w:bCs/>
          <w:color w:val="auto"/>
          <w:highlight w:val="none"/>
        </w:rPr>
      </w:pPr>
    </w:p>
    <w:p w14:paraId="1BDE6728">
      <w:pPr>
        <w:outlineLvl w:val="9"/>
        <w:rPr>
          <w:rFonts w:hint="eastAsia" w:ascii="宋体" w:hAnsi="宋体" w:eastAsia="宋体" w:cs="宋体"/>
          <w:b/>
          <w:bCs/>
          <w:color w:val="auto"/>
          <w:highlight w:val="none"/>
        </w:rPr>
      </w:pPr>
    </w:p>
    <w:p w14:paraId="49C2AB5B">
      <w:pPr>
        <w:outlineLvl w:val="9"/>
        <w:rPr>
          <w:rFonts w:hint="eastAsia" w:ascii="宋体" w:hAnsi="宋体" w:eastAsia="宋体" w:cs="宋体"/>
          <w:b/>
          <w:bCs/>
          <w:color w:val="auto"/>
          <w:highlight w:val="none"/>
        </w:rPr>
      </w:pPr>
    </w:p>
    <w:p w14:paraId="46625C95">
      <w:pPr>
        <w:outlineLvl w:val="9"/>
        <w:rPr>
          <w:rFonts w:hint="eastAsia" w:ascii="宋体" w:hAnsi="宋体" w:eastAsia="宋体" w:cs="宋体"/>
          <w:b/>
          <w:bCs/>
          <w:color w:val="auto"/>
          <w:highlight w:val="none"/>
        </w:rPr>
      </w:pPr>
    </w:p>
    <w:p w14:paraId="3EDA84AF">
      <w:pPr>
        <w:jc w:val="center"/>
        <w:outlineLvl w:val="9"/>
        <w:rPr>
          <w:rFonts w:hint="eastAsia" w:ascii="宋体" w:hAnsi="宋体" w:eastAsia="宋体" w:cs="宋体"/>
          <w:b/>
          <w:bCs/>
          <w:color w:val="auto"/>
          <w:highlight w:val="none"/>
        </w:rPr>
      </w:pPr>
    </w:p>
    <w:p w14:paraId="1E7853C6">
      <w:pPr>
        <w:jc w:val="center"/>
        <w:outlineLvl w:val="9"/>
        <w:rPr>
          <w:rFonts w:hint="eastAsia" w:ascii="宋体" w:hAnsi="宋体" w:eastAsia="宋体" w:cs="宋体"/>
          <w:b/>
          <w:bCs/>
          <w:color w:val="auto"/>
          <w:highlight w:val="none"/>
        </w:rPr>
      </w:pPr>
      <w:bookmarkStart w:id="46" w:name="_Toc15809"/>
    </w:p>
    <w:p w14:paraId="21FA00E1">
      <w:pPr>
        <w:pStyle w:val="2"/>
        <w:jc w:val="center"/>
        <w:rPr>
          <w:rFonts w:hint="eastAsia" w:ascii="宋体" w:hAnsi="宋体" w:eastAsia="宋体" w:cs="宋体"/>
          <w:color w:val="auto"/>
          <w:highlight w:val="none"/>
        </w:rPr>
        <w:sectPr>
          <w:footerReference r:id="rId11" w:type="first"/>
          <w:footerReference r:id="rId10" w:type="default"/>
          <w:pgSz w:w="11911" w:h="16838"/>
          <w:pgMar w:top="1134" w:right="1134" w:bottom="979" w:left="1134" w:header="720" w:footer="720" w:gutter="0"/>
          <w:pgBorders>
            <w:top w:val="none" w:sz="0" w:space="0"/>
            <w:left w:val="none" w:sz="0" w:space="0"/>
            <w:bottom w:val="none" w:sz="0" w:space="0"/>
            <w:right w:val="none" w:sz="0" w:space="0"/>
          </w:pgBorders>
          <w:cols w:space="720" w:num="1"/>
        </w:sectPr>
      </w:pPr>
      <w:r>
        <w:rPr>
          <w:rFonts w:hint="eastAsia" w:ascii="宋体" w:hAnsi="宋体" w:eastAsia="宋体" w:cs="宋体"/>
          <w:b/>
          <w:bCs/>
          <w:color w:val="auto"/>
          <w:highlight w:val="none"/>
        </w:rPr>
        <w:br w:type="page"/>
      </w:r>
      <w:r>
        <w:rPr>
          <w:rFonts w:hint="eastAsia" w:ascii="宋体" w:hAnsi="宋体" w:eastAsia="宋体" w:cs="宋体"/>
          <w:b/>
          <w:bCs/>
          <w:color w:val="auto"/>
          <w:highlight w:val="none"/>
        </w:rPr>
        <w:t>第五章 响应文件格式</w:t>
      </w:r>
      <w:bookmarkEnd w:id="39"/>
      <w:bookmarkEnd w:id="40"/>
      <w:bookmarkEnd w:id="41"/>
      <w:bookmarkEnd w:id="42"/>
      <w:bookmarkEnd w:id="43"/>
      <w:bookmarkEnd w:id="46"/>
    </w:p>
    <w:p w14:paraId="22FC49D0">
      <w:pPr>
        <w:pStyle w:val="3"/>
        <w:pageBreakBefore w:val="0"/>
        <w:kinsoku/>
        <w:wordWrap/>
        <w:topLinePunct w:val="0"/>
        <w:bidi w:val="0"/>
        <w:spacing w:line="360" w:lineRule="auto"/>
        <w:jc w:val="center"/>
        <w:textAlignment w:val="auto"/>
        <w:rPr>
          <w:rFonts w:hint="eastAsia" w:ascii="宋体" w:hAnsi="宋体" w:eastAsia="宋体" w:cs="宋体"/>
          <w:b/>
          <w:bCs w:val="0"/>
          <w:color w:val="auto"/>
          <w:highlight w:val="none"/>
        </w:rPr>
      </w:pPr>
      <w:bookmarkStart w:id="47" w:name="_Toc12994"/>
      <w:bookmarkStart w:id="48" w:name="_Toc22245"/>
      <w:r>
        <w:rPr>
          <w:rFonts w:hint="eastAsia" w:ascii="宋体" w:hAnsi="宋体" w:eastAsia="宋体" w:cs="宋体"/>
          <w:b/>
          <w:bCs w:val="0"/>
          <w:color w:val="auto"/>
          <w:highlight w:val="none"/>
        </w:rPr>
        <w:t>第一节 资格证明文件格式</w:t>
      </w:r>
      <w:bookmarkEnd w:id="47"/>
      <w:bookmarkEnd w:id="48"/>
    </w:p>
    <w:p w14:paraId="23B3AB71">
      <w:pPr>
        <w:pageBreakBefore w:val="0"/>
        <w:kinsoku/>
        <w:wordWrap/>
        <w:topLinePunct w:val="0"/>
        <w:bidi w:val="0"/>
        <w:snapToGrid w:val="0"/>
        <w:spacing w:before="120" w:beforeLines="50" w:after="50" w:line="360" w:lineRule="auto"/>
        <w:jc w:val="left"/>
        <w:textAlignment w:val="auto"/>
        <w:rPr>
          <w:rFonts w:hint="eastAsia" w:ascii="宋体" w:hAnsi="宋体" w:eastAsia="宋体" w:cs="宋体"/>
          <w:color w:val="auto"/>
          <w:sz w:val="24"/>
          <w:highlight w:val="none"/>
        </w:rPr>
      </w:pPr>
      <w:r>
        <w:rPr>
          <w:rFonts w:hint="eastAsia" w:ascii="宋体" w:hAnsi="宋体" w:eastAsia="宋体" w:cs="宋体"/>
          <w:b/>
          <w:bCs/>
          <w:color w:val="auto"/>
          <w:sz w:val="28"/>
          <w:szCs w:val="28"/>
          <w:highlight w:val="none"/>
        </w:rPr>
        <w:t>资格证明文件封面的格式：</w:t>
      </w:r>
      <w:r>
        <w:rPr>
          <w:rFonts w:hint="eastAsia" w:ascii="宋体" w:hAnsi="宋体" w:eastAsia="宋体" w:cs="宋体"/>
          <w:color w:val="auto"/>
          <w:sz w:val="24"/>
          <w:highlight w:val="none"/>
        </w:rPr>
        <w:t xml:space="preserve">                                      </w:t>
      </w:r>
    </w:p>
    <w:p w14:paraId="2AAB6793">
      <w:pPr>
        <w:pageBreakBefore w:val="0"/>
        <w:kinsoku/>
        <w:wordWrap/>
        <w:topLinePunct w:val="0"/>
        <w:bidi w:val="0"/>
        <w:snapToGrid w:val="0"/>
        <w:spacing w:before="120" w:beforeLines="50" w:after="50" w:line="360" w:lineRule="auto"/>
        <w:ind w:firstLine="6930" w:firstLineChars="3300"/>
        <w:textAlignment w:val="auto"/>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全流程电子文件</w:t>
      </w:r>
    </w:p>
    <w:p w14:paraId="687F488E">
      <w:pPr>
        <w:pageBreakBefore w:val="0"/>
        <w:kinsoku/>
        <w:wordWrap/>
        <w:topLinePunct w:val="0"/>
        <w:bidi w:val="0"/>
        <w:snapToGrid w:val="0"/>
        <w:spacing w:before="120" w:beforeLines="50" w:after="50" w:line="360" w:lineRule="auto"/>
        <w:textAlignment w:val="auto"/>
        <w:rPr>
          <w:rFonts w:hint="eastAsia" w:ascii="宋体" w:hAnsi="宋体" w:eastAsia="宋体" w:cs="宋体"/>
          <w:color w:val="auto"/>
          <w:sz w:val="24"/>
          <w:szCs w:val="20"/>
          <w:highlight w:val="none"/>
        </w:rPr>
      </w:pPr>
    </w:p>
    <w:p w14:paraId="3FA40769">
      <w:pPr>
        <w:pageBreakBefore w:val="0"/>
        <w:kinsoku/>
        <w:wordWrap/>
        <w:topLinePunct w:val="0"/>
        <w:bidi w:val="0"/>
        <w:snapToGrid w:val="0"/>
        <w:spacing w:before="120" w:beforeLines="50" w:after="50" w:line="360" w:lineRule="auto"/>
        <w:textAlignment w:val="auto"/>
        <w:rPr>
          <w:rFonts w:hint="eastAsia" w:ascii="宋体" w:hAnsi="宋体" w:eastAsia="宋体" w:cs="宋体"/>
          <w:color w:val="auto"/>
          <w:sz w:val="24"/>
          <w:szCs w:val="20"/>
          <w:highlight w:val="none"/>
        </w:rPr>
      </w:pPr>
    </w:p>
    <w:p w14:paraId="087A1359">
      <w:pPr>
        <w:pageBreakBefore w:val="0"/>
        <w:kinsoku/>
        <w:wordWrap/>
        <w:topLinePunct w:val="0"/>
        <w:bidi w:val="0"/>
        <w:snapToGrid w:val="0"/>
        <w:spacing w:before="120" w:beforeLines="50" w:after="50" w:line="360" w:lineRule="auto"/>
        <w:jc w:val="center"/>
        <w:textAlignment w:val="auto"/>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  格  证  明  文  件</w:t>
      </w:r>
    </w:p>
    <w:p w14:paraId="162AC1D0">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22B61C58">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05992960">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3EA3CB6C">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23970F48">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541F6530">
      <w:pPr>
        <w:pageBreakBefore w:val="0"/>
        <w:kinsoku/>
        <w:wordWrap/>
        <w:topLinePunct w:val="0"/>
        <w:bidi w:val="0"/>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63C601F1">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p>
    <w:p w14:paraId="6A7B8814">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046132C7">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1F8885E7">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5B3FAE95">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p>
    <w:p w14:paraId="594E1391">
      <w:pPr>
        <w:pStyle w:val="7"/>
        <w:pageBreakBefore w:val="0"/>
        <w:kinsoku/>
        <w:wordWrap/>
        <w:topLinePunct w:val="0"/>
        <w:bidi w:val="0"/>
        <w:snapToGrid w:val="0"/>
        <w:spacing w:before="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7A92DE10">
      <w:pPr>
        <w:pStyle w:val="7"/>
        <w:pageBreakBefore w:val="0"/>
        <w:kinsoku/>
        <w:wordWrap/>
        <w:topLinePunct w:val="0"/>
        <w:bidi w:val="0"/>
        <w:snapToGrid w:val="0"/>
        <w:spacing w:before="50" w:after="50" w:line="360" w:lineRule="auto"/>
        <w:ind w:firstLine="720" w:firstLineChars="225"/>
        <w:textAlignment w:val="auto"/>
        <w:rPr>
          <w:rFonts w:hint="eastAsia" w:ascii="宋体" w:hAnsi="宋体" w:eastAsia="宋体" w:cs="宋体"/>
          <w:bCs/>
          <w:color w:val="auto"/>
          <w:sz w:val="32"/>
          <w:szCs w:val="32"/>
          <w:highlight w:val="none"/>
        </w:rPr>
      </w:pPr>
    </w:p>
    <w:p w14:paraId="7F7DEDF7">
      <w:pPr>
        <w:pStyle w:val="7"/>
        <w:pageBreakBefore w:val="0"/>
        <w:kinsoku/>
        <w:wordWrap/>
        <w:topLinePunct w:val="0"/>
        <w:bidi w:val="0"/>
        <w:snapToGrid w:val="0"/>
        <w:spacing w:before="50" w:after="50" w:line="360" w:lineRule="auto"/>
        <w:ind w:firstLine="1280" w:firstLineChars="400"/>
        <w:textAlignment w:val="auto"/>
        <w:rPr>
          <w:rFonts w:hint="eastAsia" w:ascii="宋体" w:hAnsi="宋体" w:eastAsia="宋体" w:cs="宋体"/>
          <w:bCs/>
          <w:color w:val="auto"/>
          <w:sz w:val="32"/>
          <w:szCs w:val="32"/>
          <w:highlight w:val="none"/>
        </w:rPr>
      </w:pPr>
    </w:p>
    <w:p w14:paraId="79E332E8">
      <w:pPr>
        <w:pageBreakBefore w:val="0"/>
        <w:kinsoku/>
        <w:wordWrap/>
        <w:topLinePunct w:val="0"/>
        <w:bidi w:val="0"/>
        <w:snapToGrid w:val="0"/>
        <w:spacing w:before="120" w:beforeLines="50" w:after="50"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sz w:val="32"/>
          <w:szCs w:val="32"/>
          <w:highlight w:val="none"/>
        </w:rPr>
        <w:t>年    月    日</w:t>
      </w:r>
      <w:r>
        <w:rPr>
          <w:rFonts w:hint="eastAsia" w:ascii="宋体" w:hAnsi="宋体" w:eastAsia="宋体" w:cs="宋体"/>
          <w:color w:val="auto"/>
          <w:sz w:val="24"/>
          <w:highlight w:val="none"/>
        </w:rPr>
        <w:br w:type="page"/>
      </w:r>
      <w:r>
        <w:rPr>
          <w:rFonts w:hint="eastAsia" w:ascii="宋体" w:hAnsi="宋体" w:eastAsia="宋体" w:cs="宋体"/>
          <w:b/>
          <w:bCs/>
          <w:color w:val="auto"/>
          <w:sz w:val="28"/>
          <w:szCs w:val="28"/>
          <w:highlight w:val="none"/>
        </w:rPr>
        <w:t>资格证明文件目录</w:t>
      </w:r>
    </w:p>
    <w:p w14:paraId="447C2980">
      <w:pPr>
        <w:pageBreakBefore w:val="0"/>
        <w:kinsoku/>
        <w:wordWrap/>
        <w:topLinePunct w:val="0"/>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4"/>
          <w:highlight w:val="none"/>
        </w:rPr>
        <w:t xml:space="preserve">  根据竞争性磋商文件规定及供应商提供的材料自行编写目录（部分格式后附）。</w:t>
      </w:r>
    </w:p>
    <w:p w14:paraId="635536C8">
      <w:pPr>
        <w:pageBreakBefore w:val="0"/>
        <w:kinsoku/>
        <w:wordWrap/>
        <w:topLinePunct w:val="0"/>
        <w:bidi w:val="0"/>
        <w:spacing w:line="360" w:lineRule="auto"/>
        <w:jc w:val="left"/>
        <w:textAlignment w:val="auto"/>
        <w:rPr>
          <w:rFonts w:hint="eastAsia" w:ascii="宋体" w:hAnsi="宋体" w:eastAsia="宋体" w:cs="宋体"/>
          <w:b/>
          <w:bCs/>
          <w:color w:val="auto"/>
          <w:sz w:val="28"/>
          <w:szCs w:val="28"/>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kern w:val="0"/>
          <w:sz w:val="28"/>
          <w:szCs w:val="28"/>
          <w:highlight w:val="none"/>
        </w:rPr>
        <w:t>资格声明函的格式：</w:t>
      </w:r>
    </w:p>
    <w:p w14:paraId="4B1F0E33">
      <w:pPr>
        <w:pageBreakBefore w:val="0"/>
        <w:kinsoku/>
        <w:wordWrap/>
        <w:topLinePunct w:val="0"/>
        <w:bidi w:val="0"/>
        <w:spacing w:line="360" w:lineRule="auto"/>
        <w:jc w:val="center"/>
        <w:textAlignment w:val="auto"/>
        <w:rPr>
          <w:rFonts w:hint="eastAsia" w:ascii="宋体" w:hAnsi="宋体" w:eastAsia="宋体" w:cs="宋体"/>
          <w:b/>
          <w:color w:val="auto"/>
          <w:sz w:val="32"/>
          <w:szCs w:val="32"/>
          <w:highlight w:val="none"/>
        </w:rPr>
      </w:pPr>
    </w:p>
    <w:p w14:paraId="4E8EED64">
      <w:pPr>
        <w:pageBreakBefore w:val="0"/>
        <w:kinsoku/>
        <w:wordWrap/>
        <w:topLinePunct w:val="0"/>
        <w:bidi w:val="0"/>
        <w:spacing w:line="360" w:lineRule="auto"/>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资格声明函</w:t>
      </w:r>
    </w:p>
    <w:p w14:paraId="232BE256">
      <w:pPr>
        <w:pageBreakBefore w:val="0"/>
        <w:kinsoku/>
        <w:wordWrap/>
        <w:topLinePunct w:val="0"/>
        <w:bidi w:val="0"/>
        <w:spacing w:line="360" w:lineRule="auto"/>
        <w:jc w:val="center"/>
        <w:textAlignment w:val="auto"/>
        <w:rPr>
          <w:rFonts w:hint="eastAsia" w:ascii="宋体" w:hAnsi="宋体" w:eastAsia="宋体" w:cs="宋体"/>
          <w:color w:val="auto"/>
          <w:sz w:val="24"/>
          <w:szCs w:val="20"/>
          <w:highlight w:val="none"/>
        </w:rPr>
      </w:pPr>
    </w:p>
    <w:p w14:paraId="4C232741">
      <w:pPr>
        <w:keepNext w:val="0"/>
        <w:keepLines w:val="0"/>
        <w:pageBreakBefore w:val="0"/>
        <w:widowControl w:val="0"/>
        <w:kinsoku/>
        <w:wordWrap/>
        <w:overflowPunct/>
        <w:topLinePunct w:val="0"/>
        <w:bidi w:val="0"/>
        <w:adjustRightInd/>
        <w:spacing w:line="360" w:lineRule="auto"/>
        <w:contextualSpacing/>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致：</w:t>
      </w:r>
      <w:r>
        <w:rPr>
          <w:rFonts w:hint="eastAsia" w:ascii="宋体" w:hAnsi="宋体" w:eastAsia="宋体" w:cs="宋体"/>
          <w:i w:val="0"/>
          <w:iCs w:val="0"/>
          <w:color w:val="auto"/>
          <w:szCs w:val="21"/>
          <w:highlight w:val="none"/>
          <w:u w:val="single"/>
        </w:rPr>
        <w:t>（采购代理机构名称）</w:t>
      </w:r>
      <w:r>
        <w:rPr>
          <w:rFonts w:hint="eastAsia" w:ascii="宋体" w:hAnsi="宋体" w:eastAsia="宋体" w:cs="宋体"/>
          <w:i w:val="0"/>
          <w:iCs w:val="0"/>
          <w:color w:val="auto"/>
          <w:szCs w:val="21"/>
          <w:highlight w:val="none"/>
        </w:rPr>
        <w:t>：</w:t>
      </w:r>
    </w:p>
    <w:p w14:paraId="2519518F">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u w:val="single"/>
        </w:rPr>
        <w:t>（供应商名称）</w:t>
      </w:r>
      <w:r>
        <w:rPr>
          <w:rFonts w:hint="eastAsia" w:ascii="宋体" w:hAnsi="宋体" w:eastAsia="宋体" w:cs="宋体"/>
          <w:i w:val="0"/>
          <w:iCs w:val="0"/>
          <w:color w:val="auto"/>
          <w:szCs w:val="21"/>
          <w:highlight w:val="none"/>
        </w:rPr>
        <w:t>系中华人民共和国合法供应商，经营地址</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w:t>
      </w:r>
    </w:p>
    <w:p w14:paraId="111597F3">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i w:val="0"/>
          <w:iCs w:val="0"/>
          <w:color w:val="auto"/>
          <w:szCs w:val="21"/>
          <w:highlight w:val="none"/>
        </w:rPr>
        <w:t>我方愿意参加贵方组织的</w:t>
      </w:r>
      <w:r>
        <w:rPr>
          <w:rFonts w:hint="eastAsia" w:ascii="宋体" w:hAnsi="宋体" w:eastAsia="宋体" w:cs="宋体"/>
          <w:i w:val="0"/>
          <w:iCs w:val="0"/>
          <w:color w:val="auto"/>
          <w:szCs w:val="21"/>
          <w:highlight w:val="none"/>
          <w:u w:val="single"/>
        </w:rPr>
        <w:t>（项目名称）</w:t>
      </w:r>
      <w:r>
        <w:rPr>
          <w:rFonts w:hint="eastAsia" w:ascii="宋体" w:hAnsi="宋体" w:eastAsia="宋体" w:cs="宋体"/>
          <w:i w:val="0"/>
          <w:iCs w:val="0"/>
          <w:color w:val="auto"/>
          <w:szCs w:val="21"/>
          <w:highlight w:val="none"/>
        </w:rPr>
        <w:t>项目的竞标，为</w:t>
      </w:r>
      <w:r>
        <w:rPr>
          <w:rFonts w:hint="eastAsia" w:ascii="宋体" w:hAnsi="宋体" w:eastAsia="宋体" w:cs="宋体"/>
          <w:color w:val="auto"/>
          <w:szCs w:val="21"/>
          <w:highlight w:val="none"/>
        </w:rPr>
        <w:t>便于贵方公正、择优地确定成交供应商及其竞标产品和服务，我方就本次竞标有关事项郑重声明如下：</w:t>
      </w:r>
    </w:p>
    <w:p w14:paraId="7825ED65">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1.我方向贵方提交的所有响应文件、资料都是准确的和真实的。</w:t>
      </w:r>
    </w:p>
    <w:p w14:paraId="468A6EF2">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0A57B68">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3.在此，我方宣布同意如下：</w:t>
      </w:r>
    </w:p>
    <w:p w14:paraId="38B29B69">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（1）将按磋商文件的约定履行合同责任和义务；</w:t>
      </w:r>
    </w:p>
    <w:p w14:paraId="182D4765">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（2）已详细审查全部磋商文件，包括澄清或者更正公告（如有）；</w:t>
      </w:r>
    </w:p>
    <w:p w14:paraId="1B8A00B7">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（3）同意提供按照贵方可能要求的与磋商有关的一切数据或者资料。</w:t>
      </w:r>
    </w:p>
    <w:p w14:paraId="1FABE0A2">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4.我方承诺符合《中华人民共和国政府采购法》第二十二条规定：</w:t>
      </w:r>
    </w:p>
    <w:p w14:paraId="1B8408CE">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（1）具有独立承担民事责任的能力；</w:t>
      </w:r>
    </w:p>
    <w:p w14:paraId="0256FBBB">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（2）具有良好的商业信誉和健全的财务会计制度；</w:t>
      </w:r>
    </w:p>
    <w:p w14:paraId="014AED1C">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（3）具有履行合同所必需的设备和专业技术能力；</w:t>
      </w:r>
    </w:p>
    <w:p w14:paraId="713DC920">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（4）有依法缴纳税收和社会保障资金的良好记录；</w:t>
      </w:r>
    </w:p>
    <w:p w14:paraId="09030E85">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（5）参加政府采购活动前三年内，在经营活动中没有重大违法记录；</w:t>
      </w:r>
    </w:p>
    <w:p w14:paraId="2877F696">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（6）法律、行政法规规定的其他条件。</w:t>
      </w:r>
    </w:p>
    <w:p w14:paraId="5D2A6F7E">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59FDB84">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106BE82">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□我方本次响应文件</w:t>
      </w:r>
      <w:r>
        <w:rPr>
          <w:rFonts w:hint="eastAsia" w:ascii="宋体" w:hAnsi="宋体" w:eastAsia="宋体" w:cs="宋体"/>
          <w:color w:val="auto"/>
          <w:kern w:val="0"/>
          <w:szCs w:val="21"/>
          <w:highlight w:val="none"/>
        </w:rPr>
        <w:t>内容中</w:t>
      </w:r>
      <w:r>
        <w:rPr>
          <w:rFonts w:hint="eastAsia" w:ascii="宋体" w:hAnsi="宋体" w:eastAsia="宋体" w:cs="宋体"/>
          <w:color w:val="auto"/>
          <w:szCs w:val="21"/>
          <w:highlight w:val="none"/>
        </w:rPr>
        <w:t>未</w:t>
      </w:r>
      <w:r>
        <w:rPr>
          <w:rFonts w:hint="eastAsia" w:ascii="宋体" w:hAnsi="宋体" w:eastAsia="宋体" w:cs="宋体"/>
          <w:color w:val="auto"/>
          <w:kern w:val="0"/>
          <w:szCs w:val="21"/>
          <w:highlight w:val="none"/>
        </w:rPr>
        <w:t>涉及商业秘密；</w:t>
      </w:r>
    </w:p>
    <w:p w14:paraId="353AA6AC">
      <w:pPr>
        <w:keepNext w:val="0"/>
        <w:keepLines w:val="0"/>
        <w:pageBreakBefore w:val="0"/>
        <w:widowControl w:val="0"/>
        <w:kinsoku/>
        <w:wordWrap/>
        <w:overflowPunct/>
        <w:topLinePunct w:val="0"/>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□我方本次响应文件</w:t>
      </w:r>
      <w:r>
        <w:rPr>
          <w:rFonts w:hint="eastAsia" w:ascii="宋体" w:hAnsi="宋体" w:eastAsia="宋体" w:cs="宋体"/>
          <w:color w:val="auto"/>
          <w:kern w:val="0"/>
          <w:szCs w:val="21"/>
          <w:highlight w:val="none"/>
        </w:rPr>
        <w:t>涉及商业秘密的内容有：</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2C02AB7C">
      <w:pPr>
        <w:pStyle w:val="15"/>
        <w:keepNext w:val="0"/>
        <w:keepLines w:val="0"/>
        <w:pageBreakBefore w:val="0"/>
        <w:widowControl w:val="0"/>
        <w:tabs>
          <w:tab w:val="left" w:pos="939"/>
        </w:tabs>
        <w:kinsoku/>
        <w:wordWrap/>
        <w:overflowPunct/>
        <w:topLinePunct w:val="0"/>
        <w:bidi w:val="0"/>
        <w:adjustRightIn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7.</w:t>
      </w:r>
      <w:r>
        <w:rPr>
          <w:rFonts w:hint="eastAsia" w:ascii="宋体" w:hAnsi="宋体" w:eastAsia="宋体" w:cs="宋体"/>
          <w:color w:val="auto"/>
          <w:szCs w:val="21"/>
          <w:highlight w:val="none"/>
        </w:rPr>
        <w:t>以上事项如有虚假或者隐瞒，我方愿意承担一切后果，并不再寻求任何旨在减轻或者免除法律责任的辩解。</w:t>
      </w:r>
    </w:p>
    <w:p w14:paraId="644D74F7">
      <w:pPr>
        <w:pStyle w:val="15"/>
        <w:keepNext w:val="0"/>
        <w:keepLines w:val="0"/>
        <w:pageBreakBefore w:val="0"/>
        <w:widowControl w:val="0"/>
        <w:tabs>
          <w:tab w:val="left" w:pos="939"/>
        </w:tabs>
        <w:kinsoku/>
        <w:wordWrap/>
        <w:overflowPunct/>
        <w:topLinePunct w:val="0"/>
        <w:bidi w:val="0"/>
        <w:adjustRightInd/>
        <w:spacing w:line="360" w:lineRule="auto"/>
        <w:ind w:left="141" w:leftChars="67" w:firstLine="315" w:firstLineChars="1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46F218C3">
      <w:pPr>
        <w:pStyle w:val="15"/>
        <w:keepNext w:val="0"/>
        <w:keepLines w:val="0"/>
        <w:pageBreakBefore w:val="0"/>
        <w:widowControl w:val="0"/>
        <w:tabs>
          <w:tab w:val="left" w:pos="939"/>
        </w:tabs>
        <w:kinsoku/>
        <w:wordWrap/>
        <w:overflowPunct/>
        <w:topLinePunct w:val="0"/>
        <w:bidi w:val="0"/>
        <w:adjustRightInd/>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注：如为联合体竞标，盖章处须加盖联合体各方公章，否则其响应文件按无效响应处理。</w:t>
      </w:r>
    </w:p>
    <w:p w14:paraId="7B461039">
      <w:pPr>
        <w:pStyle w:val="15"/>
        <w:keepNext w:val="0"/>
        <w:keepLines w:val="0"/>
        <w:pageBreakBefore w:val="0"/>
        <w:widowControl w:val="0"/>
        <w:tabs>
          <w:tab w:val="left" w:pos="939"/>
        </w:tabs>
        <w:kinsoku/>
        <w:wordWrap/>
        <w:overflowPunct/>
        <w:topLinePunct w:val="0"/>
        <w:bidi w:val="0"/>
        <w:adjustRightInd/>
        <w:spacing w:line="360" w:lineRule="auto"/>
        <w:ind w:left="0" w:leftChars="0" w:firstLine="420" w:firstLineChars="200"/>
        <w:textAlignment w:val="auto"/>
        <w:rPr>
          <w:rFonts w:hint="eastAsia" w:ascii="宋体" w:hAnsi="宋体" w:eastAsia="宋体" w:cs="宋体"/>
          <w:color w:val="auto"/>
          <w:szCs w:val="21"/>
          <w:highlight w:val="none"/>
        </w:rPr>
      </w:pPr>
    </w:p>
    <w:p w14:paraId="3A515289">
      <w:pPr>
        <w:keepNext w:val="0"/>
        <w:keepLines w:val="0"/>
        <w:pageBreakBefore w:val="0"/>
        <w:widowControl w:val="0"/>
        <w:kinsoku/>
        <w:wordWrap/>
        <w:overflowPunct/>
        <w:topLinePunct w:val="0"/>
        <w:autoSpaceDE w:val="0"/>
        <w:autoSpaceDN w:val="0"/>
        <w:bidi w:val="0"/>
        <w:adjustRightInd/>
        <w:spacing w:line="360" w:lineRule="auto"/>
        <w:ind w:left="4305" w:leftChars="1850" w:hanging="420" w:hangingChars="200"/>
        <w:textAlignment w:val="auto"/>
        <w:rPr>
          <w:rFonts w:hint="eastAsia" w:ascii="宋体" w:hAnsi="宋体" w:eastAsia="宋体" w:cs="宋体"/>
          <w:color w:val="auto"/>
          <w:kern w:val="0"/>
          <w:szCs w:val="21"/>
          <w:highlight w:val="none"/>
        </w:rPr>
      </w:pPr>
    </w:p>
    <w:p w14:paraId="3A422063">
      <w:pPr>
        <w:keepNext w:val="0"/>
        <w:keepLines w:val="0"/>
        <w:pageBreakBefore w:val="0"/>
        <w:widowControl w:val="0"/>
        <w:kinsoku/>
        <w:wordWrap/>
        <w:overflowPunct/>
        <w:topLinePunct w:val="0"/>
        <w:autoSpaceDE w:val="0"/>
        <w:autoSpaceDN w:val="0"/>
        <w:bidi w:val="0"/>
        <w:adjustRightInd/>
        <w:spacing w:line="360" w:lineRule="auto"/>
        <w:ind w:left="4305" w:leftChars="1850" w:hanging="420" w:hangingChars="200"/>
        <w:textAlignment w:val="auto"/>
        <w:rPr>
          <w:rFonts w:hint="eastAsia" w:ascii="宋体" w:hAnsi="宋体" w:eastAsia="宋体" w:cs="宋体"/>
          <w:color w:val="auto"/>
          <w:kern w:val="0"/>
          <w:szCs w:val="21"/>
          <w:highlight w:val="none"/>
        </w:rPr>
      </w:pPr>
    </w:p>
    <w:p w14:paraId="47AF5E0F">
      <w:pPr>
        <w:keepNext w:val="0"/>
        <w:keepLines w:val="0"/>
        <w:pageBreakBefore w:val="0"/>
        <w:widowControl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14EA9052">
      <w:pPr>
        <w:keepNext w:val="0"/>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0E1FC2D">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7F1E1AFD">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539A7496">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0954F9A0">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792402E1">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1344F225">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73931E72">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29977904">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7C6E9AF5">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4B13C0F4">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4A5071AE">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5EDFA54C">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358DB3B1">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14B90BBC">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32A50861">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1C544FA5">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37091EB4">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794EB82C">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565068B7">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198A3F37">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3752082A">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55D9799C">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778B8198">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552FD54D">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6E27744B">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0935E836">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36A17D08">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4AB05EE9">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3453C196">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4D35BA0E">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23B8B765">
      <w:pPr>
        <w:pStyle w:val="7"/>
        <w:pageBreakBefore w:val="0"/>
        <w:kinsoku/>
        <w:wordWrap/>
        <w:topLinePunct w:val="0"/>
        <w:bidi w:val="0"/>
        <w:spacing w:line="360" w:lineRule="auto"/>
        <w:textAlignment w:val="auto"/>
        <w:rPr>
          <w:rFonts w:hint="eastAsia" w:ascii="宋体" w:hAnsi="宋体" w:eastAsia="宋体" w:cs="宋体"/>
          <w:color w:val="auto"/>
          <w:szCs w:val="21"/>
          <w:highlight w:val="none"/>
        </w:rPr>
      </w:pPr>
    </w:p>
    <w:p w14:paraId="004DE08E">
      <w:pPr>
        <w:pageBreakBefore w:val="0"/>
        <w:kinsoku/>
        <w:wordWrap/>
        <w:topLinePunct w:val="0"/>
        <w:bidi w:val="0"/>
        <w:spacing w:line="360" w:lineRule="auto"/>
        <w:contextualSpacing/>
        <w:jc w:val="center"/>
        <w:textAlignment w:val="auto"/>
        <w:rPr>
          <w:rFonts w:hint="eastAsia" w:ascii="宋体" w:hAnsi="宋体" w:eastAsia="宋体" w:cs="宋体"/>
          <w:b/>
          <w:color w:val="auto"/>
          <w:sz w:val="32"/>
          <w:szCs w:val="32"/>
          <w:highlight w:val="none"/>
        </w:rPr>
      </w:pPr>
    </w:p>
    <w:p w14:paraId="7F653048">
      <w:pPr>
        <w:pageBreakBefore w:val="0"/>
        <w:kinsoku/>
        <w:wordWrap/>
        <w:topLinePunct w:val="0"/>
        <w:bidi w:val="0"/>
        <w:spacing w:line="360" w:lineRule="auto"/>
        <w:contextualSpacing/>
        <w:jc w:val="center"/>
        <w:textAlignment w:val="auto"/>
        <w:rPr>
          <w:rFonts w:hint="eastAsia" w:ascii="宋体" w:hAnsi="宋体" w:eastAsia="宋体" w:cs="宋体"/>
          <w:b/>
          <w:color w:val="auto"/>
          <w:kern w:val="0"/>
          <w:sz w:val="30"/>
          <w:szCs w:val="30"/>
          <w:highlight w:val="none"/>
        </w:rPr>
      </w:pPr>
      <w:r>
        <w:rPr>
          <w:rFonts w:hint="eastAsia" w:ascii="宋体" w:hAnsi="宋体" w:eastAsia="宋体" w:cs="宋体"/>
          <w:b/>
          <w:color w:val="auto"/>
          <w:sz w:val="32"/>
          <w:szCs w:val="32"/>
          <w:highlight w:val="none"/>
        </w:rPr>
        <w:t>供应商直接控股、管理关系信息表</w:t>
      </w:r>
    </w:p>
    <w:p w14:paraId="243A64AE">
      <w:pPr>
        <w:pageBreakBefore w:val="0"/>
        <w:kinsoku/>
        <w:wordWrap/>
        <w:topLinePunct w:val="0"/>
        <w:bidi w:val="0"/>
        <w:spacing w:line="360" w:lineRule="auto"/>
        <w:contextualSpacing/>
        <w:jc w:val="center"/>
        <w:textAlignment w:val="auto"/>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供应商直接控股股东信息</w:t>
      </w:r>
    </w:p>
    <w:p w14:paraId="3D0433B8">
      <w:pPr>
        <w:pageBreakBefore w:val="0"/>
        <w:kinsoku/>
        <w:wordWrap/>
        <w:topLinePunct w:val="0"/>
        <w:bidi w:val="0"/>
        <w:spacing w:line="360" w:lineRule="auto"/>
        <w:contextualSpacing/>
        <w:jc w:val="center"/>
        <w:textAlignment w:val="auto"/>
        <w:rPr>
          <w:rFonts w:hint="eastAsia" w:ascii="宋体" w:hAnsi="宋体" w:eastAsia="宋体" w:cs="宋体"/>
          <w:b/>
          <w:color w:val="auto"/>
          <w:sz w:val="24"/>
          <w:highlight w:val="none"/>
        </w:rPr>
      </w:pPr>
    </w:p>
    <w:tbl>
      <w:tblPr>
        <w:tblStyle w:val="29"/>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20C8D5C2">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62BC840">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4D263F7">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5F2FC8">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08E876">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87784BF">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5A71C090">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D97981">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1A93A2">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27F394">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BA82A2">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5002DE">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r w14:paraId="39DAA50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20A998B">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7F61E1">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C02C7D">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DF61F9">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0BBD67">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r w14:paraId="3966AD7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23AE25">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A152C5">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6EF083">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F2847C">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E86C04">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r w14:paraId="66A2F5F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046326">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BFA52A">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F8DBBB">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152DFD">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0DD8FF">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bl>
    <w:p w14:paraId="1026C253">
      <w:pPr>
        <w:pageBreakBefore w:val="0"/>
        <w:kinsoku/>
        <w:wordWrap/>
        <w:topLinePunct w:val="0"/>
        <w:bidi w:val="0"/>
        <w:spacing w:line="360" w:lineRule="auto"/>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00A31750">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273CA84">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2.本表所指的控股关系仅限于直接控股关系，不包括间接的控股关系。公司实际控制人与公司之间的关系不属于本表所指的直接控股关系。</w:t>
      </w:r>
    </w:p>
    <w:p w14:paraId="24691545">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3.供应商不存在直接控股股东的，则填“无”。</w:t>
      </w:r>
    </w:p>
    <w:p w14:paraId="402A4984">
      <w:pPr>
        <w:pageBreakBefore w:val="0"/>
        <w:kinsoku/>
        <w:wordWrap/>
        <w:topLinePunct w:val="0"/>
        <w:bidi w:val="0"/>
        <w:snapToGrid w:val="0"/>
        <w:spacing w:line="360" w:lineRule="auto"/>
        <w:jc w:val="left"/>
        <w:textAlignment w:val="auto"/>
        <w:rPr>
          <w:rFonts w:hint="eastAsia" w:ascii="宋体" w:hAnsi="宋体" w:eastAsia="宋体" w:cs="宋体"/>
          <w:color w:val="auto"/>
          <w:sz w:val="24"/>
          <w:highlight w:val="none"/>
        </w:rPr>
      </w:pPr>
    </w:p>
    <w:p w14:paraId="1290D566">
      <w:pPr>
        <w:pageBreakBefore w:val="0"/>
        <w:kinsoku/>
        <w:wordWrap/>
        <w:topLinePunct w:val="0"/>
        <w:bidi w:val="0"/>
        <w:snapToGrid w:val="0"/>
        <w:spacing w:line="360" w:lineRule="auto"/>
        <w:jc w:val="left"/>
        <w:textAlignment w:val="auto"/>
        <w:rPr>
          <w:rFonts w:hint="eastAsia" w:ascii="宋体" w:hAnsi="宋体" w:eastAsia="宋体" w:cs="宋体"/>
          <w:color w:val="auto"/>
          <w:sz w:val="24"/>
          <w:highlight w:val="none"/>
        </w:rPr>
      </w:pPr>
    </w:p>
    <w:p w14:paraId="59AB3971">
      <w:pPr>
        <w:pageBreakBefore w:val="0"/>
        <w:kinsoku/>
        <w:wordWrap/>
        <w:topLinePunct w:val="0"/>
        <w:bidi w:val="0"/>
        <w:snapToGrid w:val="0"/>
        <w:spacing w:line="360" w:lineRule="auto"/>
        <w:jc w:val="left"/>
        <w:textAlignment w:val="auto"/>
        <w:rPr>
          <w:rFonts w:hint="eastAsia" w:ascii="宋体" w:hAnsi="宋体" w:eastAsia="宋体" w:cs="宋体"/>
          <w:color w:val="auto"/>
          <w:sz w:val="24"/>
          <w:highlight w:val="none"/>
        </w:rPr>
      </w:pPr>
    </w:p>
    <w:p w14:paraId="07538EC8">
      <w:pPr>
        <w:pageBreakBefore w:val="0"/>
        <w:kinsoku/>
        <w:wordWrap/>
        <w:topLinePunct w:val="0"/>
        <w:autoSpaceDE w:val="0"/>
        <w:autoSpaceDN w:val="0"/>
        <w:bidi w:val="0"/>
        <w:spacing w:line="360" w:lineRule="auto"/>
        <w:ind w:left="4365" w:leftChars="1850" w:hanging="480" w:hanging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0B36A110">
      <w:pPr>
        <w:pageBreakBefore w:val="0"/>
        <w:kinsoku/>
        <w:wordWrap/>
        <w:topLinePunct w:val="0"/>
        <w:autoSpaceDE w:val="0"/>
        <w:autoSpaceDN w:val="0"/>
        <w:bidi w:val="0"/>
        <w:spacing w:line="360" w:lineRule="auto"/>
        <w:ind w:firstLine="6120" w:firstLineChars="2550"/>
        <w:textAlignment w:val="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74ED62CE">
      <w:pPr>
        <w:pageBreakBefore w:val="0"/>
        <w:kinsoku/>
        <w:wordWrap/>
        <w:topLinePunct w:val="0"/>
        <w:bidi w:val="0"/>
        <w:snapToGrid w:val="0"/>
        <w:spacing w:line="360" w:lineRule="auto"/>
        <w:textAlignment w:val="auto"/>
        <w:rPr>
          <w:rFonts w:hint="eastAsia" w:ascii="宋体" w:hAnsi="宋体" w:eastAsia="宋体" w:cs="宋体"/>
          <w:b/>
          <w:color w:val="auto"/>
          <w:kern w:val="0"/>
          <w:sz w:val="30"/>
          <w:szCs w:val="30"/>
          <w:highlight w:val="none"/>
        </w:rPr>
      </w:pPr>
    </w:p>
    <w:p w14:paraId="5FDB2A7F">
      <w:pPr>
        <w:pageBreakBefore w:val="0"/>
        <w:kinsoku/>
        <w:wordWrap/>
        <w:topLinePunct w:val="0"/>
        <w:bidi w:val="0"/>
        <w:snapToGrid w:val="0"/>
        <w:spacing w:line="360" w:lineRule="auto"/>
        <w:jc w:val="center"/>
        <w:textAlignment w:val="auto"/>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br w:type="page"/>
      </w:r>
      <w:r>
        <w:rPr>
          <w:rFonts w:hint="eastAsia" w:ascii="宋体" w:hAnsi="宋体" w:eastAsia="宋体" w:cs="宋体"/>
          <w:b/>
          <w:color w:val="auto"/>
          <w:kern w:val="0"/>
          <w:sz w:val="30"/>
          <w:szCs w:val="30"/>
          <w:highlight w:val="none"/>
        </w:rPr>
        <w:t>供应商直接管理关系信息表</w:t>
      </w:r>
    </w:p>
    <w:p w14:paraId="74FCC0D5">
      <w:pPr>
        <w:pageBreakBefore w:val="0"/>
        <w:kinsoku/>
        <w:wordWrap/>
        <w:topLinePunct w:val="0"/>
        <w:bidi w:val="0"/>
        <w:snapToGrid w:val="0"/>
        <w:spacing w:line="360" w:lineRule="auto"/>
        <w:jc w:val="center"/>
        <w:textAlignment w:val="auto"/>
        <w:rPr>
          <w:rFonts w:hint="eastAsia" w:ascii="宋体" w:hAnsi="宋体" w:eastAsia="宋体" w:cs="宋体"/>
          <w:b/>
          <w:color w:val="auto"/>
          <w:sz w:val="24"/>
          <w:highlight w:val="none"/>
        </w:rPr>
      </w:pPr>
    </w:p>
    <w:tbl>
      <w:tblPr>
        <w:tblStyle w:val="29"/>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77C17FC1">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2BB82E">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468501">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34D4F4">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C5044C">
            <w:pPr>
              <w:pageBreakBefore w:val="0"/>
              <w:widowControl/>
              <w:kinsoku/>
              <w:wordWrap/>
              <w:topLinePunct w:val="0"/>
              <w:bidi w:val="0"/>
              <w:spacing w:line="360" w:lineRule="auto"/>
              <w:contextualSpacing/>
              <w:jc w:val="center"/>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0751A34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A36121">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D96CFA">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BD99BB">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4D7394">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r w14:paraId="770ECF7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E5C4ED">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D62FD8">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92A6D5">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D674B9">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r w14:paraId="4A71B3E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417AE9E">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7A6B62">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21AEAC">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2F6A65">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r w14:paraId="642FB1C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79474C">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BF28A8">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AEA92B">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493AD9C">
            <w:pPr>
              <w:pageBreakBefore w:val="0"/>
              <w:widowControl/>
              <w:kinsoku/>
              <w:wordWrap/>
              <w:topLinePunct w:val="0"/>
              <w:bidi w:val="0"/>
              <w:spacing w:line="360" w:lineRule="auto"/>
              <w:contextualSpacing/>
              <w:jc w:val="center"/>
              <w:textAlignment w:val="auto"/>
              <w:rPr>
                <w:rFonts w:hint="eastAsia" w:ascii="宋体" w:hAnsi="宋体" w:eastAsia="宋体" w:cs="宋体"/>
                <w:color w:val="auto"/>
                <w:kern w:val="0"/>
                <w:sz w:val="24"/>
                <w:highlight w:val="none"/>
              </w:rPr>
            </w:pPr>
          </w:p>
        </w:tc>
      </w:tr>
    </w:tbl>
    <w:p w14:paraId="7B755361">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注：</w:t>
      </w:r>
    </w:p>
    <w:p w14:paraId="31F023D7">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1.管理关系：是指不具有出资持股关系的其他单位之间存在的管理与被管理关系，如一些上下级关系的事业单位和团体组织。</w:t>
      </w:r>
    </w:p>
    <w:p w14:paraId="00F402AC">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2.本表所指的管理关系仅限于直接管理关系，不包括间接的管理关系。</w:t>
      </w:r>
    </w:p>
    <w:p w14:paraId="00B15BB6">
      <w:pPr>
        <w:pageBreakBefore w:val="0"/>
        <w:kinsoku/>
        <w:wordWrap/>
        <w:topLinePunct w:val="0"/>
        <w:bidi w:val="0"/>
        <w:spacing w:line="360" w:lineRule="auto"/>
        <w:ind w:firstLine="480" w:firstLineChars="200"/>
        <w:contextualSpacing/>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3.供应商不存在直接管理关系的，则填“无”。</w:t>
      </w:r>
    </w:p>
    <w:p w14:paraId="75B7A35D">
      <w:pPr>
        <w:pageBreakBefore w:val="0"/>
        <w:kinsoku/>
        <w:wordWrap/>
        <w:topLinePunct w:val="0"/>
        <w:bidi w:val="0"/>
        <w:spacing w:line="360" w:lineRule="auto"/>
        <w:contextualSpacing/>
        <w:jc w:val="left"/>
        <w:textAlignment w:val="auto"/>
        <w:rPr>
          <w:rFonts w:hint="eastAsia" w:ascii="宋体" w:hAnsi="宋体" w:eastAsia="宋体" w:cs="宋体"/>
          <w:color w:val="auto"/>
          <w:sz w:val="24"/>
          <w:highlight w:val="none"/>
        </w:rPr>
      </w:pPr>
    </w:p>
    <w:p w14:paraId="1C10BE19">
      <w:pPr>
        <w:pageBreakBefore w:val="0"/>
        <w:kinsoku/>
        <w:wordWrap/>
        <w:topLinePunct w:val="0"/>
        <w:autoSpaceDE w:val="0"/>
        <w:autoSpaceDN w:val="0"/>
        <w:bidi w:val="0"/>
        <w:spacing w:line="360" w:lineRule="auto"/>
        <w:ind w:left="4365" w:leftChars="1850" w:hanging="480" w:hanging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供应商名称（电子签章）：</w:t>
      </w:r>
    </w:p>
    <w:p w14:paraId="490A95F7">
      <w:pPr>
        <w:pageBreakBefore w:val="0"/>
        <w:kinsoku/>
        <w:wordWrap/>
        <w:topLinePunct w:val="0"/>
        <w:autoSpaceDE w:val="0"/>
        <w:autoSpaceDN w:val="0"/>
        <w:bidi w:val="0"/>
        <w:spacing w:line="360" w:lineRule="auto"/>
        <w:ind w:firstLine="6120" w:firstLineChars="2550"/>
        <w:textAlignment w:val="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lang w:val="zh-CN"/>
        </w:rPr>
        <w:t>日期：  年  月   日</w:t>
      </w:r>
    </w:p>
    <w:p w14:paraId="4065EC5D">
      <w:pPr>
        <w:pStyle w:val="7"/>
        <w:rPr>
          <w:rFonts w:hint="eastAsia" w:ascii="宋体" w:hAnsi="宋体" w:eastAsia="宋体" w:cs="宋体"/>
          <w:color w:val="auto"/>
          <w:highlight w:val="none"/>
          <w:lang w:val="zh-CN"/>
        </w:rPr>
        <w:sectPr>
          <w:pgSz w:w="11911" w:h="16838"/>
          <w:pgMar w:top="1134" w:right="1134" w:bottom="1134" w:left="1134" w:header="720" w:footer="720" w:gutter="0"/>
          <w:pgBorders>
            <w:top w:val="none" w:sz="0" w:space="0"/>
            <w:left w:val="none" w:sz="0" w:space="0"/>
            <w:bottom w:val="none" w:sz="0" w:space="0"/>
            <w:right w:val="none" w:sz="0" w:space="0"/>
          </w:pgBorders>
          <w:cols w:space="720" w:num="1"/>
        </w:sectPr>
      </w:pPr>
    </w:p>
    <w:p w14:paraId="3F9B4ADB">
      <w:pPr>
        <w:pStyle w:val="7"/>
        <w:rPr>
          <w:rFonts w:hint="eastAsia" w:ascii="宋体" w:hAnsi="宋体" w:eastAsia="宋体" w:cs="宋体"/>
          <w:color w:val="auto"/>
          <w:highlight w:val="none"/>
          <w:lang w:val="zh-CN"/>
        </w:rPr>
      </w:pPr>
    </w:p>
    <w:p w14:paraId="7E2E21A2">
      <w:pPr>
        <w:spacing w:line="360" w:lineRule="auto"/>
        <w:rPr>
          <w:rFonts w:hint="eastAsia" w:ascii="宋体" w:hAnsi="宋体" w:eastAsia="宋体" w:cs="宋体"/>
          <w:color w:val="auto"/>
          <w:szCs w:val="21"/>
          <w:highlight w:val="none"/>
        </w:rPr>
      </w:pPr>
    </w:p>
    <w:p w14:paraId="04DB772E">
      <w:pPr>
        <w:jc w:val="center"/>
        <w:rPr>
          <w:rFonts w:hint="eastAsia" w:ascii="宋体" w:hAnsi="宋体" w:eastAsia="宋体" w:cs="宋体"/>
          <w:b/>
          <w:color w:val="auto"/>
          <w:sz w:val="32"/>
          <w:szCs w:val="32"/>
          <w:highlight w:val="none"/>
        </w:rPr>
      </w:pPr>
      <w:bookmarkStart w:id="49" w:name="_Toc71365926"/>
      <w:r>
        <w:rPr>
          <w:rFonts w:hint="eastAsia" w:ascii="宋体" w:hAnsi="宋体" w:eastAsia="宋体" w:cs="宋体"/>
          <w:b/>
          <w:color w:val="auto"/>
          <w:sz w:val="32"/>
          <w:szCs w:val="32"/>
          <w:highlight w:val="none"/>
        </w:rPr>
        <w:t>中小企业声明函（工程）</w:t>
      </w:r>
      <w:bookmarkEnd w:id="49"/>
    </w:p>
    <w:p w14:paraId="0B072DA5">
      <w:pPr>
        <w:pStyle w:val="13"/>
        <w:spacing w:line="500" w:lineRule="exact"/>
        <w:ind w:right="142" w:firstLine="705" w:firstLineChars="294"/>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本公司（联合体）郑重声明，根据《政府采购促进中小企业发展管理办法》（财库﹝2020﹞46号）的规定，本公司（联合体）参加</w:t>
      </w:r>
      <w:r>
        <w:rPr>
          <w:rFonts w:hint="eastAsia" w:ascii="宋体" w:hAnsi="宋体" w:eastAsia="宋体" w:cs="宋体"/>
          <w:color w:val="auto"/>
          <w:sz w:val="24"/>
          <w:highlight w:val="none"/>
          <w:u w:val="single"/>
        </w:rPr>
        <w:t>（单位名称）</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采购活动，工程的施工单位全部为符合政策要求的中小企业。相关企业（含联合体中的中小企业、签订分包意向协议的中小企业）的具体情况如下：</w:t>
      </w:r>
    </w:p>
    <w:p w14:paraId="27129F0D">
      <w:pPr>
        <w:tabs>
          <w:tab w:val="left" w:pos="1384"/>
          <w:tab w:val="left" w:pos="4562"/>
          <w:tab w:val="left" w:pos="6803"/>
        </w:tabs>
        <w:spacing w:before="13" w:line="500" w:lineRule="exact"/>
        <w:ind w:right="142" w:firstLine="772" w:firstLineChars="322"/>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；承建企业为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6774E0CC">
      <w:pPr>
        <w:tabs>
          <w:tab w:val="left" w:pos="1065"/>
          <w:tab w:val="left" w:pos="4262"/>
          <w:tab w:val="left" w:pos="6477"/>
        </w:tabs>
        <w:spacing w:before="20" w:line="500" w:lineRule="exact"/>
        <w:ind w:right="84" w:firstLine="772" w:firstLineChars="32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，属于</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；承建企业为</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（中型企业、小型企业、微型企业）</w:t>
      </w:r>
      <w:r>
        <w:rPr>
          <w:rFonts w:hint="eastAsia" w:ascii="宋体" w:hAnsi="宋体" w:eastAsia="宋体" w:cs="宋体"/>
          <w:color w:val="auto"/>
          <w:sz w:val="24"/>
          <w:highlight w:val="none"/>
        </w:rPr>
        <w:t>；</w:t>
      </w:r>
    </w:p>
    <w:p w14:paraId="5467B0AD">
      <w:pPr>
        <w:pStyle w:val="13"/>
        <w:spacing w:before="34" w:line="500" w:lineRule="exact"/>
        <w:ind w:right="142" w:firstLine="705" w:firstLineChars="294"/>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19F1B4F3">
      <w:pPr>
        <w:pStyle w:val="13"/>
        <w:spacing w:before="34" w:line="500" w:lineRule="exact"/>
        <w:ind w:right="142" w:firstLine="705" w:firstLineChars="294"/>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37826618">
      <w:pPr>
        <w:pStyle w:val="13"/>
        <w:spacing w:before="25" w:line="500" w:lineRule="exact"/>
        <w:ind w:right="142" w:firstLine="705" w:firstLineChars="294"/>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130B064E">
      <w:pPr>
        <w:pStyle w:val="13"/>
        <w:spacing w:before="56" w:line="500" w:lineRule="exact"/>
        <w:ind w:right="650"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企业名称</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（盖</w:t>
      </w:r>
      <w:r>
        <w:rPr>
          <w:rFonts w:hint="eastAsia" w:ascii="宋体" w:hAnsi="宋体" w:eastAsia="宋体" w:cs="宋体"/>
          <w:color w:val="auto"/>
          <w:sz w:val="24"/>
          <w:highlight w:val="none"/>
          <w:lang w:val="en-US" w:eastAsia="zh-CN"/>
        </w:rPr>
        <w:t>电子公</w:t>
      </w:r>
      <w:r>
        <w:rPr>
          <w:rFonts w:hint="eastAsia" w:ascii="宋体" w:hAnsi="宋体" w:eastAsia="宋体" w:cs="宋体"/>
          <w:color w:val="auto"/>
          <w:sz w:val="24"/>
          <w:highlight w:val="none"/>
        </w:rPr>
        <w:t xml:space="preserve">章） </w:t>
      </w:r>
    </w:p>
    <w:p w14:paraId="27C09E18">
      <w:pPr>
        <w:pStyle w:val="13"/>
        <w:spacing w:before="56" w:line="500" w:lineRule="exact"/>
        <w:ind w:right="1808" w:firstLine="5625" w:firstLineChars="2344"/>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5F6E986F">
      <w:pPr>
        <w:spacing w:line="5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246ABB09">
      <w:pPr>
        <w:spacing w:line="5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000C874">
      <w:pPr>
        <w:spacing w:line="52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503A292D">
      <w:pPr>
        <w:spacing w:line="5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残疾人福利性单位声明函</w:t>
      </w:r>
    </w:p>
    <w:p w14:paraId="66B46D99">
      <w:pPr>
        <w:spacing w:line="360" w:lineRule="auto"/>
        <w:contextualSpacing/>
        <w:rPr>
          <w:rFonts w:hint="eastAsia" w:ascii="宋体" w:hAnsi="宋体" w:eastAsia="宋体" w:cs="宋体"/>
          <w:color w:val="auto"/>
          <w:sz w:val="32"/>
          <w:szCs w:val="32"/>
          <w:highlight w:val="none"/>
        </w:rPr>
      </w:pPr>
    </w:p>
    <w:p w14:paraId="1611DBF4">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FF0B05A">
      <w:pPr>
        <w:spacing w:line="360" w:lineRule="auto"/>
        <w:ind w:firstLine="48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17F2EF5C">
      <w:pPr>
        <w:spacing w:line="360" w:lineRule="auto"/>
        <w:contextualSpacing/>
        <w:rPr>
          <w:rFonts w:hint="eastAsia" w:ascii="宋体" w:hAnsi="宋体" w:eastAsia="宋体" w:cs="宋体"/>
          <w:color w:val="auto"/>
          <w:sz w:val="24"/>
          <w:highlight w:val="none"/>
        </w:rPr>
      </w:pPr>
    </w:p>
    <w:p w14:paraId="380DB081">
      <w:pPr>
        <w:spacing w:line="360" w:lineRule="auto"/>
        <w:contextualSpacing/>
        <w:rPr>
          <w:rFonts w:hint="eastAsia" w:ascii="宋体" w:hAnsi="宋体" w:eastAsia="宋体" w:cs="宋体"/>
          <w:color w:val="auto"/>
          <w:sz w:val="24"/>
          <w:highlight w:val="none"/>
        </w:rPr>
      </w:pPr>
    </w:p>
    <w:p w14:paraId="12595FE8">
      <w:pPr>
        <w:spacing w:line="360" w:lineRule="auto"/>
        <w:contextualSpacing/>
        <w:rPr>
          <w:rFonts w:hint="eastAsia" w:ascii="宋体" w:hAnsi="宋体" w:eastAsia="宋体" w:cs="宋体"/>
          <w:color w:val="auto"/>
          <w:sz w:val="24"/>
          <w:highlight w:val="none"/>
        </w:rPr>
      </w:pPr>
    </w:p>
    <w:p w14:paraId="68114ED4">
      <w:pPr>
        <w:spacing w:line="360" w:lineRule="auto"/>
        <w:ind w:firstLine="2400" w:firstLineChars="10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（盖</w:t>
      </w:r>
      <w:r>
        <w:rPr>
          <w:rFonts w:hint="eastAsia" w:ascii="宋体" w:hAnsi="宋体" w:eastAsia="宋体" w:cs="宋体"/>
          <w:color w:val="auto"/>
          <w:sz w:val="24"/>
          <w:highlight w:val="none"/>
          <w:lang w:val="en-US" w:eastAsia="zh-CN"/>
        </w:rPr>
        <w:t>电子公</w:t>
      </w:r>
      <w:r>
        <w:rPr>
          <w:rFonts w:hint="eastAsia" w:ascii="宋体" w:hAnsi="宋体" w:eastAsia="宋体" w:cs="宋体"/>
          <w:color w:val="auto"/>
          <w:sz w:val="24"/>
          <w:highlight w:val="none"/>
        </w:rPr>
        <w:t>章）</w:t>
      </w:r>
    </w:p>
    <w:p w14:paraId="72E98EAF">
      <w:pPr>
        <w:spacing w:line="360" w:lineRule="auto"/>
        <w:ind w:firstLine="3600" w:firstLineChars="15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58EBC2BA">
      <w:pPr>
        <w:spacing w:line="360" w:lineRule="auto"/>
        <w:contextualSpacing/>
        <w:rPr>
          <w:rFonts w:hint="eastAsia" w:ascii="宋体" w:hAnsi="宋体" w:eastAsia="宋体" w:cs="宋体"/>
          <w:color w:val="auto"/>
          <w:sz w:val="24"/>
          <w:highlight w:val="none"/>
        </w:rPr>
      </w:pPr>
    </w:p>
    <w:p w14:paraId="4531DB8A">
      <w:pPr>
        <w:spacing w:line="360" w:lineRule="auto"/>
        <w:contextualSpacing/>
        <w:rPr>
          <w:rFonts w:hint="eastAsia" w:ascii="宋体" w:hAnsi="宋体" w:eastAsia="宋体" w:cs="宋体"/>
          <w:color w:val="auto"/>
          <w:sz w:val="24"/>
          <w:highlight w:val="none"/>
        </w:rPr>
      </w:pPr>
    </w:p>
    <w:p w14:paraId="084E8F63">
      <w:pPr>
        <w:spacing w:line="360" w:lineRule="auto"/>
        <w:contextualSpacing/>
        <w:rPr>
          <w:rFonts w:hint="eastAsia" w:ascii="宋体" w:hAnsi="宋体" w:eastAsia="宋体" w:cs="宋体"/>
          <w:color w:val="auto"/>
          <w:sz w:val="24"/>
          <w:highlight w:val="none"/>
        </w:rPr>
      </w:pPr>
    </w:p>
    <w:p w14:paraId="6C74A294">
      <w:pPr>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533B952">
      <w:pPr>
        <w:autoSpaceDE w:val="0"/>
        <w:autoSpaceDN w:val="0"/>
        <w:spacing w:line="360" w:lineRule="auto"/>
        <w:ind w:firstLine="6120" w:firstLineChars="2550"/>
        <w:rPr>
          <w:rFonts w:hint="eastAsia" w:ascii="宋体" w:hAnsi="宋体" w:eastAsia="宋体" w:cs="宋体"/>
          <w:color w:val="auto"/>
          <w:kern w:val="0"/>
          <w:sz w:val="24"/>
          <w:highlight w:val="none"/>
          <w:lang w:val="zh-CN"/>
        </w:rPr>
      </w:pPr>
    </w:p>
    <w:p w14:paraId="0DEE783D">
      <w:pPr>
        <w:jc w:val="both"/>
        <w:outlineLvl w:val="9"/>
        <w:rPr>
          <w:rFonts w:hint="eastAsia" w:ascii="宋体" w:hAnsi="宋体" w:eastAsia="宋体" w:cs="宋体"/>
          <w:b w:val="0"/>
          <w:bCs w:val="0"/>
          <w:color w:val="auto"/>
          <w:highlight w:val="none"/>
        </w:rPr>
      </w:pPr>
      <w:bookmarkStart w:id="50" w:name="_Toc20562"/>
      <w:bookmarkStart w:id="51" w:name="_Toc15951"/>
    </w:p>
    <w:p w14:paraId="51D48411">
      <w:pPr>
        <w:outlineLvl w:val="9"/>
        <w:rPr>
          <w:rFonts w:hint="eastAsia" w:ascii="宋体" w:hAnsi="宋体" w:eastAsia="宋体" w:cs="宋体"/>
          <w:b w:val="0"/>
          <w:bCs w:val="0"/>
          <w:color w:val="auto"/>
          <w:highlight w:val="none"/>
        </w:rPr>
      </w:pPr>
    </w:p>
    <w:p w14:paraId="0C9212D9">
      <w:pPr>
        <w:outlineLvl w:val="9"/>
        <w:rPr>
          <w:rFonts w:hint="eastAsia" w:ascii="宋体" w:hAnsi="宋体" w:eastAsia="宋体" w:cs="宋体"/>
          <w:b w:val="0"/>
          <w:bCs w:val="0"/>
          <w:color w:val="auto"/>
          <w:highlight w:val="none"/>
        </w:rPr>
      </w:pPr>
    </w:p>
    <w:p w14:paraId="4DE6BF67">
      <w:pPr>
        <w:outlineLvl w:val="9"/>
        <w:rPr>
          <w:rFonts w:hint="eastAsia" w:ascii="宋体" w:hAnsi="宋体" w:eastAsia="宋体" w:cs="宋体"/>
          <w:b w:val="0"/>
          <w:bCs w:val="0"/>
          <w:color w:val="auto"/>
          <w:highlight w:val="none"/>
        </w:rPr>
      </w:pPr>
    </w:p>
    <w:p w14:paraId="2380114C">
      <w:pPr>
        <w:outlineLvl w:val="9"/>
        <w:rPr>
          <w:rFonts w:hint="eastAsia" w:ascii="宋体" w:hAnsi="宋体" w:eastAsia="宋体" w:cs="宋体"/>
          <w:b w:val="0"/>
          <w:bCs w:val="0"/>
          <w:color w:val="auto"/>
          <w:highlight w:val="none"/>
        </w:rPr>
      </w:pPr>
    </w:p>
    <w:p w14:paraId="166A63F7">
      <w:pPr>
        <w:outlineLvl w:val="9"/>
        <w:rPr>
          <w:rFonts w:hint="eastAsia" w:ascii="宋体" w:hAnsi="宋体" w:eastAsia="宋体" w:cs="宋体"/>
          <w:b w:val="0"/>
          <w:bCs w:val="0"/>
          <w:color w:val="auto"/>
          <w:highlight w:val="none"/>
        </w:rPr>
      </w:pPr>
    </w:p>
    <w:p w14:paraId="2BAA6559">
      <w:pPr>
        <w:pageBreakBefore w:val="0"/>
        <w:kinsoku/>
        <w:wordWrap/>
        <w:overflowPunct/>
        <w:topLinePunct w:val="0"/>
        <w:bidi w:val="0"/>
        <w:adjustRightInd/>
        <w:spacing w:line="360" w:lineRule="auto"/>
        <w:textAlignment w:val="auto"/>
        <w:outlineLvl w:val="9"/>
        <w:rPr>
          <w:rFonts w:hint="eastAsia" w:ascii="宋体" w:hAnsi="宋体" w:eastAsia="宋体" w:cs="宋体"/>
          <w:color w:val="auto"/>
          <w:sz w:val="24"/>
          <w:highlight w:val="none"/>
          <w:lang w:val="zh-CN"/>
        </w:rPr>
        <w:sectPr>
          <w:pgSz w:w="11911" w:h="16838"/>
          <w:pgMar w:top="1134" w:right="1134" w:bottom="1134" w:left="1134" w:header="720" w:footer="720" w:gutter="0"/>
          <w:pgBorders>
            <w:top w:val="none" w:sz="0" w:space="0"/>
            <w:left w:val="none" w:sz="0" w:space="0"/>
            <w:bottom w:val="none" w:sz="0" w:space="0"/>
            <w:right w:val="none" w:sz="0" w:space="0"/>
          </w:pgBorders>
          <w:cols w:space="720" w:num="1"/>
        </w:sectPr>
      </w:pPr>
    </w:p>
    <w:bookmarkEnd w:id="50"/>
    <w:bookmarkEnd w:id="51"/>
    <w:p w14:paraId="5DB75745">
      <w:pPr>
        <w:pageBreakBefore w:val="0"/>
        <w:kinsoku/>
        <w:wordWrap/>
        <w:overflowPunct/>
        <w:topLinePunct w:val="0"/>
        <w:autoSpaceDE w:val="0"/>
        <w:autoSpaceDN w:val="0"/>
        <w:bidi w:val="0"/>
        <w:adjustRightInd/>
        <w:spacing w:line="360" w:lineRule="auto"/>
        <w:jc w:val="left"/>
        <w:textAlignment w:val="auto"/>
        <w:outlineLvl w:val="9"/>
        <w:rPr>
          <w:rFonts w:hint="eastAsia" w:ascii="宋体" w:hAnsi="宋体" w:eastAsia="宋体" w:cs="宋体"/>
          <w:b/>
          <w:bCs/>
          <w:color w:val="auto"/>
          <w:sz w:val="24"/>
          <w:highlight w:val="none"/>
        </w:rPr>
      </w:pPr>
    </w:p>
    <w:p w14:paraId="22C28B07">
      <w:pPr>
        <w:pStyle w:val="3"/>
        <w:pageBreakBefore w:val="0"/>
        <w:kinsoku/>
        <w:wordWrap/>
        <w:overflowPunct/>
        <w:topLinePunct w:val="0"/>
        <w:bidi w:val="0"/>
        <w:adjustRightInd/>
        <w:spacing w:line="360" w:lineRule="auto"/>
        <w:jc w:val="center"/>
        <w:textAlignment w:val="auto"/>
        <w:rPr>
          <w:rFonts w:hint="eastAsia" w:ascii="宋体" w:hAnsi="宋体" w:eastAsia="宋体" w:cs="宋体"/>
          <w:b/>
          <w:bCs/>
          <w:color w:val="auto"/>
          <w:highlight w:val="none"/>
        </w:rPr>
      </w:pPr>
      <w:bookmarkStart w:id="52" w:name="_Toc31035"/>
      <w:bookmarkStart w:id="53" w:name="_Toc12611"/>
      <w:r>
        <w:rPr>
          <w:rFonts w:hint="eastAsia" w:ascii="宋体" w:hAnsi="宋体" w:eastAsia="宋体" w:cs="宋体"/>
          <w:b/>
          <w:bCs/>
          <w:color w:val="auto"/>
          <w:highlight w:val="none"/>
        </w:rPr>
        <w:t>第</w:t>
      </w:r>
      <w:r>
        <w:rPr>
          <w:rFonts w:hint="eastAsia" w:ascii="宋体" w:hAnsi="宋体" w:eastAsia="宋体" w:cs="宋体"/>
          <w:b/>
          <w:bCs/>
          <w:color w:val="auto"/>
          <w:highlight w:val="none"/>
          <w:lang w:eastAsia="zh-CN"/>
        </w:rPr>
        <w:t>二</w:t>
      </w:r>
      <w:r>
        <w:rPr>
          <w:rFonts w:hint="eastAsia" w:ascii="宋体" w:hAnsi="宋体" w:eastAsia="宋体" w:cs="宋体"/>
          <w:b/>
          <w:bCs/>
          <w:color w:val="auto"/>
          <w:highlight w:val="none"/>
        </w:rPr>
        <w:t xml:space="preserve">节 </w:t>
      </w:r>
      <w:bookmarkEnd w:id="52"/>
      <w:bookmarkEnd w:id="53"/>
      <w:r>
        <w:rPr>
          <w:rFonts w:hint="eastAsia" w:ascii="宋体" w:hAnsi="宋体" w:eastAsia="宋体" w:cs="宋体"/>
          <w:b/>
          <w:bCs/>
          <w:color w:val="auto"/>
          <w:highlight w:val="none"/>
        </w:rPr>
        <w:t>报价文件格式</w:t>
      </w:r>
    </w:p>
    <w:p w14:paraId="69C0F532">
      <w:pPr>
        <w:pStyle w:val="21"/>
        <w:pageBreakBefore w:val="0"/>
        <w:kinsoku/>
        <w:wordWrap/>
        <w:overflowPunct/>
        <w:topLinePunct w:val="0"/>
        <w:bidi w:val="0"/>
        <w:adjustRightInd/>
        <w:spacing w:line="360" w:lineRule="auto"/>
        <w:textAlignment w:val="auto"/>
        <w:rPr>
          <w:rFonts w:hint="eastAsia" w:ascii="宋体" w:hAnsi="宋体" w:eastAsia="宋体" w:cs="宋体"/>
          <w:color w:val="auto"/>
          <w:highlight w:val="none"/>
          <w:lang w:val="zh-CN"/>
        </w:rPr>
      </w:pPr>
      <w:r>
        <w:rPr>
          <w:rFonts w:hint="eastAsia" w:ascii="宋体" w:hAnsi="宋体" w:eastAsia="宋体" w:cs="宋体"/>
          <w:color w:val="auto"/>
          <w:sz w:val="24"/>
          <w:highlight w:val="none"/>
        </w:rPr>
        <w:t xml:space="preserve">  </w:t>
      </w:r>
      <w:r>
        <w:rPr>
          <w:rFonts w:hint="eastAsia" w:ascii="宋体" w:hAnsi="宋体" w:eastAsia="宋体" w:cs="宋体"/>
          <w:b/>
          <w:bCs/>
          <w:color w:val="auto"/>
          <w:sz w:val="28"/>
          <w:szCs w:val="28"/>
          <w:highlight w:val="none"/>
        </w:rPr>
        <w:t>报价文件封面的格式：</w:t>
      </w:r>
    </w:p>
    <w:p w14:paraId="12A469DE">
      <w:pPr>
        <w:pageBreakBefore w:val="0"/>
        <w:kinsoku/>
        <w:wordWrap/>
        <w:overflowPunct/>
        <w:topLinePunct w:val="0"/>
        <w:bidi w:val="0"/>
        <w:adjustRightInd/>
        <w:snapToGrid w:val="0"/>
        <w:spacing w:before="120" w:beforeLines="50" w:after="50" w:line="36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BD26419">
      <w:pPr>
        <w:pageBreakBefore w:val="0"/>
        <w:kinsoku/>
        <w:wordWrap/>
        <w:overflowPunct/>
        <w:topLinePunct w:val="0"/>
        <w:bidi w:val="0"/>
        <w:adjustRightInd/>
        <w:snapToGrid w:val="0"/>
        <w:spacing w:before="120" w:beforeLines="50" w:after="50" w:line="360" w:lineRule="auto"/>
        <w:ind w:firstLine="6720" w:firstLineChars="3200"/>
        <w:textAlignment w:val="auto"/>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全流程电子文件</w:t>
      </w:r>
    </w:p>
    <w:p w14:paraId="68F64034">
      <w:pPr>
        <w:pageBreakBefore w:val="0"/>
        <w:kinsoku/>
        <w:wordWrap/>
        <w:overflowPunct/>
        <w:topLinePunct w:val="0"/>
        <w:bidi w:val="0"/>
        <w:adjustRightInd/>
        <w:snapToGrid w:val="0"/>
        <w:spacing w:before="120" w:beforeLines="50" w:after="50" w:line="360" w:lineRule="auto"/>
        <w:textAlignment w:val="auto"/>
        <w:rPr>
          <w:rFonts w:hint="eastAsia" w:ascii="宋体" w:hAnsi="宋体" w:eastAsia="宋体" w:cs="宋体"/>
          <w:color w:val="auto"/>
          <w:sz w:val="24"/>
          <w:szCs w:val="20"/>
          <w:highlight w:val="none"/>
        </w:rPr>
      </w:pPr>
    </w:p>
    <w:p w14:paraId="7D937636">
      <w:pPr>
        <w:pageBreakBefore w:val="0"/>
        <w:kinsoku/>
        <w:wordWrap/>
        <w:overflowPunct/>
        <w:topLinePunct w:val="0"/>
        <w:bidi w:val="0"/>
        <w:adjustRightInd/>
        <w:snapToGrid w:val="0"/>
        <w:spacing w:before="120" w:beforeLines="50" w:after="50" w:line="360" w:lineRule="auto"/>
        <w:textAlignment w:val="auto"/>
        <w:rPr>
          <w:rFonts w:hint="eastAsia" w:ascii="宋体" w:hAnsi="宋体" w:eastAsia="宋体" w:cs="宋体"/>
          <w:color w:val="auto"/>
          <w:sz w:val="24"/>
          <w:szCs w:val="20"/>
          <w:highlight w:val="none"/>
        </w:rPr>
      </w:pPr>
    </w:p>
    <w:p w14:paraId="146EB638">
      <w:pPr>
        <w:pageBreakBefore w:val="0"/>
        <w:kinsoku/>
        <w:wordWrap/>
        <w:overflowPunct/>
        <w:topLinePunct w:val="0"/>
        <w:bidi w:val="0"/>
        <w:adjustRightInd/>
        <w:snapToGrid w:val="0"/>
        <w:spacing w:before="120" w:beforeLines="50" w:after="50" w:line="360" w:lineRule="auto"/>
        <w:textAlignment w:val="auto"/>
        <w:rPr>
          <w:rFonts w:hint="eastAsia" w:ascii="宋体" w:hAnsi="宋体" w:eastAsia="宋体" w:cs="宋体"/>
          <w:color w:val="auto"/>
          <w:sz w:val="24"/>
          <w:szCs w:val="20"/>
          <w:highlight w:val="none"/>
        </w:rPr>
      </w:pPr>
    </w:p>
    <w:p w14:paraId="3539C71E">
      <w:pPr>
        <w:pageBreakBefore w:val="0"/>
        <w:kinsoku/>
        <w:wordWrap/>
        <w:overflowPunct/>
        <w:topLinePunct w:val="0"/>
        <w:bidi w:val="0"/>
        <w:adjustRightInd/>
        <w:snapToGrid w:val="0"/>
        <w:spacing w:before="120" w:beforeLines="50" w:after="50" w:line="360" w:lineRule="auto"/>
        <w:jc w:val="center"/>
        <w:textAlignment w:val="auto"/>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  价  文  件</w:t>
      </w:r>
    </w:p>
    <w:p w14:paraId="72EC1A6B">
      <w:pPr>
        <w:pageBreakBefore w:val="0"/>
        <w:kinsoku/>
        <w:wordWrap/>
        <w:overflowPunct/>
        <w:topLinePunct w:val="0"/>
        <w:bidi w:val="0"/>
        <w:adjustRightInd/>
        <w:snapToGrid w:val="0"/>
        <w:spacing w:before="120" w:beforeLines="50" w:after="50" w:line="360" w:lineRule="auto"/>
        <w:textAlignment w:val="auto"/>
        <w:rPr>
          <w:rFonts w:hint="eastAsia" w:ascii="宋体" w:hAnsi="宋体" w:eastAsia="宋体" w:cs="宋体"/>
          <w:bCs/>
          <w:color w:val="auto"/>
          <w:sz w:val="24"/>
          <w:szCs w:val="20"/>
          <w:highlight w:val="none"/>
        </w:rPr>
      </w:pPr>
    </w:p>
    <w:p w14:paraId="5EFB8227">
      <w:pPr>
        <w:pageBreakBefore w:val="0"/>
        <w:kinsoku/>
        <w:wordWrap/>
        <w:overflowPunct/>
        <w:topLinePunct w:val="0"/>
        <w:bidi w:val="0"/>
        <w:adjustRightInd/>
        <w:snapToGrid w:val="0"/>
        <w:spacing w:before="120" w:beforeLines="50" w:after="50" w:line="360" w:lineRule="auto"/>
        <w:textAlignment w:val="auto"/>
        <w:rPr>
          <w:rFonts w:hint="eastAsia" w:ascii="宋体" w:hAnsi="宋体" w:eastAsia="宋体" w:cs="宋体"/>
          <w:bCs/>
          <w:color w:val="auto"/>
          <w:sz w:val="24"/>
          <w:szCs w:val="20"/>
          <w:highlight w:val="none"/>
        </w:rPr>
      </w:pPr>
    </w:p>
    <w:p w14:paraId="5CD5AF0F">
      <w:pPr>
        <w:pageBreakBefore w:val="0"/>
        <w:kinsoku/>
        <w:wordWrap/>
        <w:overflowPunct/>
        <w:topLinePunct w:val="0"/>
        <w:bidi w:val="0"/>
        <w:adjustRightInd/>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101479B7">
      <w:pPr>
        <w:pageBreakBefore w:val="0"/>
        <w:kinsoku/>
        <w:wordWrap/>
        <w:overflowPunct/>
        <w:topLinePunct w:val="0"/>
        <w:bidi w:val="0"/>
        <w:adjustRightInd/>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p>
    <w:p w14:paraId="0F5D7576">
      <w:pPr>
        <w:pageBreakBefore w:val="0"/>
        <w:kinsoku/>
        <w:wordWrap/>
        <w:overflowPunct/>
        <w:topLinePunct w:val="0"/>
        <w:bidi w:val="0"/>
        <w:adjustRightInd/>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5FAF8934">
      <w:pPr>
        <w:pageBreakBefore w:val="0"/>
        <w:kinsoku/>
        <w:wordWrap/>
        <w:overflowPunct/>
        <w:topLinePunct w:val="0"/>
        <w:bidi w:val="0"/>
        <w:adjustRightInd/>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3E137027">
      <w:pPr>
        <w:pageBreakBefore w:val="0"/>
        <w:kinsoku/>
        <w:wordWrap/>
        <w:overflowPunct/>
        <w:topLinePunct w:val="0"/>
        <w:bidi w:val="0"/>
        <w:adjustRightInd/>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5566D1F3">
      <w:pPr>
        <w:pageBreakBefore w:val="0"/>
        <w:kinsoku/>
        <w:wordWrap/>
        <w:overflowPunct/>
        <w:topLinePunct w:val="0"/>
        <w:bidi w:val="0"/>
        <w:adjustRightInd/>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p>
    <w:p w14:paraId="603671A0">
      <w:pPr>
        <w:pStyle w:val="7"/>
        <w:pageBreakBefore w:val="0"/>
        <w:kinsoku/>
        <w:wordWrap/>
        <w:overflowPunct/>
        <w:topLinePunct w:val="0"/>
        <w:bidi w:val="0"/>
        <w:adjustRightInd/>
        <w:snapToGrid w:val="0"/>
        <w:spacing w:before="50" w:after="50" w:line="360" w:lineRule="auto"/>
        <w:ind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AB4316E">
      <w:pPr>
        <w:pStyle w:val="7"/>
        <w:pageBreakBefore w:val="0"/>
        <w:kinsoku/>
        <w:wordWrap/>
        <w:overflowPunct/>
        <w:topLinePunct w:val="0"/>
        <w:bidi w:val="0"/>
        <w:adjustRightInd/>
        <w:snapToGrid w:val="0"/>
        <w:spacing w:before="50" w:after="50" w:line="360" w:lineRule="auto"/>
        <w:ind w:left="0" w:leftChars="0" w:firstLine="0" w:firstLineChars="0"/>
        <w:textAlignment w:val="auto"/>
        <w:rPr>
          <w:rFonts w:hint="eastAsia" w:ascii="宋体" w:hAnsi="宋体" w:eastAsia="宋体" w:cs="宋体"/>
          <w:bCs/>
          <w:color w:val="auto"/>
          <w:sz w:val="32"/>
          <w:szCs w:val="32"/>
          <w:highlight w:val="none"/>
        </w:rPr>
      </w:pPr>
    </w:p>
    <w:p w14:paraId="2F11F795">
      <w:pPr>
        <w:pageBreakBefore w:val="0"/>
        <w:kinsoku/>
        <w:wordWrap/>
        <w:overflowPunct/>
        <w:topLinePunct w:val="0"/>
        <w:bidi w:val="0"/>
        <w:adjustRightInd/>
        <w:snapToGrid w:val="0"/>
        <w:spacing w:before="120" w:beforeLines="50" w:after="50" w:line="360" w:lineRule="auto"/>
        <w:jc w:val="center"/>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265CEFC9">
      <w:pPr>
        <w:pageBreakBefore w:val="0"/>
        <w:kinsoku/>
        <w:wordWrap/>
        <w:overflowPunct/>
        <w:topLinePunct w:val="0"/>
        <w:bidi w:val="0"/>
        <w:adjustRightInd/>
        <w:snapToGrid w:val="0"/>
        <w:spacing w:before="120" w:beforeLines="50" w:after="50" w:line="360" w:lineRule="auto"/>
        <w:jc w:val="center"/>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4"/>
          <w:highlight w:val="none"/>
        </w:rPr>
        <w:br w:type="page"/>
      </w:r>
      <w:r>
        <w:rPr>
          <w:rFonts w:hint="eastAsia" w:ascii="宋体" w:hAnsi="宋体" w:eastAsia="宋体" w:cs="宋体"/>
          <w:b/>
          <w:bCs/>
          <w:color w:val="auto"/>
          <w:sz w:val="28"/>
          <w:szCs w:val="28"/>
          <w:highlight w:val="none"/>
        </w:rPr>
        <w:t>报价文件目录</w:t>
      </w:r>
    </w:p>
    <w:p w14:paraId="3FDDE173">
      <w:pPr>
        <w:pageBreakBefore w:val="0"/>
        <w:kinsoku/>
        <w:wordWrap/>
        <w:overflowPunct/>
        <w:topLinePunct w:val="0"/>
        <w:bidi w:val="0"/>
        <w:adjustRightInd/>
        <w:snapToGrid w:val="0"/>
        <w:spacing w:before="50" w:after="120" w:afterLines="50" w:line="360" w:lineRule="auto"/>
        <w:jc w:val="left"/>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根据竞争性磋商文件规定及供应商提供的材料自行编写目录</w:t>
      </w:r>
      <w:r>
        <w:rPr>
          <w:rFonts w:hint="eastAsia" w:ascii="宋体" w:hAnsi="宋体" w:eastAsia="宋体" w:cs="宋体"/>
          <w:color w:val="auto"/>
          <w:kern w:val="0"/>
          <w:sz w:val="28"/>
          <w:szCs w:val="28"/>
          <w:highlight w:val="none"/>
        </w:rPr>
        <w:t>（部分格式后附）</w:t>
      </w:r>
      <w:r>
        <w:rPr>
          <w:rFonts w:hint="eastAsia" w:ascii="宋体" w:hAnsi="宋体" w:eastAsia="宋体" w:cs="宋体"/>
          <w:color w:val="auto"/>
          <w:sz w:val="28"/>
          <w:szCs w:val="28"/>
          <w:highlight w:val="none"/>
        </w:rPr>
        <w:t>。</w:t>
      </w:r>
    </w:p>
    <w:p w14:paraId="042D94BC">
      <w:pPr>
        <w:pageBreakBefore w:val="0"/>
        <w:kinsoku/>
        <w:wordWrap/>
        <w:overflowPunct/>
        <w:topLinePunct w:val="0"/>
        <w:bidi w:val="0"/>
        <w:adjustRightInd/>
        <w:spacing w:line="360" w:lineRule="auto"/>
        <w:textAlignment w:val="auto"/>
        <w:rPr>
          <w:rFonts w:hint="eastAsia" w:ascii="宋体" w:hAnsi="宋体" w:eastAsia="宋体" w:cs="宋体"/>
          <w:color w:val="auto"/>
          <w:sz w:val="24"/>
          <w:highlight w:val="none"/>
        </w:rPr>
      </w:pPr>
    </w:p>
    <w:p w14:paraId="3D34D7FB">
      <w:pPr>
        <w:pageBreakBefore w:val="0"/>
        <w:kinsoku/>
        <w:wordWrap/>
        <w:overflowPunct/>
        <w:topLinePunct w:val="0"/>
        <w:bidi w:val="0"/>
        <w:adjustRightInd/>
        <w:snapToGrid w:val="0"/>
        <w:spacing w:before="120" w:beforeLines="50" w:after="50" w:line="360" w:lineRule="auto"/>
        <w:ind w:left="142" w:firstLine="640" w:firstLineChars="200"/>
        <w:jc w:val="left"/>
        <w:textAlignment w:val="auto"/>
        <w:rPr>
          <w:rFonts w:hint="eastAsia" w:ascii="宋体" w:hAnsi="宋体" w:eastAsia="宋体" w:cs="宋体"/>
          <w:color w:val="auto"/>
          <w:sz w:val="32"/>
          <w:szCs w:val="32"/>
          <w:highlight w:val="none"/>
        </w:rPr>
      </w:pPr>
    </w:p>
    <w:p w14:paraId="108FCAB5">
      <w:pPr>
        <w:keepNext w:val="0"/>
        <w:keepLines w:val="0"/>
        <w:pageBreakBefore w:val="0"/>
        <w:widowControl w:val="0"/>
        <w:kinsoku/>
        <w:wordWrap/>
        <w:overflowPunct/>
        <w:topLinePunct w:val="0"/>
        <w:bidi w:val="0"/>
        <w:adjustRightInd/>
        <w:snapToGrid w:val="0"/>
        <w:spacing w:before="120" w:beforeLines="50" w:after="50" w:line="46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 w:val="24"/>
          <w:highlight w:val="none"/>
        </w:rPr>
        <w:br w:type="page"/>
      </w:r>
      <w:r>
        <w:rPr>
          <w:rFonts w:hint="eastAsia" w:ascii="宋体" w:hAnsi="宋体" w:eastAsia="宋体" w:cs="宋体"/>
          <w:b/>
          <w:color w:val="auto"/>
          <w:sz w:val="28"/>
          <w:szCs w:val="28"/>
          <w:highlight w:val="none"/>
          <w:lang w:val="en-US" w:eastAsia="zh-CN"/>
        </w:rPr>
        <w:t>响应函</w:t>
      </w:r>
      <w:r>
        <w:rPr>
          <w:rFonts w:hint="eastAsia" w:ascii="宋体" w:hAnsi="宋体" w:eastAsia="宋体" w:cs="宋体"/>
          <w:b/>
          <w:color w:val="auto"/>
          <w:sz w:val="28"/>
          <w:szCs w:val="28"/>
          <w:highlight w:val="none"/>
          <w:lang w:val="zh-CN"/>
        </w:rPr>
        <w:t>的格式：</w:t>
      </w:r>
    </w:p>
    <w:p w14:paraId="1211B197">
      <w:pPr>
        <w:keepNext w:val="0"/>
        <w:keepLines w:val="0"/>
        <w:pageBreakBefore w:val="0"/>
        <w:widowControl w:val="0"/>
        <w:kinsoku/>
        <w:wordWrap/>
        <w:overflowPunct/>
        <w:topLinePunct w:val="0"/>
        <w:bidi w:val="0"/>
        <w:adjustRightInd/>
        <w:snapToGrid/>
        <w:spacing w:line="460" w:lineRule="exact"/>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b/>
          <w:bCs/>
          <w:color w:val="auto"/>
          <w:kern w:val="0"/>
          <w:sz w:val="28"/>
          <w:szCs w:val="28"/>
          <w:highlight w:val="none"/>
          <w:lang w:val="en-US" w:eastAsia="zh-CN"/>
        </w:rPr>
        <w:t>响应函</w:t>
      </w:r>
    </w:p>
    <w:p w14:paraId="2142EE9A">
      <w:pPr>
        <w:pStyle w:val="105"/>
        <w:keepNext w:val="0"/>
        <w:keepLines w:val="0"/>
        <w:pageBreakBefore w:val="0"/>
        <w:widowControl w:val="0"/>
        <w:kinsoku/>
        <w:wordWrap/>
        <w:overflowPunct/>
        <w:topLinePunct/>
        <w:bidi w:val="0"/>
        <w:adjustRightInd/>
        <w:snapToGrid/>
        <w:spacing w:line="460" w:lineRule="exact"/>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（采购人名称）：</w:t>
      </w:r>
    </w:p>
    <w:p w14:paraId="250DEB1B">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1、根据你方项目编号为</w:t>
      </w:r>
      <w:r>
        <w:rPr>
          <w:rFonts w:hint="eastAsia" w:ascii="宋体" w:hAnsi="宋体" w:eastAsia="宋体" w:cs="宋体"/>
          <w:color w:val="auto"/>
          <w:sz w:val="21"/>
          <w:szCs w:val="21"/>
          <w:highlight w:val="none"/>
          <w:u w:val="single"/>
        </w:rPr>
        <w:t xml:space="preserve"> （项目编号） </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工程竞争性磋商文件（含补遗书），参照《政府采购竞争性磋商采购方式管理暂行办法》等有关规定，经踏勘项目现场和研究上述竞争性磋商文件的磋商须知、合同条款、图纸、工程建设标准和工程量清单及其他有关文件后，我方愿以人民币</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（大写）</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小写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元）的磋商报价并按上述图纸、合同条款、工程建设标准和工程量清单（如有时）的条件要求承包上述工程的施工、竣工，并承担任何质量缺陷保修责任。</w:t>
      </w:r>
    </w:p>
    <w:p w14:paraId="2AFC0650">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2、我方承诺在竞争性磋商文件规定的竞标有效期内不撤销响应文件。</w:t>
      </w:r>
    </w:p>
    <w:p w14:paraId="0D09E2CE">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质量要求</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，合同履行期限（计划工期）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日历天。</w:t>
      </w:r>
    </w:p>
    <w:p w14:paraId="3202A316">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4、我方已详细审核全部竞争性磋商文件，包括修改文件（如有时）及有关附件。</w:t>
      </w:r>
    </w:p>
    <w:p w14:paraId="5AB6EF73">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5、我方承认</w:t>
      </w:r>
      <w:r>
        <w:rPr>
          <w:rFonts w:hint="eastAsia" w:ascii="宋体" w:hAnsi="宋体" w:eastAsia="宋体" w:cs="宋体"/>
          <w:color w:val="auto"/>
          <w:sz w:val="21"/>
          <w:szCs w:val="21"/>
          <w:highlight w:val="none"/>
          <w:lang w:eastAsia="zh-CN"/>
        </w:rPr>
        <w:t>响应函</w:t>
      </w:r>
      <w:r>
        <w:rPr>
          <w:rFonts w:hint="eastAsia" w:ascii="宋体" w:hAnsi="宋体" w:eastAsia="宋体" w:cs="宋体"/>
          <w:color w:val="auto"/>
          <w:sz w:val="21"/>
          <w:szCs w:val="21"/>
          <w:highlight w:val="none"/>
        </w:rPr>
        <w:t>附录是我方</w:t>
      </w:r>
      <w:r>
        <w:rPr>
          <w:rFonts w:hint="eastAsia" w:ascii="宋体" w:hAnsi="宋体" w:eastAsia="宋体" w:cs="宋体"/>
          <w:color w:val="auto"/>
          <w:sz w:val="21"/>
          <w:szCs w:val="21"/>
          <w:highlight w:val="none"/>
          <w:lang w:eastAsia="zh-CN"/>
        </w:rPr>
        <w:t>响应函</w:t>
      </w:r>
      <w:r>
        <w:rPr>
          <w:rFonts w:hint="eastAsia" w:ascii="宋体" w:hAnsi="宋体" w:eastAsia="宋体" w:cs="宋体"/>
          <w:color w:val="auto"/>
          <w:sz w:val="21"/>
          <w:szCs w:val="21"/>
          <w:highlight w:val="none"/>
        </w:rPr>
        <w:t>的组成部分。</w:t>
      </w:r>
    </w:p>
    <w:p w14:paraId="35FA031D">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6、如果我方成交，我方将按照文件规定提交履约保证金作为履约担保。</w:t>
      </w:r>
    </w:p>
    <w:p w14:paraId="5EEB32FF">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7、我方同意所提交的响应文件在竞争性磋商文件的“磋商须知”中第 16.2 条规定的响应文件有效期内有效，在此期间内如果成交，我方将受此约束。</w:t>
      </w:r>
    </w:p>
    <w:p w14:paraId="1E30A68B">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8、除非另外达成协议并生效，你方的成交通知书和本响应文件将成为约束双方的合同文件的组成部分。</w:t>
      </w:r>
    </w:p>
    <w:p w14:paraId="429DEF17">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9、其他补充说明：</w:t>
      </w:r>
      <w:r>
        <w:rPr>
          <w:rFonts w:hint="eastAsia" w:ascii="宋体" w:hAnsi="宋体" w:eastAsia="宋体" w:cs="宋体"/>
          <w:color w:val="auto"/>
          <w:sz w:val="21"/>
          <w:szCs w:val="21"/>
          <w:highlight w:val="none"/>
          <w:u w:val="single"/>
        </w:rPr>
        <w:t xml:space="preserve">                                </w:t>
      </w:r>
    </w:p>
    <w:p w14:paraId="0E5798DD">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10、与本磋商有关的一切正式往来信函请寄：</w:t>
      </w:r>
    </w:p>
    <w:p w14:paraId="3385A867">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9537972">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324692CB">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w:t>
      </w:r>
    </w:p>
    <w:p w14:paraId="68A3896C">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68072857">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p>
    <w:p w14:paraId="7E1CE2D3">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14:paraId="440C5AFA">
      <w:pPr>
        <w:pStyle w:val="105"/>
        <w:keepNext w:val="0"/>
        <w:keepLines w:val="0"/>
        <w:pageBreakBefore w:val="0"/>
        <w:widowControl w:val="0"/>
        <w:kinsoku/>
        <w:wordWrap/>
        <w:overflowPunct/>
        <w:bidi w:val="0"/>
        <w:adjustRightInd/>
        <w:snapToGrid/>
        <w:spacing w:line="460" w:lineRule="exact"/>
        <w:ind w:firstLine="48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p>
    <w:p w14:paraId="30CD3110">
      <w:pPr>
        <w:keepNext w:val="0"/>
        <w:keepLines w:val="0"/>
        <w:pageBreakBefore w:val="0"/>
        <w:widowControl w:val="0"/>
        <w:tabs>
          <w:tab w:val="left" w:pos="939"/>
        </w:tabs>
        <w:kinsoku/>
        <w:wordWrap/>
        <w:overflowPunct/>
        <w:bidi w:val="0"/>
        <w:adjustRightInd/>
        <w:snapToGrid/>
        <w:spacing w:line="460" w:lineRule="exact"/>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38D173B3">
      <w:pPr>
        <w:keepNext w:val="0"/>
        <w:keepLines w:val="0"/>
        <w:pageBreakBefore w:val="0"/>
        <w:widowControl w:val="0"/>
        <w:kinsoku/>
        <w:wordWrap/>
        <w:overflowPunct/>
        <w:bidi w:val="0"/>
        <w:adjustRightInd/>
        <w:snapToGrid/>
        <w:spacing w:line="460" w:lineRule="exact"/>
        <w:contextualSpacing/>
        <w:jc w:val="left"/>
        <w:textAlignment w:val="auto"/>
        <w:rPr>
          <w:rFonts w:hint="eastAsia" w:ascii="宋体" w:hAnsi="宋体" w:eastAsia="宋体" w:cs="宋体"/>
          <w:color w:val="auto"/>
          <w:sz w:val="21"/>
          <w:szCs w:val="21"/>
          <w:highlight w:val="none"/>
        </w:rPr>
      </w:pPr>
    </w:p>
    <w:p w14:paraId="1648E415">
      <w:pPr>
        <w:keepNext w:val="0"/>
        <w:keepLines w:val="0"/>
        <w:pageBreakBefore w:val="0"/>
        <w:widowControl w:val="0"/>
        <w:kinsoku/>
        <w:wordWrap/>
        <w:overflowPunct/>
        <w:autoSpaceDE w:val="0"/>
        <w:autoSpaceDN w:val="0"/>
        <w:bidi w:val="0"/>
        <w:adjustRightInd/>
        <w:snapToGrid/>
        <w:spacing w:line="460" w:lineRule="exact"/>
        <w:ind w:left="4305" w:leftChars="1950" w:hanging="210" w:hangingChars="1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供应商名称（</w:t>
      </w:r>
      <w:r>
        <w:rPr>
          <w:rFonts w:hint="eastAsia" w:ascii="宋体" w:hAnsi="宋体" w:eastAsia="宋体" w:cs="宋体"/>
          <w:color w:val="auto"/>
          <w:kern w:val="0"/>
          <w:sz w:val="21"/>
          <w:szCs w:val="21"/>
          <w:highlight w:val="none"/>
          <w:lang w:val="en-US" w:eastAsia="zh-CN"/>
        </w:rPr>
        <w:t>盖</w:t>
      </w:r>
      <w:r>
        <w:rPr>
          <w:rFonts w:hint="eastAsia" w:ascii="宋体" w:hAnsi="宋体" w:eastAsia="宋体" w:cs="宋体"/>
          <w:color w:val="auto"/>
          <w:kern w:val="0"/>
          <w:sz w:val="21"/>
          <w:szCs w:val="21"/>
          <w:highlight w:val="none"/>
        </w:rPr>
        <w:t>电子公章）：</w:t>
      </w:r>
    </w:p>
    <w:p w14:paraId="3CDCA322">
      <w:pPr>
        <w:keepNext w:val="0"/>
        <w:keepLines w:val="0"/>
        <w:pageBreakBefore w:val="0"/>
        <w:widowControl w:val="0"/>
        <w:kinsoku/>
        <w:wordWrap/>
        <w:overflowPunct/>
        <w:autoSpaceDE w:val="0"/>
        <w:autoSpaceDN w:val="0"/>
        <w:bidi w:val="0"/>
        <w:adjustRightInd/>
        <w:snapToGrid/>
        <w:spacing w:line="460" w:lineRule="exact"/>
        <w:ind w:left="4305" w:leftChars="1950" w:hanging="210" w:hangingChars="1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法定代表人或其委托代理人（签字/电子签名）：</w:t>
      </w:r>
    </w:p>
    <w:p w14:paraId="0AD8AB51">
      <w:pPr>
        <w:keepNext w:val="0"/>
        <w:keepLines w:val="0"/>
        <w:pageBreakBefore w:val="0"/>
        <w:widowControl w:val="0"/>
        <w:kinsoku/>
        <w:wordWrap/>
        <w:overflowPunct/>
        <w:autoSpaceDE w:val="0"/>
        <w:autoSpaceDN w:val="0"/>
        <w:bidi w:val="0"/>
        <w:adjustRightInd/>
        <w:snapToGrid/>
        <w:spacing w:line="460" w:lineRule="exact"/>
        <w:ind w:firstLine="5670" w:firstLineChars="2700"/>
        <w:textAlignment w:val="auto"/>
        <w:rPr>
          <w:rFonts w:hint="eastAsia" w:ascii="宋体" w:hAnsi="宋体" w:eastAsia="宋体" w:cs="宋体"/>
          <w:b/>
          <w:color w:val="auto"/>
          <w:sz w:val="30"/>
          <w:szCs w:val="30"/>
          <w:highlight w:val="none"/>
        </w:rPr>
      </w:pPr>
      <w:r>
        <w:rPr>
          <w:rFonts w:hint="eastAsia" w:ascii="宋体" w:hAnsi="宋体" w:eastAsia="宋体" w:cs="宋体"/>
          <w:color w:val="auto"/>
          <w:kern w:val="0"/>
          <w:sz w:val="21"/>
          <w:szCs w:val="21"/>
          <w:highlight w:val="none"/>
          <w:lang w:val="zh-CN"/>
        </w:rPr>
        <w:t>日期：  年  月   日</w:t>
      </w:r>
    </w:p>
    <w:p w14:paraId="0381A266">
      <w:pPr>
        <w:pageBreakBefore w:val="0"/>
        <w:kinsoku/>
        <w:wordWrap/>
        <w:overflowPunct/>
        <w:topLinePunct w:val="0"/>
        <w:bidi w:val="0"/>
        <w:adjustRightInd/>
        <w:spacing w:line="360" w:lineRule="auto"/>
        <w:textAlignment w:val="auto"/>
        <w:rPr>
          <w:rFonts w:hint="eastAsia" w:ascii="宋体" w:hAnsi="宋体" w:eastAsia="宋体" w:cs="宋体"/>
          <w:b/>
          <w:color w:val="auto"/>
          <w:szCs w:val="21"/>
          <w:highlight w:val="none"/>
        </w:rPr>
      </w:pPr>
    </w:p>
    <w:p w14:paraId="311997E1">
      <w:pPr>
        <w:keepNext w:val="0"/>
        <w:keepLines w:val="0"/>
        <w:pageBreakBefore w:val="0"/>
        <w:widowControl w:val="0"/>
        <w:kinsoku/>
        <w:wordWrap/>
        <w:overflowPunct/>
        <w:topLinePunct w:val="0"/>
        <w:bidi w:val="0"/>
        <w:adjustRightInd/>
        <w:snapToGrid w:val="0"/>
        <w:spacing w:before="120" w:beforeLines="50" w:after="50" w:line="460" w:lineRule="exact"/>
        <w:jc w:val="left"/>
        <w:textAlignment w:val="auto"/>
        <w:rPr>
          <w:rFonts w:hint="eastAsia" w:ascii="宋体" w:hAnsi="宋体" w:eastAsia="宋体" w:cs="宋体"/>
          <w:b w:val="0"/>
          <w:bCs w:val="0"/>
          <w:color w:val="auto"/>
          <w:highlight w:val="none"/>
        </w:rPr>
      </w:pPr>
      <w:r>
        <w:rPr>
          <w:rFonts w:hint="eastAsia" w:ascii="宋体" w:hAnsi="宋体" w:eastAsia="宋体" w:cs="宋体"/>
          <w:b/>
          <w:bCs/>
          <w:color w:val="auto"/>
          <w:sz w:val="28"/>
          <w:highlight w:val="none"/>
          <w:lang w:eastAsia="zh-CN"/>
        </w:rPr>
        <w:t>响应函</w:t>
      </w:r>
      <w:r>
        <w:rPr>
          <w:rFonts w:hint="eastAsia" w:ascii="宋体" w:hAnsi="宋体" w:eastAsia="宋体" w:cs="宋体"/>
          <w:b/>
          <w:color w:val="auto"/>
          <w:sz w:val="28"/>
          <w:szCs w:val="28"/>
          <w:highlight w:val="none"/>
          <w:lang w:val="zh-CN"/>
        </w:rPr>
        <w:t>附录</w:t>
      </w:r>
    </w:p>
    <w:p w14:paraId="404A4F42">
      <w:pPr>
        <w:spacing w:line="520" w:lineRule="exact"/>
        <w:jc w:val="center"/>
        <w:rPr>
          <w:rFonts w:hint="eastAsia" w:ascii="宋体" w:hAnsi="宋体" w:eastAsia="宋体" w:cs="宋体"/>
          <w:b/>
          <w:bCs/>
          <w:color w:val="auto"/>
          <w:kern w:val="0"/>
          <w:sz w:val="30"/>
          <w:szCs w:val="30"/>
          <w:highlight w:val="none"/>
        </w:rPr>
      </w:pPr>
      <w:r>
        <w:rPr>
          <w:rFonts w:hint="eastAsia" w:ascii="宋体" w:hAnsi="宋体" w:eastAsia="宋体" w:cs="宋体"/>
          <w:b/>
          <w:color w:val="auto"/>
          <w:sz w:val="32"/>
          <w:szCs w:val="32"/>
          <w:highlight w:val="none"/>
          <w:lang w:eastAsia="zh-CN"/>
        </w:rPr>
        <w:t>响应函</w:t>
      </w:r>
      <w:r>
        <w:rPr>
          <w:rFonts w:hint="eastAsia" w:ascii="宋体" w:hAnsi="宋体" w:eastAsia="宋体" w:cs="宋体"/>
          <w:b/>
          <w:color w:val="auto"/>
          <w:sz w:val="32"/>
          <w:szCs w:val="32"/>
          <w:highlight w:val="none"/>
        </w:rPr>
        <w:t>附录</w:t>
      </w:r>
    </w:p>
    <w:p w14:paraId="77FBE5C5">
      <w:pPr>
        <w:snapToGrid w:val="0"/>
        <w:spacing w:before="50" w:after="50" w:line="360" w:lineRule="auto"/>
        <w:rPr>
          <w:rFonts w:hint="eastAsia" w:ascii="宋体" w:hAnsi="宋体" w:eastAsia="宋体" w:cs="宋体"/>
          <w:color w:val="auto"/>
          <w:sz w:val="24"/>
          <w:highlight w:val="none"/>
        </w:rPr>
      </w:pPr>
    </w:p>
    <w:p w14:paraId="2FDB6F69">
      <w:pPr>
        <w:snapToGrid w:val="0"/>
        <w:spacing w:before="50" w:after="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FAF67B1">
      <w:pPr>
        <w:snapToGrid w:val="0"/>
        <w:spacing w:before="50" w:after="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716E64CB">
      <w:pPr>
        <w:snapToGrid w:val="0"/>
        <w:spacing w:before="50" w:after="50" w:line="360" w:lineRule="auto"/>
        <w:ind w:firstLine="420" w:firstLineChars="200"/>
        <w:rPr>
          <w:rFonts w:hint="eastAsia" w:ascii="宋体" w:hAnsi="宋体" w:eastAsia="宋体" w:cs="宋体"/>
          <w:color w:val="auto"/>
          <w:sz w:val="24"/>
          <w:highlight w:val="none"/>
        </w:rPr>
      </w:pPr>
      <w:r>
        <w:rPr>
          <w:rFonts w:hint="eastAsia" w:ascii="宋体" w:hAnsi="宋体" w:eastAsia="宋体" w:cs="宋体"/>
          <w:color w:val="auto"/>
          <w:szCs w:val="21"/>
          <w:highlight w:val="none"/>
        </w:rPr>
        <w:t>所竞分标（如有则填写，无分标时填写“无”或者留空）：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 w:val="24"/>
          <w:highlight w:val="none"/>
        </w:rPr>
        <w:t xml:space="preserve">      </w:t>
      </w:r>
    </w:p>
    <w:p w14:paraId="57B4F845">
      <w:pPr>
        <w:snapToGrid w:val="0"/>
        <w:spacing w:before="50" w:after="50" w:line="360" w:lineRule="auto"/>
        <w:ind w:firstLine="480" w:firstLineChars="200"/>
        <w:rPr>
          <w:rFonts w:hint="eastAsia" w:ascii="宋体" w:hAnsi="宋体" w:eastAsia="宋体" w:cs="宋体"/>
          <w:color w:val="auto"/>
          <w:sz w:val="24"/>
          <w:highlight w:val="none"/>
        </w:r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49CA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B0154EE">
            <w:pPr>
              <w:wordWrap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 号</w:t>
            </w:r>
          </w:p>
        </w:tc>
        <w:tc>
          <w:tcPr>
            <w:tcW w:w="1985" w:type="dxa"/>
            <w:noWrap w:val="0"/>
            <w:vAlign w:val="center"/>
          </w:tcPr>
          <w:p w14:paraId="11384D6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条款内容</w:t>
            </w:r>
          </w:p>
        </w:tc>
        <w:tc>
          <w:tcPr>
            <w:tcW w:w="2126" w:type="dxa"/>
            <w:noWrap w:val="0"/>
            <w:vAlign w:val="center"/>
          </w:tcPr>
          <w:p w14:paraId="64402CCC">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合同条款号</w:t>
            </w:r>
          </w:p>
        </w:tc>
        <w:tc>
          <w:tcPr>
            <w:tcW w:w="1984" w:type="dxa"/>
            <w:noWrap w:val="0"/>
            <w:vAlign w:val="center"/>
          </w:tcPr>
          <w:p w14:paraId="2812BB11">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约定内容</w:t>
            </w:r>
          </w:p>
        </w:tc>
        <w:tc>
          <w:tcPr>
            <w:tcW w:w="1843" w:type="dxa"/>
            <w:noWrap w:val="0"/>
            <w:vAlign w:val="center"/>
          </w:tcPr>
          <w:p w14:paraId="6410339D">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06C1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164FEEB0">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85" w:type="dxa"/>
            <w:noWrap w:val="0"/>
            <w:vAlign w:val="center"/>
          </w:tcPr>
          <w:p w14:paraId="1B2E7078">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项目经理</w:t>
            </w:r>
          </w:p>
        </w:tc>
        <w:tc>
          <w:tcPr>
            <w:tcW w:w="2126" w:type="dxa"/>
            <w:noWrap w:val="0"/>
            <w:tcMar>
              <w:left w:w="170" w:type="dxa"/>
            </w:tcMar>
            <w:vAlign w:val="center"/>
          </w:tcPr>
          <w:p w14:paraId="6B18338C">
            <w:pPr>
              <w:wordWrap w:val="0"/>
              <w:jc w:val="center"/>
              <w:rPr>
                <w:rFonts w:hint="eastAsia" w:ascii="宋体" w:hAnsi="宋体" w:eastAsia="宋体" w:cs="宋体"/>
                <w:color w:val="auto"/>
                <w:sz w:val="21"/>
                <w:szCs w:val="21"/>
                <w:highlight w:val="none"/>
              </w:rPr>
            </w:pPr>
          </w:p>
        </w:tc>
        <w:tc>
          <w:tcPr>
            <w:tcW w:w="1984" w:type="dxa"/>
            <w:noWrap w:val="0"/>
            <w:vAlign w:val="center"/>
          </w:tcPr>
          <w:p w14:paraId="11C4DC80">
            <w:pPr>
              <w:wordWrap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 xml:space="preserve">         </w:t>
            </w:r>
          </w:p>
        </w:tc>
        <w:tc>
          <w:tcPr>
            <w:tcW w:w="1843" w:type="dxa"/>
            <w:noWrap w:val="0"/>
            <w:vAlign w:val="center"/>
          </w:tcPr>
          <w:p w14:paraId="0B811B92">
            <w:pPr>
              <w:wordWrap w:val="0"/>
              <w:jc w:val="center"/>
              <w:rPr>
                <w:rFonts w:hint="eastAsia" w:ascii="宋体" w:hAnsi="宋体" w:eastAsia="宋体" w:cs="宋体"/>
                <w:color w:val="auto"/>
                <w:sz w:val="21"/>
                <w:szCs w:val="21"/>
                <w:highlight w:val="none"/>
              </w:rPr>
            </w:pPr>
          </w:p>
        </w:tc>
      </w:tr>
      <w:tr w14:paraId="1BE6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E52B04E">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985" w:type="dxa"/>
            <w:noWrap w:val="0"/>
            <w:vAlign w:val="center"/>
          </w:tcPr>
          <w:p w14:paraId="5DAD59A0">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竞标</w:t>
            </w:r>
            <w:r>
              <w:rPr>
                <w:rFonts w:hint="eastAsia" w:ascii="宋体" w:hAnsi="宋体" w:eastAsia="宋体" w:cs="宋体"/>
                <w:color w:val="auto"/>
                <w:sz w:val="21"/>
                <w:szCs w:val="21"/>
                <w:highlight w:val="none"/>
              </w:rPr>
              <w:t>有效期</w:t>
            </w:r>
          </w:p>
        </w:tc>
        <w:tc>
          <w:tcPr>
            <w:tcW w:w="2126" w:type="dxa"/>
            <w:noWrap w:val="0"/>
            <w:tcMar>
              <w:left w:w="170" w:type="dxa"/>
            </w:tcMar>
            <w:vAlign w:val="center"/>
          </w:tcPr>
          <w:p w14:paraId="040C6FD3">
            <w:pPr>
              <w:wordWrap w:val="0"/>
              <w:rPr>
                <w:rFonts w:hint="eastAsia" w:ascii="宋体" w:hAnsi="宋体" w:eastAsia="宋体" w:cs="宋体"/>
                <w:color w:val="auto"/>
                <w:sz w:val="21"/>
                <w:szCs w:val="21"/>
                <w:highlight w:val="none"/>
              </w:rPr>
            </w:pPr>
          </w:p>
        </w:tc>
        <w:tc>
          <w:tcPr>
            <w:tcW w:w="1984" w:type="dxa"/>
            <w:noWrap w:val="0"/>
            <w:vAlign w:val="center"/>
          </w:tcPr>
          <w:p w14:paraId="2A7F2303">
            <w:pPr>
              <w:wordWrap w:val="0"/>
              <w:jc w:val="center"/>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highlight w:val="none"/>
              </w:rPr>
              <w:t>自首次响应文件提交截止日起</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日历天</w:t>
            </w:r>
          </w:p>
        </w:tc>
        <w:tc>
          <w:tcPr>
            <w:tcW w:w="1843" w:type="dxa"/>
            <w:noWrap w:val="0"/>
            <w:vAlign w:val="center"/>
          </w:tcPr>
          <w:p w14:paraId="1663F47B">
            <w:pPr>
              <w:wordWrap w:val="0"/>
              <w:jc w:val="center"/>
              <w:rPr>
                <w:rFonts w:hint="eastAsia" w:ascii="宋体" w:hAnsi="宋体" w:eastAsia="宋体" w:cs="宋体"/>
                <w:color w:val="auto"/>
                <w:sz w:val="21"/>
                <w:szCs w:val="21"/>
                <w:highlight w:val="none"/>
              </w:rPr>
            </w:pPr>
          </w:p>
        </w:tc>
      </w:tr>
      <w:tr w14:paraId="2D4CD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98628A1">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985" w:type="dxa"/>
            <w:noWrap w:val="0"/>
            <w:vAlign w:val="center"/>
          </w:tcPr>
          <w:p w14:paraId="76805DB3">
            <w:pPr>
              <w:wordWrap w:val="0"/>
              <w:jc w:val="center"/>
              <w:rPr>
                <w:rFonts w:hint="eastAsia" w:ascii="宋体" w:hAnsi="宋体" w:eastAsia="宋体" w:cs="宋体"/>
                <w:color w:val="auto"/>
                <w:kern w:val="56"/>
                <w:sz w:val="21"/>
                <w:szCs w:val="21"/>
                <w:highlight w:val="none"/>
              </w:rPr>
            </w:pPr>
            <w:r>
              <w:rPr>
                <w:rFonts w:hint="eastAsia" w:ascii="宋体" w:hAnsi="宋体" w:eastAsia="宋体" w:cs="宋体"/>
                <w:color w:val="auto"/>
                <w:kern w:val="56"/>
                <w:sz w:val="21"/>
                <w:szCs w:val="21"/>
                <w:highlight w:val="none"/>
              </w:rPr>
              <w:t>合同履行期限</w:t>
            </w:r>
          </w:p>
          <w:p w14:paraId="3760D539">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kern w:val="56"/>
                <w:sz w:val="21"/>
                <w:szCs w:val="21"/>
                <w:highlight w:val="none"/>
              </w:rPr>
              <w:t>（</w:t>
            </w:r>
            <w:r>
              <w:rPr>
                <w:rFonts w:hint="eastAsia" w:ascii="宋体" w:hAnsi="宋体" w:eastAsia="宋体" w:cs="宋体"/>
                <w:color w:val="auto"/>
                <w:kern w:val="56"/>
                <w:sz w:val="21"/>
                <w:szCs w:val="21"/>
                <w:highlight w:val="none"/>
                <w:lang w:val="en-US" w:eastAsia="zh-CN"/>
              </w:rPr>
              <w:t>计划</w:t>
            </w:r>
            <w:r>
              <w:rPr>
                <w:rFonts w:hint="eastAsia" w:ascii="宋体" w:hAnsi="宋体" w:eastAsia="宋体" w:cs="宋体"/>
                <w:color w:val="auto"/>
                <w:kern w:val="56"/>
                <w:sz w:val="21"/>
                <w:szCs w:val="21"/>
                <w:highlight w:val="none"/>
              </w:rPr>
              <w:t>工期）</w:t>
            </w:r>
          </w:p>
        </w:tc>
        <w:tc>
          <w:tcPr>
            <w:tcW w:w="2126" w:type="dxa"/>
            <w:noWrap w:val="0"/>
            <w:tcMar>
              <w:left w:w="170" w:type="dxa"/>
            </w:tcMar>
            <w:vAlign w:val="center"/>
          </w:tcPr>
          <w:p w14:paraId="400591E9">
            <w:pPr>
              <w:wordWrap w:val="0"/>
              <w:jc w:val="center"/>
              <w:rPr>
                <w:rFonts w:hint="eastAsia" w:ascii="宋体" w:hAnsi="宋体" w:eastAsia="宋体" w:cs="宋体"/>
                <w:color w:val="auto"/>
                <w:sz w:val="21"/>
                <w:szCs w:val="21"/>
                <w:highlight w:val="none"/>
              </w:rPr>
            </w:pPr>
          </w:p>
        </w:tc>
        <w:tc>
          <w:tcPr>
            <w:tcW w:w="1984" w:type="dxa"/>
            <w:noWrap w:val="0"/>
            <w:vAlign w:val="center"/>
          </w:tcPr>
          <w:p w14:paraId="7C1FB42D">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个</w:t>
            </w:r>
            <w:r>
              <w:rPr>
                <w:rFonts w:hint="eastAsia" w:ascii="宋体" w:hAnsi="宋体" w:eastAsia="宋体" w:cs="宋体"/>
                <w:color w:val="auto"/>
                <w:highlight w:val="none"/>
                <w:lang w:eastAsia="zh-CN"/>
              </w:rPr>
              <w:t>日历天</w:t>
            </w:r>
            <w:r>
              <w:rPr>
                <w:rFonts w:hint="eastAsia" w:ascii="宋体" w:hAnsi="宋体" w:eastAsia="宋体" w:cs="宋体"/>
                <w:color w:val="auto"/>
                <w:highlight w:val="none"/>
              </w:rPr>
              <w:t>内完工</w:t>
            </w:r>
          </w:p>
        </w:tc>
        <w:tc>
          <w:tcPr>
            <w:tcW w:w="1843" w:type="dxa"/>
            <w:noWrap w:val="0"/>
            <w:vAlign w:val="center"/>
          </w:tcPr>
          <w:p w14:paraId="0A1E54E5">
            <w:pPr>
              <w:wordWrap w:val="0"/>
              <w:jc w:val="center"/>
              <w:rPr>
                <w:rFonts w:hint="eastAsia" w:ascii="宋体" w:hAnsi="宋体" w:eastAsia="宋体" w:cs="宋体"/>
                <w:color w:val="auto"/>
                <w:sz w:val="21"/>
                <w:szCs w:val="21"/>
                <w:highlight w:val="none"/>
              </w:rPr>
            </w:pPr>
          </w:p>
        </w:tc>
      </w:tr>
      <w:tr w14:paraId="6274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20EBB02">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985" w:type="dxa"/>
            <w:noWrap w:val="0"/>
            <w:vAlign w:val="center"/>
          </w:tcPr>
          <w:p w14:paraId="50242F63">
            <w:pPr>
              <w:wordWrap w:val="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质量</w:t>
            </w:r>
            <w:r>
              <w:rPr>
                <w:rFonts w:hint="eastAsia" w:ascii="宋体" w:hAnsi="宋体" w:eastAsia="宋体" w:cs="宋体"/>
                <w:color w:val="auto"/>
                <w:sz w:val="21"/>
                <w:szCs w:val="21"/>
                <w:highlight w:val="none"/>
                <w:lang w:val="en-US" w:eastAsia="zh-CN"/>
              </w:rPr>
              <w:t>要求</w:t>
            </w:r>
          </w:p>
        </w:tc>
        <w:tc>
          <w:tcPr>
            <w:tcW w:w="2126" w:type="dxa"/>
            <w:noWrap w:val="0"/>
            <w:tcMar>
              <w:left w:w="170" w:type="dxa"/>
            </w:tcMar>
            <w:vAlign w:val="center"/>
          </w:tcPr>
          <w:p w14:paraId="5FC42BB8">
            <w:pPr>
              <w:wordWrap w:val="0"/>
              <w:jc w:val="center"/>
              <w:rPr>
                <w:rFonts w:hint="eastAsia" w:ascii="宋体" w:hAnsi="宋体" w:eastAsia="宋体" w:cs="宋体"/>
                <w:color w:val="auto"/>
                <w:sz w:val="21"/>
                <w:szCs w:val="21"/>
                <w:highlight w:val="none"/>
              </w:rPr>
            </w:pPr>
          </w:p>
        </w:tc>
        <w:tc>
          <w:tcPr>
            <w:tcW w:w="1984" w:type="dxa"/>
            <w:noWrap w:val="0"/>
            <w:vAlign w:val="center"/>
          </w:tcPr>
          <w:p w14:paraId="5176A9F7">
            <w:pPr>
              <w:wordWrap w:val="0"/>
              <w:jc w:val="center"/>
              <w:rPr>
                <w:rFonts w:hint="eastAsia" w:ascii="宋体" w:hAnsi="宋体" w:eastAsia="宋体" w:cs="宋体"/>
                <w:color w:val="auto"/>
                <w:sz w:val="21"/>
                <w:szCs w:val="21"/>
                <w:highlight w:val="none"/>
              </w:rPr>
            </w:pPr>
          </w:p>
        </w:tc>
        <w:tc>
          <w:tcPr>
            <w:tcW w:w="1843" w:type="dxa"/>
            <w:noWrap w:val="0"/>
            <w:vAlign w:val="center"/>
          </w:tcPr>
          <w:p w14:paraId="4EB79613">
            <w:pPr>
              <w:wordWrap w:val="0"/>
              <w:jc w:val="center"/>
              <w:rPr>
                <w:rFonts w:hint="eastAsia" w:ascii="宋体" w:hAnsi="宋体" w:eastAsia="宋体" w:cs="宋体"/>
                <w:color w:val="auto"/>
                <w:sz w:val="21"/>
                <w:szCs w:val="21"/>
                <w:highlight w:val="none"/>
              </w:rPr>
            </w:pPr>
          </w:p>
        </w:tc>
      </w:tr>
      <w:tr w14:paraId="3ABC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A509C9B">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985" w:type="dxa"/>
            <w:noWrap w:val="0"/>
            <w:vAlign w:val="center"/>
          </w:tcPr>
          <w:p w14:paraId="63F87856">
            <w:pPr>
              <w:wordWrap w:val="0"/>
              <w:jc w:val="center"/>
              <w:rPr>
                <w:rFonts w:hint="eastAsia" w:ascii="宋体" w:hAnsi="宋体" w:eastAsia="宋体" w:cs="宋体"/>
                <w:color w:val="auto"/>
                <w:sz w:val="21"/>
                <w:szCs w:val="21"/>
                <w:highlight w:val="none"/>
              </w:rPr>
            </w:pPr>
          </w:p>
        </w:tc>
        <w:tc>
          <w:tcPr>
            <w:tcW w:w="2126" w:type="dxa"/>
            <w:noWrap w:val="0"/>
            <w:tcMar>
              <w:left w:w="170" w:type="dxa"/>
            </w:tcMar>
            <w:vAlign w:val="center"/>
          </w:tcPr>
          <w:p w14:paraId="2B3BFD16">
            <w:pPr>
              <w:wordWrap w:val="0"/>
              <w:jc w:val="center"/>
              <w:rPr>
                <w:rFonts w:hint="eastAsia" w:ascii="宋体" w:hAnsi="宋体" w:eastAsia="宋体" w:cs="宋体"/>
                <w:color w:val="auto"/>
                <w:sz w:val="21"/>
                <w:szCs w:val="21"/>
                <w:highlight w:val="none"/>
              </w:rPr>
            </w:pPr>
          </w:p>
        </w:tc>
        <w:tc>
          <w:tcPr>
            <w:tcW w:w="1984" w:type="dxa"/>
            <w:noWrap w:val="0"/>
            <w:vAlign w:val="center"/>
          </w:tcPr>
          <w:p w14:paraId="045214C3">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p>
        </w:tc>
        <w:tc>
          <w:tcPr>
            <w:tcW w:w="1843" w:type="dxa"/>
            <w:noWrap w:val="0"/>
            <w:vAlign w:val="center"/>
          </w:tcPr>
          <w:p w14:paraId="46E007FB">
            <w:pPr>
              <w:wordWrap w:val="0"/>
              <w:jc w:val="center"/>
              <w:rPr>
                <w:rFonts w:hint="eastAsia" w:ascii="宋体" w:hAnsi="宋体" w:eastAsia="宋体" w:cs="宋体"/>
                <w:color w:val="auto"/>
                <w:sz w:val="21"/>
                <w:szCs w:val="21"/>
                <w:highlight w:val="none"/>
              </w:rPr>
            </w:pPr>
          </w:p>
        </w:tc>
      </w:tr>
      <w:tr w14:paraId="22A5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83BFD02">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985" w:type="dxa"/>
            <w:noWrap w:val="0"/>
            <w:vAlign w:val="center"/>
          </w:tcPr>
          <w:p w14:paraId="326F9667">
            <w:pPr>
              <w:wordWrap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2126" w:type="dxa"/>
            <w:noWrap w:val="0"/>
            <w:tcMar>
              <w:left w:w="170" w:type="dxa"/>
            </w:tcMar>
            <w:vAlign w:val="center"/>
          </w:tcPr>
          <w:p w14:paraId="3BE3D504">
            <w:pPr>
              <w:wordWrap w:val="0"/>
              <w:rPr>
                <w:rFonts w:hint="eastAsia" w:ascii="宋体" w:hAnsi="宋体" w:eastAsia="宋体" w:cs="宋体"/>
                <w:color w:val="auto"/>
                <w:sz w:val="21"/>
                <w:szCs w:val="21"/>
                <w:highlight w:val="none"/>
              </w:rPr>
            </w:pPr>
          </w:p>
        </w:tc>
        <w:tc>
          <w:tcPr>
            <w:tcW w:w="1984" w:type="dxa"/>
            <w:noWrap w:val="0"/>
            <w:vAlign w:val="center"/>
          </w:tcPr>
          <w:p w14:paraId="1F9110AC">
            <w:pPr>
              <w:wordWrap w:val="0"/>
              <w:jc w:val="center"/>
              <w:rPr>
                <w:rFonts w:hint="eastAsia" w:ascii="宋体" w:hAnsi="宋体" w:eastAsia="宋体" w:cs="宋体"/>
                <w:color w:val="auto"/>
                <w:sz w:val="21"/>
                <w:szCs w:val="21"/>
                <w:highlight w:val="none"/>
              </w:rPr>
            </w:pPr>
          </w:p>
        </w:tc>
        <w:tc>
          <w:tcPr>
            <w:tcW w:w="1843" w:type="dxa"/>
            <w:noWrap w:val="0"/>
            <w:vAlign w:val="center"/>
          </w:tcPr>
          <w:p w14:paraId="19C0BB33">
            <w:pPr>
              <w:wordWrap w:val="0"/>
              <w:jc w:val="center"/>
              <w:rPr>
                <w:rFonts w:hint="eastAsia" w:ascii="宋体" w:hAnsi="宋体" w:eastAsia="宋体" w:cs="宋体"/>
                <w:color w:val="auto"/>
                <w:sz w:val="21"/>
                <w:szCs w:val="21"/>
                <w:highlight w:val="none"/>
              </w:rPr>
            </w:pPr>
          </w:p>
        </w:tc>
      </w:tr>
      <w:tr w14:paraId="5CB3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064B8C8B">
            <w:pPr>
              <w:wordWrap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备注：供应商在响应竞争性磋商文件中规定的实质性要求和条件的基础上，可做出其他有利于采购单位的承诺。此类承诺可在本表中予以补充填写。</w:t>
            </w:r>
          </w:p>
        </w:tc>
      </w:tr>
    </w:tbl>
    <w:p w14:paraId="6A282D51">
      <w:pPr>
        <w:snapToGrid w:val="0"/>
        <w:spacing w:before="50" w:after="50" w:line="360" w:lineRule="auto"/>
        <w:rPr>
          <w:rFonts w:hint="eastAsia" w:ascii="宋体" w:hAnsi="宋体" w:eastAsia="宋体" w:cs="宋体"/>
          <w:color w:val="auto"/>
          <w:sz w:val="24"/>
          <w:highlight w:val="none"/>
        </w:rPr>
      </w:pPr>
    </w:p>
    <w:p w14:paraId="3D1681B9">
      <w:pPr>
        <w:snapToGrid w:val="0"/>
        <w:spacing w:before="50" w:after="50"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FE9CB12">
      <w:pPr>
        <w:snapToGrid w:val="0"/>
        <w:spacing w:before="50" w:after="50" w:line="360" w:lineRule="auto"/>
        <w:rPr>
          <w:rFonts w:hint="eastAsia" w:ascii="宋体" w:hAnsi="宋体" w:eastAsia="宋体" w:cs="宋体"/>
          <w:color w:val="auto"/>
          <w:sz w:val="24"/>
          <w:highlight w:val="none"/>
        </w:rPr>
      </w:pPr>
    </w:p>
    <w:p w14:paraId="00B6F70D">
      <w:pPr>
        <w:autoSpaceDE w:val="0"/>
        <w:autoSpaceDN w:val="0"/>
        <w:spacing w:line="360" w:lineRule="auto"/>
        <w:ind w:left="4305" w:leftChars="1950" w:hanging="210" w:hanging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供应商名称（</w:t>
      </w:r>
      <w:r>
        <w:rPr>
          <w:rFonts w:hint="eastAsia" w:ascii="宋体" w:hAnsi="宋体" w:eastAsia="宋体" w:cs="宋体"/>
          <w:color w:val="auto"/>
          <w:sz w:val="21"/>
          <w:szCs w:val="21"/>
          <w:highlight w:val="none"/>
          <w:lang w:val="en-US" w:eastAsia="zh-CN"/>
        </w:rPr>
        <w:t>盖电子</w:t>
      </w:r>
      <w:r>
        <w:rPr>
          <w:rFonts w:hint="eastAsia" w:ascii="宋体" w:hAnsi="宋体" w:eastAsia="宋体" w:cs="宋体"/>
          <w:color w:val="auto"/>
          <w:sz w:val="21"/>
          <w:szCs w:val="21"/>
          <w:highlight w:val="none"/>
        </w:rPr>
        <w:t>公章</w:t>
      </w:r>
      <w:r>
        <w:rPr>
          <w:rFonts w:hint="eastAsia" w:ascii="宋体" w:hAnsi="宋体" w:eastAsia="宋体" w:cs="宋体"/>
          <w:color w:val="auto"/>
          <w:kern w:val="0"/>
          <w:sz w:val="21"/>
          <w:szCs w:val="21"/>
          <w:highlight w:val="none"/>
        </w:rPr>
        <w:t>）：</w:t>
      </w:r>
    </w:p>
    <w:p w14:paraId="1061121C">
      <w:pPr>
        <w:autoSpaceDE w:val="0"/>
        <w:autoSpaceDN w:val="0"/>
        <w:spacing w:line="360" w:lineRule="auto"/>
        <w:ind w:left="4334" w:leftChars="1964" w:hanging="210" w:hangingChars="1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法定代表人或委托代理人（签字/电子签名）：</w:t>
      </w:r>
    </w:p>
    <w:p w14:paraId="2BD3E149">
      <w:pPr>
        <w:pStyle w:val="105"/>
        <w:spacing w:line="500" w:lineRule="exact"/>
        <w:ind w:firstLine="5565" w:firstLineChars="265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日期：  年  月   日</w:t>
      </w:r>
    </w:p>
    <w:p w14:paraId="56166D42">
      <w:pPr>
        <w:keepNext w:val="0"/>
        <w:keepLines w:val="0"/>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4C600735">
      <w:pPr>
        <w:keepNext w:val="0"/>
        <w:keepLines w:val="0"/>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7283F04C">
      <w:pPr>
        <w:keepNext w:val="0"/>
        <w:keepLines w:val="0"/>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444E71A4">
      <w:pPr>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br w:type="page"/>
      </w:r>
    </w:p>
    <w:p w14:paraId="47E062C0">
      <w:pPr>
        <w:keepNext w:val="0"/>
        <w:keepLines w:val="0"/>
        <w:pageBreakBefore w:val="0"/>
        <w:kinsoku/>
        <w:wordWrap/>
        <w:overflowPunct/>
        <w:topLinePunct w:val="0"/>
        <w:bidi w:val="0"/>
        <w:adjustRightInd/>
        <w:spacing w:line="360" w:lineRule="auto"/>
        <w:textAlignment w:val="auto"/>
        <w:rPr>
          <w:rFonts w:hint="eastAsia" w:ascii="宋体" w:hAnsi="宋体" w:eastAsia="宋体" w:cs="宋体"/>
          <w:color w:val="auto"/>
          <w:highlight w:val="none"/>
        </w:rPr>
      </w:pPr>
      <w:r>
        <w:rPr>
          <w:rFonts w:hint="eastAsia" w:ascii="宋体" w:hAnsi="宋体" w:eastAsia="宋体" w:cs="宋体"/>
          <w:b/>
          <w:color w:val="auto"/>
          <w:sz w:val="28"/>
          <w:szCs w:val="28"/>
          <w:highlight w:val="none"/>
          <w:lang w:val="en-US" w:eastAsia="zh-CN"/>
        </w:rPr>
        <w:t>响应报价表</w:t>
      </w:r>
      <w:r>
        <w:rPr>
          <w:rFonts w:hint="eastAsia" w:ascii="宋体" w:hAnsi="宋体" w:eastAsia="宋体" w:cs="宋体"/>
          <w:b/>
          <w:color w:val="auto"/>
          <w:sz w:val="28"/>
          <w:szCs w:val="28"/>
          <w:highlight w:val="none"/>
          <w:lang w:val="zh-CN"/>
        </w:rPr>
        <w:t>的格式：</w:t>
      </w:r>
      <w:r>
        <w:rPr>
          <w:rFonts w:hint="eastAsia" w:ascii="宋体" w:hAnsi="宋体" w:eastAsia="宋体" w:cs="宋体"/>
          <w:b/>
          <w:color w:val="auto"/>
          <w:sz w:val="30"/>
          <w:szCs w:val="30"/>
          <w:highlight w:val="none"/>
          <w:lang w:val="zh-CN"/>
        </w:rPr>
        <w:t xml:space="preserve"> </w:t>
      </w:r>
    </w:p>
    <w:p w14:paraId="0D4D2291">
      <w:pPr>
        <w:keepNext w:val="0"/>
        <w:keepLines w:val="0"/>
        <w:pageBreakBefore w:val="0"/>
        <w:kinsoku/>
        <w:wordWrap/>
        <w:overflowPunct/>
        <w:topLinePunct w:val="0"/>
        <w:bidi w:val="0"/>
        <w:adjustRightInd/>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32"/>
          <w:szCs w:val="32"/>
          <w:highlight w:val="none"/>
          <w:lang w:val="en-US" w:eastAsia="zh-CN"/>
        </w:rPr>
        <w:t>响应报价表</w:t>
      </w:r>
    </w:p>
    <w:p w14:paraId="2957F629">
      <w:pPr>
        <w:keepNext w:val="0"/>
        <w:keepLines w:val="0"/>
        <w:pageBreakBefore w:val="0"/>
        <w:kinsoku/>
        <w:wordWrap/>
        <w:overflowPunct/>
        <w:topLinePunct w:val="0"/>
        <w:bidi w:val="0"/>
        <w:adjustRightInd/>
        <w:snapToGrid w:val="0"/>
        <w:spacing w:before="50" w:after="50"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FF842EB">
      <w:pPr>
        <w:keepNext w:val="0"/>
        <w:keepLines w:val="0"/>
        <w:pageBreakBefore w:val="0"/>
        <w:kinsoku/>
        <w:wordWrap/>
        <w:overflowPunct/>
        <w:topLinePunct w:val="0"/>
        <w:bidi w:val="0"/>
        <w:adjustRightInd/>
        <w:snapToGrid w:val="0"/>
        <w:spacing w:before="50" w:after="50"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D3066FD">
      <w:pPr>
        <w:keepNext w:val="0"/>
        <w:keepLines w:val="0"/>
        <w:pageBreakBefore w:val="0"/>
        <w:kinsoku/>
        <w:wordWrap/>
        <w:overflowPunct/>
        <w:topLinePunct w:val="0"/>
        <w:bidi w:val="0"/>
        <w:adjustRightInd/>
        <w:spacing w:line="360" w:lineRule="auto"/>
        <w:contextualSpacing/>
        <w:textAlignment w:val="auto"/>
        <w:rPr>
          <w:rFonts w:hint="eastAsia" w:ascii="宋体" w:hAnsi="宋体" w:eastAsia="宋体" w:cs="宋体"/>
          <w:color w:val="auto"/>
          <w:sz w:val="24"/>
          <w:highlight w:val="none"/>
          <w:u w:val="single"/>
        </w:rPr>
      </w:pPr>
      <w:r>
        <w:rPr>
          <w:rFonts w:hint="eastAsia" w:ascii="宋体" w:hAnsi="宋体" w:eastAsia="宋体" w:cs="宋体"/>
          <w:color w:val="auto"/>
          <w:szCs w:val="21"/>
          <w:highlight w:val="none"/>
        </w:rPr>
        <w:t>所竞分标（如有则填写，无分标时填写“无”或者留空）：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 w:val="24"/>
          <w:highlight w:val="none"/>
        </w:rPr>
        <w:t xml:space="preserve">            </w:t>
      </w:r>
    </w:p>
    <w:p w14:paraId="3D3A21C7">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4"/>
          <w:highlight w:val="none"/>
        </w:rPr>
        <w:t xml:space="preserve">       </w:t>
      </w:r>
    </w:p>
    <w:tbl>
      <w:tblPr>
        <w:tblStyle w:val="29"/>
        <w:tblW w:w="0" w:type="auto"/>
        <w:jc w:val="center"/>
        <w:tblLayout w:type="fixed"/>
        <w:tblCellMar>
          <w:top w:w="0" w:type="dxa"/>
          <w:left w:w="0" w:type="dxa"/>
          <w:bottom w:w="0" w:type="dxa"/>
          <w:right w:w="0" w:type="dxa"/>
        </w:tblCellMar>
      </w:tblPr>
      <w:tblGrid>
        <w:gridCol w:w="1135"/>
        <w:gridCol w:w="4450"/>
        <w:gridCol w:w="3761"/>
      </w:tblGrid>
      <w:tr w14:paraId="7AE13F2F">
        <w:tblPrEx>
          <w:tblCellMar>
            <w:top w:w="0" w:type="dxa"/>
            <w:left w:w="0" w:type="dxa"/>
            <w:bottom w:w="0" w:type="dxa"/>
            <w:right w:w="0" w:type="dxa"/>
          </w:tblCellMar>
        </w:tblPrEx>
        <w:trPr>
          <w:trHeight w:val="1122"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64C61144">
            <w:pPr>
              <w:autoSpaceDE w:val="0"/>
              <w:spacing w:line="360" w:lineRule="auto"/>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16EF597D">
            <w:pPr>
              <w:autoSpaceDE w:val="0"/>
              <w:spacing w:line="360" w:lineRule="auto"/>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总报价（一）＋（二）＋(三)+…</w:t>
            </w:r>
          </w:p>
        </w:tc>
        <w:tc>
          <w:tcPr>
            <w:tcW w:w="3761" w:type="dxa"/>
            <w:tcBorders>
              <w:top w:val="single" w:color="000000" w:sz="4" w:space="0"/>
              <w:left w:val="nil"/>
              <w:bottom w:val="single" w:color="000000" w:sz="4" w:space="0"/>
              <w:right w:val="single" w:color="000000" w:sz="4" w:space="0"/>
            </w:tcBorders>
            <w:noWrap w:val="0"/>
            <w:vAlign w:val="center"/>
          </w:tcPr>
          <w:p w14:paraId="4AED741A">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00C2FA81">
        <w:tblPrEx>
          <w:tblCellMar>
            <w:top w:w="0" w:type="dxa"/>
            <w:left w:w="0" w:type="dxa"/>
            <w:bottom w:w="0" w:type="dxa"/>
            <w:right w:w="0" w:type="dxa"/>
          </w:tblCellMar>
        </w:tblPrEx>
        <w:trPr>
          <w:trHeight w:val="701"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11CA9247">
            <w:pPr>
              <w:autoSpaceDE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（一）</w:t>
            </w:r>
          </w:p>
        </w:tc>
        <w:tc>
          <w:tcPr>
            <w:tcW w:w="4450" w:type="dxa"/>
            <w:tcBorders>
              <w:top w:val="single" w:color="000000" w:sz="4" w:space="0"/>
              <w:left w:val="nil"/>
              <w:bottom w:val="single" w:color="000000" w:sz="4" w:space="0"/>
              <w:right w:val="single" w:color="000000" w:sz="4" w:space="0"/>
            </w:tcBorders>
            <w:noWrap w:val="0"/>
            <w:vAlign w:val="center"/>
          </w:tcPr>
          <w:p w14:paraId="146F5CF9">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44867FCA">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2A95A3C6">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6B6F7CE9">
            <w:pPr>
              <w:autoSpaceDE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（二）</w:t>
            </w:r>
          </w:p>
        </w:tc>
        <w:tc>
          <w:tcPr>
            <w:tcW w:w="4450" w:type="dxa"/>
            <w:tcBorders>
              <w:top w:val="single" w:color="000000" w:sz="4" w:space="0"/>
              <w:left w:val="nil"/>
              <w:bottom w:val="single" w:color="000000" w:sz="4" w:space="0"/>
              <w:right w:val="single" w:color="000000" w:sz="4" w:space="0"/>
            </w:tcBorders>
            <w:noWrap w:val="0"/>
            <w:vAlign w:val="center"/>
          </w:tcPr>
          <w:p w14:paraId="168D92EB">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40F57A9C">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2E2961C5">
        <w:tblPrEx>
          <w:tblCellMar>
            <w:top w:w="0" w:type="dxa"/>
            <w:left w:w="0" w:type="dxa"/>
            <w:bottom w:w="0" w:type="dxa"/>
            <w:right w:w="0" w:type="dxa"/>
          </w:tblCellMar>
        </w:tblPrEx>
        <w:trPr>
          <w:trHeight w:val="625"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0EA3D6E7">
            <w:pPr>
              <w:autoSpaceDE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(三)</w:t>
            </w:r>
          </w:p>
        </w:tc>
        <w:tc>
          <w:tcPr>
            <w:tcW w:w="4450" w:type="dxa"/>
            <w:tcBorders>
              <w:top w:val="single" w:color="000000" w:sz="4" w:space="0"/>
              <w:left w:val="nil"/>
              <w:bottom w:val="single" w:color="000000" w:sz="4" w:space="0"/>
              <w:right w:val="single" w:color="000000" w:sz="4" w:space="0"/>
            </w:tcBorders>
            <w:noWrap w:val="0"/>
            <w:vAlign w:val="center"/>
          </w:tcPr>
          <w:p w14:paraId="248A75B4">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3ECF37B5">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70F83C9F">
        <w:tblPrEx>
          <w:tblCellMar>
            <w:top w:w="0" w:type="dxa"/>
            <w:left w:w="0" w:type="dxa"/>
            <w:bottom w:w="0" w:type="dxa"/>
            <w:right w:w="0" w:type="dxa"/>
          </w:tblCellMar>
        </w:tblPrEx>
        <w:trPr>
          <w:trHeight w:val="604" w:hRule="atLeast"/>
          <w:jc w:val="center"/>
        </w:trPr>
        <w:tc>
          <w:tcPr>
            <w:tcW w:w="1135" w:type="dxa"/>
            <w:tcBorders>
              <w:top w:val="single" w:color="000000" w:sz="4" w:space="0"/>
              <w:left w:val="single" w:color="000000" w:sz="4" w:space="0"/>
              <w:bottom w:val="single" w:color="000000" w:sz="4" w:space="0"/>
              <w:right w:val="single" w:color="000000" w:sz="4" w:space="0"/>
            </w:tcBorders>
            <w:noWrap w:val="0"/>
            <w:vAlign w:val="center"/>
          </w:tcPr>
          <w:p w14:paraId="7BEE27ED">
            <w:pPr>
              <w:autoSpaceDE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4450" w:type="dxa"/>
            <w:tcBorders>
              <w:top w:val="single" w:color="000000" w:sz="4" w:space="0"/>
              <w:left w:val="nil"/>
              <w:bottom w:val="single" w:color="000000" w:sz="4" w:space="0"/>
              <w:right w:val="single" w:color="000000" w:sz="4" w:space="0"/>
            </w:tcBorders>
            <w:noWrap w:val="0"/>
            <w:vAlign w:val="center"/>
          </w:tcPr>
          <w:p w14:paraId="15EBF221">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0BD4C1BB">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29855D91">
        <w:tblPrEx>
          <w:tblCellMar>
            <w:top w:w="0" w:type="dxa"/>
            <w:left w:w="0" w:type="dxa"/>
            <w:bottom w:w="0" w:type="dxa"/>
            <w:right w:w="0" w:type="dxa"/>
          </w:tblCellMar>
        </w:tblPrEx>
        <w:trPr>
          <w:trHeight w:val="821" w:hRule="atLeast"/>
          <w:jc w:val="center"/>
        </w:trPr>
        <w:tc>
          <w:tcPr>
            <w:tcW w:w="1135" w:type="dxa"/>
            <w:vMerge w:val="restart"/>
            <w:tcBorders>
              <w:top w:val="nil"/>
              <w:left w:val="single" w:color="000000" w:sz="4" w:space="0"/>
              <w:bottom w:val="single" w:color="000000" w:sz="4" w:space="0"/>
              <w:right w:val="single" w:color="000000" w:sz="4" w:space="0"/>
            </w:tcBorders>
            <w:noWrap w:val="0"/>
            <w:vAlign w:val="center"/>
          </w:tcPr>
          <w:p w14:paraId="3F5CB9F1">
            <w:pPr>
              <w:autoSpaceDE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其中：</w:t>
            </w:r>
          </w:p>
        </w:tc>
        <w:tc>
          <w:tcPr>
            <w:tcW w:w="4450" w:type="dxa"/>
            <w:tcBorders>
              <w:top w:val="single" w:color="000000" w:sz="4" w:space="0"/>
              <w:left w:val="nil"/>
              <w:bottom w:val="single" w:color="000000" w:sz="4" w:space="0"/>
              <w:right w:val="single" w:color="000000" w:sz="4" w:space="0"/>
            </w:tcBorders>
            <w:noWrap w:val="0"/>
            <w:vAlign w:val="center"/>
          </w:tcPr>
          <w:p w14:paraId="335B376C">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635D7098">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7D1A394">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14E75B54">
            <w:pPr>
              <w:widowControl/>
              <w:autoSpaceDE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147362BB">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6E304E1B">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2BDDAF85">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30432F68">
            <w:pPr>
              <w:widowControl/>
              <w:autoSpaceDE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64B42450">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53686681">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r w14:paraId="38419342">
        <w:tblPrEx>
          <w:tblCellMar>
            <w:top w:w="0" w:type="dxa"/>
            <w:left w:w="0" w:type="dxa"/>
            <w:bottom w:w="0" w:type="dxa"/>
            <w:right w:w="0" w:type="dxa"/>
          </w:tblCellMar>
        </w:tblPrEx>
        <w:trPr>
          <w:trHeight w:val="290" w:hRule="atLeast"/>
          <w:jc w:val="center"/>
        </w:trPr>
        <w:tc>
          <w:tcPr>
            <w:tcW w:w="1135" w:type="dxa"/>
            <w:vMerge w:val="continue"/>
            <w:tcBorders>
              <w:top w:val="nil"/>
              <w:left w:val="single" w:color="000000" w:sz="4" w:space="0"/>
              <w:bottom w:val="single" w:color="000000" w:sz="4" w:space="0"/>
              <w:right w:val="single" w:color="000000" w:sz="4" w:space="0"/>
            </w:tcBorders>
            <w:noWrap w:val="0"/>
            <w:vAlign w:val="center"/>
          </w:tcPr>
          <w:p w14:paraId="3DD42F56">
            <w:pPr>
              <w:widowControl/>
              <w:autoSpaceDE w:val="0"/>
              <w:spacing w:line="360" w:lineRule="auto"/>
              <w:jc w:val="left"/>
              <w:rPr>
                <w:rFonts w:hint="eastAsia" w:ascii="宋体" w:hAnsi="宋体" w:eastAsia="宋体" w:cs="宋体"/>
                <w:color w:val="auto"/>
                <w:sz w:val="24"/>
                <w:highlight w:val="none"/>
              </w:rPr>
            </w:pPr>
          </w:p>
        </w:tc>
        <w:tc>
          <w:tcPr>
            <w:tcW w:w="4450" w:type="dxa"/>
            <w:tcBorders>
              <w:top w:val="single" w:color="000000" w:sz="4" w:space="0"/>
              <w:left w:val="nil"/>
              <w:bottom w:val="single" w:color="000000" w:sz="4" w:space="0"/>
              <w:right w:val="single" w:color="000000" w:sz="4" w:space="0"/>
            </w:tcBorders>
            <w:noWrap w:val="0"/>
            <w:vAlign w:val="center"/>
          </w:tcPr>
          <w:p w14:paraId="730FDDD5">
            <w:pPr>
              <w:autoSpaceDE w:val="0"/>
              <w:spacing w:line="360" w:lineRule="auto"/>
              <w:rPr>
                <w:rFonts w:hint="eastAsia" w:ascii="宋体" w:hAnsi="宋体" w:eastAsia="宋体" w:cs="宋体"/>
                <w:color w:val="auto"/>
                <w:sz w:val="24"/>
                <w:highlight w:val="none"/>
              </w:rPr>
            </w:pPr>
          </w:p>
        </w:tc>
        <w:tc>
          <w:tcPr>
            <w:tcW w:w="3761" w:type="dxa"/>
            <w:tcBorders>
              <w:top w:val="single" w:color="000000" w:sz="4" w:space="0"/>
              <w:left w:val="nil"/>
              <w:bottom w:val="single" w:color="000000" w:sz="4" w:space="0"/>
              <w:right w:val="single" w:color="000000" w:sz="4" w:space="0"/>
            </w:tcBorders>
            <w:noWrap w:val="0"/>
            <w:vAlign w:val="center"/>
          </w:tcPr>
          <w:p w14:paraId="212EA672">
            <w:pPr>
              <w:autoSpaceDE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r>
    </w:tbl>
    <w:p w14:paraId="62E1A75E">
      <w:pPr>
        <w:spacing w:line="360" w:lineRule="auto"/>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14:paraId="66BB636C">
      <w:pPr>
        <w:keepNext w:val="0"/>
        <w:keepLines w:val="0"/>
        <w:pageBreakBefore w:val="0"/>
        <w:kinsoku/>
        <w:wordWrap/>
        <w:overflowPunct/>
        <w:topLinePunct w:val="0"/>
        <w:bidi w:val="0"/>
        <w:adjustRightInd/>
        <w:snapToGrid w:val="0"/>
        <w:spacing w:before="50" w:after="50" w:line="360" w:lineRule="auto"/>
        <w:ind w:firstLine="420" w:firstLineChars="200"/>
        <w:jc w:val="left"/>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注： 1、供应商需按本表格式填写，不得自行更改，也不得留空（</w:t>
      </w:r>
      <w:r>
        <w:rPr>
          <w:rFonts w:hint="eastAsia" w:ascii="宋体" w:hAnsi="宋体" w:eastAsia="宋体" w:cs="宋体"/>
          <w:color w:val="auto"/>
          <w:szCs w:val="21"/>
          <w:highlight w:val="none"/>
        </w:rPr>
        <w:t>备注除外</w:t>
      </w:r>
      <w:r>
        <w:rPr>
          <w:rFonts w:hint="eastAsia" w:ascii="宋体" w:hAnsi="宋体" w:eastAsia="宋体" w:cs="宋体"/>
          <w:color w:val="auto"/>
          <w:kern w:val="0"/>
          <w:szCs w:val="21"/>
          <w:highlight w:val="none"/>
          <w:lang w:val="zh-CN"/>
        </w:rPr>
        <w:t>）, 如有多分标，按分标分别提供响应报价表，</w:t>
      </w:r>
      <w:r>
        <w:rPr>
          <w:rFonts w:hint="eastAsia" w:ascii="宋体" w:hAnsi="宋体" w:eastAsia="宋体" w:cs="宋体"/>
          <w:b/>
          <w:color w:val="auto"/>
          <w:kern w:val="0"/>
          <w:szCs w:val="21"/>
          <w:highlight w:val="none"/>
          <w:lang w:val="zh-CN"/>
        </w:rPr>
        <w:t>否则其响应按无效响应处理。</w:t>
      </w:r>
    </w:p>
    <w:p w14:paraId="717F4894">
      <w:pPr>
        <w:keepNext w:val="0"/>
        <w:keepLines w:val="0"/>
        <w:pageBreakBefore w:val="0"/>
        <w:kinsoku/>
        <w:wordWrap/>
        <w:overflowPunct/>
        <w:topLinePunct w:val="0"/>
        <w:bidi w:val="0"/>
        <w:adjustRightInd/>
        <w:snapToGrid w:val="0"/>
        <w:spacing w:before="50" w:after="50" w:line="360" w:lineRule="auto"/>
        <w:ind w:firstLine="420" w:firstLineChars="200"/>
        <w:jc w:val="left"/>
        <w:textAlignment w:val="auto"/>
        <w:rPr>
          <w:rFonts w:hint="eastAsia" w:ascii="宋体" w:hAnsi="宋体" w:eastAsia="宋体" w:cs="宋体"/>
          <w:b/>
          <w:color w:val="auto"/>
          <w:kern w:val="0"/>
          <w:szCs w:val="21"/>
          <w:highlight w:val="none"/>
          <w:lang w:val="zh-CN"/>
        </w:rPr>
      </w:pPr>
      <w:r>
        <w:rPr>
          <w:rFonts w:hint="eastAsia" w:ascii="宋体" w:hAnsi="宋体" w:eastAsia="宋体" w:cs="宋体"/>
          <w:color w:val="auto"/>
          <w:kern w:val="0"/>
          <w:szCs w:val="21"/>
          <w:highlight w:val="none"/>
          <w:lang w:val="zh-CN"/>
        </w:rPr>
        <w:t>2、如为联合体响应的，“供应商名称”处必须列明联合体各方名称，并标注联合体牵头人名称，且盖章处须加盖联合体各方公章，</w:t>
      </w:r>
      <w:r>
        <w:rPr>
          <w:rFonts w:hint="eastAsia" w:ascii="宋体" w:hAnsi="宋体" w:eastAsia="宋体" w:cs="宋体"/>
          <w:b/>
          <w:color w:val="auto"/>
          <w:kern w:val="0"/>
          <w:szCs w:val="21"/>
          <w:highlight w:val="none"/>
          <w:lang w:val="zh-CN"/>
        </w:rPr>
        <w:t>否则其响应按无效响应处理。</w:t>
      </w:r>
    </w:p>
    <w:p w14:paraId="1F6FF10E">
      <w:pPr>
        <w:keepNext w:val="0"/>
        <w:keepLines w:val="0"/>
        <w:pageBreakBefore w:val="0"/>
        <w:kinsoku/>
        <w:wordWrap/>
        <w:overflowPunct/>
        <w:topLinePunct w:val="0"/>
        <w:bidi w:val="0"/>
        <w:adjustRightInd/>
        <w:snapToGrid w:val="0"/>
        <w:spacing w:line="360" w:lineRule="auto"/>
        <w:ind w:firstLine="420" w:firstLineChars="200"/>
        <w:jc w:val="left"/>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zh-CN"/>
        </w:rPr>
        <w:t>、特别提示：采购代理机构将对项目名称和项目编号，成交供应商名称、成交金额，</w:t>
      </w:r>
      <w:r>
        <w:rPr>
          <w:rFonts w:hint="eastAsia" w:ascii="宋体" w:hAnsi="宋体" w:eastAsia="宋体" w:cs="宋体"/>
          <w:color w:val="auto"/>
          <w:highlight w:val="none"/>
        </w:rPr>
        <w:t>工期</w:t>
      </w:r>
      <w:r>
        <w:rPr>
          <w:rFonts w:hint="eastAsia" w:ascii="宋体" w:hAnsi="宋体" w:eastAsia="宋体" w:cs="宋体"/>
          <w:color w:val="auto"/>
          <w:kern w:val="0"/>
          <w:szCs w:val="21"/>
          <w:highlight w:val="none"/>
          <w:lang w:val="zh-CN"/>
        </w:rPr>
        <w:t>、</w:t>
      </w:r>
      <w:r>
        <w:rPr>
          <w:rFonts w:hint="eastAsia" w:ascii="宋体" w:hAnsi="宋体" w:eastAsia="宋体" w:cs="宋体"/>
          <w:color w:val="auto"/>
          <w:highlight w:val="none"/>
        </w:rPr>
        <w:t>工程内容</w:t>
      </w:r>
      <w:r>
        <w:rPr>
          <w:rFonts w:hint="eastAsia" w:ascii="宋体" w:hAnsi="宋体" w:eastAsia="宋体" w:cs="宋体"/>
          <w:color w:val="auto"/>
          <w:kern w:val="0"/>
          <w:szCs w:val="21"/>
          <w:highlight w:val="none"/>
          <w:lang w:val="zh-CN"/>
        </w:rPr>
        <w:t>等予以公示。</w:t>
      </w:r>
    </w:p>
    <w:p w14:paraId="3C8BF03F">
      <w:pPr>
        <w:keepNext w:val="0"/>
        <w:keepLines w:val="0"/>
        <w:pageBreakBefore w:val="0"/>
        <w:kinsoku/>
        <w:wordWrap/>
        <w:overflowPunct/>
        <w:topLinePunct w:val="0"/>
        <w:bidi w:val="0"/>
        <w:adjustRightInd/>
        <w:snapToGrid w:val="0"/>
        <w:spacing w:line="360" w:lineRule="auto"/>
        <w:ind w:firstLine="420" w:firstLineChars="200"/>
        <w:jc w:val="left"/>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zh-CN"/>
        </w:rPr>
        <w:t>、符合采购文件中列明的可享受中小企业扶持政策的供应商，请填写中小企业声明函。</w:t>
      </w:r>
    </w:p>
    <w:p w14:paraId="3113D7C5">
      <w:pPr>
        <w:keepNext w:val="0"/>
        <w:keepLines w:val="0"/>
        <w:pageBreakBefore w:val="0"/>
        <w:kinsoku/>
        <w:wordWrap/>
        <w:overflowPunct/>
        <w:topLinePunct w:val="0"/>
        <w:bidi w:val="0"/>
        <w:adjustRightInd/>
        <w:snapToGrid w:val="0"/>
        <w:spacing w:line="360" w:lineRule="auto"/>
        <w:ind w:firstLine="420" w:firstLineChars="200"/>
        <w:jc w:val="left"/>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5、供应商提供的中小企业声明函内容不实的，属于提供虚假材料谋取中标、成交，依照《中华人民共和国政府采购法》等国家有关规定追究相应责任。</w:t>
      </w:r>
    </w:p>
    <w:p w14:paraId="4DC3FC5F">
      <w:pPr>
        <w:keepNext w:val="0"/>
        <w:keepLines w:val="0"/>
        <w:pageBreakBefore w:val="0"/>
        <w:kinsoku/>
        <w:wordWrap/>
        <w:overflowPunct/>
        <w:topLinePunct w:val="0"/>
        <w:bidi w:val="0"/>
        <w:adjustRightInd/>
        <w:snapToGrid w:val="0"/>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lang w:val="zh-CN"/>
        </w:rPr>
        <w:t>总报价含建安劳保费</w:t>
      </w:r>
    </w:p>
    <w:p w14:paraId="4C0496CA">
      <w:pPr>
        <w:keepNext w:val="0"/>
        <w:keepLines w:val="0"/>
        <w:pageBreakBefore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盖电子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29EAA9BA">
      <w:pPr>
        <w:keepNext w:val="0"/>
        <w:keepLines w:val="0"/>
        <w:pageBreakBefore w:val="0"/>
        <w:kinsoku/>
        <w:wordWrap/>
        <w:overflowPunct/>
        <w:topLinePunct w:val="0"/>
        <w:bidi w:val="0"/>
        <w:adjustRightInd/>
        <w:snapToGrid w:val="0"/>
        <w:spacing w:line="360" w:lineRule="auto"/>
        <w:ind w:firstLine="420" w:firstLineChars="200"/>
        <w:textAlignment w:val="auto"/>
        <w:rPr>
          <w:rFonts w:hint="eastAsia" w:ascii="宋体" w:hAnsi="宋体" w:eastAsia="宋体" w:cs="宋体"/>
          <w:b/>
          <w:color w:val="auto"/>
          <w:sz w:val="28"/>
          <w:szCs w:val="28"/>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D9F0E9C">
      <w:pPr>
        <w:pageBreakBefore w:val="0"/>
        <w:numPr>
          <w:ilvl w:val="0"/>
          <w:numId w:val="0"/>
        </w:numPr>
        <w:kinsoku/>
        <w:wordWrap/>
        <w:overflowPunct/>
        <w:topLinePunct w:val="0"/>
        <w:bidi w:val="0"/>
        <w:adjustRightInd/>
        <w:spacing w:line="360" w:lineRule="auto"/>
        <w:jc w:val="center"/>
        <w:textAlignment w:val="auto"/>
        <w:rPr>
          <w:rFonts w:hint="eastAsia" w:ascii="宋体" w:hAnsi="宋体" w:eastAsia="宋体" w:cs="宋体"/>
          <w:color w:val="auto"/>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rPr>
        <w:t>已标价工程量清单</w:t>
      </w:r>
    </w:p>
    <w:p w14:paraId="611E1881">
      <w:pPr>
        <w:spacing w:line="360" w:lineRule="auto"/>
        <w:ind w:firstLine="420" w:firstLineChars="200"/>
        <w:contextualSpacing/>
        <w:jc w:val="left"/>
        <w:rPr>
          <w:rFonts w:hint="eastAsia" w:ascii="宋体" w:hAnsi="宋体" w:eastAsia="宋体" w:cs="宋体"/>
          <w:color w:val="auto"/>
          <w:highlight w:val="none"/>
        </w:rPr>
      </w:pPr>
      <w:r>
        <w:rPr>
          <w:rFonts w:hint="eastAsia" w:ascii="宋体" w:hAnsi="宋体" w:eastAsia="宋体" w:cs="宋体"/>
          <w:color w:val="auto"/>
          <w:highlight w:val="none"/>
        </w:rPr>
        <w:t>供应商应按照第</w:t>
      </w:r>
      <w:r>
        <w:rPr>
          <w:rFonts w:hint="eastAsia" w:ascii="宋体" w:hAnsi="宋体" w:eastAsia="宋体" w:cs="宋体"/>
          <w:color w:val="auto"/>
          <w:highlight w:val="none"/>
          <w:lang w:eastAsia="zh-CN"/>
        </w:rPr>
        <w:t>七</w:t>
      </w:r>
      <w:r>
        <w:rPr>
          <w:rFonts w:hint="eastAsia" w:ascii="宋体" w:hAnsi="宋体" w:eastAsia="宋体" w:cs="宋体"/>
          <w:color w:val="auto"/>
          <w:highlight w:val="none"/>
        </w:rPr>
        <w:t>章“工程量清单、图纸”的要求逐项填报工程量清单，包括工程量清单说明、投标报价说明、计日工说明、其他说明及工程量清单各项表格。</w:t>
      </w:r>
    </w:p>
    <w:p w14:paraId="095E0EC3">
      <w:pPr>
        <w:spacing w:line="360" w:lineRule="auto"/>
        <w:ind w:firstLine="420" w:firstLineChars="200"/>
        <w:contextualSpacing/>
        <w:jc w:val="left"/>
        <w:rPr>
          <w:rFonts w:hint="eastAsia" w:ascii="宋体" w:hAnsi="宋体" w:eastAsia="宋体" w:cs="宋体"/>
          <w:color w:val="auto"/>
          <w:highlight w:val="none"/>
        </w:rPr>
      </w:pPr>
    </w:p>
    <w:p w14:paraId="5752A297">
      <w:pPr>
        <w:spacing w:line="360" w:lineRule="auto"/>
        <w:ind w:firstLine="420" w:firstLineChars="200"/>
        <w:contextualSpacing/>
        <w:jc w:val="left"/>
        <w:rPr>
          <w:rFonts w:hint="eastAsia" w:ascii="宋体" w:hAnsi="宋体" w:eastAsia="宋体" w:cs="宋体"/>
          <w:color w:val="auto"/>
          <w:highlight w:val="none"/>
        </w:rPr>
      </w:pPr>
    </w:p>
    <w:p w14:paraId="7C56558E">
      <w:pPr>
        <w:spacing w:line="40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color w:val="auto"/>
          <w:sz w:val="21"/>
          <w:szCs w:val="21"/>
          <w:highlight w:val="none"/>
        </w:rPr>
        <w:t>当本清单由多页构成时，需逐页加盖磋商供应商电子公章（CA签章）（属自然人的须逐页签字或个人CA签章）。</w:t>
      </w:r>
    </w:p>
    <w:p w14:paraId="55F8B349">
      <w:pPr>
        <w:spacing w:line="360" w:lineRule="auto"/>
        <w:ind w:firstLine="420" w:firstLineChars="200"/>
        <w:contextualSpacing/>
        <w:jc w:val="left"/>
        <w:rPr>
          <w:rFonts w:hint="eastAsia" w:ascii="宋体" w:hAnsi="宋体" w:eastAsia="宋体" w:cs="宋体"/>
          <w:color w:val="auto"/>
          <w:highlight w:val="none"/>
        </w:rPr>
      </w:pPr>
    </w:p>
    <w:p w14:paraId="15947EB3">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45C51FDB">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5F0EBE50">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5D240DCC">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64FC0974">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337D87E9">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31D70D1A">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1EFE10F3">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3081C5F4">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1CB4F294">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29A61647">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6DD04EB7">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149C0C6D">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636545D2">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3C09473F">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573A09AA">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10C6634B">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1730250D">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07FA23B2">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5AE44658">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0F9F6E07">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0425B81C">
      <w:pPr>
        <w:pageBreakBefore w:val="0"/>
        <w:kinsoku/>
        <w:wordWrap/>
        <w:overflowPunct/>
        <w:topLinePunct w:val="0"/>
        <w:bidi w:val="0"/>
        <w:adjustRightInd/>
        <w:spacing w:line="360" w:lineRule="auto"/>
        <w:textAlignment w:val="auto"/>
        <w:rPr>
          <w:rFonts w:hint="eastAsia" w:ascii="宋体" w:hAnsi="宋体" w:eastAsia="宋体" w:cs="宋体"/>
          <w:b/>
          <w:color w:val="auto"/>
          <w:sz w:val="28"/>
          <w:szCs w:val="28"/>
          <w:highlight w:val="none"/>
          <w:lang w:val="zh-CN"/>
        </w:rPr>
      </w:pPr>
    </w:p>
    <w:p w14:paraId="1F072BE1">
      <w:pPr>
        <w:pageBreakBefore w:val="0"/>
        <w:kinsoku/>
        <w:wordWrap/>
        <w:topLinePunct w:val="0"/>
        <w:bidi w:val="0"/>
        <w:spacing w:line="360" w:lineRule="auto"/>
        <w:jc w:val="both"/>
        <w:textAlignment w:val="auto"/>
        <w:outlineLvl w:val="9"/>
        <w:rPr>
          <w:rFonts w:hint="eastAsia" w:ascii="宋体" w:hAnsi="宋体" w:eastAsia="宋体" w:cs="宋体"/>
          <w:b/>
          <w:bCs w:val="0"/>
          <w:color w:val="auto"/>
          <w:highlight w:val="none"/>
        </w:rPr>
      </w:pPr>
      <w:bookmarkStart w:id="54" w:name="_Toc13936"/>
      <w:bookmarkStart w:id="55" w:name="_Toc18482"/>
    </w:p>
    <w:p w14:paraId="5F48A36D">
      <w:pPr>
        <w:pStyle w:val="3"/>
        <w:pageBreakBefore w:val="0"/>
        <w:kinsoku/>
        <w:wordWrap/>
        <w:topLinePunct w:val="0"/>
        <w:bidi w:val="0"/>
        <w:spacing w:line="360" w:lineRule="auto"/>
        <w:jc w:val="center"/>
        <w:textAlignment w:val="auto"/>
        <w:rPr>
          <w:rFonts w:hint="eastAsia" w:ascii="宋体" w:hAnsi="宋体" w:eastAsia="宋体" w:cs="宋体"/>
          <w:b/>
          <w:bCs w:val="0"/>
          <w:color w:val="auto"/>
          <w:highlight w:val="none"/>
        </w:rPr>
      </w:pPr>
      <w:r>
        <w:rPr>
          <w:rFonts w:hint="eastAsia" w:ascii="宋体" w:hAnsi="宋体" w:eastAsia="宋体" w:cs="宋体"/>
          <w:b/>
          <w:bCs w:val="0"/>
          <w:color w:val="auto"/>
          <w:highlight w:val="none"/>
        </w:rPr>
        <w:t>第</w:t>
      </w:r>
      <w:r>
        <w:rPr>
          <w:rFonts w:hint="eastAsia" w:ascii="宋体" w:hAnsi="宋体" w:eastAsia="宋体" w:cs="宋体"/>
          <w:b/>
          <w:bCs w:val="0"/>
          <w:color w:val="auto"/>
          <w:highlight w:val="none"/>
          <w:lang w:eastAsia="zh-CN"/>
        </w:rPr>
        <w:t>三</w:t>
      </w:r>
      <w:r>
        <w:rPr>
          <w:rFonts w:hint="eastAsia" w:ascii="宋体" w:hAnsi="宋体" w:eastAsia="宋体" w:cs="宋体"/>
          <w:b/>
          <w:bCs w:val="0"/>
          <w:color w:val="auto"/>
          <w:highlight w:val="none"/>
        </w:rPr>
        <w:t xml:space="preserve">节 </w:t>
      </w:r>
      <w:r>
        <w:rPr>
          <w:rFonts w:hint="eastAsia" w:ascii="宋体" w:hAnsi="宋体" w:eastAsia="宋体" w:cs="宋体"/>
          <w:b/>
          <w:bCs w:val="0"/>
          <w:color w:val="auto"/>
          <w:highlight w:val="none"/>
          <w:lang w:eastAsia="zh-CN"/>
        </w:rPr>
        <w:t>商务技术</w:t>
      </w:r>
      <w:r>
        <w:rPr>
          <w:rFonts w:hint="eastAsia" w:ascii="宋体" w:hAnsi="宋体" w:eastAsia="宋体" w:cs="宋体"/>
          <w:b/>
          <w:bCs w:val="0"/>
          <w:color w:val="auto"/>
          <w:highlight w:val="none"/>
        </w:rPr>
        <w:t>文件格式</w:t>
      </w:r>
    </w:p>
    <w:p w14:paraId="14AFE07D">
      <w:pPr>
        <w:pageBreakBefore w:val="0"/>
        <w:kinsoku/>
        <w:wordWrap/>
        <w:topLinePunct w:val="0"/>
        <w:bidi w:val="0"/>
        <w:snapToGrid w:val="0"/>
        <w:spacing w:before="120" w:beforeLines="50" w:after="50" w:line="360" w:lineRule="auto"/>
        <w:jc w:val="left"/>
        <w:textAlignment w:val="auto"/>
        <w:rPr>
          <w:rFonts w:hint="eastAsia" w:ascii="宋体" w:hAnsi="宋体" w:eastAsia="宋体" w:cs="宋体"/>
          <w:color w:val="auto"/>
          <w:sz w:val="24"/>
          <w:highlight w:val="none"/>
        </w:rPr>
      </w:pPr>
      <w:r>
        <w:rPr>
          <w:rFonts w:hint="eastAsia" w:ascii="宋体" w:hAnsi="宋体" w:eastAsia="宋体" w:cs="宋体"/>
          <w:b/>
          <w:bCs/>
          <w:color w:val="auto"/>
          <w:sz w:val="28"/>
          <w:szCs w:val="28"/>
          <w:highlight w:val="none"/>
        </w:rPr>
        <w:t>商务技术文件封面的格式：</w:t>
      </w:r>
      <w:r>
        <w:rPr>
          <w:rFonts w:hint="eastAsia" w:ascii="宋体" w:hAnsi="宋体" w:eastAsia="宋体" w:cs="宋体"/>
          <w:color w:val="auto"/>
          <w:sz w:val="24"/>
          <w:highlight w:val="none"/>
        </w:rPr>
        <w:t xml:space="preserve">                                      </w:t>
      </w:r>
    </w:p>
    <w:p w14:paraId="7D94ACEC">
      <w:pPr>
        <w:pageBreakBefore w:val="0"/>
        <w:kinsoku/>
        <w:wordWrap/>
        <w:topLinePunct w:val="0"/>
        <w:bidi w:val="0"/>
        <w:snapToGrid w:val="0"/>
        <w:spacing w:before="120" w:beforeLines="50" w:after="50" w:line="360" w:lineRule="auto"/>
        <w:ind w:firstLine="6930" w:firstLineChars="3300"/>
        <w:textAlignment w:val="auto"/>
        <w:rPr>
          <w:rFonts w:hint="eastAsia" w:ascii="宋体" w:hAnsi="宋体" w:eastAsia="宋体" w:cs="宋体"/>
          <w:bCs/>
          <w:color w:val="auto"/>
          <w:sz w:val="32"/>
          <w:szCs w:val="20"/>
          <w:highlight w:val="none"/>
        </w:rPr>
      </w:pPr>
      <w:r>
        <w:rPr>
          <w:rFonts w:hint="eastAsia" w:ascii="宋体" w:hAnsi="宋体" w:eastAsia="宋体" w:cs="宋体"/>
          <w:bCs/>
          <w:color w:val="auto"/>
          <w:highlight w:val="none"/>
        </w:rPr>
        <w:t>全流程电子文件</w:t>
      </w:r>
    </w:p>
    <w:p w14:paraId="4A8C34F1">
      <w:pPr>
        <w:pageBreakBefore w:val="0"/>
        <w:kinsoku/>
        <w:wordWrap/>
        <w:topLinePunct w:val="0"/>
        <w:bidi w:val="0"/>
        <w:snapToGrid w:val="0"/>
        <w:spacing w:before="120" w:beforeLines="50" w:after="50" w:line="360" w:lineRule="auto"/>
        <w:textAlignment w:val="auto"/>
        <w:rPr>
          <w:rFonts w:hint="eastAsia" w:ascii="宋体" w:hAnsi="宋体" w:eastAsia="宋体" w:cs="宋体"/>
          <w:color w:val="auto"/>
          <w:sz w:val="24"/>
          <w:szCs w:val="20"/>
          <w:highlight w:val="none"/>
        </w:rPr>
      </w:pPr>
    </w:p>
    <w:p w14:paraId="4DA1AA7D">
      <w:pPr>
        <w:pageBreakBefore w:val="0"/>
        <w:kinsoku/>
        <w:wordWrap/>
        <w:topLinePunct w:val="0"/>
        <w:bidi w:val="0"/>
        <w:snapToGrid w:val="0"/>
        <w:spacing w:before="120" w:beforeLines="50" w:after="50" w:line="360" w:lineRule="auto"/>
        <w:textAlignment w:val="auto"/>
        <w:rPr>
          <w:rFonts w:hint="eastAsia" w:ascii="宋体" w:hAnsi="宋体" w:eastAsia="宋体" w:cs="宋体"/>
          <w:color w:val="auto"/>
          <w:sz w:val="24"/>
          <w:szCs w:val="20"/>
          <w:highlight w:val="none"/>
        </w:rPr>
      </w:pPr>
    </w:p>
    <w:p w14:paraId="608A05A9">
      <w:pPr>
        <w:pageBreakBefore w:val="0"/>
        <w:kinsoku/>
        <w:wordWrap/>
        <w:topLinePunct w:val="0"/>
        <w:bidi w:val="0"/>
        <w:snapToGrid w:val="0"/>
        <w:spacing w:before="120" w:beforeLines="50" w:after="50" w:line="360" w:lineRule="auto"/>
        <w:jc w:val="center"/>
        <w:textAlignment w:val="auto"/>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lang w:eastAsia="zh-CN"/>
        </w:rPr>
        <w:t>商</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lang w:eastAsia="zh-CN"/>
        </w:rPr>
        <w:t>务</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lang w:eastAsia="zh-CN"/>
        </w:rPr>
        <w:t>技</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lang w:eastAsia="zh-CN"/>
        </w:rPr>
        <w:t>术</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文</w:t>
      </w:r>
      <w:r>
        <w:rPr>
          <w:rFonts w:hint="eastAsia" w:ascii="宋体" w:hAnsi="宋体" w:eastAsia="宋体" w:cs="宋体"/>
          <w:b/>
          <w:color w:val="auto"/>
          <w:sz w:val="44"/>
          <w:szCs w:val="44"/>
          <w:highlight w:val="none"/>
          <w:lang w:val="en-US" w:eastAsia="zh-CN"/>
        </w:rPr>
        <w:t xml:space="preserve">  </w:t>
      </w:r>
      <w:r>
        <w:rPr>
          <w:rFonts w:hint="eastAsia" w:ascii="宋体" w:hAnsi="宋体" w:eastAsia="宋体" w:cs="宋体"/>
          <w:b/>
          <w:color w:val="auto"/>
          <w:sz w:val="44"/>
          <w:szCs w:val="44"/>
          <w:highlight w:val="none"/>
        </w:rPr>
        <w:t>件</w:t>
      </w:r>
    </w:p>
    <w:p w14:paraId="7A1723C1">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3CB616C4">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37A74C89">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3D13BD46">
      <w:pPr>
        <w:pageBreakBefore w:val="0"/>
        <w:kinsoku/>
        <w:wordWrap/>
        <w:topLinePunct w:val="0"/>
        <w:bidi w:val="0"/>
        <w:snapToGrid w:val="0"/>
        <w:spacing w:before="120" w:beforeLines="50" w:after="50" w:line="360" w:lineRule="auto"/>
        <w:textAlignment w:val="auto"/>
        <w:rPr>
          <w:rFonts w:hint="eastAsia" w:ascii="宋体" w:hAnsi="宋体" w:eastAsia="宋体" w:cs="宋体"/>
          <w:bCs/>
          <w:color w:val="auto"/>
          <w:sz w:val="24"/>
          <w:szCs w:val="20"/>
          <w:highlight w:val="none"/>
        </w:rPr>
      </w:pPr>
    </w:p>
    <w:p w14:paraId="5233C641">
      <w:pPr>
        <w:pageBreakBefore w:val="0"/>
        <w:kinsoku/>
        <w:wordWrap/>
        <w:topLinePunct w:val="0"/>
        <w:bidi w:val="0"/>
        <w:snapToGrid w:val="0"/>
        <w:spacing w:before="120" w:beforeLines="50" w:after="50" w:line="360" w:lineRule="auto"/>
        <w:ind w:firstLine="640" w:firstLineChars="200"/>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1D06053F">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p>
    <w:p w14:paraId="7E4CED9F">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3411AB57">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0F50C341">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210C7F89">
      <w:pPr>
        <w:pageBreakBefore w:val="0"/>
        <w:kinsoku/>
        <w:wordWrap/>
        <w:topLinePunct w:val="0"/>
        <w:bidi w:val="0"/>
        <w:snapToGrid w:val="0"/>
        <w:spacing w:before="120" w:beforeLines="50" w:after="50" w:line="360" w:lineRule="auto"/>
        <w:ind w:firstLine="720" w:firstLineChars="225"/>
        <w:textAlignment w:val="auto"/>
        <w:rPr>
          <w:rFonts w:hint="eastAsia" w:ascii="宋体" w:hAnsi="宋体" w:eastAsia="宋体" w:cs="宋体"/>
          <w:bCs/>
          <w:color w:val="auto"/>
          <w:sz w:val="32"/>
          <w:szCs w:val="32"/>
          <w:highlight w:val="none"/>
        </w:rPr>
      </w:pPr>
    </w:p>
    <w:p w14:paraId="14092009">
      <w:pPr>
        <w:pStyle w:val="7"/>
        <w:pageBreakBefore w:val="0"/>
        <w:kinsoku/>
        <w:wordWrap/>
        <w:topLinePunct w:val="0"/>
        <w:bidi w:val="0"/>
        <w:snapToGrid w:val="0"/>
        <w:spacing w:before="50" w:after="50" w:line="360" w:lineRule="auto"/>
        <w:ind w:firstLine="720" w:firstLineChars="225"/>
        <w:textAlignment w:val="auto"/>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795A2F5C">
      <w:pPr>
        <w:pStyle w:val="7"/>
        <w:pageBreakBefore w:val="0"/>
        <w:kinsoku/>
        <w:wordWrap/>
        <w:topLinePunct w:val="0"/>
        <w:bidi w:val="0"/>
        <w:snapToGrid w:val="0"/>
        <w:spacing w:before="50" w:after="50" w:line="360" w:lineRule="auto"/>
        <w:ind w:firstLine="720" w:firstLineChars="225"/>
        <w:textAlignment w:val="auto"/>
        <w:rPr>
          <w:rFonts w:hint="eastAsia" w:ascii="宋体" w:hAnsi="宋体" w:eastAsia="宋体" w:cs="宋体"/>
          <w:bCs/>
          <w:color w:val="auto"/>
          <w:sz w:val="32"/>
          <w:szCs w:val="32"/>
          <w:highlight w:val="none"/>
        </w:rPr>
      </w:pPr>
    </w:p>
    <w:p w14:paraId="24976A02">
      <w:pPr>
        <w:pStyle w:val="7"/>
        <w:pageBreakBefore w:val="0"/>
        <w:kinsoku/>
        <w:wordWrap/>
        <w:topLinePunct w:val="0"/>
        <w:bidi w:val="0"/>
        <w:snapToGrid w:val="0"/>
        <w:spacing w:before="50" w:after="50" w:line="360" w:lineRule="auto"/>
        <w:ind w:firstLine="1280" w:firstLineChars="400"/>
        <w:textAlignment w:val="auto"/>
        <w:rPr>
          <w:rFonts w:hint="eastAsia" w:ascii="宋体" w:hAnsi="宋体" w:eastAsia="宋体" w:cs="宋体"/>
          <w:bCs/>
          <w:color w:val="auto"/>
          <w:sz w:val="32"/>
          <w:szCs w:val="32"/>
          <w:highlight w:val="none"/>
        </w:rPr>
      </w:pPr>
    </w:p>
    <w:p w14:paraId="4E71F9CE">
      <w:pPr>
        <w:pageBreakBefore w:val="0"/>
        <w:kinsoku/>
        <w:wordWrap/>
        <w:topLinePunct w:val="0"/>
        <w:bidi w:val="0"/>
        <w:snapToGrid w:val="0"/>
        <w:spacing w:before="120" w:beforeLines="50" w:after="50" w:line="360" w:lineRule="auto"/>
        <w:jc w:val="center"/>
        <w:textAlignment w:val="auto"/>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01C8ED06">
      <w:pPr>
        <w:pageBreakBefore w:val="0"/>
        <w:kinsoku/>
        <w:wordWrap/>
        <w:topLinePunct w:val="0"/>
        <w:bidi w:val="0"/>
        <w:snapToGrid w:val="0"/>
        <w:spacing w:before="120" w:beforeLines="50" w:after="50" w:line="360" w:lineRule="auto"/>
        <w:jc w:val="center"/>
        <w:textAlignment w:val="auto"/>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br w:type="page"/>
      </w:r>
    </w:p>
    <w:p w14:paraId="2B60DB82">
      <w:pPr>
        <w:pageBreakBefore w:val="0"/>
        <w:kinsoku/>
        <w:wordWrap/>
        <w:topLinePunct w:val="0"/>
        <w:bidi w:val="0"/>
        <w:snapToGrid w:val="0"/>
        <w:spacing w:before="120" w:beforeLines="50" w:after="50" w:line="360" w:lineRule="auto"/>
        <w:jc w:val="center"/>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商务技术</w:t>
      </w:r>
      <w:r>
        <w:rPr>
          <w:rFonts w:hint="eastAsia" w:ascii="宋体" w:hAnsi="宋体" w:eastAsia="宋体" w:cs="宋体"/>
          <w:b/>
          <w:bCs/>
          <w:color w:val="auto"/>
          <w:sz w:val="28"/>
          <w:szCs w:val="28"/>
          <w:highlight w:val="none"/>
        </w:rPr>
        <w:t>文件目录</w:t>
      </w:r>
    </w:p>
    <w:p w14:paraId="45CF94CD">
      <w:pPr>
        <w:pageBreakBefore w:val="0"/>
        <w:kinsoku/>
        <w:wordWrap/>
        <w:topLinePunct w:val="0"/>
        <w:bidi w:val="0"/>
        <w:spacing w:line="360" w:lineRule="auto"/>
        <w:textAlignment w:val="auto"/>
        <w:rPr>
          <w:rFonts w:hint="eastAsia" w:ascii="宋体" w:hAnsi="宋体" w:eastAsia="宋体" w:cs="宋体"/>
          <w:b/>
          <w:bCs/>
          <w:color w:val="auto"/>
          <w:sz w:val="24"/>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4"/>
          <w:highlight w:val="none"/>
        </w:rPr>
        <w:t xml:space="preserve">  根据竞争性磋商文件规定及供应商提供的材料自行编写目录（部分格式后附）。</w:t>
      </w:r>
    </w:p>
    <w:p w14:paraId="3C2B185F">
      <w:pPr>
        <w:spacing w:line="400" w:lineRule="exact"/>
        <w:rPr>
          <w:rFonts w:hint="eastAsia" w:ascii="宋体" w:hAnsi="宋体" w:eastAsia="宋体" w:cs="宋体"/>
          <w:color w:val="auto"/>
          <w:sz w:val="32"/>
          <w:szCs w:val="32"/>
          <w:highlight w:val="none"/>
        </w:rPr>
      </w:pPr>
    </w:p>
    <w:p w14:paraId="36442852">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bCs/>
          <w:color w:val="auto"/>
          <w:sz w:val="32"/>
          <w:szCs w:val="32"/>
          <w:highlight w:val="none"/>
        </w:rPr>
        <w:t>无串通竞标行为的承诺函</w:t>
      </w:r>
    </w:p>
    <w:p w14:paraId="7E3E732A">
      <w:pPr>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Fonts w:hint="eastAsia" w:ascii="宋体" w:hAnsi="宋体" w:eastAsia="宋体" w:cs="宋体"/>
          <w:color w:val="auto"/>
          <w:sz w:val="32"/>
          <w:szCs w:val="32"/>
          <w:highlight w:val="none"/>
        </w:rPr>
      </w:pPr>
    </w:p>
    <w:p w14:paraId="472CF1FD">
      <w:pPr>
        <w:keepNext w:val="0"/>
        <w:keepLines w:val="0"/>
        <w:pageBreakBefore w:val="0"/>
        <w:widowControl w:val="0"/>
        <w:kinsoku/>
        <w:wordWrap/>
        <w:overflowPunct/>
        <w:topLinePunct w:val="0"/>
        <w:autoSpaceDE/>
        <w:autoSpaceDN/>
        <w:bidi w:val="0"/>
        <w:adjustRightInd/>
        <w:spacing w:line="360" w:lineRule="auto"/>
        <w:ind w:firstLine="422" w:firstLineChars="200"/>
        <w:contextualSpacing/>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一、我方承诺无下列相互串通竞标的情形：</w:t>
      </w:r>
    </w:p>
    <w:p w14:paraId="741C45B9">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w:t>
      </w:r>
    </w:p>
    <w:p w14:paraId="549FAA29">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3E65AC32">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3.不同供应商的响应文件载明的项目管理员为同一个人；</w:t>
      </w:r>
    </w:p>
    <w:p w14:paraId="32E2E36E">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w:t>
      </w:r>
      <w:r>
        <w:rPr>
          <w:rFonts w:hint="eastAsia" w:ascii="宋体" w:hAnsi="宋体" w:eastAsia="宋体" w:cs="宋体"/>
          <w:color w:val="auto"/>
          <w:spacing w:val="-6"/>
          <w:szCs w:val="21"/>
          <w:highlight w:val="none"/>
        </w:rPr>
        <w:t>同供应商的响应文件异常一致或者响应报价呈规律性差异；</w:t>
      </w:r>
    </w:p>
    <w:p w14:paraId="74AC250B">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59F30DF8">
      <w:pPr>
        <w:pStyle w:val="13"/>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6.不同供应商的磋商保证金从同一单位或者个人账户转出。</w:t>
      </w:r>
    </w:p>
    <w:p w14:paraId="769B12AD">
      <w:pPr>
        <w:keepNext w:val="0"/>
        <w:keepLines w:val="0"/>
        <w:pageBreakBefore w:val="0"/>
        <w:widowControl w:val="0"/>
        <w:kinsoku/>
        <w:wordWrap/>
        <w:overflowPunct/>
        <w:topLinePunct w:val="0"/>
        <w:autoSpaceDE/>
        <w:autoSpaceDN/>
        <w:bidi w:val="0"/>
        <w:adjustRightInd/>
        <w:spacing w:line="360" w:lineRule="auto"/>
        <w:ind w:firstLine="422" w:firstLineChars="200"/>
        <w:contextualSpacing/>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二、我方承诺无下列恶意串通的情形：</w:t>
      </w:r>
    </w:p>
    <w:p w14:paraId="7856E96E">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20BE80EC">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3B23E99E">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w:t>
      </w:r>
      <w:r>
        <w:rPr>
          <w:rFonts w:hint="eastAsia" w:ascii="宋体" w:hAnsi="宋体" w:eastAsia="宋体" w:cs="宋体"/>
          <w:color w:val="auto"/>
          <w:spacing w:val="-6"/>
          <w:szCs w:val="21"/>
          <w:highlight w:val="none"/>
        </w:rPr>
        <w:t>应商之间协商报价、技术方案等响应文件的实质性内容；</w:t>
      </w:r>
    </w:p>
    <w:p w14:paraId="1BC827DA">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4.属于同一集团、协会、商会等组织成员的供应商按照该组织要求协同参加政府采购活动；</w:t>
      </w:r>
    </w:p>
    <w:p w14:paraId="3523E738">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5.供应商之间事先约定一致抬高或者压低响应报价，或者在竞争性磋商项目中事先约定轮流以高价位或者低价位成交，或者事先约定由某一特定供应商成交，然后再参加竞标；</w:t>
      </w:r>
    </w:p>
    <w:p w14:paraId="3FD65A1B">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6.供应商之间商定部分供应商放弃参加政府采购活动或者放弃成交；</w:t>
      </w:r>
    </w:p>
    <w:p w14:paraId="5106A7A6">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w:t>
      </w:r>
      <w:r>
        <w:rPr>
          <w:rFonts w:hint="eastAsia" w:ascii="宋体" w:hAnsi="宋体" w:eastAsia="宋体" w:cs="宋体"/>
          <w:color w:val="auto"/>
          <w:spacing w:val="-6"/>
          <w:szCs w:val="21"/>
          <w:highlight w:val="none"/>
        </w:rPr>
        <w:t>谋求特定供应商成交或者排斥其他供应商的其他串通行为。</w:t>
      </w:r>
    </w:p>
    <w:p w14:paraId="7E60287F">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Cs w:val="21"/>
          <w:highlight w:val="none"/>
        </w:rPr>
      </w:pPr>
    </w:p>
    <w:p w14:paraId="56909932">
      <w:pPr>
        <w:keepNext w:val="0"/>
        <w:keepLines w:val="0"/>
        <w:pageBreakBefore w:val="0"/>
        <w:widowControl w:val="0"/>
        <w:kinsoku/>
        <w:wordWrap/>
        <w:overflowPunct/>
        <w:topLinePunct w:val="0"/>
        <w:autoSpaceDE/>
        <w:autoSpaceDN/>
        <w:bidi w:val="0"/>
        <w:adjustRightInd/>
        <w:spacing w:line="360" w:lineRule="auto"/>
        <w:ind w:firstLine="422" w:firstLineChars="200"/>
        <w:contextualSpacing/>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以上情形一经核查属实，接受政府采购监管部门对我方认定存在围标串标行为，我方愿意承担一切后果，并不再寻求任何旨在减轻或者免除法律责任的辩解。</w:t>
      </w:r>
    </w:p>
    <w:p w14:paraId="79FF5480">
      <w:pPr>
        <w:pStyle w:val="2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rPr>
      </w:pPr>
    </w:p>
    <w:p w14:paraId="6E93AA99">
      <w:pPr>
        <w:pStyle w:val="2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rPr>
      </w:pPr>
    </w:p>
    <w:p w14:paraId="2FD87751">
      <w:pPr>
        <w:pStyle w:val="2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rPr>
      </w:pPr>
    </w:p>
    <w:p w14:paraId="1323C43C">
      <w:pPr>
        <w:pStyle w:val="2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rPr>
      </w:pPr>
    </w:p>
    <w:p w14:paraId="2F97F1E2">
      <w:pPr>
        <w:pStyle w:val="2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rPr>
      </w:pPr>
    </w:p>
    <w:p w14:paraId="78585728">
      <w:pPr>
        <w:keepNext w:val="0"/>
        <w:keepLines w:val="0"/>
        <w:pageBreakBefore w:val="0"/>
        <w:widowControl w:val="0"/>
        <w:kinsoku/>
        <w:wordWrap/>
        <w:overflowPunct/>
        <w:topLinePunct w:val="0"/>
        <w:autoSpaceDE/>
        <w:autoSpaceDN/>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6FC69D5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502A0330">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Cs w:val="21"/>
          <w:highlight w:val="none"/>
        </w:rPr>
        <w:br w:type="page"/>
      </w:r>
      <w:r>
        <w:rPr>
          <w:rFonts w:hint="eastAsia" w:ascii="宋体" w:hAnsi="宋体" w:eastAsia="宋体" w:cs="宋体"/>
          <w:b/>
          <w:bCs/>
          <w:color w:val="auto"/>
          <w:sz w:val="28"/>
          <w:szCs w:val="28"/>
          <w:highlight w:val="none"/>
        </w:rPr>
        <w:t>法定代表人身份证明的格式：</w:t>
      </w:r>
    </w:p>
    <w:p w14:paraId="6F3ECEB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w:t>
      </w:r>
    </w:p>
    <w:p w14:paraId="57AAE678">
      <w:pPr>
        <w:keepNext w:val="0"/>
        <w:keepLines w:val="0"/>
        <w:pageBreakBefore w:val="0"/>
        <w:widowControl w:val="0"/>
        <w:kinsoku/>
        <w:wordWrap/>
        <w:overflowPunct/>
        <w:topLinePunct w:val="0"/>
        <w:autoSpaceDE/>
        <w:autoSpaceDN/>
        <w:bidi w:val="0"/>
        <w:adjustRightInd/>
        <w:spacing w:line="360" w:lineRule="auto"/>
        <w:ind w:left="540"/>
        <w:contextualSpacing/>
        <w:textAlignment w:val="auto"/>
        <w:rPr>
          <w:rFonts w:hint="eastAsia" w:ascii="宋体" w:hAnsi="宋体" w:eastAsia="宋体" w:cs="宋体"/>
          <w:color w:val="auto"/>
          <w:sz w:val="32"/>
          <w:szCs w:val="32"/>
          <w:highlight w:val="none"/>
        </w:rPr>
      </w:pPr>
    </w:p>
    <w:p w14:paraId="03585E28">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 应 商：</w:t>
      </w:r>
      <w:r>
        <w:rPr>
          <w:rFonts w:hint="eastAsia" w:ascii="宋体" w:hAnsi="宋体" w:eastAsia="宋体" w:cs="宋体"/>
          <w:color w:val="auto"/>
          <w:szCs w:val="21"/>
          <w:highlight w:val="none"/>
          <w:u w:val="single"/>
        </w:rPr>
        <w:t xml:space="preserve">                                                        </w:t>
      </w:r>
    </w:p>
    <w:p w14:paraId="766C50BD">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单位性质：</w:t>
      </w:r>
      <w:r>
        <w:rPr>
          <w:rFonts w:hint="eastAsia" w:ascii="宋体" w:hAnsi="宋体" w:eastAsia="宋体" w:cs="宋体"/>
          <w:color w:val="auto"/>
          <w:szCs w:val="21"/>
          <w:highlight w:val="none"/>
          <w:u w:val="single"/>
        </w:rPr>
        <w:t xml:space="preserve">                                                        </w:t>
      </w:r>
    </w:p>
    <w:p w14:paraId="7CCFBC5A">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p>
    <w:p w14:paraId="00FBE0A6">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A4B21BE">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经营期限：</w:t>
      </w:r>
      <w:r>
        <w:rPr>
          <w:rFonts w:hint="eastAsia" w:ascii="宋体" w:hAnsi="宋体" w:eastAsia="宋体" w:cs="宋体"/>
          <w:color w:val="auto"/>
          <w:szCs w:val="21"/>
          <w:highlight w:val="none"/>
          <w:u w:val="single"/>
        </w:rPr>
        <w:t xml:space="preserve">                                                        </w:t>
      </w:r>
    </w:p>
    <w:p w14:paraId="4825E5A9">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性     别：</w:t>
      </w:r>
      <w:r>
        <w:rPr>
          <w:rFonts w:hint="eastAsia" w:ascii="宋体" w:hAnsi="宋体" w:eastAsia="宋体" w:cs="宋体"/>
          <w:color w:val="auto"/>
          <w:szCs w:val="21"/>
          <w:highlight w:val="none"/>
          <w:u w:val="single"/>
        </w:rPr>
        <w:t xml:space="preserve">                   </w:t>
      </w:r>
    </w:p>
    <w:p w14:paraId="2275BA58">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     务：</w:t>
      </w:r>
      <w:r>
        <w:rPr>
          <w:rFonts w:hint="eastAsia" w:ascii="宋体" w:hAnsi="宋体" w:eastAsia="宋体" w:cs="宋体"/>
          <w:color w:val="auto"/>
          <w:szCs w:val="21"/>
          <w:highlight w:val="none"/>
          <w:u w:val="single"/>
        </w:rPr>
        <w:t xml:space="preserve">                   </w:t>
      </w:r>
    </w:p>
    <w:p w14:paraId="176CB78D">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（供应商名称）的法定代表人。</w:t>
      </w:r>
    </w:p>
    <w:p w14:paraId="46B4AFAB">
      <w:pPr>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14:paraId="4227A3DC">
      <w:pPr>
        <w:keepNext w:val="0"/>
        <w:keepLines w:val="0"/>
        <w:pageBreakBefore w:val="0"/>
        <w:widowControl w:val="0"/>
        <w:kinsoku/>
        <w:wordWrap/>
        <w:overflowPunct/>
        <w:topLinePunct w:val="0"/>
        <w:autoSpaceDE/>
        <w:autoSpaceDN/>
        <w:bidi w:val="0"/>
        <w:adjustRightInd/>
        <w:spacing w:line="360" w:lineRule="auto"/>
        <w:ind w:left="540"/>
        <w:contextualSpacing/>
        <w:textAlignment w:val="auto"/>
        <w:rPr>
          <w:rFonts w:hint="eastAsia" w:ascii="宋体" w:hAnsi="宋体" w:eastAsia="宋体" w:cs="宋体"/>
          <w:color w:val="auto"/>
          <w:szCs w:val="21"/>
          <w:highlight w:val="none"/>
        </w:rPr>
      </w:pPr>
    </w:p>
    <w:p w14:paraId="77F058AE">
      <w:pPr>
        <w:keepNext w:val="0"/>
        <w:keepLines w:val="0"/>
        <w:pageBreakBefore w:val="0"/>
        <w:widowControl w:val="0"/>
        <w:kinsoku/>
        <w:wordWrap/>
        <w:overflowPunct/>
        <w:topLinePunct w:val="0"/>
        <w:autoSpaceDE/>
        <w:autoSpaceDN/>
        <w:bidi w:val="0"/>
        <w:adjustRightInd/>
        <w:spacing w:line="360" w:lineRule="auto"/>
        <w:ind w:left="540"/>
        <w:contextualSpacing/>
        <w:textAlignment w:val="auto"/>
        <w:rPr>
          <w:rFonts w:hint="eastAsia" w:ascii="宋体" w:hAnsi="宋体" w:eastAsia="宋体" w:cs="宋体"/>
          <w:color w:val="auto"/>
          <w:szCs w:val="21"/>
          <w:highlight w:val="none"/>
        </w:rPr>
      </w:pPr>
    </w:p>
    <w:p w14:paraId="671188DD">
      <w:pPr>
        <w:keepNext w:val="0"/>
        <w:keepLines w:val="0"/>
        <w:pageBreakBefore w:val="0"/>
        <w:widowControl w:val="0"/>
        <w:kinsoku/>
        <w:wordWrap/>
        <w:overflowPunct/>
        <w:topLinePunct w:val="0"/>
        <w:autoSpaceDE/>
        <w:autoSpaceDN/>
        <w:bidi w:val="0"/>
        <w:adjustRightInd/>
        <w:spacing w:line="360" w:lineRule="auto"/>
        <w:ind w:left="540"/>
        <w:contextualSpacing/>
        <w:textAlignment w:val="auto"/>
        <w:rPr>
          <w:rFonts w:hint="eastAsia" w:ascii="宋体" w:hAnsi="宋体" w:eastAsia="宋体" w:cs="宋体"/>
          <w:color w:val="auto"/>
          <w:szCs w:val="21"/>
          <w:highlight w:val="none"/>
        </w:rPr>
      </w:pPr>
    </w:p>
    <w:p w14:paraId="570176AC">
      <w:pPr>
        <w:keepNext w:val="0"/>
        <w:keepLines w:val="0"/>
        <w:pageBreakBefore w:val="0"/>
        <w:widowControl w:val="0"/>
        <w:kinsoku/>
        <w:wordWrap/>
        <w:overflowPunct/>
        <w:topLinePunct w:val="0"/>
        <w:autoSpaceDE/>
        <w:autoSpaceDN/>
        <w:bidi w:val="0"/>
        <w:adjustRightInd/>
        <w:spacing w:line="360" w:lineRule="auto"/>
        <w:ind w:left="540"/>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附件：法定代表人有效身份证正反面复印件</w:t>
      </w:r>
    </w:p>
    <w:p w14:paraId="63C60BCA">
      <w:pPr>
        <w:keepNext w:val="0"/>
        <w:keepLines w:val="0"/>
        <w:pageBreakBefore w:val="0"/>
        <w:widowControl w:val="0"/>
        <w:kinsoku/>
        <w:wordWrap/>
        <w:overflowPunct/>
        <w:topLinePunct w:val="0"/>
        <w:autoSpaceDE/>
        <w:autoSpaceDN/>
        <w:bidi w:val="0"/>
        <w:adjustRightInd/>
        <w:spacing w:line="360" w:lineRule="auto"/>
        <w:ind w:left="540"/>
        <w:contextualSpacing/>
        <w:textAlignment w:val="auto"/>
        <w:rPr>
          <w:rFonts w:hint="eastAsia" w:ascii="宋体" w:hAnsi="宋体" w:eastAsia="宋体" w:cs="宋体"/>
          <w:color w:val="auto"/>
          <w:szCs w:val="21"/>
          <w:highlight w:val="none"/>
        </w:rPr>
      </w:pPr>
    </w:p>
    <w:p w14:paraId="15EF73C4">
      <w:pPr>
        <w:keepNext w:val="0"/>
        <w:keepLines w:val="0"/>
        <w:pageBreakBefore w:val="0"/>
        <w:widowControl w:val="0"/>
        <w:kinsoku/>
        <w:wordWrap/>
        <w:overflowPunct/>
        <w:topLinePunct w:val="0"/>
        <w:autoSpaceDE/>
        <w:autoSpaceDN/>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36140E0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5FC93B6">
      <w:pPr>
        <w:keepNext w:val="0"/>
        <w:keepLines w:val="0"/>
        <w:pageBreakBefore w:val="0"/>
        <w:widowControl w:val="0"/>
        <w:kinsoku/>
        <w:wordWrap/>
        <w:overflowPunct/>
        <w:topLinePunct w:val="0"/>
        <w:autoSpaceDE/>
        <w:autoSpaceDN/>
        <w:bidi w:val="0"/>
        <w:adjustRightInd/>
        <w:spacing w:line="360" w:lineRule="auto"/>
        <w:contextualSpacing/>
        <w:jc w:val="left"/>
        <w:textAlignment w:val="auto"/>
        <w:rPr>
          <w:rFonts w:hint="eastAsia" w:ascii="宋体" w:hAnsi="宋体" w:eastAsia="宋体" w:cs="宋体"/>
          <w:color w:val="auto"/>
          <w:sz w:val="24"/>
          <w:highlight w:val="none"/>
        </w:rPr>
      </w:pPr>
    </w:p>
    <w:p w14:paraId="4C2ABE8D">
      <w:pPr>
        <w:keepNext w:val="0"/>
        <w:keepLines w:val="0"/>
        <w:pageBreakBefore w:val="0"/>
        <w:widowControl w:val="0"/>
        <w:kinsoku/>
        <w:wordWrap/>
        <w:overflowPunct/>
        <w:topLinePunct w:val="0"/>
        <w:autoSpaceDE/>
        <w:autoSpaceDN/>
        <w:bidi w:val="0"/>
        <w:adjustRightInd/>
        <w:spacing w:line="360" w:lineRule="auto"/>
        <w:contextualSpacing/>
        <w:jc w:val="left"/>
        <w:textAlignment w:val="auto"/>
        <w:rPr>
          <w:rFonts w:hint="eastAsia" w:ascii="宋体" w:hAnsi="宋体" w:eastAsia="宋体" w:cs="宋体"/>
          <w:color w:val="auto"/>
          <w:sz w:val="24"/>
          <w:highlight w:val="none"/>
        </w:rPr>
      </w:pPr>
    </w:p>
    <w:p w14:paraId="1DA2CBFD">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06B74754">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1.自然人竞标的无需提供，联合体竞标的只需牵头人出具。</w:t>
      </w:r>
    </w:p>
    <w:p w14:paraId="691F7484">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jc w:val="left"/>
        <w:textAlignment w:val="auto"/>
        <w:rPr>
          <w:rFonts w:hint="eastAsia" w:ascii="宋体" w:hAnsi="宋体" w:eastAsia="宋体" w:cs="宋体"/>
          <w:color w:val="auto"/>
          <w:szCs w:val="21"/>
          <w:highlight w:val="none"/>
        </w:rPr>
        <w:sectPr>
          <w:pgSz w:w="11911" w:h="16838"/>
          <w:pgMar w:top="1134" w:right="1134" w:bottom="1134" w:left="1134" w:header="720" w:footer="720"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5640E46">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highlight w:val="none"/>
        </w:rPr>
        <w:t>附件：</w:t>
      </w:r>
    </w:p>
    <w:p w14:paraId="5F24BCEB">
      <w:pPr>
        <w:adjustRightInd w:val="0"/>
        <w:snapToGrid w:val="0"/>
        <w:spacing w:line="300" w:lineRule="auto"/>
        <w:jc w:val="left"/>
        <w:rPr>
          <w:rFonts w:hint="eastAsia" w:ascii="宋体" w:hAnsi="宋体" w:eastAsia="宋体" w:cs="宋体"/>
          <w:b/>
          <w:color w:val="auto"/>
          <w:szCs w:val="21"/>
          <w:highlight w:val="none"/>
        </w:rPr>
      </w:pPr>
    </w:p>
    <w:tbl>
      <w:tblPr>
        <w:tblStyle w:val="29"/>
        <w:tblpPr w:leftFromText="180" w:rightFromText="180" w:vertAnchor="text" w:horzAnchor="page" w:tblpX="1957" w:tblpY="3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5DA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noWrap w:val="0"/>
            <w:vAlign w:val="top"/>
          </w:tcPr>
          <w:p w14:paraId="3113DB0C">
            <w:pPr>
              <w:spacing w:line="360" w:lineRule="auto"/>
              <w:rPr>
                <w:rFonts w:hint="eastAsia" w:ascii="宋体" w:hAnsi="宋体" w:eastAsia="宋体" w:cs="宋体"/>
                <w:b/>
                <w:color w:val="auto"/>
                <w:sz w:val="24"/>
                <w:highlight w:val="none"/>
              </w:rPr>
            </w:pPr>
          </w:p>
          <w:p w14:paraId="0351D79D">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法定代表人身份证复印件粘贴处（正、反面）</w:t>
            </w:r>
          </w:p>
        </w:tc>
      </w:tr>
    </w:tbl>
    <w:p w14:paraId="590FD2DE">
      <w:pPr>
        <w:spacing w:line="520" w:lineRule="exact"/>
        <w:ind w:firstLine="880"/>
        <w:jc w:val="left"/>
        <w:rPr>
          <w:rFonts w:hint="eastAsia" w:ascii="宋体" w:hAnsi="宋体" w:eastAsia="宋体" w:cs="宋体"/>
          <w:color w:val="auto"/>
          <w:szCs w:val="21"/>
          <w:highlight w:val="none"/>
        </w:rPr>
      </w:pPr>
    </w:p>
    <w:p w14:paraId="170B02BC">
      <w:pPr>
        <w:spacing w:line="520" w:lineRule="exact"/>
        <w:ind w:firstLine="880"/>
        <w:jc w:val="left"/>
        <w:rPr>
          <w:rFonts w:hint="eastAsia" w:ascii="宋体" w:hAnsi="宋体" w:eastAsia="宋体" w:cs="宋体"/>
          <w:color w:val="auto"/>
          <w:szCs w:val="21"/>
          <w:highlight w:val="none"/>
        </w:rPr>
      </w:pPr>
    </w:p>
    <w:p w14:paraId="152683C6">
      <w:pPr>
        <w:spacing w:line="520" w:lineRule="exact"/>
        <w:ind w:firstLine="880"/>
        <w:jc w:val="left"/>
        <w:rPr>
          <w:rFonts w:hint="eastAsia" w:ascii="宋体" w:hAnsi="宋体" w:eastAsia="宋体" w:cs="宋体"/>
          <w:color w:val="auto"/>
          <w:szCs w:val="21"/>
          <w:highlight w:val="none"/>
        </w:rPr>
      </w:pPr>
    </w:p>
    <w:p w14:paraId="04CC8531">
      <w:pPr>
        <w:spacing w:line="520" w:lineRule="exact"/>
        <w:ind w:firstLine="880"/>
        <w:jc w:val="left"/>
        <w:rPr>
          <w:rFonts w:hint="eastAsia" w:ascii="宋体" w:hAnsi="宋体" w:eastAsia="宋体" w:cs="宋体"/>
          <w:color w:val="auto"/>
          <w:szCs w:val="21"/>
          <w:highlight w:val="none"/>
        </w:rPr>
      </w:pPr>
    </w:p>
    <w:p w14:paraId="7086D8A1">
      <w:pPr>
        <w:spacing w:line="520" w:lineRule="exact"/>
        <w:ind w:firstLine="880"/>
        <w:jc w:val="left"/>
        <w:rPr>
          <w:rFonts w:hint="eastAsia" w:ascii="宋体" w:hAnsi="宋体" w:eastAsia="宋体" w:cs="宋体"/>
          <w:color w:val="auto"/>
          <w:szCs w:val="21"/>
          <w:highlight w:val="none"/>
        </w:rPr>
      </w:pPr>
    </w:p>
    <w:p w14:paraId="4F4C41C8">
      <w:pPr>
        <w:spacing w:line="520" w:lineRule="exact"/>
        <w:ind w:firstLine="880"/>
        <w:jc w:val="left"/>
        <w:rPr>
          <w:rFonts w:hint="eastAsia" w:ascii="宋体" w:hAnsi="宋体" w:eastAsia="宋体" w:cs="宋体"/>
          <w:color w:val="auto"/>
          <w:szCs w:val="21"/>
          <w:highlight w:val="none"/>
        </w:rPr>
      </w:pPr>
    </w:p>
    <w:p w14:paraId="7668F705">
      <w:pPr>
        <w:spacing w:line="520" w:lineRule="exact"/>
        <w:ind w:firstLine="880"/>
        <w:jc w:val="left"/>
        <w:rPr>
          <w:rFonts w:hint="eastAsia" w:ascii="宋体" w:hAnsi="宋体" w:eastAsia="宋体" w:cs="宋体"/>
          <w:color w:val="auto"/>
          <w:szCs w:val="21"/>
          <w:highlight w:val="none"/>
        </w:rPr>
      </w:pPr>
    </w:p>
    <w:p w14:paraId="167A8ED9">
      <w:pPr>
        <w:spacing w:line="520" w:lineRule="exact"/>
        <w:ind w:firstLine="880"/>
        <w:jc w:val="left"/>
        <w:rPr>
          <w:rFonts w:hint="eastAsia" w:ascii="宋体" w:hAnsi="宋体" w:eastAsia="宋体" w:cs="宋体"/>
          <w:color w:val="auto"/>
          <w:szCs w:val="21"/>
          <w:highlight w:val="none"/>
        </w:rPr>
      </w:pPr>
    </w:p>
    <w:p w14:paraId="1BC27634">
      <w:pPr>
        <w:spacing w:line="520" w:lineRule="exact"/>
        <w:ind w:firstLine="880"/>
        <w:jc w:val="left"/>
        <w:rPr>
          <w:rFonts w:hint="eastAsia" w:ascii="宋体" w:hAnsi="宋体" w:eastAsia="宋体" w:cs="宋体"/>
          <w:color w:val="auto"/>
          <w:szCs w:val="21"/>
          <w:highlight w:val="none"/>
        </w:rPr>
      </w:pPr>
    </w:p>
    <w:p w14:paraId="45C9E9F3">
      <w:pPr>
        <w:spacing w:line="520" w:lineRule="exact"/>
        <w:ind w:firstLine="880"/>
        <w:jc w:val="left"/>
        <w:rPr>
          <w:rFonts w:hint="eastAsia" w:ascii="宋体" w:hAnsi="宋体" w:eastAsia="宋体" w:cs="宋体"/>
          <w:color w:val="auto"/>
          <w:szCs w:val="21"/>
          <w:highlight w:val="none"/>
        </w:rPr>
      </w:pPr>
    </w:p>
    <w:p w14:paraId="1AB21311">
      <w:pPr>
        <w:spacing w:line="520" w:lineRule="exact"/>
        <w:ind w:firstLine="880"/>
        <w:jc w:val="left"/>
        <w:rPr>
          <w:rFonts w:hint="eastAsia" w:ascii="宋体" w:hAnsi="宋体" w:eastAsia="宋体" w:cs="宋体"/>
          <w:color w:val="auto"/>
          <w:szCs w:val="21"/>
          <w:highlight w:val="none"/>
        </w:rPr>
      </w:pPr>
    </w:p>
    <w:p w14:paraId="207BC477">
      <w:pPr>
        <w:spacing w:line="520" w:lineRule="exact"/>
        <w:ind w:firstLine="880"/>
        <w:jc w:val="left"/>
        <w:rPr>
          <w:rFonts w:hint="eastAsia" w:ascii="宋体" w:hAnsi="宋体" w:eastAsia="宋体" w:cs="宋体"/>
          <w:color w:val="auto"/>
          <w:szCs w:val="21"/>
          <w:highlight w:val="none"/>
        </w:rPr>
      </w:pPr>
    </w:p>
    <w:p w14:paraId="49D58E7A">
      <w:pPr>
        <w:spacing w:line="520" w:lineRule="exact"/>
        <w:ind w:firstLine="880"/>
        <w:jc w:val="left"/>
        <w:rPr>
          <w:rFonts w:hint="eastAsia" w:ascii="宋体" w:hAnsi="宋体" w:eastAsia="宋体" w:cs="宋体"/>
          <w:color w:val="auto"/>
          <w:szCs w:val="21"/>
          <w:highlight w:val="none"/>
        </w:rPr>
      </w:pPr>
    </w:p>
    <w:p w14:paraId="1994EA9F">
      <w:pPr>
        <w:spacing w:line="520" w:lineRule="exact"/>
        <w:ind w:firstLine="880"/>
        <w:jc w:val="left"/>
        <w:rPr>
          <w:rFonts w:hint="eastAsia" w:ascii="宋体" w:hAnsi="宋体" w:eastAsia="宋体" w:cs="宋体"/>
          <w:color w:val="auto"/>
          <w:szCs w:val="21"/>
          <w:highlight w:val="none"/>
        </w:rPr>
      </w:pPr>
    </w:p>
    <w:p w14:paraId="6C184AEE">
      <w:pPr>
        <w:spacing w:line="520" w:lineRule="exact"/>
        <w:ind w:firstLine="880"/>
        <w:jc w:val="left"/>
        <w:rPr>
          <w:rFonts w:hint="eastAsia" w:ascii="宋体" w:hAnsi="宋体" w:eastAsia="宋体" w:cs="宋体"/>
          <w:color w:val="auto"/>
          <w:szCs w:val="21"/>
          <w:highlight w:val="none"/>
        </w:rPr>
      </w:pPr>
    </w:p>
    <w:p w14:paraId="520C5ED0">
      <w:pPr>
        <w:spacing w:line="520" w:lineRule="exact"/>
        <w:ind w:firstLine="880"/>
        <w:jc w:val="left"/>
        <w:rPr>
          <w:rFonts w:hint="eastAsia" w:ascii="宋体" w:hAnsi="宋体" w:eastAsia="宋体" w:cs="宋体"/>
          <w:color w:val="auto"/>
          <w:szCs w:val="21"/>
          <w:highlight w:val="none"/>
        </w:rPr>
      </w:pPr>
    </w:p>
    <w:p w14:paraId="553CF82F">
      <w:pPr>
        <w:spacing w:line="520" w:lineRule="exact"/>
        <w:ind w:firstLine="880"/>
        <w:jc w:val="left"/>
        <w:rPr>
          <w:rFonts w:hint="eastAsia" w:ascii="宋体" w:hAnsi="宋体" w:eastAsia="宋体" w:cs="宋体"/>
          <w:color w:val="auto"/>
          <w:szCs w:val="21"/>
          <w:highlight w:val="none"/>
        </w:rPr>
      </w:pPr>
    </w:p>
    <w:p w14:paraId="4739F2B1">
      <w:pPr>
        <w:spacing w:line="520" w:lineRule="exact"/>
        <w:ind w:firstLine="880"/>
        <w:jc w:val="left"/>
        <w:rPr>
          <w:rFonts w:hint="eastAsia" w:ascii="宋体" w:hAnsi="宋体" w:eastAsia="宋体" w:cs="宋体"/>
          <w:color w:val="auto"/>
          <w:szCs w:val="21"/>
          <w:highlight w:val="none"/>
        </w:rPr>
      </w:pPr>
    </w:p>
    <w:p w14:paraId="1F16A2A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i w:val="0"/>
          <w:iCs w:val="0"/>
          <w:color w:val="auto"/>
          <w:sz w:val="44"/>
          <w:szCs w:val="44"/>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bCs/>
          <w:i w:val="0"/>
          <w:iCs w:val="0"/>
          <w:color w:val="auto"/>
          <w:sz w:val="28"/>
          <w:szCs w:val="28"/>
          <w:highlight w:val="none"/>
        </w:rPr>
        <w:t>法定代表人授权委托书的格式：</w:t>
      </w:r>
    </w:p>
    <w:p w14:paraId="396233C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auto"/>
          <w:sz w:val="44"/>
          <w:szCs w:val="44"/>
          <w:highlight w:val="none"/>
        </w:rPr>
      </w:pPr>
    </w:p>
    <w:p w14:paraId="3CC1E1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z w:val="32"/>
          <w:szCs w:val="32"/>
          <w:highlight w:val="none"/>
        </w:rPr>
        <w:t>授权委托书（非联合体竞标格式）</w:t>
      </w:r>
    </w:p>
    <w:p w14:paraId="5898B1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z w:val="32"/>
          <w:szCs w:val="32"/>
          <w:highlight w:val="none"/>
        </w:rPr>
        <w:t>（如有委托时）</w:t>
      </w:r>
    </w:p>
    <w:p w14:paraId="4F2BC8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 w:val="32"/>
          <w:szCs w:val="32"/>
          <w:highlight w:val="none"/>
        </w:rPr>
      </w:pPr>
    </w:p>
    <w:p w14:paraId="0F05CF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致：</w:t>
      </w:r>
      <w:r>
        <w:rPr>
          <w:rFonts w:hint="eastAsia" w:ascii="宋体" w:hAnsi="宋体" w:eastAsia="宋体" w:cs="宋体"/>
          <w:i w:val="0"/>
          <w:iCs w:val="0"/>
          <w:color w:val="auto"/>
          <w:szCs w:val="21"/>
          <w:highlight w:val="none"/>
          <w:u w:val="single"/>
        </w:rPr>
        <w:t>（采购人名称）</w:t>
      </w:r>
      <w:r>
        <w:rPr>
          <w:rFonts w:hint="eastAsia" w:ascii="宋体" w:hAnsi="宋体" w:eastAsia="宋体" w:cs="宋体"/>
          <w:i w:val="0"/>
          <w:iCs w:val="0"/>
          <w:color w:val="auto"/>
          <w:szCs w:val="21"/>
          <w:highlight w:val="none"/>
        </w:rPr>
        <w:t>：</w:t>
      </w:r>
    </w:p>
    <w:p w14:paraId="247189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我</w:t>
      </w:r>
      <w:r>
        <w:rPr>
          <w:rFonts w:hint="eastAsia" w:ascii="宋体" w:hAnsi="宋体" w:eastAsia="宋体" w:cs="宋体"/>
          <w:i w:val="0"/>
          <w:iCs w:val="0"/>
          <w:color w:val="auto"/>
          <w:szCs w:val="21"/>
          <w:highlight w:val="none"/>
          <w:u w:val="single"/>
        </w:rPr>
        <w:t xml:space="preserve">  （姓名）  </w:t>
      </w:r>
      <w:r>
        <w:rPr>
          <w:rFonts w:hint="eastAsia" w:ascii="宋体" w:hAnsi="宋体" w:eastAsia="宋体" w:cs="宋体"/>
          <w:i w:val="0"/>
          <w:iCs w:val="0"/>
          <w:color w:val="auto"/>
          <w:szCs w:val="21"/>
          <w:highlight w:val="none"/>
        </w:rPr>
        <w:t>系</w:t>
      </w:r>
      <w:r>
        <w:rPr>
          <w:rFonts w:hint="eastAsia" w:ascii="宋体" w:hAnsi="宋体" w:eastAsia="宋体" w:cs="宋体"/>
          <w:i w:val="0"/>
          <w:iCs w:val="0"/>
          <w:color w:val="auto"/>
          <w:szCs w:val="21"/>
          <w:highlight w:val="none"/>
          <w:u w:val="single"/>
        </w:rPr>
        <w:t xml:space="preserve">  （供应商名称）  </w:t>
      </w:r>
      <w:r>
        <w:rPr>
          <w:rFonts w:hint="eastAsia" w:ascii="宋体" w:hAnsi="宋体" w:eastAsia="宋体" w:cs="宋体"/>
          <w:i w:val="0"/>
          <w:iCs w:val="0"/>
          <w:color w:val="auto"/>
          <w:szCs w:val="21"/>
          <w:highlight w:val="none"/>
        </w:rPr>
        <w:t>的（</w:t>
      </w:r>
      <w:r>
        <w:rPr>
          <w:rFonts w:hint="eastAsia" w:ascii="宋体" w:hAnsi="宋体" w:eastAsia="宋体" w:cs="宋体"/>
          <w:i w:val="0"/>
          <w:iCs w:val="0"/>
          <w:color w:val="auto"/>
          <w:szCs w:val="21"/>
          <w:highlight w:val="none"/>
          <w:u w:val="single"/>
        </w:rPr>
        <w:t>□法定代表人/□负责人/</w:t>
      </w:r>
      <w:r>
        <w:rPr>
          <w:rFonts w:hint="eastAsia" w:ascii="宋体" w:hAnsi="宋体" w:eastAsia="宋体" w:cs="宋体"/>
          <w:i w:val="0"/>
          <w:iCs w:val="0"/>
          <w:color w:val="auto"/>
          <w:szCs w:val="21"/>
          <w:highlight w:val="none"/>
          <w:u w:val="single"/>
          <w:lang w:eastAsia="zh-CN"/>
        </w:rPr>
        <w:t>□</w:t>
      </w:r>
      <w:r>
        <w:rPr>
          <w:rFonts w:hint="eastAsia" w:ascii="宋体" w:hAnsi="宋体" w:eastAsia="宋体" w:cs="宋体"/>
          <w:i w:val="0"/>
          <w:iCs w:val="0"/>
          <w:color w:val="auto"/>
          <w:szCs w:val="21"/>
          <w:highlight w:val="none"/>
          <w:u w:val="single"/>
        </w:rPr>
        <w:t>自然人本人</w:t>
      </w:r>
      <w:r>
        <w:rPr>
          <w:rFonts w:hint="eastAsia" w:ascii="宋体" w:hAnsi="宋体" w:eastAsia="宋体" w:cs="宋体"/>
          <w:i w:val="0"/>
          <w:iCs w:val="0"/>
          <w:color w:val="auto"/>
          <w:szCs w:val="21"/>
          <w:highlight w:val="none"/>
        </w:rPr>
        <w:t>），现授权</w:t>
      </w:r>
      <w:r>
        <w:rPr>
          <w:rFonts w:hint="eastAsia" w:ascii="宋体" w:hAnsi="宋体" w:eastAsia="宋体" w:cs="宋体"/>
          <w:i w:val="0"/>
          <w:iCs w:val="0"/>
          <w:color w:val="auto"/>
          <w:szCs w:val="21"/>
          <w:highlight w:val="none"/>
          <w:u w:val="single"/>
        </w:rPr>
        <w:t xml:space="preserve"> （姓名） </w:t>
      </w:r>
      <w:r>
        <w:rPr>
          <w:rFonts w:hint="eastAsia" w:ascii="宋体" w:hAnsi="宋体" w:eastAsia="宋体" w:cs="宋体"/>
          <w:i w:val="0"/>
          <w:iCs w:val="0"/>
          <w:color w:val="auto"/>
          <w:szCs w:val="21"/>
          <w:highlight w:val="none"/>
        </w:rPr>
        <w:t>以我方的名义参加</w:t>
      </w:r>
      <w:r>
        <w:rPr>
          <w:rFonts w:hint="eastAsia" w:ascii="宋体" w:hAnsi="宋体" w:eastAsia="宋体" w:cs="宋体"/>
          <w:i w:val="0"/>
          <w:iCs w:val="0"/>
          <w:color w:val="auto"/>
          <w:szCs w:val="21"/>
          <w:highlight w:val="none"/>
          <w:u w:val="single"/>
        </w:rPr>
        <w:t xml:space="preserve">      （项目名称）        </w:t>
      </w:r>
      <w:r>
        <w:rPr>
          <w:rFonts w:hint="eastAsia" w:ascii="宋体" w:hAnsi="宋体" w:eastAsia="宋体" w:cs="宋体"/>
          <w:i w:val="0"/>
          <w:iCs w:val="0"/>
          <w:color w:val="auto"/>
          <w:szCs w:val="21"/>
          <w:highlight w:val="none"/>
        </w:rPr>
        <w:t>项目的竞标活动，并代表我方全权办理针对上述项目的所有采购程序和环节的具体事务和签署相关文件。</w:t>
      </w:r>
    </w:p>
    <w:p w14:paraId="64A5E12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    我方对委托代理人的签字事项负全部责任。</w:t>
      </w:r>
    </w:p>
    <w:p w14:paraId="55FED7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本授权书自签署之日起生效，在撤销授权的书面通知以前，本授权书一直有效。委托代理人在授权书有效期内签署的所有文件不因授权的撤销而失效。</w:t>
      </w:r>
    </w:p>
    <w:p w14:paraId="4AF656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委托代理人无转委托权，特此委托。</w:t>
      </w:r>
    </w:p>
    <w:p w14:paraId="64FBB8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附：委托代理人有效身份证正反面复印件</w:t>
      </w:r>
    </w:p>
    <w:p w14:paraId="35A26A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p>
    <w:p w14:paraId="30B1C8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委托代理人（签字）：         法定代表人（签字）：                    </w:t>
      </w:r>
    </w:p>
    <w:p w14:paraId="065040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委托代理人身份证号码：                              </w:t>
      </w:r>
    </w:p>
    <w:p w14:paraId="4DFF47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                                </w:t>
      </w:r>
    </w:p>
    <w:p w14:paraId="02923B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                         </w:t>
      </w:r>
      <w:r>
        <w:rPr>
          <w:rFonts w:hint="eastAsia" w:ascii="宋体" w:hAnsi="宋体" w:eastAsia="宋体" w:cs="宋体"/>
          <w:i w:val="0"/>
          <w:iCs w:val="0"/>
          <w:color w:val="auto"/>
          <w:kern w:val="0"/>
          <w:szCs w:val="21"/>
          <w:highlight w:val="none"/>
        </w:rPr>
        <w:t>供应商名称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i w:val="0"/>
          <w:iCs w:val="0"/>
          <w:color w:val="auto"/>
          <w:kern w:val="0"/>
          <w:szCs w:val="21"/>
          <w:highlight w:val="none"/>
        </w:rPr>
        <w:t>：</w:t>
      </w:r>
    </w:p>
    <w:p w14:paraId="2BC6C772">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宋体" w:hAnsi="宋体" w:eastAsia="宋体" w:cs="宋体"/>
          <w:b/>
          <w:i w:val="0"/>
          <w:iCs w:val="0"/>
          <w:color w:val="auto"/>
          <w:szCs w:val="21"/>
          <w:highlight w:val="none"/>
        </w:rPr>
      </w:pPr>
      <w:r>
        <w:rPr>
          <w:rFonts w:hint="eastAsia" w:ascii="宋体" w:hAnsi="宋体" w:eastAsia="宋体" w:cs="宋体"/>
          <w:i w:val="0"/>
          <w:iCs w:val="0"/>
          <w:color w:val="auto"/>
          <w:kern w:val="0"/>
          <w:szCs w:val="21"/>
          <w:highlight w:val="none"/>
          <w:lang w:val="zh-CN"/>
        </w:rPr>
        <w:t xml:space="preserve">                                                   日期：  年  月   日</w:t>
      </w:r>
    </w:p>
    <w:p w14:paraId="5D8D27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p>
    <w:p w14:paraId="272B2A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注：</w:t>
      </w:r>
    </w:p>
    <w:p w14:paraId="6E4279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法定代表人和委托代理人必须在授权委托书上签字，</w:t>
      </w:r>
      <w:r>
        <w:rPr>
          <w:rFonts w:hint="eastAsia" w:ascii="宋体" w:hAnsi="宋体" w:eastAsia="宋体" w:cs="宋体"/>
          <w:b/>
          <w:i w:val="0"/>
          <w:iCs w:val="0"/>
          <w:color w:val="auto"/>
          <w:szCs w:val="21"/>
          <w:highlight w:val="none"/>
        </w:rPr>
        <w:t>否则其响应文件按无效响应处理。</w:t>
      </w:r>
    </w:p>
    <w:p w14:paraId="3BB84CA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928E09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 法人、其他组织竞标时“我方”是指“我单位”，自然人竞标时“我方”是指“本人”。</w:t>
      </w:r>
    </w:p>
    <w:p w14:paraId="497A14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i w:val="0"/>
          <w:iCs w:val="0"/>
          <w:color w:val="auto"/>
          <w:sz w:val="32"/>
          <w:szCs w:val="32"/>
          <w:highlight w:val="none"/>
        </w:rPr>
        <w:t>授权委托书（联合体竞标格式）</w:t>
      </w:r>
    </w:p>
    <w:p w14:paraId="0FFB07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i w:val="0"/>
          <w:iCs w:val="0"/>
          <w:color w:val="auto"/>
          <w:sz w:val="32"/>
          <w:szCs w:val="32"/>
          <w:highlight w:val="none"/>
        </w:rPr>
      </w:pPr>
      <w:r>
        <w:rPr>
          <w:rFonts w:hint="eastAsia" w:ascii="宋体" w:hAnsi="宋体" w:eastAsia="宋体" w:cs="宋体"/>
          <w:b/>
          <w:bCs/>
          <w:i w:val="0"/>
          <w:iCs w:val="0"/>
          <w:color w:val="auto"/>
          <w:sz w:val="32"/>
          <w:szCs w:val="32"/>
          <w:highlight w:val="none"/>
        </w:rPr>
        <w:t>（如有委托时）</w:t>
      </w:r>
    </w:p>
    <w:p w14:paraId="22E9A7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auto"/>
          <w:sz w:val="44"/>
          <w:szCs w:val="44"/>
          <w:highlight w:val="none"/>
        </w:rPr>
      </w:pPr>
    </w:p>
    <w:p w14:paraId="0D9E86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i w:val="0"/>
          <w:iCs w:val="0"/>
          <w:color w:val="auto"/>
          <w:sz w:val="32"/>
          <w:szCs w:val="32"/>
          <w:highlight w:val="none"/>
        </w:rPr>
      </w:pPr>
    </w:p>
    <w:p w14:paraId="5B6C797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本授权委托书声明：根据</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（牵头人名称）与</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（联合体其他成员名称）签订的《联合体竞标协议书》的内容，</w:t>
      </w:r>
      <w:r>
        <w:rPr>
          <w:rFonts w:hint="eastAsia" w:ascii="宋体" w:hAnsi="宋体" w:eastAsia="宋体" w:cs="宋体"/>
          <w:i w:val="0"/>
          <w:iCs w:val="0"/>
          <w:color w:val="auto"/>
          <w:szCs w:val="21"/>
          <w:highlight w:val="none"/>
          <w:u w:val="single"/>
        </w:rPr>
        <w:t xml:space="preserve">                       </w:t>
      </w:r>
      <w:r>
        <w:rPr>
          <w:rFonts w:hint="eastAsia" w:ascii="宋体" w:hAnsi="宋体" w:eastAsia="宋体" w:cs="宋体"/>
          <w:i w:val="0"/>
          <w:iCs w:val="0"/>
          <w:color w:val="auto"/>
          <w:szCs w:val="21"/>
          <w:highlight w:val="none"/>
        </w:rPr>
        <w:t>（牵头人名称）的法定代表人</w:t>
      </w:r>
      <w:r>
        <w:rPr>
          <w:rFonts w:hint="eastAsia" w:ascii="宋体" w:hAnsi="宋体" w:eastAsia="宋体" w:cs="宋体"/>
          <w:i w:val="0"/>
          <w:iCs w:val="0"/>
          <w:color w:val="auto"/>
          <w:szCs w:val="21"/>
          <w:highlight w:val="none"/>
          <w:u w:val="single"/>
        </w:rPr>
        <w:t xml:space="preserve">      （姓名）</w:t>
      </w:r>
      <w:r>
        <w:rPr>
          <w:rFonts w:hint="eastAsia" w:ascii="宋体" w:hAnsi="宋体" w:eastAsia="宋体" w:cs="宋体"/>
          <w:i w:val="0"/>
          <w:iCs w:val="0"/>
          <w:color w:val="auto"/>
          <w:szCs w:val="21"/>
          <w:highlight w:val="none"/>
        </w:rPr>
        <w:t>现授权</w:t>
      </w:r>
      <w:r>
        <w:rPr>
          <w:rFonts w:hint="eastAsia" w:ascii="宋体" w:hAnsi="宋体" w:eastAsia="宋体" w:cs="宋体"/>
          <w:i w:val="0"/>
          <w:iCs w:val="0"/>
          <w:color w:val="auto"/>
          <w:szCs w:val="21"/>
          <w:highlight w:val="none"/>
          <w:u w:val="single"/>
        </w:rPr>
        <w:t xml:space="preserve">      （姓名）</w:t>
      </w:r>
      <w:r>
        <w:rPr>
          <w:rFonts w:hint="eastAsia" w:ascii="宋体" w:hAnsi="宋体" w:eastAsia="宋体" w:cs="宋体"/>
          <w:i w:val="0"/>
          <w:iCs w:val="0"/>
          <w:color w:val="auto"/>
          <w:szCs w:val="21"/>
          <w:highlight w:val="none"/>
        </w:rPr>
        <w:t>为联合委托代理人，并代表我方全权办理针对上述项目的所有采购程序和环节的具体事务和签署相关文件。</w:t>
      </w:r>
    </w:p>
    <w:p w14:paraId="316D2E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我方对委托代理人的签字事项负全部责任。</w:t>
      </w:r>
    </w:p>
    <w:p w14:paraId="7B5172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本授权书自签署之日起生效，在撤销授权的书面通知以前，本授权书一直有效。委托代理人在授权书有效期内签署的所有文件不因授权的撤销而失效。</w:t>
      </w:r>
    </w:p>
    <w:p w14:paraId="5D13BF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委托代理人无转委托权，特此委托。</w:t>
      </w:r>
    </w:p>
    <w:p w14:paraId="5041B2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 xml:space="preserve">    </w:t>
      </w:r>
    </w:p>
    <w:p w14:paraId="6B8916C6">
      <w:pPr>
        <w:keepNext w:val="0"/>
        <w:keepLines w:val="0"/>
        <w:pageBreakBefore w:val="0"/>
        <w:widowControl w:val="0"/>
        <w:kinsoku/>
        <w:wordWrap/>
        <w:overflowPunct/>
        <w:topLinePunct w:val="0"/>
        <w:autoSpaceDE/>
        <w:autoSpaceDN/>
        <w:bidi w:val="0"/>
        <w:adjustRightInd/>
        <w:snapToGrid/>
        <w:spacing w:line="360" w:lineRule="auto"/>
        <w:ind w:firstLine="1365" w:firstLineChars="65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牵头人法定代表人（签字）：</w:t>
      </w:r>
    </w:p>
    <w:p w14:paraId="5A3EFCE2">
      <w:pPr>
        <w:keepNext w:val="0"/>
        <w:keepLines w:val="0"/>
        <w:pageBreakBefore w:val="0"/>
        <w:widowControl w:val="0"/>
        <w:kinsoku/>
        <w:wordWrap/>
        <w:overflowPunct/>
        <w:topLinePunct w:val="0"/>
        <w:autoSpaceDE/>
        <w:autoSpaceDN/>
        <w:bidi w:val="0"/>
        <w:adjustRightInd/>
        <w:snapToGrid/>
        <w:spacing w:line="360" w:lineRule="auto"/>
        <w:ind w:firstLine="2730" w:firstLineChars="13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牵头人名称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i w:val="0"/>
          <w:iCs w:val="0"/>
          <w:color w:val="auto"/>
          <w:szCs w:val="21"/>
          <w:highlight w:val="none"/>
        </w:rPr>
        <w:t>：</w:t>
      </w:r>
    </w:p>
    <w:p w14:paraId="27C25548">
      <w:pPr>
        <w:keepNext w:val="0"/>
        <w:keepLines w:val="0"/>
        <w:pageBreakBefore w:val="0"/>
        <w:widowControl w:val="0"/>
        <w:kinsoku/>
        <w:wordWrap/>
        <w:overflowPunct/>
        <w:topLinePunct w:val="0"/>
        <w:autoSpaceDE/>
        <w:autoSpaceDN/>
        <w:bidi w:val="0"/>
        <w:adjustRightInd/>
        <w:snapToGrid/>
        <w:spacing w:line="360" w:lineRule="auto"/>
        <w:ind w:firstLine="3360" w:firstLineChars="16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日期：    年   月   日</w:t>
      </w:r>
    </w:p>
    <w:p w14:paraId="382C45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p>
    <w:p w14:paraId="4B1209A5">
      <w:pPr>
        <w:keepNext w:val="0"/>
        <w:keepLines w:val="0"/>
        <w:pageBreakBefore w:val="0"/>
        <w:widowControl w:val="0"/>
        <w:kinsoku/>
        <w:wordWrap/>
        <w:overflowPunct/>
        <w:topLinePunct w:val="0"/>
        <w:autoSpaceDE/>
        <w:autoSpaceDN/>
        <w:bidi w:val="0"/>
        <w:adjustRightInd/>
        <w:snapToGrid/>
        <w:spacing w:line="360" w:lineRule="auto"/>
        <w:ind w:firstLine="2730" w:firstLineChars="13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委托代理人（签字）：</w:t>
      </w:r>
    </w:p>
    <w:p w14:paraId="2EAF00CD">
      <w:pPr>
        <w:keepNext w:val="0"/>
        <w:keepLines w:val="0"/>
        <w:pageBreakBefore w:val="0"/>
        <w:widowControl w:val="0"/>
        <w:kinsoku/>
        <w:wordWrap/>
        <w:overflowPunct/>
        <w:topLinePunct w:val="0"/>
        <w:autoSpaceDE/>
        <w:autoSpaceDN/>
        <w:bidi w:val="0"/>
        <w:adjustRightInd/>
        <w:snapToGrid/>
        <w:spacing w:line="360" w:lineRule="auto"/>
        <w:ind w:firstLine="3360" w:firstLineChars="16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日期：    年   月   日</w:t>
      </w:r>
    </w:p>
    <w:p w14:paraId="692910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szCs w:val="21"/>
          <w:highlight w:val="none"/>
        </w:rPr>
      </w:pPr>
    </w:p>
    <w:p w14:paraId="0B46D8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注：</w:t>
      </w:r>
    </w:p>
    <w:p w14:paraId="220BA9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1. 法定代表人和委托代理人必须在授权委托书上签字，</w:t>
      </w:r>
      <w:r>
        <w:rPr>
          <w:rFonts w:hint="eastAsia" w:ascii="宋体" w:hAnsi="宋体" w:eastAsia="宋体" w:cs="宋体"/>
          <w:b/>
          <w:i w:val="0"/>
          <w:iCs w:val="0"/>
          <w:color w:val="auto"/>
          <w:szCs w:val="21"/>
          <w:highlight w:val="none"/>
        </w:rPr>
        <w:t>否则其响应文件按无效响应处理。</w:t>
      </w:r>
    </w:p>
    <w:p w14:paraId="49F0471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2.本授权委托书应由联合体牵头人的法定代表人按上述规定签署。</w:t>
      </w:r>
    </w:p>
    <w:p w14:paraId="0FD1721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6F6199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i w:val="0"/>
          <w:iCs w:val="0"/>
          <w:color w:val="auto"/>
          <w:szCs w:val="21"/>
          <w:highlight w:val="none"/>
        </w:rPr>
      </w:pPr>
      <w:r>
        <w:rPr>
          <w:rFonts w:hint="eastAsia" w:ascii="宋体" w:hAnsi="宋体" w:eastAsia="宋体" w:cs="宋体"/>
          <w:i w:val="0"/>
          <w:iCs w:val="0"/>
          <w:color w:val="auto"/>
          <w:szCs w:val="21"/>
          <w:highlight w:val="none"/>
        </w:rPr>
        <w:t>4.法人、其他组织竞标时“我方”是指“我单位”，自然人竞标时“我方”是指“本人”。</w:t>
      </w:r>
    </w:p>
    <w:p w14:paraId="6A45FF89">
      <w:pPr>
        <w:spacing w:line="360" w:lineRule="auto"/>
        <w:ind w:firstLine="420" w:firstLineChars="200"/>
        <w:jc w:val="left"/>
        <w:rPr>
          <w:rFonts w:hint="eastAsia" w:ascii="宋体" w:hAnsi="宋体" w:eastAsia="宋体" w:cs="宋体"/>
          <w:color w:val="auto"/>
          <w:szCs w:val="21"/>
          <w:highlight w:val="none"/>
        </w:rPr>
      </w:pPr>
    </w:p>
    <w:p w14:paraId="2DCE759C">
      <w:pPr>
        <w:keepNext w:val="0"/>
        <w:keepLines w:val="0"/>
        <w:pageBreakBefore w:val="0"/>
        <w:widowControl w:val="0"/>
        <w:kinsoku/>
        <w:wordWrap/>
        <w:overflowPunct/>
        <w:topLinePunct w:val="0"/>
        <w:autoSpaceDE/>
        <w:autoSpaceDN/>
        <w:bidi w:val="0"/>
        <w:adjustRightInd/>
        <w:spacing w:line="360" w:lineRule="auto"/>
        <w:jc w:val="left"/>
        <w:textAlignment w:val="auto"/>
        <w:rPr>
          <w:rFonts w:hint="eastAsia" w:ascii="宋体" w:hAnsi="宋体" w:eastAsia="宋体" w:cs="宋体"/>
          <w:b/>
          <w:color w:val="auto"/>
          <w:sz w:val="30"/>
          <w:szCs w:val="30"/>
          <w:highlight w:val="none"/>
        </w:rPr>
      </w:pPr>
      <w:r>
        <w:rPr>
          <w:rFonts w:hint="eastAsia" w:ascii="宋体" w:hAnsi="宋体" w:eastAsia="宋体" w:cs="宋体"/>
          <w:color w:val="auto"/>
          <w:sz w:val="32"/>
          <w:szCs w:val="32"/>
          <w:highlight w:val="none"/>
        </w:rPr>
        <w:br w:type="page"/>
      </w:r>
      <w:r>
        <w:rPr>
          <w:rFonts w:hint="eastAsia" w:ascii="宋体" w:hAnsi="宋体" w:eastAsia="宋体" w:cs="宋体"/>
          <w:b/>
          <w:color w:val="auto"/>
          <w:sz w:val="28"/>
          <w:szCs w:val="28"/>
          <w:highlight w:val="none"/>
        </w:rPr>
        <w:t>商务条款偏离表的格式：</w:t>
      </w:r>
    </w:p>
    <w:p w14:paraId="70D91404">
      <w:pPr>
        <w:pStyle w:val="2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highlight w:val="none"/>
        </w:rPr>
      </w:pPr>
    </w:p>
    <w:p w14:paraId="3170D5A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商务条款偏离表</w:t>
      </w:r>
    </w:p>
    <w:p w14:paraId="29202C4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32"/>
          <w:szCs w:val="32"/>
          <w:highlight w:val="none"/>
        </w:rPr>
      </w:pPr>
    </w:p>
    <w:p w14:paraId="7B397232">
      <w:pPr>
        <w:keepNext w:val="0"/>
        <w:keepLines w:val="0"/>
        <w:pageBreakBefore w:val="0"/>
        <w:widowControl w:val="0"/>
        <w:kinsoku/>
        <w:wordWrap/>
        <w:overflowPunct/>
        <w:topLinePunct w:val="0"/>
        <w:autoSpaceDE/>
        <w:autoSpaceDN/>
        <w:bidi w:val="0"/>
        <w:adjustRightInd/>
        <w:spacing w:line="360" w:lineRule="auto"/>
        <w:contextualSpacing/>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p>
    <w:p w14:paraId="58966CF6">
      <w:pPr>
        <w:keepNext w:val="0"/>
        <w:keepLines w:val="0"/>
        <w:pageBreakBefore w:val="0"/>
        <w:widowControl w:val="0"/>
        <w:kinsoku/>
        <w:wordWrap/>
        <w:overflowPunct/>
        <w:topLinePunct w:val="0"/>
        <w:autoSpaceDE/>
        <w:autoSpaceDN/>
        <w:bidi w:val="0"/>
        <w:adjustRightInd/>
        <w:spacing w:line="360" w:lineRule="auto"/>
        <w:contextualSpacing/>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p>
    <w:p w14:paraId="61059D3C">
      <w:pPr>
        <w:keepNext w:val="0"/>
        <w:keepLines w:val="0"/>
        <w:pageBreakBefore w:val="0"/>
        <w:widowControl w:val="0"/>
        <w:kinsoku/>
        <w:wordWrap/>
        <w:overflowPunct/>
        <w:topLinePunct w:val="0"/>
        <w:autoSpaceDE/>
        <w:autoSpaceDN/>
        <w:bidi w:val="0"/>
        <w:adjustRightInd/>
        <w:spacing w:line="360" w:lineRule="auto"/>
        <w:contextualSpacing/>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所竞分标（如有则填写，无分标时填写“无”或者留空）：</w:t>
      </w:r>
      <w:r>
        <w:rPr>
          <w:rFonts w:hint="eastAsia" w:ascii="宋体" w:hAnsi="宋体" w:eastAsia="宋体" w:cs="宋体"/>
          <w:color w:val="auto"/>
          <w:szCs w:val="21"/>
          <w:highlight w:val="none"/>
          <w:u w:val="single"/>
        </w:rPr>
        <w:t xml:space="preserve">                </w:t>
      </w:r>
    </w:p>
    <w:tbl>
      <w:tblPr>
        <w:tblStyle w:val="29"/>
        <w:tblpPr w:leftFromText="180" w:rightFromText="180" w:vertAnchor="text" w:horzAnchor="page" w:tblpX="1230" w:tblpY="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271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6557E5E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765C55B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竞争性磋商文件的商务需求</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23073C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16DDDC8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4EAE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4582441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47B811C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52E482C">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24FE8F53">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r>
      <w:tr w14:paraId="1F2E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736A831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121590A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754F5E7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1B9F5FA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r>
      <w:tr w14:paraId="153A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3F124DB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5182C1D0">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4B8E397">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36B43549">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r>
      <w:tr w14:paraId="1F50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114820E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6D7232E7">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6F94C64C">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7AA938C1">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r>
      <w:tr w14:paraId="1B66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4E792A7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2C6AF7C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564F0F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683DE14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r>
      <w:tr w14:paraId="4F8C2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3A248BE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7D425095">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7BC31FB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6926C69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p>
        </w:tc>
      </w:tr>
    </w:tbl>
    <w:p w14:paraId="42CE764A">
      <w:pPr>
        <w:pStyle w:val="14"/>
        <w:keepNext w:val="0"/>
        <w:keepLines w:val="0"/>
        <w:pageBreakBefore w:val="0"/>
        <w:widowControl w:val="0"/>
        <w:kinsoku/>
        <w:wordWrap/>
        <w:overflowPunct/>
        <w:topLinePunct w:val="0"/>
        <w:autoSpaceDE/>
        <w:autoSpaceDN/>
        <w:bidi w:val="0"/>
        <w:adjustRightInd/>
        <w:spacing w:line="360" w:lineRule="auto"/>
        <w:ind w:firstLine="0" w:firstLineChars="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4E7074B0">
      <w:pPr>
        <w:pStyle w:val="14"/>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1.应对照磋商文件“第二章 采购需求”中的商务条款逐条作出明确响应，并作出偏离说明。</w:t>
      </w:r>
    </w:p>
    <w:p w14:paraId="20E5D21C">
      <w:pPr>
        <w:pStyle w:val="14"/>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2.供应商应根据自身的承诺，对照磋商文件要求，在“偏离说明”中注明“正偏离”或者“负偏离”或者“无偏离”。既不属于“正偏离”也不属于“负偏离”即为“无偏离”。 当响应文件的商务内容低于竞争性磋商文件要求时，供应商应当如实写明“负偏离”，否则视为虚假应标</w:t>
      </w:r>
      <w:r>
        <w:rPr>
          <w:rFonts w:hint="eastAsia" w:ascii="宋体" w:hAnsi="宋体" w:eastAsia="宋体" w:cs="宋体"/>
          <w:color w:val="auto"/>
          <w:sz w:val="21"/>
          <w:szCs w:val="21"/>
          <w:highlight w:val="none"/>
          <w:lang w:eastAsia="zh-CN"/>
        </w:rPr>
        <w:t>。</w:t>
      </w:r>
    </w:p>
    <w:p w14:paraId="26E3E676">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3.表格内容均需按要求填写，不得留空，</w:t>
      </w:r>
      <w:r>
        <w:rPr>
          <w:rFonts w:hint="eastAsia" w:ascii="宋体" w:hAnsi="宋体" w:eastAsia="宋体" w:cs="宋体"/>
          <w:b/>
          <w:bCs/>
          <w:color w:val="auto"/>
          <w:kern w:val="0"/>
          <w:szCs w:val="21"/>
          <w:highlight w:val="none"/>
        </w:rPr>
        <w:t>否则按竞标无效处理。</w:t>
      </w:r>
    </w:p>
    <w:p w14:paraId="24020071">
      <w:pPr>
        <w:keepNext w:val="0"/>
        <w:keepLines w:val="0"/>
        <w:pageBreakBefore w:val="0"/>
        <w:widowControl w:val="0"/>
        <w:kinsoku/>
        <w:wordWrap/>
        <w:overflowPunct/>
        <w:topLinePunct w:val="0"/>
        <w:autoSpaceDE/>
        <w:autoSpaceDN/>
        <w:bidi w:val="0"/>
        <w:adjustRightInd/>
        <w:spacing w:line="360" w:lineRule="auto"/>
        <w:ind w:firstLine="420" w:firstLineChars="200"/>
        <w:contextualSpacing/>
        <w:textAlignment w:val="auto"/>
        <w:rPr>
          <w:rFonts w:hint="eastAsia" w:ascii="宋体" w:hAnsi="宋体" w:eastAsia="宋体" w:cs="宋体"/>
          <w:color w:val="auto"/>
          <w:kern w:val="0"/>
          <w:szCs w:val="21"/>
          <w:highlight w:val="none"/>
        </w:rPr>
      </w:pPr>
    </w:p>
    <w:p w14:paraId="547F0ED7">
      <w:pPr>
        <w:keepNext w:val="0"/>
        <w:keepLines w:val="0"/>
        <w:pageBreakBefore w:val="0"/>
        <w:widowControl w:val="0"/>
        <w:kinsoku/>
        <w:wordWrap/>
        <w:overflowPunct/>
        <w:topLinePunct w:val="0"/>
        <w:autoSpaceDE/>
        <w:autoSpaceDN/>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3D25495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7C36437">
      <w:pPr>
        <w:snapToGrid w:val="0"/>
        <w:spacing w:line="360" w:lineRule="auto"/>
        <w:ind w:firstLine="602" w:firstLineChars="200"/>
        <w:rPr>
          <w:rFonts w:hint="eastAsia" w:ascii="宋体" w:hAnsi="宋体" w:eastAsia="宋体" w:cs="宋体"/>
          <w:b/>
          <w:color w:val="auto"/>
          <w:sz w:val="30"/>
          <w:szCs w:val="30"/>
          <w:highlight w:val="none"/>
        </w:rPr>
      </w:pPr>
    </w:p>
    <w:p w14:paraId="144D9927">
      <w:pPr>
        <w:snapToGrid w:val="0"/>
        <w:spacing w:line="360" w:lineRule="auto"/>
        <w:ind w:firstLine="602" w:firstLineChars="200"/>
        <w:rPr>
          <w:rFonts w:hint="eastAsia" w:ascii="宋体" w:hAnsi="宋体" w:eastAsia="宋体" w:cs="宋体"/>
          <w:b/>
          <w:color w:val="auto"/>
          <w:sz w:val="30"/>
          <w:szCs w:val="30"/>
          <w:highlight w:val="none"/>
        </w:rPr>
      </w:pPr>
    </w:p>
    <w:p w14:paraId="19F50133">
      <w:pPr>
        <w:pStyle w:val="7"/>
        <w:rPr>
          <w:rFonts w:hint="eastAsia" w:ascii="宋体" w:hAnsi="宋体" w:eastAsia="宋体" w:cs="宋体"/>
          <w:b/>
          <w:color w:val="auto"/>
          <w:sz w:val="30"/>
          <w:szCs w:val="30"/>
          <w:highlight w:val="none"/>
        </w:rPr>
      </w:pPr>
    </w:p>
    <w:p w14:paraId="2F9B251A">
      <w:pPr>
        <w:pStyle w:val="7"/>
        <w:rPr>
          <w:rFonts w:hint="eastAsia" w:ascii="宋体" w:hAnsi="宋体" w:eastAsia="宋体" w:cs="宋体"/>
          <w:b/>
          <w:color w:val="auto"/>
          <w:sz w:val="30"/>
          <w:szCs w:val="30"/>
          <w:highlight w:val="none"/>
        </w:rPr>
      </w:pPr>
    </w:p>
    <w:p w14:paraId="3085FD62">
      <w:pPr>
        <w:snapToGrid w:val="0"/>
        <w:spacing w:before="120" w:beforeLines="50" w:after="50"/>
        <w:rPr>
          <w:rFonts w:hint="eastAsia" w:ascii="宋体" w:hAnsi="宋体" w:eastAsia="宋体" w:cs="宋体"/>
          <w:b/>
          <w:color w:val="auto"/>
          <w:sz w:val="28"/>
          <w:szCs w:val="28"/>
          <w:highlight w:val="none"/>
        </w:rPr>
        <w:sectPr>
          <w:pgSz w:w="11911" w:h="16838"/>
          <w:pgMar w:top="1134" w:right="1134" w:bottom="1134" w:left="1134" w:header="720" w:footer="720" w:gutter="0"/>
          <w:pgBorders>
            <w:top w:val="none" w:sz="0" w:space="0"/>
            <w:left w:val="none" w:sz="0" w:space="0"/>
            <w:bottom w:val="none" w:sz="0" w:space="0"/>
            <w:right w:val="none" w:sz="0" w:space="0"/>
          </w:pgBorders>
          <w:cols w:space="720" w:num="1"/>
        </w:sectPr>
      </w:pPr>
    </w:p>
    <w:p w14:paraId="0924ABF2">
      <w:pPr>
        <w:keepNext w:val="0"/>
        <w:keepLines w:val="0"/>
        <w:pageBreakBefore w:val="0"/>
        <w:widowControl w:val="0"/>
        <w:kinsoku/>
        <w:wordWrap/>
        <w:overflowPunct/>
        <w:topLinePunct w:val="0"/>
        <w:autoSpaceDE/>
        <w:autoSpaceDN/>
        <w:bidi w:val="0"/>
        <w:adjustRightInd/>
        <w:snapToGrid w:val="0"/>
        <w:spacing w:before="120" w:beforeLines="50" w:after="50" w:line="360" w:lineRule="auto"/>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建设工程项目管理承诺书的格式：</w:t>
      </w:r>
    </w:p>
    <w:p w14:paraId="2F37335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8"/>
          <w:szCs w:val="28"/>
          <w:highlight w:val="none"/>
        </w:rPr>
      </w:pPr>
    </w:p>
    <w:p w14:paraId="20F028F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建设工程项目管理承诺书</w:t>
      </w:r>
    </w:p>
    <w:p w14:paraId="237CC7F1">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4"/>
          <w:highlight w:val="none"/>
        </w:rPr>
      </w:pPr>
    </w:p>
    <w:p w14:paraId="2BD44476">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（采购人名称）：</w:t>
      </w:r>
    </w:p>
    <w:p w14:paraId="67E65ABB">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作为参与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（项目名称）项目的供应商，根据国家、自治区相关文件规定，我方在此向采购人承诺：</w:t>
      </w:r>
    </w:p>
    <w:p w14:paraId="0DC08631">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一旦成交，我方保证按照政府相关部门的规定，在成交后7个工作日内，按照《保障农民工工资支付条例》规定及广西壮族自治区有关规定开设农民工工资专用账户，专项用于支付本工程提供劳动的农民工被拖欠的工资。按照与农民工依法约定的工资支付周期和具体支付日期支付工资，保证每月至少向农民工足额支付一次工资。</w:t>
      </w:r>
    </w:p>
    <w:p w14:paraId="3156C9C4">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0B7D89A9">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54FC5CE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66EA3C48">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6AD3FE6A">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Cs w:val="21"/>
          <w:highlight w:val="none"/>
        </w:rPr>
      </w:pPr>
    </w:p>
    <w:p w14:paraId="7252111F">
      <w:pPr>
        <w:keepNext w:val="0"/>
        <w:keepLines w:val="0"/>
        <w:pageBreakBefore w:val="0"/>
        <w:widowControl w:val="0"/>
        <w:kinsoku/>
        <w:wordWrap/>
        <w:overflowPunct/>
        <w:topLinePunct w:val="0"/>
        <w:autoSpaceDE/>
        <w:autoSpaceDN/>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1940E407">
      <w:pPr>
        <w:keepNext w:val="0"/>
        <w:keepLines w:val="0"/>
        <w:pageBreakBefore w:val="0"/>
        <w:widowControl w:val="0"/>
        <w:kinsoku/>
        <w:wordWrap/>
        <w:overflowPunct/>
        <w:topLinePunct w:val="0"/>
        <w:autoSpaceDE/>
        <w:autoSpaceDN/>
        <w:bidi w:val="0"/>
        <w:adjustRightInd/>
        <w:spacing w:line="360" w:lineRule="auto"/>
        <w:ind w:firstLine="420" w:firstLineChars="20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rPr>
        <w:br w:type="page"/>
      </w:r>
      <w:r>
        <w:rPr>
          <w:rFonts w:hint="eastAsia" w:ascii="宋体" w:hAnsi="宋体" w:eastAsia="宋体" w:cs="宋体"/>
          <w:b/>
          <w:bCs/>
          <w:color w:val="auto"/>
          <w:szCs w:val="21"/>
          <w:highlight w:val="none"/>
        </w:rPr>
        <w:t>广西壮族自治区建筑工程安全文明施工措施项目清单内容</w:t>
      </w:r>
    </w:p>
    <w:p w14:paraId="63B1C51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（桂建质〔2015〕16号文附件一）</w:t>
      </w:r>
    </w:p>
    <w:p w14:paraId="335D9E80">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广西壮族自治区</w:t>
      </w:r>
    </w:p>
    <w:p w14:paraId="0141C384">
      <w:pPr>
        <w:jc w:val="center"/>
        <w:rPr>
          <w:rFonts w:hint="eastAsia" w:ascii="宋体" w:hAnsi="宋体" w:eastAsia="宋体" w:cs="宋体"/>
          <w:b/>
          <w:bCs/>
          <w:color w:val="auto"/>
          <w:w w:val="90"/>
          <w:szCs w:val="21"/>
          <w:highlight w:val="none"/>
        </w:rPr>
      </w:pPr>
      <w:r>
        <w:rPr>
          <w:rFonts w:hint="eastAsia" w:ascii="宋体" w:hAnsi="宋体" w:eastAsia="宋体" w:cs="宋体"/>
          <w:b/>
          <w:bCs/>
          <w:color w:val="auto"/>
          <w:w w:val="90"/>
          <w:szCs w:val="21"/>
          <w:highlight w:val="none"/>
        </w:rPr>
        <w:t>建设工程安全文明施工措施项目清单内容</w:t>
      </w:r>
    </w:p>
    <w:p w14:paraId="369C633F">
      <w:pPr>
        <w:rPr>
          <w:rFonts w:hint="eastAsia" w:ascii="宋体" w:hAnsi="宋体" w:eastAsia="宋体" w:cs="宋体"/>
          <w:b/>
          <w:bCs/>
          <w:color w:val="auto"/>
          <w:w w:val="90"/>
          <w:szCs w:val="21"/>
          <w:highlight w:val="none"/>
        </w:rPr>
      </w:pPr>
    </w:p>
    <w:tbl>
      <w:tblPr>
        <w:tblStyle w:val="29"/>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2CB7EA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trPr>
        <w:tc>
          <w:tcPr>
            <w:tcW w:w="738" w:type="dxa"/>
            <w:tcBorders>
              <w:top w:val="single" w:color="auto" w:sz="12" w:space="0"/>
            </w:tcBorders>
            <w:noWrap w:val="0"/>
            <w:vAlign w:val="center"/>
          </w:tcPr>
          <w:p w14:paraId="799F4FF0">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类别</w:t>
            </w:r>
          </w:p>
        </w:tc>
        <w:tc>
          <w:tcPr>
            <w:tcW w:w="2070" w:type="dxa"/>
            <w:gridSpan w:val="2"/>
            <w:tcBorders>
              <w:top w:val="single" w:color="auto" w:sz="12" w:space="0"/>
            </w:tcBorders>
            <w:noWrap w:val="0"/>
            <w:vAlign w:val="center"/>
          </w:tcPr>
          <w:p w14:paraId="1A4248FA">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项目名称</w:t>
            </w:r>
          </w:p>
        </w:tc>
        <w:tc>
          <w:tcPr>
            <w:tcW w:w="6645" w:type="dxa"/>
            <w:tcBorders>
              <w:top w:val="single" w:color="auto" w:sz="12" w:space="0"/>
            </w:tcBorders>
            <w:noWrap w:val="0"/>
            <w:vAlign w:val="center"/>
          </w:tcPr>
          <w:p w14:paraId="01869C37">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主要内容和要求</w:t>
            </w:r>
          </w:p>
        </w:tc>
      </w:tr>
      <w:tr w14:paraId="44E69E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65D5B1B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文明</w:t>
            </w:r>
          </w:p>
          <w:p w14:paraId="777E16E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w:t>
            </w:r>
          </w:p>
          <w:p w14:paraId="2BD95F5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与</w:t>
            </w:r>
          </w:p>
          <w:p w14:paraId="3ECCED6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环境</w:t>
            </w:r>
          </w:p>
          <w:p w14:paraId="78C17E2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保护</w:t>
            </w:r>
          </w:p>
        </w:tc>
        <w:tc>
          <w:tcPr>
            <w:tcW w:w="2070" w:type="dxa"/>
            <w:gridSpan w:val="2"/>
            <w:noWrap w:val="0"/>
            <w:vAlign w:val="center"/>
          </w:tcPr>
          <w:p w14:paraId="7C3A25E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安全警示</w:t>
            </w:r>
          </w:p>
          <w:p w14:paraId="653D5A5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标志牌</w:t>
            </w:r>
          </w:p>
        </w:tc>
        <w:tc>
          <w:tcPr>
            <w:tcW w:w="6645" w:type="dxa"/>
            <w:noWrap w:val="0"/>
            <w:vAlign w:val="center"/>
          </w:tcPr>
          <w:p w14:paraId="733C226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在易发伤亡事故（或危险）处设置明显的、符合国家标准要求的安全警示标志牌。</w:t>
            </w:r>
          </w:p>
        </w:tc>
      </w:tr>
      <w:tr w14:paraId="611DB7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8FBCF36">
            <w:pPr>
              <w:rPr>
                <w:rFonts w:hint="eastAsia" w:ascii="宋体" w:hAnsi="宋体" w:eastAsia="宋体" w:cs="宋体"/>
                <w:color w:val="auto"/>
                <w:szCs w:val="21"/>
                <w:highlight w:val="none"/>
              </w:rPr>
            </w:pPr>
          </w:p>
        </w:tc>
        <w:tc>
          <w:tcPr>
            <w:tcW w:w="2070" w:type="dxa"/>
            <w:gridSpan w:val="2"/>
            <w:noWrap w:val="0"/>
            <w:vAlign w:val="center"/>
          </w:tcPr>
          <w:p w14:paraId="2BFCF51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现场围挡</w:t>
            </w:r>
          </w:p>
        </w:tc>
        <w:tc>
          <w:tcPr>
            <w:tcW w:w="6645" w:type="dxa"/>
            <w:noWrap w:val="0"/>
            <w:vAlign w:val="center"/>
          </w:tcPr>
          <w:p w14:paraId="2633F0E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现场采用封闭围挡，高度不小于1.8m。</w:t>
            </w:r>
          </w:p>
          <w:p w14:paraId="12BA145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围挡材料可用彩色、定型钢板，砌块等墙体。</w:t>
            </w:r>
          </w:p>
        </w:tc>
      </w:tr>
      <w:tr w14:paraId="0D3B7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821C1D3">
            <w:pPr>
              <w:rPr>
                <w:rFonts w:hint="eastAsia" w:ascii="宋体" w:hAnsi="宋体" w:eastAsia="宋体" w:cs="宋体"/>
                <w:color w:val="auto"/>
                <w:szCs w:val="21"/>
                <w:highlight w:val="none"/>
              </w:rPr>
            </w:pPr>
          </w:p>
        </w:tc>
        <w:tc>
          <w:tcPr>
            <w:tcW w:w="2070" w:type="dxa"/>
            <w:gridSpan w:val="2"/>
            <w:noWrap w:val="0"/>
            <w:vAlign w:val="center"/>
          </w:tcPr>
          <w:p w14:paraId="5BA09D7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七牌二图</w:t>
            </w:r>
          </w:p>
        </w:tc>
        <w:tc>
          <w:tcPr>
            <w:tcW w:w="6645" w:type="dxa"/>
            <w:noWrap w:val="0"/>
            <w:vAlign w:val="center"/>
          </w:tcPr>
          <w:p w14:paraId="680FF71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在进门处悬挂工程概况、现场出入制度、管理人员名单及监督电话、安全生产规定、文明施工、消防保卫、节能公示等七牌以及施工现场总平面图、工程效果图。</w:t>
            </w:r>
          </w:p>
        </w:tc>
      </w:tr>
      <w:tr w14:paraId="526047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6CB1193D">
            <w:pPr>
              <w:rPr>
                <w:rFonts w:hint="eastAsia" w:ascii="宋体" w:hAnsi="宋体" w:eastAsia="宋体" w:cs="宋体"/>
                <w:color w:val="auto"/>
                <w:szCs w:val="21"/>
                <w:highlight w:val="none"/>
              </w:rPr>
            </w:pPr>
          </w:p>
        </w:tc>
        <w:tc>
          <w:tcPr>
            <w:tcW w:w="2070" w:type="dxa"/>
            <w:gridSpan w:val="2"/>
            <w:noWrap w:val="0"/>
            <w:vAlign w:val="center"/>
          </w:tcPr>
          <w:p w14:paraId="65EC52B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企业标志</w:t>
            </w:r>
          </w:p>
        </w:tc>
        <w:tc>
          <w:tcPr>
            <w:tcW w:w="6645" w:type="dxa"/>
            <w:noWrap w:val="0"/>
            <w:vAlign w:val="center"/>
          </w:tcPr>
          <w:p w14:paraId="53EC802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现场出入的大门应设有本企业标志或企业标识。</w:t>
            </w:r>
          </w:p>
        </w:tc>
      </w:tr>
      <w:tr w14:paraId="42A955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002D2D3">
            <w:pPr>
              <w:rPr>
                <w:rFonts w:hint="eastAsia" w:ascii="宋体" w:hAnsi="宋体" w:eastAsia="宋体" w:cs="宋体"/>
                <w:color w:val="auto"/>
                <w:szCs w:val="21"/>
                <w:highlight w:val="none"/>
              </w:rPr>
            </w:pPr>
          </w:p>
        </w:tc>
        <w:tc>
          <w:tcPr>
            <w:tcW w:w="2070" w:type="dxa"/>
            <w:gridSpan w:val="2"/>
            <w:noWrap w:val="0"/>
            <w:vAlign w:val="center"/>
          </w:tcPr>
          <w:p w14:paraId="2C4413F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场容场貌</w:t>
            </w:r>
          </w:p>
        </w:tc>
        <w:tc>
          <w:tcPr>
            <w:tcW w:w="6645" w:type="dxa"/>
            <w:noWrap w:val="0"/>
            <w:vAlign w:val="center"/>
          </w:tcPr>
          <w:p w14:paraId="728A473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道路畅通。</w:t>
            </w:r>
          </w:p>
          <w:p w14:paraId="3B64A02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排水设施齐全畅通。</w:t>
            </w:r>
          </w:p>
          <w:p w14:paraId="5096EE6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工地地面硬化处理（办公区、生活区、现场道路、材料堆放、混凝土搅拌、砂浆搅拌、钢筋加工等场地和外脚手架基础等）。</w:t>
            </w:r>
          </w:p>
        </w:tc>
      </w:tr>
      <w:tr w14:paraId="69C7A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5556882">
            <w:pPr>
              <w:rPr>
                <w:rFonts w:hint="eastAsia" w:ascii="宋体" w:hAnsi="宋体" w:eastAsia="宋体" w:cs="宋体"/>
                <w:color w:val="auto"/>
                <w:szCs w:val="21"/>
                <w:highlight w:val="none"/>
              </w:rPr>
            </w:pPr>
          </w:p>
        </w:tc>
        <w:tc>
          <w:tcPr>
            <w:tcW w:w="2070" w:type="dxa"/>
            <w:gridSpan w:val="2"/>
            <w:noWrap w:val="0"/>
            <w:vAlign w:val="center"/>
          </w:tcPr>
          <w:p w14:paraId="430BE67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材料堆放</w:t>
            </w:r>
          </w:p>
        </w:tc>
        <w:tc>
          <w:tcPr>
            <w:tcW w:w="6645" w:type="dxa"/>
            <w:noWrap w:val="0"/>
            <w:vAlign w:val="center"/>
          </w:tcPr>
          <w:p w14:paraId="1690F99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材料、构件、料具等堆放时，应有名称、品种、规格等标牌。</w:t>
            </w:r>
          </w:p>
          <w:p w14:paraId="38C3ECA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水泥和其它易飞扬细颗粒建筑材料应封闭存放或采取覆盖等措施。</w:t>
            </w:r>
          </w:p>
          <w:p w14:paraId="4B0AC77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易燃、易爆和有毒有害物品分类存放。</w:t>
            </w:r>
          </w:p>
        </w:tc>
      </w:tr>
      <w:tr w14:paraId="714BAD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3B9E491">
            <w:pPr>
              <w:rPr>
                <w:rFonts w:hint="eastAsia" w:ascii="宋体" w:hAnsi="宋体" w:eastAsia="宋体" w:cs="宋体"/>
                <w:color w:val="auto"/>
                <w:szCs w:val="21"/>
                <w:highlight w:val="none"/>
              </w:rPr>
            </w:pPr>
          </w:p>
        </w:tc>
        <w:tc>
          <w:tcPr>
            <w:tcW w:w="2070" w:type="dxa"/>
            <w:gridSpan w:val="2"/>
            <w:noWrap w:val="0"/>
            <w:vAlign w:val="center"/>
          </w:tcPr>
          <w:p w14:paraId="55953E7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现场防火</w:t>
            </w:r>
          </w:p>
        </w:tc>
        <w:tc>
          <w:tcPr>
            <w:tcW w:w="6645" w:type="dxa"/>
            <w:noWrap w:val="0"/>
            <w:vAlign w:val="center"/>
          </w:tcPr>
          <w:p w14:paraId="38D65F6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消防器材配置合理，符合消防要求。</w:t>
            </w:r>
          </w:p>
        </w:tc>
      </w:tr>
      <w:tr w14:paraId="04D40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52B78DE">
            <w:pPr>
              <w:rPr>
                <w:rFonts w:hint="eastAsia" w:ascii="宋体" w:hAnsi="宋体" w:eastAsia="宋体" w:cs="宋体"/>
                <w:color w:val="auto"/>
                <w:szCs w:val="21"/>
                <w:highlight w:val="none"/>
              </w:rPr>
            </w:pPr>
          </w:p>
        </w:tc>
        <w:tc>
          <w:tcPr>
            <w:tcW w:w="2070" w:type="dxa"/>
            <w:gridSpan w:val="2"/>
            <w:noWrap w:val="0"/>
            <w:vAlign w:val="center"/>
          </w:tcPr>
          <w:p w14:paraId="77AFE13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垃圾清运</w:t>
            </w:r>
          </w:p>
        </w:tc>
        <w:tc>
          <w:tcPr>
            <w:tcW w:w="6645" w:type="dxa"/>
            <w:noWrap w:val="0"/>
            <w:vAlign w:val="center"/>
          </w:tcPr>
          <w:p w14:paraId="69A99D6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施工现场应设置密闭式垃圾站，施工垃圾、生活垃圾应分类存放。</w:t>
            </w:r>
          </w:p>
          <w:p w14:paraId="67F4148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施工垃圾必须采用相应容器或管道运输。</w:t>
            </w:r>
          </w:p>
        </w:tc>
      </w:tr>
      <w:tr w14:paraId="262ED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1054CC6">
            <w:pPr>
              <w:rPr>
                <w:rFonts w:hint="eastAsia" w:ascii="宋体" w:hAnsi="宋体" w:eastAsia="宋体" w:cs="宋体"/>
                <w:color w:val="auto"/>
                <w:szCs w:val="21"/>
                <w:highlight w:val="none"/>
              </w:rPr>
            </w:pPr>
          </w:p>
        </w:tc>
        <w:tc>
          <w:tcPr>
            <w:tcW w:w="2070" w:type="dxa"/>
            <w:gridSpan w:val="2"/>
            <w:noWrap w:val="0"/>
            <w:vAlign w:val="center"/>
          </w:tcPr>
          <w:p w14:paraId="70295CA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宣传栏、环保及不扰民措施</w:t>
            </w:r>
          </w:p>
        </w:tc>
        <w:tc>
          <w:tcPr>
            <w:tcW w:w="6645" w:type="dxa"/>
            <w:noWrap w:val="0"/>
            <w:vAlign w:val="center"/>
          </w:tcPr>
          <w:p w14:paraId="78F03F4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宣传栏、安全宣传标语等，洗车（防止污染市区道路）、粉尘、噪声控制和排污（污水、废气）措施等。</w:t>
            </w:r>
          </w:p>
        </w:tc>
      </w:tr>
      <w:tr w14:paraId="4FD30D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15DFABC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临时设施</w:t>
            </w:r>
          </w:p>
        </w:tc>
        <w:tc>
          <w:tcPr>
            <w:tcW w:w="2070" w:type="dxa"/>
            <w:gridSpan w:val="2"/>
            <w:noWrap w:val="0"/>
            <w:vAlign w:val="center"/>
          </w:tcPr>
          <w:p w14:paraId="46B477A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现场办公</w:t>
            </w:r>
          </w:p>
          <w:p w14:paraId="0C65147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生活设施</w:t>
            </w:r>
          </w:p>
        </w:tc>
        <w:tc>
          <w:tcPr>
            <w:tcW w:w="6645" w:type="dxa"/>
            <w:noWrap w:val="0"/>
            <w:vAlign w:val="center"/>
          </w:tcPr>
          <w:p w14:paraId="37012F9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施工现场办公、生活区与作业区分开设置，保持安全距离。</w:t>
            </w:r>
          </w:p>
          <w:p w14:paraId="7874F72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工地办公室、现场宿舍、食堂、厕所、饮水、沐浴、休息场所等符合卫生、消防安全要求。</w:t>
            </w:r>
          </w:p>
        </w:tc>
      </w:tr>
      <w:tr w14:paraId="06529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FEFF7E8">
            <w:pPr>
              <w:rPr>
                <w:rFonts w:hint="eastAsia" w:ascii="宋体" w:hAnsi="宋体" w:eastAsia="宋体" w:cs="宋体"/>
                <w:color w:val="auto"/>
                <w:szCs w:val="21"/>
                <w:highlight w:val="none"/>
              </w:rPr>
            </w:pPr>
          </w:p>
        </w:tc>
        <w:tc>
          <w:tcPr>
            <w:tcW w:w="525" w:type="dxa"/>
            <w:vMerge w:val="restart"/>
            <w:noWrap w:val="0"/>
            <w:vAlign w:val="center"/>
          </w:tcPr>
          <w:p w14:paraId="5C12BA5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施工现场</w:t>
            </w:r>
          </w:p>
          <w:p w14:paraId="319E552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临时用电</w:t>
            </w:r>
          </w:p>
        </w:tc>
        <w:tc>
          <w:tcPr>
            <w:tcW w:w="1545" w:type="dxa"/>
            <w:noWrap w:val="0"/>
            <w:vAlign w:val="center"/>
          </w:tcPr>
          <w:p w14:paraId="134266A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配电线路</w:t>
            </w:r>
          </w:p>
        </w:tc>
        <w:tc>
          <w:tcPr>
            <w:tcW w:w="6645" w:type="dxa"/>
            <w:noWrap w:val="0"/>
            <w:vAlign w:val="center"/>
          </w:tcPr>
          <w:p w14:paraId="23D3C3A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按照TN-S系统要求配备五芯电缆、四芯电缆和三芯电缆。</w:t>
            </w:r>
          </w:p>
          <w:p w14:paraId="4343C78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按要求架设临时用电线路的电杆、横担、瓷夹、瓷瓶等，或电缆埋地的地沟。</w:t>
            </w:r>
          </w:p>
          <w:p w14:paraId="3156F18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对靠近施工现场的外电线路，设置木质、塑料等绝缘体的防护设施。</w:t>
            </w:r>
          </w:p>
        </w:tc>
      </w:tr>
      <w:tr w14:paraId="0BD385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64F7616">
            <w:pPr>
              <w:rPr>
                <w:rFonts w:hint="eastAsia" w:ascii="宋体" w:hAnsi="宋体" w:eastAsia="宋体" w:cs="宋体"/>
                <w:color w:val="auto"/>
                <w:szCs w:val="21"/>
                <w:highlight w:val="none"/>
              </w:rPr>
            </w:pPr>
          </w:p>
        </w:tc>
        <w:tc>
          <w:tcPr>
            <w:tcW w:w="525" w:type="dxa"/>
            <w:vMerge w:val="continue"/>
            <w:noWrap w:val="0"/>
            <w:vAlign w:val="center"/>
          </w:tcPr>
          <w:p w14:paraId="2F4B132C">
            <w:pPr>
              <w:rPr>
                <w:rFonts w:hint="eastAsia" w:ascii="宋体" w:hAnsi="宋体" w:eastAsia="宋体" w:cs="宋体"/>
                <w:color w:val="auto"/>
                <w:szCs w:val="21"/>
                <w:highlight w:val="none"/>
              </w:rPr>
            </w:pPr>
          </w:p>
        </w:tc>
        <w:tc>
          <w:tcPr>
            <w:tcW w:w="1545" w:type="dxa"/>
            <w:noWrap w:val="0"/>
            <w:vAlign w:val="center"/>
          </w:tcPr>
          <w:p w14:paraId="0AE4619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配电箱</w:t>
            </w:r>
          </w:p>
          <w:p w14:paraId="682FA11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开关箱</w:t>
            </w:r>
          </w:p>
        </w:tc>
        <w:tc>
          <w:tcPr>
            <w:tcW w:w="6645" w:type="dxa"/>
            <w:noWrap w:val="0"/>
            <w:vAlign w:val="center"/>
          </w:tcPr>
          <w:p w14:paraId="684F983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按三级配电要求，配备总配电箱、分配电箱、开关箱三类（铁质）标准电箱，开关箱应符合“一机、一箱、一闸、一漏”，三类电箱中的各类电器应是合格品。</w:t>
            </w:r>
          </w:p>
          <w:p w14:paraId="7AEB75E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按两级保护的要求，选取符合容量要求和质量合格的总配电箱和开关箱中的漏电保护器。</w:t>
            </w:r>
          </w:p>
          <w:p w14:paraId="3138623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3. 对大型、落地式分配电箱、开关箱设置防护棚和通透式围挡。</w:t>
            </w:r>
          </w:p>
        </w:tc>
      </w:tr>
      <w:tr w14:paraId="10D6E5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585875E1">
            <w:pPr>
              <w:rPr>
                <w:rFonts w:hint="eastAsia" w:ascii="宋体" w:hAnsi="宋体" w:eastAsia="宋体" w:cs="宋体"/>
                <w:color w:val="auto"/>
                <w:szCs w:val="21"/>
                <w:highlight w:val="none"/>
              </w:rPr>
            </w:pPr>
          </w:p>
        </w:tc>
        <w:tc>
          <w:tcPr>
            <w:tcW w:w="525" w:type="dxa"/>
            <w:vMerge w:val="continue"/>
            <w:noWrap w:val="0"/>
            <w:vAlign w:val="center"/>
          </w:tcPr>
          <w:p w14:paraId="24EB9CE4">
            <w:pPr>
              <w:rPr>
                <w:rFonts w:hint="eastAsia" w:ascii="宋体" w:hAnsi="宋体" w:eastAsia="宋体" w:cs="宋体"/>
                <w:color w:val="auto"/>
                <w:szCs w:val="21"/>
                <w:highlight w:val="none"/>
              </w:rPr>
            </w:pPr>
          </w:p>
        </w:tc>
        <w:tc>
          <w:tcPr>
            <w:tcW w:w="1545" w:type="dxa"/>
            <w:noWrap w:val="0"/>
            <w:vAlign w:val="center"/>
          </w:tcPr>
          <w:p w14:paraId="0D9657CA">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接地装置</w:t>
            </w:r>
          </w:p>
        </w:tc>
        <w:tc>
          <w:tcPr>
            <w:tcW w:w="6645" w:type="dxa"/>
            <w:noWrap w:val="0"/>
            <w:vAlign w:val="center"/>
          </w:tcPr>
          <w:p w14:paraId="53A2692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施工现场应设置不少于三处的重复接地装置。</w:t>
            </w:r>
          </w:p>
        </w:tc>
      </w:tr>
      <w:tr w14:paraId="2027F6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021C48F7">
            <w:pPr>
              <w:rPr>
                <w:rFonts w:hint="eastAsia" w:ascii="宋体" w:hAnsi="宋体" w:eastAsia="宋体" w:cs="宋体"/>
                <w:color w:val="auto"/>
                <w:szCs w:val="21"/>
                <w:highlight w:val="none"/>
              </w:rPr>
            </w:pPr>
          </w:p>
        </w:tc>
        <w:tc>
          <w:tcPr>
            <w:tcW w:w="525" w:type="dxa"/>
            <w:vMerge w:val="continue"/>
            <w:noWrap w:val="0"/>
            <w:vAlign w:val="center"/>
          </w:tcPr>
          <w:p w14:paraId="21D2C7FD">
            <w:pPr>
              <w:rPr>
                <w:rFonts w:hint="eastAsia" w:ascii="宋体" w:hAnsi="宋体" w:eastAsia="宋体" w:cs="宋体"/>
                <w:color w:val="auto"/>
                <w:szCs w:val="21"/>
                <w:highlight w:val="none"/>
              </w:rPr>
            </w:pPr>
          </w:p>
        </w:tc>
        <w:tc>
          <w:tcPr>
            <w:tcW w:w="1545" w:type="dxa"/>
            <w:noWrap w:val="0"/>
            <w:vAlign w:val="center"/>
          </w:tcPr>
          <w:p w14:paraId="2253B54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现场变配电装置</w:t>
            </w:r>
          </w:p>
        </w:tc>
        <w:tc>
          <w:tcPr>
            <w:tcW w:w="6645" w:type="dxa"/>
            <w:noWrap w:val="0"/>
            <w:vAlign w:val="center"/>
          </w:tcPr>
          <w:p w14:paraId="7F85957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总配电房建筑材料必须达到消防防火要求，室内做硬地坪、电缆沟。</w:t>
            </w:r>
          </w:p>
        </w:tc>
      </w:tr>
      <w:tr w14:paraId="7E101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738" w:type="dxa"/>
            <w:noWrap w:val="0"/>
            <w:vAlign w:val="center"/>
          </w:tcPr>
          <w:p w14:paraId="217E45AF">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类别</w:t>
            </w:r>
          </w:p>
        </w:tc>
        <w:tc>
          <w:tcPr>
            <w:tcW w:w="2070" w:type="dxa"/>
            <w:gridSpan w:val="2"/>
            <w:noWrap w:val="0"/>
            <w:vAlign w:val="center"/>
          </w:tcPr>
          <w:p w14:paraId="799DE6EE">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项目名称</w:t>
            </w:r>
          </w:p>
        </w:tc>
        <w:tc>
          <w:tcPr>
            <w:tcW w:w="6645" w:type="dxa"/>
            <w:noWrap w:val="0"/>
            <w:vAlign w:val="center"/>
          </w:tcPr>
          <w:p w14:paraId="55F6D51B">
            <w:pP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主要内容和要求</w:t>
            </w:r>
          </w:p>
        </w:tc>
      </w:tr>
      <w:tr w14:paraId="6253CD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30F4BB6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安全施工</w:t>
            </w:r>
          </w:p>
        </w:tc>
        <w:tc>
          <w:tcPr>
            <w:tcW w:w="525" w:type="dxa"/>
            <w:vMerge w:val="restart"/>
            <w:noWrap w:val="0"/>
            <w:vAlign w:val="center"/>
          </w:tcPr>
          <w:p w14:paraId="6389D30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高处作业防护</w:t>
            </w:r>
          </w:p>
        </w:tc>
        <w:tc>
          <w:tcPr>
            <w:tcW w:w="1545" w:type="dxa"/>
            <w:noWrap w:val="0"/>
            <w:vAlign w:val="center"/>
          </w:tcPr>
          <w:p w14:paraId="27C33E5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楼层、屋面、阳台等临边</w:t>
            </w:r>
          </w:p>
        </w:tc>
        <w:tc>
          <w:tcPr>
            <w:tcW w:w="6645" w:type="dxa"/>
            <w:noWrap w:val="0"/>
            <w:vAlign w:val="center"/>
          </w:tcPr>
          <w:p w14:paraId="00F0899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设两道防护栏杆和18cm高的踢脚板，用密目式安全立网全封闭。</w:t>
            </w:r>
          </w:p>
        </w:tc>
      </w:tr>
      <w:tr w14:paraId="5EDB48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9296E93">
            <w:pPr>
              <w:rPr>
                <w:rFonts w:hint="eastAsia" w:ascii="宋体" w:hAnsi="宋体" w:eastAsia="宋体" w:cs="宋体"/>
                <w:color w:val="auto"/>
                <w:szCs w:val="21"/>
                <w:highlight w:val="none"/>
              </w:rPr>
            </w:pPr>
          </w:p>
        </w:tc>
        <w:tc>
          <w:tcPr>
            <w:tcW w:w="525" w:type="dxa"/>
            <w:vMerge w:val="continue"/>
            <w:noWrap w:val="0"/>
            <w:vAlign w:val="center"/>
          </w:tcPr>
          <w:p w14:paraId="6678D8D3">
            <w:pPr>
              <w:rPr>
                <w:rFonts w:hint="eastAsia" w:ascii="宋体" w:hAnsi="宋体" w:eastAsia="宋体" w:cs="宋体"/>
                <w:color w:val="auto"/>
                <w:szCs w:val="21"/>
                <w:highlight w:val="none"/>
              </w:rPr>
            </w:pPr>
          </w:p>
        </w:tc>
        <w:tc>
          <w:tcPr>
            <w:tcW w:w="1545" w:type="dxa"/>
            <w:noWrap w:val="0"/>
            <w:vAlign w:val="center"/>
          </w:tcPr>
          <w:p w14:paraId="4F89197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通道口</w:t>
            </w:r>
          </w:p>
        </w:tc>
        <w:tc>
          <w:tcPr>
            <w:tcW w:w="6645" w:type="dxa"/>
            <w:noWrap w:val="0"/>
            <w:vAlign w:val="center"/>
          </w:tcPr>
          <w:p w14:paraId="107D157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设防护棚，防护棚应为不小于5cm厚的木板或两道相距50cm的竹笆。两侧应沿栏杆架用密目式安全网封闭。</w:t>
            </w:r>
          </w:p>
        </w:tc>
      </w:tr>
      <w:tr w14:paraId="04F2C5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2076AF9">
            <w:pPr>
              <w:rPr>
                <w:rFonts w:hint="eastAsia" w:ascii="宋体" w:hAnsi="宋体" w:eastAsia="宋体" w:cs="宋体"/>
                <w:color w:val="auto"/>
                <w:szCs w:val="21"/>
                <w:highlight w:val="none"/>
              </w:rPr>
            </w:pPr>
          </w:p>
        </w:tc>
        <w:tc>
          <w:tcPr>
            <w:tcW w:w="525" w:type="dxa"/>
            <w:vMerge w:val="continue"/>
            <w:noWrap w:val="0"/>
            <w:vAlign w:val="center"/>
          </w:tcPr>
          <w:p w14:paraId="058ADBB2">
            <w:pPr>
              <w:rPr>
                <w:rFonts w:hint="eastAsia" w:ascii="宋体" w:hAnsi="宋体" w:eastAsia="宋体" w:cs="宋体"/>
                <w:color w:val="auto"/>
                <w:szCs w:val="21"/>
                <w:highlight w:val="none"/>
              </w:rPr>
            </w:pPr>
          </w:p>
        </w:tc>
        <w:tc>
          <w:tcPr>
            <w:tcW w:w="1545" w:type="dxa"/>
            <w:noWrap w:val="0"/>
            <w:vAlign w:val="center"/>
          </w:tcPr>
          <w:p w14:paraId="3403F88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预留洞口</w:t>
            </w:r>
          </w:p>
        </w:tc>
        <w:tc>
          <w:tcPr>
            <w:tcW w:w="6645" w:type="dxa"/>
            <w:noWrap w:val="0"/>
            <w:vAlign w:val="center"/>
          </w:tcPr>
          <w:p w14:paraId="1E60F538">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用硬质材料全封闭，短边超过1.5m长的洞口，除封闭外四周还应设有防护栏杆。</w:t>
            </w:r>
          </w:p>
        </w:tc>
      </w:tr>
      <w:tr w14:paraId="34E58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53CC23EC">
            <w:pPr>
              <w:rPr>
                <w:rFonts w:hint="eastAsia" w:ascii="宋体" w:hAnsi="宋体" w:eastAsia="宋体" w:cs="宋体"/>
                <w:color w:val="auto"/>
                <w:szCs w:val="21"/>
                <w:highlight w:val="none"/>
              </w:rPr>
            </w:pPr>
          </w:p>
        </w:tc>
        <w:tc>
          <w:tcPr>
            <w:tcW w:w="525" w:type="dxa"/>
            <w:vMerge w:val="continue"/>
            <w:noWrap w:val="0"/>
            <w:vAlign w:val="center"/>
          </w:tcPr>
          <w:p w14:paraId="4481C3CB">
            <w:pPr>
              <w:rPr>
                <w:rFonts w:hint="eastAsia" w:ascii="宋体" w:hAnsi="宋体" w:eastAsia="宋体" w:cs="宋体"/>
                <w:color w:val="auto"/>
                <w:szCs w:val="21"/>
                <w:highlight w:val="none"/>
              </w:rPr>
            </w:pPr>
          </w:p>
        </w:tc>
        <w:tc>
          <w:tcPr>
            <w:tcW w:w="1545" w:type="dxa"/>
            <w:noWrap w:val="0"/>
            <w:vAlign w:val="center"/>
          </w:tcPr>
          <w:p w14:paraId="087287D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电梯井口</w:t>
            </w:r>
          </w:p>
        </w:tc>
        <w:tc>
          <w:tcPr>
            <w:tcW w:w="6645" w:type="dxa"/>
            <w:noWrap w:val="0"/>
            <w:vAlign w:val="center"/>
          </w:tcPr>
          <w:p w14:paraId="2406216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设置定型化、工具化的防护门，在电梯井内每隔2层（不大于10m）设置一道水平防护。</w:t>
            </w:r>
          </w:p>
        </w:tc>
      </w:tr>
      <w:tr w14:paraId="25460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716BE47">
            <w:pPr>
              <w:rPr>
                <w:rFonts w:hint="eastAsia" w:ascii="宋体" w:hAnsi="宋体" w:eastAsia="宋体" w:cs="宋体"/>
                <w:color w:val="auto"/>
                <w:szCs w:val="21"/>
                <w:highlight w:val="none"/>
              </w:rPr>
            </w:pPr>
          </w:p>
        </w:tc>
        <w:tc>
          <w:tcPr>
            <w:tcW w:w="525" w:type="dxa"/>
            <w:vMerge w:val="continue"/>
            <w:noWrap w:val="0"/>
            <w:vAlign w:val="center"/>
          </w:tcPr>
          <w:p w14:paraId="48A2120D">
            <w:pPr>
              <w:rPr>
                <w:rFonts w:hint="eastAsia" w:ascii="宋体" w:hAnsi="宋体" w:eastAsia="宋体" w:cs="宋体"/>
                <w:color w:val="auto"/>
                <w:szCs w:val="21"/>
                <w:highlight w:val="none"/>
              </w:rPr>
            </w:pPr>
          </w:p>
        </w:tc>
        <w:tc>
          <w:tcPr>
            <w:tcW w:w="1545" w:type="dxa"/>
            <w:noWrap w:val="0"/>
            <w:vAlign w:val="center"/>
          </w:tcPr>
          <w:p w14:paraId="5325DD6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楼梯边</w:t>
            </w:r>
          </w:p>
        </w:tc>
        <w:tc>
          <w:tcPr>
            <w:tcW w:w="6645" w:type="dxa"/>
            <w:noWrap w:val="0"/>
            <w:vAlign w:val="center"/>
          </w:tcPr>
          <w:p w14:paraId="3C96D2C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设1.2m高的定型化、工具化的防护栏，18cm高的踢脚板。</w:t>
            </w:r>
          </w:p>
        </w:tc>
      </w:tr>
      <w:tr w14:paraId="06D3E3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27451A3">
            <w:pPr>
              <w:rPr>
                <w:rFonts w:hint="eastAsia" w:ascii="宋体" w:hAnsi="宋体" w:eastAsia="宋体" w:cs="宋体"/>
                <w:color w:val="auto"/>
                <w:szCs w:val="21"/>
                <w:highlight w:val="none"/>
              </w:rPr>
            </w:pPr>
          </w:p>
        </w:tc>
        <w:tc>
          <w:tcPr>
            <w:tcW w:w="525" w:type="dxa"/>
            <w:vMerge w:val="continue"/>
            <w:noWrap w:val="0"/>
            <w:vAlign w:val="center"/>
          </w:tcPr>
          <w:p w14:paraId="6456D1B6">
            <w:pPr>
              <w:rPr>
                <w:rFonts w:hint="eastAsia" w:ascii="宋体" w:hAnsi="宋体" w:eastAsia="宋体" w:cs="宋体"/>
                <w:color w:val="auto"/>
                <w:szCs w:val="21"/>
                <w:highlight w:val="none"/>
              </w:rPr>
            </w:pPr>
          </w:p>
        </w:tc>
        <w:tc>
          <w:tcPr>
            <w:tcW w:w="1545" w:type="dxa"/>
            <w:noWrap w:val="0"/>
            <w:vAlign w:val="center"/>
          </w:tcPr>
          <w:p w14:paraId="2C57883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垂直方向交叉作业</w:t>
            </w:r>
          </w:p>
        </w:tc>
        <w:tc>
          <w:tcPr>
            <w:tcW w:w="6645" w:type="dxa"/>
            <w:noWrap w:val="0"/>
            <w:vAlign w:val="center"/>
          </w:tcPr>
          <w:p w14:paraId="2545753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设置防护隔离棚或其它设施。</w:t>
            </w:r>
          </w:p>
        </w:tc>
      </w:tr>
      <w:tr w14:paraId="221C6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037D3C9">
            <w:pPr>
              <w:rPr>
                <w:rFonts w:hint="eastAsia" w:ascii="宋体" w:hAnsi="宋体" w:eastAsia="宋体" w:cs="宋体"/>
                <w:color w:val="auto"/>
                <w:szCs w:val="21"/>
                <w:highlight w:val="none"/>
              </w:rPr>
            </w:pPr>
          </w:p>
        </w:tc>
        <w:tc>
          <w:tcPr>
            <w:tcW w:w="525" w:type="dxa"/>
            <w:vMerge w:val="continue"/>
            <w:noWrap w:val="0"/>
            <w:vAlign w:val="center"/>
          </w:tcPr>
          <w:p w14:paraId="14006947">
            <w:pPr>
              <w:rPr>
                <w:rFonts w:hint="eastAsia" w:ascii="宋体" w:hAnsi="宋体" w:eastAsia="宋体" w:cs="宋体"/>
                <w:color w:val="auto"/>
                <w:szCs w:val="21"/>
                <w:highlight w:val="none"/>
              </w:rPr>
            </w:pPr>
          </w:p>
        </w:tc>
        <w:tc>
          <w:tcPr>
            <w:tcW w:w="1545" w:type="dxa"/>
            <w:noWrap w:val="0"/>
            <w:vAlign w:val="center"/>
          </w:tcPr>
          <w:p w14:paraId="573F38A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高处作业</w:t>
            </w:r>
          </w:p>
        </w:tc>
        <w:tc>
          <w:tcPr>
            <w:tcW w:w="6645" w:type="dxa"/>
            <w:noWrap w:val="0"/>
            <w:vAlign w:val="center"/>
          </w:tcPr>
          <w:p w14:paraId="26A5CFF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有悬挂安全带的悬索或其它设施，有操作平台，有上下的梯子或其它形式的通道。</w:t>
            </w:r>
          </w:p>
        </w:tc>
      </w:tr>
      <w:tr w14:paraId="31C9C8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50321DA">
            <w:pPr>
              <w:rPr>
                <w:rFonts w:hint="eastAsia" w:ascii="宋体" w:hAnsi="宋体" w:eastAsia="宋体" w:cs="宋体"/>
                <w:color w:val="auto"/>
                <w:szCs w:val="21"/>
                <w:highlight w:val="none"/>
              </w:rPr>
            </w:pPr>
          </w:p>
        </w:tc>
        <w:tc>
          <w:tcPr>
            <w:tcW w:w="525" w:type="dxa"/>
            <w:vMerge w:val="continue"/>
            <w:noWrap w:val="0"/>
            <w:vAlign w:val="center"/>
          </w:tcPr>
          <w:p w14:paraId="76BDB0F5">
            <w:pPr>
              <w:rPr>
                <w:rFonts w:hint="eastAsia" w:ascii="宋体" w:hAnsi="宋体" w:eastAsia="宋体" w:cs="宋体"/>
                <w:color w:val="auto"/>
                <w:szCs w:val="21"/>
                <w:highlight w:val="none"/>
              </w:rPr>
            </w:pPr>
          </w:p>
        </w:tc>
        <w:tc>
          <w:tcPr>
            <w:tcW w:w="1545" w:type="dxa"/>
            <w:noWrap w:val="0"/>
            <w:vAlign w:val="center"/>
          </w:tcPr>
          <w:p w14:paraId="54AD277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基坑、物料平台</w:t>
            </w:r>
          </w:p>
        </w:tc>
        <w:tc>
          <w:tcPr>
            <w:tcW w:w="6645" w:type="dxa"/>
            <w:noWrap w:val="0"/>
            <w:vAlign w:val="center"/>
          </w:tcPr>
          <w:p w14:paraId="665072E1">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设1.2m高标准化的防护栏，用密目式安全立网封闭，悬挂标识。</w:t>
            </w:r>
          </w:p>
        </w:tc>
      </w:tr>
      <w:tr w14:paraId="0BD36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A260DD5">
            <w:pPr>
              <w:rPr>
                <w:rFonts w:hint="eastAsia" w:ascii="宋体" w:hAnsi="宋体" w:eastAsia="宋体" w:cs="宋体"/>
                <w:color w:val="auto"/>
                <w:szCs w:val="21"/>
                <w:highlight w:val="none"/>
              </w:rPr>
            </w:pPr>
          </w:p>
        </w:tc>
        <w:tc>
          <w:tcPr>
            <w:tcW w:w="2070" w:type="dxa"/>
            <w:gridSpan w:val="2"/>
            <w:noWrap w:val="0"/>
            <w:vAlign w:val="center"/>
          </w:tcPr>
          <w:p w14:paraId="24CF9AD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安全防护用品</w:t>
            </w:r>
          </w:p>
        </w:tc>
        <w:tc>
          <w:tcPr>
            <w:tcW w:w="6645" w:type="dxa"/>
            <w:noWrap w:val="0"/>
            <w:vAlign w:val="center"/>
          </w:tcPr>
          <w:p w14:paraId="663B13F6">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安全帽、安全带、特种作业人员（电工、焊工、架子工等）防护服装、用品等。</w:t>
            </w:r>
          </w:p>
        </w:tc>
      </w:tr>
      <w:tr w14:paraId="29CFAE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436DA06F">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w:t>
            </w:r>
          </w:p>
        </w:tc>
        <w:tc>
          <w:tcPr>
            <w:tcW w:w="525" w:type="dxa"/>
            <w:vMerge w:val="restart"/>
            <w:noWrap w:val="0"/>
            <w:vAlign w:val="center"/>
          </w:tcPr>
          <w:p w14:paraId="545CE98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机械设备防护</w:t>
            </w:r>
          </w:p>
        </w:tc>
        <w:tc>
          <w:tcPr>
            <w:tcW w:w="1545" w:type="dxa"/>
            <w:noWrap w:val="0"/>
            <w:vAlign w:val="center"/>
          </w:tcPr>
          <w:p w14:paraId="3E77503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中小型机械</w:t>
            </w:r>
          </w:p>
        </w:tc>
        <w:tc>
          <w:tcPr>
            <w:tcW w:w="6645" w:type="dxa"/>
            <w:noWrap w:val="0"/>
            <w:vAlign w:val="center"/>
          </w:tcPr>
          <w:p w14:paraId="56C0B45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设防护棚（同通道口防护并有防雨措施）。</w:t>
            </w:r>
          </w:p>
        </w:tc>
      </w:tr>
      <w:tr w14:paraId="24FE47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F01ED01">
            <w:pPr>
              <w:rPr>
                <w:rFonts w:hint="eastAsia" w:ascii="宋体" w:hAnsi="宋体" w:eastAsia="宋体" w:cs="宋体"/>
                <w:color w:val="auto"/>
                <w:szCs w:val="21"/>
                <w:highlight w:val="none"/>
              </w:rPr>
            </w:pPr>
          </w:p>
        </w:tc>
        <w:tc>
          <w:tcPr>
            <w:tcW w:w="525" w:type="dxa"/>
            <w:vMerge w:val="continue"/>
            <w:noWrap w:val="0"/>
            <w:vAlign w:val="center"/>
          </w:tcPr>
          <w:p w14:paraId="136674FC">
            <w:pPr>
              <w:rPr>
                <w:rFonts w:hint="eastAsia" w:ascii="宋体" w:hAnsi="宋体" w:eastAsia="宋体" w:cs="宋体"/>
                <w:color w:val="auto"/>
                <w:szCs w:val="21"/>
                <w:highlight w:val="none"/>
              </w:rPr>
            </w:pPr>
          </w:p>
        </w:tc>
        <w:tc>
          <w:tcPr>
            <w:tcW w:w="1545" w:type="dxa"/>
            <w:noWrap w:val="0"/>
            <w:vAlign w:val="center"/>
          </w:tcPr>
          <w:p w14:paraId="2D3F9CA5">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垂直运输设备</w:t>
            </w:r>
          </w:p>
        </w:tc>
        <w:tc>
          <w:tcPr>
            <w:tcW w:w="6645" w:type="dxa"/>
            <w:noWrap w:val="0"/>
            <w:vAlign w:val="center"/>
          </w:tcPr>
          <w:p w14:paraId="07FFF43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垂直运输设备检测、检验、日常维护、保养等。</w:t>
            </w:r>
          </w:p>
          <w:p w14:paraId="257B0E6E">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2. 物料提升机、施工电梯等物料平台搭设、外侧用密目式安全立网全封闭，有安全通道、安全防护门、防护棚等。</w:t>
            </w:r>
          </w:p>
        </w:tc>
      </w:tr>
      <w:tr w14:paraId="0B4D55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69B0BC74">
            <w:pPr>
              <w:rPr>
                <w:rFonts w:hint="eastAsia" w:ascii="宋体" w:hAnsi="宋体" w:eastAsia="宋体" w:cs="宋体"/>
                <w:color w:val="auto"/>
                <w:szCs w:val="21"/>
                <w:highlight w:val="none"/>
              </w:rPr>
            </w:pPr>
          </w:p>
        </w:tc>
        <w:tc>
          <w:tcPr>
            <w:tcW w:w="2070" w:type="dxa"/>
            <w:gridSpan w:val="2"/>
            <w:noWrap w:val="0"/>
            <w:vAlign w:val="center"/>
          </w:tcPr>
          <w:p w14:paraId="0509F90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专家论证审查</w:t>
            </w:r>
          </w:p>
        </w:tc>
        <w:tc>
          <w:tcPr>
            <w:tcW w:w="6645" w:type="dxa"/>
            <w:noWrap w:val="0"/>
            <w:vAlign w:val="center"/>
          </w:tcPr>
          <w:p w14:paraId="6CC2FBB0">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超过一定规模的危险性较大分部分项工程专家论证审查。</w:t>
            </w:r>
          </w:p>
        </w:tc>
      </w:tr>
      <w:tr w14:paraId="71B1E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583B921A">
            <w:pPr>
              <w:rPr>
                <w:rFonts w:hint="eastAsia" w:ascii="宋体" w:hAnsi="宋体" w:eastAsia="宋体" w:cs="宋体"/>
                <w:color w:val="auto"/>
                <w:szCs w:val="21"/>
                <w:highlight w:val="none"/>
              </w:rPr>
            </w:pPr>
          </w:p>
        </w:tc>
        <w:tc>
          <w:tcPr>
            <w:tcW w:w="2070" w:type="dxa"/>
            <w:gridSpan w:val="2"/>
            <w:noWrap w:val="0"/>
            <w:vAlign w:val="center"/>
          </w:tcPr>
          <w:p w14:paraId="3ADB4D6D">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应急救援预案</w:t>
            </w:r>
          </w:p>
        </w:tc>
        <w:tc>
          <w:tcPr>
            <w:tcW w:w="6645" w:type="dxa"/>
            <w:noWrap w:val="0"/>
            <w:vAlign w:val="center"/>
          </w:tcPr>
          <w:p w14:paraId="7A08FDE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救援器材准备及演练等。</w:t>
            </w:r>
          </w:p>
        </w:tc>
      </w:tr>
      <w:tr w14:paraId="360C4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bottom w:val="single" w:color="auto" w:sz="12" w:space="0"/>
            </w:tcBorders>
            <w:noWrap w:val="0"/>
            <w:vAlign w:val="center"/>
          </w:tcPr>
          <w:p w14:paraId="7F7CCD3D">
            <w:pPr>
              <w:rPr>
                <w:rFonts w:hint="eastAsia" w:ascii="宋体" w:hAnsi="宋体" w:eastAsia="宋体" w:cs="宋体"/>
                <w:color w:val="auto"/>
                <w:szCs w:val="21"/>
                <w:highlight w:val="none"/>
              </w:rPr>
            </w:pPr>
          </w:p>
        </w:tc>
        <w:tc>
          <w:tcPr>
            <w:tcW w:w="2070" w:type="dxa"/>
            <w:gridSpan w:val="2"/>
            <w:tcBorders>
              <w:bottom w:val="single" w:color="auto" w:sz="12" w:space="0"/>
            </w:tcBorders>
            <w:noWrap w:val="0"/>
            <w:vAlign w:val="center"/>
          </w:tcPr>
          <w:p w14:paraId="54FB60B4">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非正常情况施工</w:t>
            </w:r>
          </w:p>
        </w:tc>
        <w:tc>
          <w:tcPr>
            <w:tcW w:w="6645" w:type="dxa"/>
            <w:tcBorders>
              <w:bottom w:val="single" w:color="auto" w:sz="12" w:space="0"/>
            </w:tcBorders>
            <w:noWrap w:val="0"/>
            <w:vAlign w:val="center"/>
          </w:tcPr>
          <w:p w14:paraId="6FDB390C">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其它特殊情况下的防护费用，如：城市主干道、人流密集、河边等处施工及文物、古建筑、古树保护等。</w:t>
            </w:r>
          </w:p>
        </w:tc>
      </w:tr>
    </w:tbl>
    <w:p w14:paraId="6ECA4B88">
      <w:pPr>
        <w:rPr>
          <w:rFonts w:hint="eastAsia" w:ascii="宋体" w:hAnsi="宋体" w:eastAsia="宋体" w:cs="宋体"/>
          <w:b/>
          <w:bCs/>
          <w:color w:val="auto"/>
          <w:w w:val="90"/>
          <w:szCs w:val="21"/>
          <w:highlight w:val="none"/>
        </w:rPr>
      </w:pPr>
    </w:p>
    <w:p w14:paraId="4564E50A">
      <w:pPr>
        <w:rPr>
          <w:rFonts w:hint="eastAsia" w:ascii="宋体" w:hAnsi="宋体" w:eastAsia="宋体" w:cs="宋体"/>
          <w:color w:val="auto"/>
          <w:szCs w:val="21"/>
          <w:highlight w:val="none"/>
        </w:rPr>
        <w:sectPr>
          <w:pgSz w:w="11911" w:h="16838"/>
          <w:pgMar w:top="1134" w:right="1134" w:bottom="1134" w:left="1134" w:header="720" w:footer="720"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zCs w:val="21"/>
          <w:highlight w:val="none"/>
        </w:rPr>
        <w:t>注：本表所列建筑工程安全文明施工费，是依据现行法律法规及标准规范确定的。如法律法规和标准规范修订，本表所列项目应按照修订后的法律法规和标准规范进行调整。</w:t>
      </w:r>
    </w:p>
    <w:p w14:paraId="0707F382">
      <w:pPr>
        <w:snapToGrid w:val="0"/>
        <w:spacing w:line="360" w:lineRule="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技术需求偏离表的格式：</w:t>
      </w:r>
    </w:p>
    <w:p w14:paraId="583A9B24">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技术需求偏离表</w:t>
      </w:r>
    </w:p>
    <w:p w14:paraId="734C97B9">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(注：按采购需求具体条款修改)</w:t>
      </w:r>
    </w:p>
    <w:p w14:paraId="13DDB34D">
      <w:pPr>
        <w:spacing w:line="360" w:lineRule="auto"/>
        <w:contextualSpacing/>
        <w:jc w:val="left"/>
        <w:rPr>
          <w:rFonts w:hint="eastAsia" w:ascii="宋体" w:hAnsi="宋体" w:eastAsia="宋体" w:cs="宋体"/>
          <w:color w:val="auto"/>
          <w:sz w:val="24"/>
          <w:highlight w:val="none"/>
        </w:rPr>
      </w:pPr>
    </w:p>
    <w:p w14:paraId="171DF64F">
      <w:pPr>
        <w:spacing w:line="360" w:lineRule="auto"/>
        <w:ind w:firstLine="720" w:firstLineChars="30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2F581493">
      <w:pPr>
        <w:spacing w:line="360" w:lineRule="auto"/>
        <w:ind w:firstLine="720" w:firstLineChars="3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7CFAA3C6">
      <w:pPr>
        <w:spacing w:line="360" w:lineRule="auto"/>
        <w:ind w:firstLine="720" w:firstLineChars="30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tbl>
      <w:tblPr>
        <w:tblStyle w:val="29"/>
        <w:tblpPr w:leftFromText="180" w:rightFromText="180" w:vertAnchor="text" w:horzAnchor="page" w:tblpX="1586" w:tblpY="8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67EE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3CC40D75">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noWrap w:val="0"/>
            <w:vAlign w:val="center"/>
          </w:tcPr>
          <w:p w14:paraId="4A1ACE2A">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竞争性磋商文件的</w:t>
            </w:r>
            <w:bookmarkStart w:id="56" w:name="OLE_LINK44"/>
            <w:r>
              <w:rPr>
                <w:rFonts w:hint="eastAsia" w:ascii="宋体" w:hAnsi="宋体" w:eastAsia="宋体" w:cs="宋体"/>
                <w:color w:val="auto"/>
                <w:szCs w:val="21"/>
                <w:highlight w:val="none"/>
              </w:rPr>
              <w:t>技术要求</w:t>
            </w:r>
            <w:bookmarkEnd w:id="56"/>
          </w:p>
        </w:tc>
        <w:tc>
          <w:tcPr>
            <w:tcW w:w="3589" w:type="dxa"/>
            <w:tcBorders>
              <w:top w:val="single" w:color="auto" w:sz="4" w:space="0"/>
              <w:left w:val="single" w:color="auto" w:sz="4" w:space="0"/>
              <w:bottom w:val="single" w:color="auto" w:sz="4" w:space="0"/>
              <w:right w:val="single" w:color="auto" w:sz="4" w:space="0"/>
            </w:tcBorders>
            <w:noWrap w:val="0"/>
            <w:vAlign w:val="center"/>
          </w:tcPr>
          <w:p w14:paraId="76A88A83">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响应文件承诺的技术要求</w:t>
            </w:r>
          </w:p>
        </w:tc>
        <w:tc>
          <w:tcPr>
            <w:tcW w:w="1274" w:type="dxa"/>
            <w:tcBorders>
              <w:top w:val="single" w:color="auto" w:sz="4" w:space="0"/>
              <w:left w:val="single" w:color="auto" w:sz="4" w:space="0"/>
              <w:bottom w:val="single" w:color="auto" w:sz="4" w:space="0"/>
              <w:right w:val="single" w:color="auto" w:sz="4" w:space="0"/>
            </w:tcBorders>
            <w:noWrap w:val="0"/>
            <w:vAlign w:val="center"/>
          </w:tcPr>
          <w:p w14:paraId="2238F377">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3430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72381251">
            <w:pPr>
              <w:spacing w:line="340" w:lineRule="exact"/>
              <w:jc w:val="center"/>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5AB2D8E6">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7B702043">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62DA18C4">
            <w:pPr>
              <w:spacing w:line="300" w:lineRule="exact"/>
              <w:rPr>
                <w:rFonts w:hint="eastAsia" w:ascii="宋体" w:hAnsi="宋体" w:eastAsia="宋体" w:cs="宋体"/>
                <w:color w:val="auto"/>
                <w:szCs w:val="21"/>
                <w:highlight w:val="none"/>
              </w:rPr>
            </w:pPr>
          </w:p>
        </w:tc>
      </w:tr>
      <w:tr w14:paraId="6976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3C6CBFEC">
            <w:pPr>
              <w:spacing w:line="340" w:lineRule="exact"/>
              <w:jc w:val="center"/>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48E65DAD">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18C96A6D">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30739AD4">
            <w:pPr>
              <w:spacing w:line="300" w:lineRule="exact"/>
              <w:rPr>
                <w:rFonts w:hint="eastAsia" w:ascii="宋体" w:hAnsi="宋体" w:eastAsia="宋体" w:cs="宋体"/>
                <w:color w:val="auto"/>
                <w:szCs w:val="21"/>
                <w:highlight w:val="none"/>
              </w:rPr>
            </w:pPr>
          </w:p>
        </w:tc>
      </w:tr>
      <w:tr w14:paraId="4C7E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0C557C87">
            <w:pPr>
              <w:spacing w:line="340" w:lineRule="exact"/>
              <w:jc w:val="center"/>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3EEA58BD">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4DD0C8B">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415F2322">
            <w:pPr>
              <w:spacing w:line="300" w:lineRule="exact"/>
              <w:rPr>
                <w:rFonts w:hint="eastAsia" w:ascii="宋体" w:hAnsi="宋体" w:eastAsia="宋体" w:cs="宋体"/>
                <w:color w:val="auto"/>
                <w:szCs w:val="21"/>
                <w:highlight w:val="none"/>
              </w:rPr>
            </w:pPr>
          </w:p>
        </w:tc>
      </w:tr>
      <w:tr w14:paraId="3C99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6118D6CA">
            <w:pPr>
              <w:spacing w:line="340" w:lineRule="exact"/>
              <w:jc w:val="center"/>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0D4B406D">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9E19767">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136474B5">
            <w:pPr>
              <w:spacing w:line="300" w:lineRule="exact"/>
              <w:rPr>
                <w:rFonts w:hint="eastAsia" w:ascii="宋体" w:hAnsi="宋体" w:eastAsia="宋体" w:cs="宋体"/>
                <w:color w:val="auto"/>
                <w:szCs w:val="21"/>
                <w:highlight w:val="none"/>
              </w:rPr>
            </w:pPr>
          </w:p>
        </w:tc>
      </w:tr>
      <w:tr w14:paraId="2DA3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6BE4F9F8">
            <w:pPr>
              <w:spacing w:line="340" w:lineRule="exact"/>
              <w:jc w:val="center"/>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0A715294">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noWrap w:val="0"/>
            <w:vAlign w:val="center"/>
          </w:tcPr>
          <w:p w14:paraId="25C6F856">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2A88A5BB">
            <w:pPr>
              <w:spacing w:line="300" w:lineRule="exact"/>
              <w:rPr>
                <w:rFonts w:hint="eastAsia" w:ascii="宋体" w:hAnsi="宋体" w:eastAsia="宋体" w:cs="宋体"/>
                <w:color w:val="auto"/>
                <w:szCs w:val="21"/>
                <w:highlight w:val="none"/>
              </w:rPr>
            </w:pPr>
          </w:p>
        </w:tc>
      </w:tr>
      <w:tr w14:paraId="21E0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91" w:type="dxa"/>
            <w:tcBorders>
              <w:top w:val="single" w:color="auto" w:sz="4" w:space="0"/>
              <w:left w:val="single" w:color="auto" w:sz="4" w:space="0"/>
              <w:bottom w:val="single" w:color="auto" w:sz="4" w:space="0"/>
              <w:right w:val="single" w:color="auto" w:sz="4" w:space="0"/>
            </w:tcBorders>
            <w:noWrap w:val="0"/>
            <w:vAlign w:val="center"/>
          </w:tcPr>
          <w:p w14:paraId="62C9E588">
            <w:pPr>
              <w:spacing w:line="340" w:lineRule="exact"/>
              <w:jc w:val="center"/>
              <w:rPr>
                <w:rFonts w:hint="eastAsia" w:ascii="宋体" w:hAnsi="宋体" w:eastAsia="宋体" w:cs="宋体"/>
                <w:color w:val="auto"/>
                <w:szCs w:val="21"/>
                <w:highlight w:val="none"/>
              </w:rPr>
            </w:pPr>
          </w:p>
        </w:tc>
        <w:tc>
          <w:tcPr>
            <w:tcW w:w="3926" w:type="dxa"/>
            <w:tcBorders>
              <w:top w:val="single" w:color="auto" w:sz="4" w:space="0"/>
              <w:left w:val="single" w:color="auto" w:sz="4" w:space="0"/>
              <w:bottom w:val="single" w:color="auto" w:sz="4" w:space="0"/>
              <w:right w:val="single" w:color="auto" w:sz="4" w:space="0"/>
            </w:tcBorders>
            <w:noWrap w:val="0"/>
            <w:vAlign w:val="center"/>
          </w:tcPr>
          <w:p w14:paraId="62C15877">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noWrap w:val="0"/>
            <w:vAlign w:val="center"/>
          </w:tcPr>
          <w:p w14:paraId="791198E0">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noWrap w:val="0"/>
            <w:vAlign w:val="center"/>
          </w:tcPr>
          <w:p w14:paraId="29493B3E">
            <w:pPr>
              <w:spacing w:line="300" w:lineRule="exact"/>
              <w:rPr>
                <w:rFonts w:hint="eastAsia" w:ascii="宋体" w:hAnsi="宋体" w:eastAsia="宋体" w:cs="宋体"/>
                <w:color w:val="auto"/>
                <w:szCs w:val="21"/>
                <w:highlight w:val="none"/>
              </w:rPr>
            </w:pPr>
          </w:p>
        </w:tc>
      </w:tr>
    </w:tbl>
    <w:p w14:paraId="7F66EDA8">
      <w:pPr>
        <w:pStyle w:val="12"/>
        <w:spacing w:after="0" w:line="360" w:lineRule="auto"/>
        <w:contextualSpacing/>
        <w:rPr>
          <w:rFonts w:hint="eastAsia" w:ascii="宋体" w:hAnsi="宋体" w:eastAsia="宋体" w:cs="宋体"/>
          <w:color w:val="auto"/>
          <w:kern w:val="0"/>
          <w:sz w:val="24"/>
          <w:szCs w:val="24"/>
          <w:highlight w:val="none"/>
        </w:rPr>
      </w:pPr>
    </w:p>
    <w:p w14:paraId="65A7F18F">
      <w:pPr>
        <w:pStyle w:val="12"/>
        <w:spacing w:after="0" w:line="480" w:lineRule="auto"/>
        <w:ind w:firstLine="420" w:firstLineChars="200"/>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537AF972">
      <w:pPr>
        <w:pStyle w:val="12"/>
        <w:spacing w:after="0" w:line="480" w:lineRule="auto"/>
        <w:ind w:firstLine="420" w:firstLineChars="200"/>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1.说明：应对照磋商文件“第二章”中“需求一览表”的技术要求逐条作出明确响应，并作出偏离说明。</w:t>
      </w:r>
    </w:p>
    <w:p w14:paraId="3F773298">
      <w:pPr>
        <w:pStyle w:val="14"/>
        <w:spacing w:line="48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2.供应商应根据自身的承诺，对照磋商文件要求，在“偏离说明”中注明“正偏离”或者“负偏离”或者“无偏离”。既不属于“正偏离”也不属于“负偏离”即为“无偏离”。 当响应文件的技术内容低于竞争性磋商文件要求时，供应商应当如实写明“负偏离”，否则视为虚假应标。</w:t>
      </w:r>
    </w:p>
    <w:p w14:paraId="4EA19D4E">
      <w:pPr>
        <w:spacing w:line="48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3.表格内容均需按要求填写并盖章，不得留空，</w:t>
      </w:r>
      <w:r>
        <w:rPr>
          <w:rFonts w:hint="eastAsia" w:ascii="宋体" w:hAnsi="宋体" w:eastAsia="宋体" w:cs="宋体"/>
          <w:b/>
          <w:bCs/>
          <w:color w:val="auto"/>
          <w:kern w:val="0"/>
          <w:szCs w:val="21"/>
          <w:highlight w:val="none"/>
        </w:rPr>
        <w:t>否则按竞标无效处理。</w:t>
      </w:r>
    </w:p>
    <w:p w14:paraId="2E16412C">
      <w:pPr>
        <w:pStyle w:val="14"/>
        <w:spacing w:line="480" w:lineRule="auto"/>
        <w:ind w:firstLine="420" w:firstLineChars="200"/>
        <w:contextualSpacing/>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4. 如技术偏离表中的竞标响应与佐证材料不一致的，以佐证材料为准。</w:t>
      </w:r>
    </w:p>
    <w:p w14:paraId="37D755FB">
      <w:pPr>
        <w:snapToGrid w:val="0"/>
        <w:spacing w:line="360" w:lineRule="auto"/>
        <w:ind w:firstLine="602" w:firstLineChars="200"/>
        <w:rPr>
          <w:rFonts w:hint="eastAsia" w:ascii="宋体" w:hAnsi="宋体" w:eastAsia="宋体" w:cs="宋体"/>
          <w:b/>
          <w:color w:val="auto"/>
          <w:sz w:val="30"/>
          <w:szCs w:val="30"/>
          <w:highlight w:val="none"/>
        </w:rPr>
      </w:pPr>
    </w:p>
    <w:p w14:paraId="0ECA5306">
      <w:pPr>
        <w:spacing w:line="400" w:lineRule="exact"/>
        <w:ind w:firstLine="4410" w:firstLineChars="21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5F707E76">
      <w:pPr>
        <w:snapToGrid w:val="0"/>
        <w:spacing w:line="360" w:lineRule="auto"/>
        <w:ind w:firstLine="420" w:firstLineChars="200"/>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A43F544">
      <w:pPr>
        <w:adjustRightInd w:val="0"/>
        <w:snapToGrid w:val="0"/>
        <w:spacing w:line="520" w:lineRule="exact"/>
        <w:jc w:val="center"/>
        <w:rPr>
          <w:rFonts w:hint="eastAsia" w:ascii="宋体" w:hAnsi="宋体" w:eastAsia="宋体" w:cs="宋体"/>
          <w:bCs/>
          <w:color w:val="auto"/>
          <w:sz w:val="44"/>
          <w:szCs w:val="44"/>
          <w:highlight w:val="none"/>
        </w:rPr>
      </w:pPr>
    </w:p>
    <w:p w14:paraId="1F718B4D">
      <w:pPr>
        <w:keepLines w:val="0"/>
        <w:pageBreakBefore w:val="0"/>
        <w:widowControl w:val="0"/>
        <w:kinsoku/>
        <w:wordWrap/>
        <w:overflowPunct/>
        <w:topLinePunct w:val="0"/>
        <w:bidi w:val="0"/>
        <w:adjustRightInd/>
        <w:snapToGrid w:val="0"/>
        <w:spacing w:line="360" w:lineRule="auto"/>
        <w:jc w:val="center"/>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施工组织设计（格式自拟）</w:t>
      </w:r>
    </w:p>
    <w:p w14:paraId="2D51ECE5">
      <w:pPr>
        <w:keepLines w:val="0"/>
        <w:pageBreakBefore w:val="0"/>
        <w:widowControl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rPr>
      </w:pPr>
    </w:p>
    <w:p w14:paraId="6C3EC526">
      <w:pPr>
        <w:keepLines w:val="0"/>
        <w:pageBreakBefore w:val="0"/>
        <w:widowControl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rPr>
      </w:pPr>
    </w:p>
    <w:p w14:paraId="0C9F004B">
      <w:pPr>
        <w:keepLines w:val="0"/>
        <w:pageBreakBefore w:val="0"/>
        <w:widowControl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rPr>
      </w:pPr>
    </w:p>
    <w:p w14:paraId="08C1E85F">
      <w:pPr>
        <w:keepLines w:val="0"/>
        <w:pageBreakBefore w:val="0"/>
        <w:widowControl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338A98E8">
      <w:pPr>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200284EE">
      <w:pPr>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b/>
          <w:color w:val="auto"/>
          <w:sz w:val="30"/>
          <w:szCs w:val="30"/>
          <w:highlight w:val="none"/>
        </w:rPr>
      </w:pPr>
    </w:p>
    <w:p w14:paraId="737E3BB0">
      <w:pPr>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b/>
          <w:color w:val="auto"/>
          <w:sz w:val="28"/>
          <w:szCs w:val="28"/>
          <w:highlight w:val="none"/>
        </w:rPr>
      </w:pPr>
    </w:p>
    <w:p w14:paraId="5B86A222">
      <w:pPr>
        <w:keepLines w:val="0"/>
        <w:pageBreakBefore w:val="0"/>
        <w:widowControl w:val="0"/>
        <w:kinsoku/>
        <w:wordWrap/>
        <w:overflowPunct/>
        <w:topLinePunct w:val="0"/>
        <w:bidi w:val="0"/>
        <w:adjustRightInd/>
        <w:snapToGrid w:val="0"/>
        <w:spacing w:line="360" w:lineRule="auto"/>
        <w:textAlignment w:val="auto"/>
        <w:rPr>
          <w:rFonts w:hint="eastAsia" w:ascii="宋体" w:hAnsi="宋体" w:eastAsia="宋体" w:cs="宋体"/>
          <w:b/>
          <w:color w:val="auto"/>
          <w:sz w:val="28"/>
          <w:szCs w:val="28"/>
          <w:highlight w:val="none"/>
        </w:rPr>
      </w:pPr>
    </w:p>
    <w:p w14:paraId="1E796412">
      <w:pPr>
        <w:keepLines w:val="0"/>
        <w:pageBreakBefore w:val="0"/>
        <w:widowControl w:val="0"/>
        <w:kinsoku/>
        <w:wordWrap/>
        <w:overflowPunct/>
        <w:topLinePunct w:val="0"/>
        <w:bidi w:val="0"/>
        <w:adjustRightInd/>
        <w:snapToGrid w:val="0"/>
        <w:spacing w:line="360" w:lineRule="auto"/>
        <w:jc w:val="center"/>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项目管理机构配备情况表及主要人员简历表（格式自拟）</w:t>
      </w:r>
    </w:p>
    <w:p w14:paraId="0D885768">
      <w:pPr>
        <w:keepLines w:val="0"/>
        <w:pageBreakBefore w:val="0"/>
        <w:widowControl w:val="0"/>
        <w:kinsoku/>
        <w:wordWrap/>
        <w:overflowPunct/>
        <w:topLinePunct w:val="0"/>
        <w:bidi w:val="0"/>
        <w:adjustRightInd/>
        <w:spacing w:line="36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（由供应商根据采购需求及采购文件要求编制）</w:t>
      </w:r>
    </w:p>
    <w:p w14:paraId="4BAAC084">
      <w:pPr>
        <w:pStyle w:val="21"/>
        <w:keepLines w:val="0"/>
        <w:pageBreakBefore w:val="0"/>
        <w:widowControl w:val="0"/>
        <w:kinsoku/>
        <w:wordWrap/>
        <w:overflowPunct/>
        <w:topLinePunct w:val="0"/>
        <w:bidi w:val="0"/>
        <w:adjustRightInd/>
        <w:spacing w:line="360" w:lineRule="auto"/>
        <w:textAlignment w:val="auto"/>
        <w:rPr>
          <w:rFonts w:hint="eastAsia" w:ascii="宋体" w:hAnsi="宋体" w:eastAsia="宋体" w:cs="宋体"/>
          <w:color w:val="auto"/>
          <w:highlight w:val="none"/>
        </w:rPr>
      </w:pPr>
    </w:p>
    <w:p w14:paraId="6BC16E7E">
      <w:pPr>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eastAsia="宋体" w:cs="宋体"/>
          <w:color w:val="auto"/>
          <w:szCs w:val="21"/>
          <w:highlight w:val="none"/>
        </w:rPr>
      </w:pPr>
    </w:p>
    <w:p w14:paraId="4FAE46E3">
      <w:pPr>
        <w:keepLines w:val="0"/>
        <w:pageBreakBefore w:val="0"/>
        <w:widowControl w:val="0"/>
        <w:kinsoku/>
        <w:wordWrap/>
        <w:overflowPunct/>
        <w:topLinePunct w:val="0"/>
        <w:bidi w:val="0"/>
        <w:adjustRightInd/>
        <w:spacing w:line="360" w:lineRule="auto"/>
        <w:ind w:firstLine="4410" w:firstLineChars="21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szCs w:val="21"/>
          <w:highlight w:val="none"/>
        </w:rPr>
        <w:t>（盖</w:t>
      </w:r>
      <w:r>
        <w:rPr>
          <w:rFonts w:hint="eastAsia" w:ascii="宋体" w:hAnsi="宋体" w:eastAsia="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0C369D40">
      <w:pPr>
        <w:keepLines w:val="0"/>
        <w:pageBreakBefore w:val="0"/>
        <w:widowControl w:val="0"/>
        <w:kinsoku/>
        <w:wordWrap/>
        <w:overflowPunct/>
        <w:topLinePunct w:val="0"/>
        <w:bidi w:val="0"/>
        <w:adjustRightInd/>
        <w:snapToGrid w:val="0"/>
        <w:spacing w:line="360" w:lineRule="auto"/>
        <w:ind w:firstLine="420" w:firstLineChars="200"/>
        <w:textAlignment w:val="auto"/>
        <w:rPr>
          <w:rFonts w:hint="eastAsia" w:ascii="宋体" w:hAnsi="宋体" w:eastAsia="宋体" w:cs="宋体"/>
          <w:b/>
          <w:color w:val="auto"/>
          <w:sz w:val="30"/>
          <w:szCs w:val="30"/>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39A5DED2">
      <w:pPr>
        <w:jc w:val="both"/>
        <w:outlineLvl w:val="9"/>
        <w:rPr>
          <w:rFonts w:hint="eastAsia" w:ascii="宋体" w:hAnsi="宋体" w:eastAsia="宋体" w:cs="宋体"/>
          <w:b/>
          <w:bCs/>
          <w:color w:val="auto"/>
          <w:highlight w:val="none"/>
        </w:rPr>
      </w:pPr>
    </w:p>
    <w:p w14:paraId="73248728">
      <w:pPr>
        <w:outlineLvl w:val="9"/>
        <w:rPr>
          <w:rFonts w:hint="eastAsia" w:ascii="宋体" w:hAnsi="宋体" w:eastAsia="宋体" w:cs="宋体"/>
          <w:b/>
          <w:bCs/>
          <w:color w:val="auto"/>
          <w:highlight w:val="none"/>
        </w:rPr>
      </w:pPr>
    </w:p>
    <w:p w14:paraId="43A9EA94">
      <w:pPr>
        <w:outlineLvl w:val="9"/>
        <w:rPr>
          <w:rFonts w:hint="eastAsia" w:ascii="宋体" w:hAnsi="宋体" w:eastAsia="宋体" w:cs="宋体"/>
          <w:b/>
          <w:bCs/>
          <w:color w:val="auto"/>
          <w:highlight w:val="none"/>
        </w:rPr>
      </w:pPr>
    </w:p>
    <w:p w14:paraId="1E5DC1EA">
      <w:pPr>
        <w:outlineLvl w:val="9"/>
        <w:rPr>
          <w:rFonts w:hint="eastAsia" w:ascii="宋体" w:hAnsi="宋体" w:eastAsia="宋体" w:cs="宋体"/>
          <w:b/>
          <w:bCs/>
          <w:color w:val="auto"/>
          <w:highlight w:val="none"/>
        </w:rPr>
      </w:pPr>
    </w:p>
    <w:p w14:paraId="0ED1DF4D">
      <w:pPr>
        <w:jc w:val="center"/>
        <w:outlineLvl w:val="9"/>
        <w:rPr>
          <w:rFonts w:hint="eastAsia" w:ascii="宋体" w:hAnsi="宋体" w:eastAsia="宋体" w:cs="宋体"/>
          <w:b/>
          <w:bCs/>
          <w:color w:val="auto"/>
          <w:highlight w:val="none"/>
        </w:rPr>
      </w:pPr>
    </w:p>
    <w:p w14:paraId="17676597">
      <w:pPr>
        <w:outlineLvl w:val="9"/>
        <w:rPr>
          <w:rFonts w:hint="eastAsia" w:ascii="宋体" w:hAnsi="宋体" w:eastAsia="宋体" w:cs="宋体"/>
          <w:b/>
          <w:bCs/>
          <w:color w:val="auto"/>
          <w:highlight w:val="none"/>
        </w:rPr>
      </w:pPr>
    </w:p>
    <w:p w14:paraId="44AF8D24">
      <w:pPr>
        <w:outlineLvl w:val="9"/>
        <w:rPr>
          <w:rFonts w:hint="eastAsia" w:ascii="宋体" w:hAnsi="宋体" w:eastAsia="宋体" w:cs="宋体"/>
          <w:b/>
          <w:bCs/>
          <w:color w:val="auto"/>
          <w:highlight w:val="none"/>
        </w:rPr>
      </w:pPr>
    </w:p>
    <w:p w14:paraId="0FD5E2C2">
      <w:pPr>
        <w:outlineLvl w:val="9"/>
        <w:rPr>
          <w:rFonts w:hint="eastAsia" w:ascii="宋体" w:hAnsi="宋体" w:eastAsia="宋体" w:cs="宋体"/>
          <w:b/>
          <w:bCs/>
          <w:color w:val="auto"/>
          <w:highlight w:val="none"/>
        </w:rPr>
      </w:pPr>
    </w:p>
    <w:p w14:paraId="0B5BEF92">
      <w:pPr>
        <w:outlineLvl w:val="9"/>
        <w:rPr>
          <w:rFonts w:hint="eastAsia" w:ascii="宋体" w:hAnsi="宋体" w:eastAsia="宋体" w:cs="宋体"/>
          <w:b/>
          <w:bCs/>
          <w:color w:val="auto"/>
          <w:highlight w:val="none"/>
        </w:rPr>
      </w:pPr>
    </w:p>
    <w:p w14:paraId="0425671A">
      <w:pPr>
        <w:outlineLvl w:val="9"/>
        <w:rPr>
          <w:rFonts w:hint="eastAsia" w:ascii="宋体" w:hAnsi="宋体" w:eastAsia="宋体" w:cs="宋体"/>
          <w:b/>
          <w:bCs/>
          <w:color w:val="auto"/>
          <w:highlight w:val="none"/>
        </w:rPr>
      </w:pPr>
    </w:p>
    <w:p w14:paraId="2686A9F0">
      <w:pPr>
        <w:outlineLvl w:val="9"/>
        <w:rPr>
          <w:rFonts w:hint="eastAsia" w:ascii="宋体" w:hAnsi="宋体" w:eastAsia="宋体" w:cs="宋体"/>
          <w:b/>
          <w:bCs/>
          <w:color w:val="auto"/>
          <w:highlight w:val="none"/>
        </w:rPr>
      </w:pPr>
    </w:p>
    <w:p w14:paraId="367B2124">
      <w:pPr>
        <w:jc w:val="both"/>
        <w:outlineLvl w:val="9"/>
        <w:rPr>
          <w:rFonts w:hint="eastAsia" w:ascii="宋体" w:hAnsi="宋体" w:eastAsia="宋体" w:cs="宋体"/>
          <w:b/>
          <w:bCs/>
          <w:color w:val="auto"/>
          <w:highlight w:val="none"/>
        </w:rPr>
      </w:pPr>
    </w:p>
    <w:p w14:paraId="70735897">
      <w:pPr>
        <w:outlineLvl w:val="9"/>
        <w:rPr>
          <w:rFonts w:hint="eastAsia" w:ascii="宋体" w:hAnsi="宋体" w:eastAsia="宋体" w:cs="宋体"/>
          <w:b/>
          <w:bCs/>
          <w:color w:val="auto"/>
          <w:highlight w:val="none"/>
        </w:rPr>
      </w:pPr>
    </w:p>
    <w:p w14:paraId="685B38CB">
      <w:pPr>
        <w:outlineLvl w:val="9"/>
        <w:rPr>
          <w:rFonts w:hint="eastAsia" w:ascii="宋体" w:hAnsi="宋体" w:eastAsia="宋体" w:cs="宋体"/>
          <w:b/>
          <w:bCs/>
          <w:color w:val="auto"/>
          <w:highlight w:val="none"/>
        </w:rPr>
      </w:pPr>
    </w:p>
    <w:p w14:paraId="472E07F1">
      <w:pPr>
        <w:outlineLvl w:val="9"/>
        <w:rPr>
          <w:rFonts w:hint="eastAsia" w:ascii="宋体" w:hAnsi="宋体" w:eastAsia="宋体" w:cs="宋体"/>
          <w:b/>
          <w:bCs/>
          <w:color w:val="auto"/>
          <w:highlight w:val="none"/>
        </w:rPr>
      </w:pPr>
    </w:p>
    <w:p w14:paraId="260BF5FA">
      <w:pPr>
        <w:pStyle w:val="3"/>
        <w:jc w:val="center"/>
        <w:rPr>
          <w:rFonts w:hint="eastAsia" w:ascii="宋体" w:hAnsi="宋体" w:eastAsia="宋体" w:cs="宋体"/>
          <w:b w:val="0"/>
          <w:bCs/>
          <w:color w:val="auto"/>
          <w:highlight w:val="none"/>
        </w:rPr>
      </w:pPr>
      <w:r>
        <w:rPr>
          <w:rFonts w:hint="eastAsia" w:ascii="宋体" w:hAnsi="宋体" w:eastAsia="宋体" w:cs="宋体"/>
          <w:b/>
          <w:bCs/>
          <w:color w:val="auto"/>
          <w:highlight w:val="none"/>
        </w:rPr>
        <w:br w:type="page"/>
      </w:r>
      <w:r>
        <w:rPr>
          <w:rFonts w:hint="eastAsia" w:ascii="宋体" w:hAnsi="宋体" w:eastAsia="宋体" w:cs="宋体"/>
          <w:b/>
          <w:bCs/>
          <w:color w:val="auto"/>
          <w:highlight w:val="none"/>
        </w:rPr>
        <w:t>其他文书、文件格式</w:t>
      </w:r>
      <w:bookmarkEnd w:id="54"/>
      <w:bookmarkEnd w:id="55"/>
    </w:p>
    <w:p w14:paraId="33029A1E">
      <w:pPr>
        <w:jc w:val="center"/>
        <w:rPr>
          <w:rFonts w:hint="eastAsia" w:ascii="宋体" w:hAnsi="宋体" w:eastAsia="宋体" w:cs="宋体"/>
          <w:b/>
          <w:bCs/>
          <w:color w:val="auto"/>
          <w:sz w:val="32"/>
          <w:szCs w:val="32"/>
          <w:highlight w:val="none"/>
          <w:lang w:val="en"/>
        </w:rPr>
      </w:pPr>
      <w:r>
        <w:rPr>
          <w:rFonts w:hint="eastAsia" w:ascii="宋体" w:hAnsi="宋体" w:eastAsia="宋体" w:cs="宋体"/>
          <w:b/>
          <w:bCs/>
          <w:color w:val="auto"/>
          <w:sz w:val="32"/>
          <w:szCs w:val="32"/>
          <w:highlight w:val="none"/>
          <w:lang w:val="en"/>
        </w:rPr>
        <w:t>知识产权合规性声明</w:t>
      </w:r>
    </w:p>
    <w:p w14:paraId="6DE6B215">
      <w:pP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    </w:t>
      </w:r>
    </w:p>
    <w:p w14:paraId="17542A7C">
      <w:pPr>
        <w:rPr>
          <w:rFonts w:hint="eastAsia" w:ascii="宋体" w:hAnsi="宋体" w:eastAsia="宋体" w:cs="宋体"/>
          <w:color w:val="auto"/>
          <w:sz w:val="30"/>
          <w:szCs w:val="30"/>
          <w:highlight w:val="none"/>
          <w:lang w:val="en"/>
        </w:rPr>
      </w:pPr>
      <w:r>
        <w:rPr>
          <w:rFonts w:hint="eastAsia" w:ascii="宋体" w:hAnsi="宋体" w:eastAsia="宋体" w:cs="宋体"/>
          <w:color w:val="auto"/>
          <w:sz w:val="30"/>
          <w:szCs w:val="30"/>
          <w:highlight w:val="none"/>
        </w:rPr>
        <w:t xml:space="preserve">    本</w:t>
      </w:r>
      <w:r>
        <w:rPr>
          <w:rFonts w:hint="eastAsia" w:ascii="宋体" w:hAnsi="宋体" w:eastAsia="宋体" w:cs="宋体"/>
          <w:color w:val="auto"/>
          <w:sz w:val="30"/>
          <w:szCs w:val="30"/>
          <w:highlight w:val="none"/>
          <w:lang w:val="en"/>
        </w:rPr>
        <w:t>企业（单位）自愿参与政府投资政府采购的</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lang w:val="en"/>
        </w:rPr>
        <w:t>项目，</w:t>
      </w:r>
      <w:r>
        <w:rPr>
          <w:rFonts w:hint="eastAsia" w:ascii="宋体" w:hAnsi="宋体" w:eastAsia="宋体" w:cs="宋体"/>
          <w:b/>
          <w:bCs/>
          <w:color w:val="auto"/>
          <w:sz w:val="30"/>
          <w:szCs w:val="30"/>
          <w:highlight w:val="none"/>
          <w:lang w:val="en"/>
        </w:rPr>
        <w:t>在此郑重承诺：</w:t>
      </w:r>
      <w:r>
        <w:rPr>
          <w:rFonts w:hint="eastAsia" w:ascii="宋体" w:hAnsi="宋体" w:eastAsia="宋体" w:cs="宋体"/>
          <w:color w:val="auto"/>
          <w:sz w:val="30"/>
          <w:szCs w:val="30"/>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宋体" w:hAnsi="宋体" w:eastAsia="宋体" w:cs="宋体"/>
          <w:color w:val="auto"/>
          <w:sz w:val="30"/>
          <w:szCs w:val="30"/>
          <w:highlight w:val="none"/>
        </w:rPr>
        <w:t>单位</w:t>
      </w:r>
      <w:r>
        <w:rPr>
          <w:rFonts w:hint="eastAsia" w:ascii="宋体" w:hAnsi="宋体" w:eastAsia="宋体" w:cs="宋体"/>
          <w:color w:val="auto"/>
          <w:sz w:val="30"/>
          <w:szCs w:val="30"/>
          <w:highlight w:val="none"/>
          <w:lang w:val="en"/>
        </w:rPr>
        <w:t>）将承担由此产生的全部责任。</w:t>
      </w:r>
    </w:p>
    <w:p w14:paraId="515A26CE">
      <w:pPr>
        <w:snapToGrid w:val="0"/>
        <w:spacing w:line="360" w:lineRule="auto"/>
        <w:ind w:left="5137" w:leftChars="1736" w:hanging="1491" w:hangingChars="825"/>
        <w:rPr>
          <w:rFonts w:hint="eastAsia" w:ascii="宋体" w:hAnsi="宋体" w:eastAsia="宋体" w:cs="宋体"/>
          <w:b/>
          <w:color w:val="auto"/>
          <w:sz w:val="18"/>
          <w:szCs w:val="18"/>
          <w:highlight w:val="none"/>
        </w:rPr>
      </w:pPr>
      <w:r>
        <w:rPr>
          <w:rFonts w:hint="eastAsia" w:ascii="宋体" w:hAnsi="宋体" w:eastAsia="宋体" w:cs="宋体"/>
          <w:b/>
          <w:color w:val="auto"/>
          <w:sz w:val="18"/>
          <w:szCs w:val="18"/>
          <w:highlight w:val="none"/>
        </w:rPr>
        <w:t xml:space="preserve">           </w:t>
      </w:r>
    </w:p>
    <w:p w14:paraId="3B810D11">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18376701">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0F68295F">
      <w:pPr>
        <w:snapToGrid w:val="0"/>
        <w:spacing w:line="360" w:lineRule="auto"/>
        <w:ind w:left="5137" w:leftChars="1736" w:hanging="1491" w:hangingChars="825"/>
        <w:rPr>
          <w:rFonts w:hint="eastAsia" w:ascii="宋体" w:hAnsi="宋体" w:eastAsia="宋体" w:cs="宋体"/>
          <w:b/>
          <w:color w:val="auto"/>
          <w:sz w:val="18"/>
          <w:szCs w:val="18"/>
          <w:highlight w:val="none"/>
        </w:rPr>
      </w:pPr>
    </w:p>
    <w:p w14:paraId="506F9998">
      <w:pPr>
        <w:snapToGrid w:val="0"/>
        <w:spacing w:line="360" w:lineRule="auto"/>
        <w:ind w:left="5137" w:leftChars="1736" w:hanging="1491" w:hangingChars="825"/>
        <w:rPr>
          <w:rFonts w:hint="eastAsia" w:ascii="宋体" w:hAnsi="宋体" w:eastAsia="宋体" w:cs="宋体"/>
          <w:color w:val="auto"/>
          <w:kern w:val="0"/>
          <w:sz w:val="24"/>
          <w:highlight w:val="none"/>
        </w:rPr>
      </w:pPr>
      <w:r>
        <w:rPr>
          <w:rFonts w:hint="eastAsia" w:ascii="宋体" w:hAnsi="宋体" w:eastAsia="宋体" w:cs="宋体"/>
          <w:b/>
          <w:color w:val="auto"/>
          <w:sz w:val="18"/>
          <w:szCs w:val="18"/>
          <w:highlight w:val="none"/>
        </w:rPr>
        <w:t xml:space="preserve">      </w:t>
      </w:r>
      <w:r>
        <w:rPr>
          <w:rFonts w:hint="eastAsia" w:ascii="宋体" w:hAnsi="宋体" w:eastAsia="宋体" w:cs="宋体"/>
          <w:color w:val="auto"/>
          <w:kern w:val="0"/>
          <w:sz w:val="24"/>
          <w:highlight w:val="none"/>
          <w:lang w:val="zh-CN"/>
        </w:rPr>
        <w:t>竞标人名称(电子签章)：</w:t>
      </w:r>
    </w:p>
    <w:p w14:paraId="0C641EB7">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1AB3AB03">
      <w:pPr>
        <w:widowControl/>
        <w:jc w:val="left"/>
        <w:rPr>
          <w:rFonts w:hint="eastAsia" w:ascii="宋体" w:hAnsi="宋体" w:eastAsia="宋体" w:cs="宋体"/>
          <w:color w:val="auto"/>
          <w:sz w:val="24"/>
          <w:highlight w:val="none"/>
        </w:rPr>
        <w:sectPr>
          <w:pgSz w:w="11906" w:h="16838"/>
          <w:pgMar w:top="1134" w:right="1134" w:bottom="1134" w:left="1134" w:header="720" w:footer="720" w:gutter="0"/>
          <w:pgBorders>
            <w:top w:val="none" w:sz="0" w:space="0"/>
            <w:left w:val="none" w:sz="0" w:space="0"/>
            <w:bottom w:val="none" w:sz="0" w:space="0"/>
            <w:right w:val="none" w:sz="0" w:space="0"/>
          </w:pgBorders>
          <w:cols w:space="720" w:num="1"/>
          <w:docGrid w:type="lines" w:linePitch="331" w:charSpace="0"/>
        </w:sectPr>
      </w:pPr>
    </w:p>
    <w:p w14:paraId="5E977E1D">
      <w:pPr>
        <w:spacing w:line="520" w:lineRule="exact"/>
        <w:rPr>
          <w:rFonts w:hint="eastAsia" w:ascii="宋体" w:hAnsi="宋体" w:eastAsia="宋体" w:cs="宋体"/>
          <w:color w:val="auto"/>
          <w:sz w:val="24"/>
          <w:highlight w:val="none"/>
        </w:rPr>
      </w:pPr>
    </w:p>
    <w:p w14:paraId="18600805">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44"/>
          <w:szCs w:val="44"/>
          <w:highlight w:val="none"/>
        </w:rPr>
        <w:t>残疾人福利性单位声明函</w:t>
      </w:r>
    </w:p>
    <w:p w14:paraId="653D77A1">
      <w:pPr>
        <w:spacing w:line="520" w:lineRule="exact"/>
        <w:rPr>
          <w:rFonts w:hint="eastAsia" w:ascii="宋体" w:hAnsi="宋体" w:eastAsia="宋体" w:cs="宋体"/>
          <w:color w:val="auto"/>
          <w:sz w:val="32"/>
          <w:szCs w:val="32"/>
          <w:highlight w:val="none"/>
        </w:rPr>
      </w:pPr>
    </w:p>
    <w:p w14:paraId="2307619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项目采购活动由本单位提供服务。</w:t>
      </w:r>
    </w:p>
    <w:p w14:paraId="4F4D92D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5A7434CD">
      <w:pPr>
        <w:spacing w:line="360" w:lineRule="auto"/>
        <w:rPr>
          <w:rFonts w:hint="eastAsia" w:ascii="宋体" w:hAnsi="宋体" w:eastAsia="宋体" w:cs="宋体"/>
          <w:color w:val="auto"/>
          <w:sz w:val="24"/>
          <w:highlight w:val="none"/>
        </w:rPr>
      </w:pPr>
    </w:p>
    <w:p w14:paraId="5B91634E">
      <w:pPr>
        <w:spacing w:line="360" w:lineRule="auto"/>
        <w:rPr>
          <w:rFonts w:hint="eastAsia" w:ascii="宋体" w:hAnsi="宋体" w:eastAsia="宋体" w:cs="宋体"/>
          <w:color w:val="auto"/>
          <w:sz w:val="24"/>
          <w:highlight w:val="none"/>
        </w:rPr>
      </w:pPr>
    </w:p>
    <w:p w14:paraId="68535763">
      <w:pPr>
        <w:spacing w:line="360" w:lineRule="auto"/>
        <w:rPr>
          <w:rFonts w:hint="eastAsia" w:ascii="宋体" w:hAnsi="宋体" w:eastAsia="宋体" w:cs="宋体"/>
          <w:color w:val="auto"/>
          <w:sz w:val="24"/>
          <w:highlight w:val="none"/>
        </w:rPr>
      </w:pPr>
    </w:p>
    <w:p w14:paraId="16B4B5B4">
      <w:pPr>
        <w:spacing w:line="360" w:lineRule="auto"/>
        <w:ind w:firstLine="2400" w:firstLineChars="10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供应商名称（电子签章）：</w:t>
      </w:r>
    </w:p>
    <w:p w14:paraId="0EA96D6F">
      <w:pPr>
        <w:spacing w:line="360" w:lineRule="auto"/>
        <w:ind w:firstLine="4320" w:firstLineChars="180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     年   月   日</w:t>
      </w:r>
    </w:p>
    <w:p w14:paraId="68D400DF">
      <w:pPr>
        <w:spacing w:line="360" w:lineRule="auto"/>
        <w:rPr>
          <w:rFonts w:hint="eastAsia" w:ascii="宋体" w:hAnsi="宋体" w:eastAsia="宋体" w:cs="宋体"/>
          <w:color w:val="auto"/>
          <w:sz w:val="24"/>
          <w:highlight w:val="none"/>
        </w:rPr>
      </w:pPr>
    </w:p>
    <w:p w14:paraId="71A819AE">
      <w:pPr>
        <w:spacing w:line="360" w:lineRule="auto"/>
        <w:rPr>
          <w:rFonts w:hint="eastAsia" w:ascii="宋体" w:hAnsi="宋体" w:eastAsia="宋体" w:cs="宋体"/>
          <w:color w:val="auto"/>
          <w:sz w:val="24"/>
          <w:highlight w:val="none"/>
        </w:rPr>
      </w:pPr>
    </w:p>
    <w:p w14:paraId="18159345">
      <w:pPr>
        <w:spacing w:line="360" w:lineRule="auto"/>
        <w:rPr>
          <w:rFonts w:hint="eastAsia" w:ascii="宋体" w:hAnsi="宋体" w:eastAsia="宋体" w:cs="宋体"/>
          <w:color w:val="auto"/>
          <w:sz w:val="24"/>
          <w:highlight w:val="none"/>
        </w:rPr>
      </w:pPr>
    </w:p>
    <w:p w14:paraId="4E29E60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w:t>
      </w:r>
      <w:r>
        <w:rPr>
          <w:rFonts w:hint="eastAsia" w:ascii="宋体" w:hAnsi="宋体" w:eastAsia="宋体" w:cs="宋体"/>
          <w:color w:val="auto"/>
          <w:sz w:val="24"/>
          <w:highlight w:val="none"/>
          <w:lang w:eastAsia="zh-CN"/>
        </w:rPr>
        <w:t>竞标人</w:t>
      </w:r>
      <w:r>
        <w:rPr>
          <w:rFonts w:hint="eastAsia" w:ascii="宋体" w:hAnsi="宋体" w:eastAsia="宋体" w:cs="宋体"/>
          <w:color w:val="auto"/>
          <w:sz w:val="24"/>
          <w:highlight w:val="none"/>
        </w:rPr>
        <w:t>提供由省级以上监狱管理局、戒毒管理局（含新疆生产建设兵团）出具的属于监狱企业证明文件的，视同为小型和微型企业。</w:t>
      </w:r>
    </w:p>
    <w:p w14:paraId="1BA78127">
      <w:pPr>
        <w:spacing w:line="520" w:lineRule="exact"/>
        <w:jc w:val="center"/>
        <w:rPr>
          <w:rFonts w:hint="eastAsia" w:ascii="宋体" w:hAnsi="宋体" w:eastAsia="宋体" w:cs="宋体"/>
          <w:color w:val="auto"/>
          <w:sz w:val="24"/>
          <w:highlight w:val="none"/>
        </w:rPr>
      </w:pPr>
    </w:p>
    <w:p w14:paraId="17410532">
      <w:pPr>
        <w:rPr>
          <w:rFonts w:hint="eastAsia" w:ascii="宋体" w:hAnsi="宋体" w:eastAsia="宋体" w:cs="宋体"/>
          <w:color w:val="auto"/>
          <w:szCs w:val="21"/>
          <w:highlight w:val="none"/>
        </w:rPr>
      </w:pPr>
      <w:r>
        <w:rPr>
          <w:rFonts w:hint="eastAsia" w:ascii="宋体" w:hAnsi="宋体" w:eastAsia="宋体" w:cs="宋体"/>
          <w:b/>
          <w:bCs/>
          <w:color w:val="auto"/>
          <w:kern w:val="0"/>
          <w:sz w:val="28"/>
          <w:szCs w:val="28"/>
          <w:highlight w:val="none"/>
        </w:rPr>
        <w:br w:type="page"/>
      </w:r>
    </w:p>
    <w:p w14:paraId="61666F6F">
      <w:pPr>
        <w:pStyle w:val="2"/>
        <w:numPr>
          <w:ilvl w:val="0"/>
          <w:numId w:val="2"/>
        </w:numPr>
        <w:jc w:val="center"/>
        <w:rPr>
          <w:rFonts w:hint="eastAsia" w:ascii="宋体" w:hAnsi="宋体" w:eastAsia="宋体" w:cs="宋体"/>
          <w:b w:val="0"/>
          <w:bCs w:val="0"/>
          <w:color w:val="auto"/>
          <w:highlight w:val="none"/>
        </w:rPr>
      </w:pPr>
      <w:bookmarkStart w:id="57" w:name="_Toc9343"/>
      <w:bookmarkStart w:id="58" w:name="_Toc4005"/>
      <w:bookmarkStart w:id="59" w:name="_Toc15154"/>
      <w:bookmarkStart w:id="60" w:name="_Toc24786"/>
      <w:bookmarkStart w:id="61" w:name="_Toc12748"/>
      <w:r>
        <w:rPr>
          <w:rFonts w:hint="eastAsia" w:ascii="宋体" w:hAnsi="宋体" w:eastAsia="宋体" w:cs="宋体"/>
          <w:b w:val="0"/>
          <w:bCs w:val="0"/>
          <w:color w:val="auto"/>
          <w:highlight w:val="none"/>
        </w:rPr>
        <w:t xml:space="preserve"> </w:t>
      </w:r>
      <w:bookmarkStart w:id="62" w:name="_Toc13046"/>
      <w:r>
        <w:rPr>
          <w:rFonts w:hint="eastAsia" w:ascii="宋体" w:hAnsi="宋体" w:eastAsia="宋体" w:cs="宋体"/>
          <w:b w:val="0"/>
          <w:bCs w:val="0"/>
          <w:color w:val="auto"/>
          <w:highlight w:val="none"/>
        </w:rPr>
        <w:t>合同文本</w:t>
      </w:r>
      <w:bookmarkEnd w:id="57"/>
      <w:bookmarkEnd w:id="58"/>
      <w:bookmarkEnd w:id="59"/>
      <w:bookmarkEnd w:id="60"/>
      <w:bookmarkEnd w:id="62"/>
    </w:p>
    <w:bookmarkEnd w:id="61"/>
    <w:p w14:paraId="388555B7">
      <w:pPr>
        <w:widowControl/>
        <w:shd w:val="clear" w:color="auto" w:fill="FFFFFF"/>
        <w:spacing w:before="100" w:beforeAutospacing="1" w:after="100" w:afterAutospacing="1"/>
        <w:ind w:firstLine="360"/>
        <w:jc w:val="left"/>
        <w:rPr>
          <w:rFonts w:hint="eastAsia" w:ascii="宋体" w:hAnsi="宋体" w:eastAsia="宋体" w:cs="宋体"/>
          <w:b/>
          <w:bCs/>
          <w:color w:val="auto"/>
          <w:sz w:val="28"/>
          <w:szCs w:val="28"/>
          <w:highlight w:val="none"/>
          <w:u w:val="none"/>
          <w:lang w:val="en-US" w:eastAsia="zh-CN"/>
        </w:rPr>
      </w:pPr>
      <w:bookmarkStart w:id="63" w:name="_Toc122424485"/>
      <w:bookmarkStart w:id="64" w:name="_Toc122424236"/>
      <w:bookmarkStart w:id="65" w:name="_Toc20394"/>
      <w:bookmarkStart w:id="66" w:name="_Toc19149"/>
      <w:r>
        <w:rPr>
          <w:rFonts w:hint="eastAsia" w:ascii="宋体" w:hAnsi="宋体" w:eastAsia="宋体" w:cs="宋体"/>
          <w:b/>
          <w:bCs/>
          <w:color w:val="auto"/>
          <w:sz w:val="28"/>
          <w:szCs w:val="28"/>
          <w:highlight w:val="none"/>
          <w:u w:val="none"/>
          <w:lang w:eastAsia="zh-CN"/>
        </w:rPr>
        <w:t>“</w:t>
      </w:r>
      <w:r>
        <w:rPr>
          <w:rFonts w:hint="eastAsia" w:ascii="宋体" w:hAnsi="宋体" w:eastAsia="宋体" w:cs="宋体"/>
          <w:b/>
          <w:bCs/>
          <w:color w:val="auto"/>
          <w:sz w:val="28"/>
          <w:szCs w:val="28"/>
          <w:highlight w:val="none"/>
          <w:u w:val="none"/>
          <w:lang w:val="en-US" w:eastAsia="zh-CN"/>
        </w:rPr>
        <w:t>广西政府采购云平台”平台合同编号：</w:t>
      </w:r>
    </w:p>
    <w:p w14:paraId="4890D624">
      <w:pPr>
        <w:widowControl/>
        <w:shd w:val="clear" w:color="auto" w:fill="FFFFFF"/>
        <w:spacing w:before="100" w:beforeAutospacing="1" w:after="100" w:afterAutospacing="1"/>
        <w:ind w:firstLine="360"/>
        <w:jc w:val="center"/>
        <w:rPr>
          <w:rFonts w:hint="eastAsia" w:ascii="宋体" w:hAnsi="宋体" w:eastAsia="宋体" w:cs="宋体"/>
          <w:b/>
          <w:bCs/>
          <w:color w:val="auto"/>
          <w:sz w:val="52"/>
          <w:szCs w:val="52"/>
          <w:highlight w:val="none"/>
        </w:rPr>
      </w:pPr>
    </w:p>
    <w:p w14:paraId="38535E55">
      <w:pPr>
        <w:widowControl/>
        <w:shd w:val="clear" w:color="auto" w:fill="FFFFFF"/>
        <w:spacing w:before="100" w:beforeAutospacing="1" w:after="100" w:afterAutospacing="1"/>
        <w:ind w:firstLine="360"/>
        <w:jc w:val="center"/>
        <w:rPr>
          <w:rFonts w:hint="eastAsia" w:ascii="宋体" w:hAnsi="宋体" w:eastAsia="宋体" w:cs="宋体"/>
          <w:b/>
          <w:bCs/>
          <w:color w:val="auto"/>
          <w:sz w:val="52"/>
          <w:szCs w:val="52"/>
          <w:highlight w:val="none"/>
          <w:lang w:val="en-US"/>
        </w:rPr>
      </w:pPr>
      <w:r>
        <w:rPr>
          <w:rFonts w:hint="eastAsia" w:ascii="宋体" w:hAnsi="宋体" w:eastAsia="宋体" w:cs="宋体"/>
          <w:b/>
          <w:bCs/>
          <w:color w:val="auto"/>
          <w:sz w:val="52"/>
          <w:szCs w:val="52"/>
          <w:highlight w:val="none"/>
        </w:rPr>
        <w:t>南</w:t>
      </w:r>
      <w:r>
        <w:rPr>
          <w:rFonts w:hint="eastAsia" w:ascii="宋体" w:hAnsi="宋体" w:eastAsia="宋体" w:cs="宋体"/>
          <w:b/>
          <w:bCs/>
          <w:color w:val="auto"/>
          <w:sz w:val="52"/>
          <w:szCs w:val="52"/>
          <w:highlight w:val="none"/>
          <w:lang w:val="en-US" w:eastAsia="zh-CN"/>
        </w:rPr>
        <w:t xml:space="preserve"> </w:t>
      </w:r>
      <w:r>
        <w:rPr>
          <w:rFonts w:hint="eastAsia" w:ascii="宋体" w:hAnsi="宋体" w:eastAsia="宋体" w:cs="宋体"/>
          <w:b/>
          <w:bCs/>
          <w:color w:val="auto"/>
          <w:sz w:val="52"/>
          <w:szCs w:val="52"/>
          <w:highlight w:val="none"/>
        </w:rPr>
        <w:t>宁</w:t>
      </w:r>
      <w:r>
        <w:rPr>
          <w:rFonts w:hint="eastAsia" w:ascii="宋体" w:hAnsi="宋体" w:eastAsia="宋体" w:cs="宋体"/>
          <w:b/>
          <w:bCs/>
          <w:color w:val="auto"/>
          <w:sz w:val="52"/>
          <w:szCs w:val="52"/>
          <w:highlight w:val="none"/>
          <w:lang w:val="en-US" w:eastAsia="zh-CN"/>
        </w:rPr>
        <w:t xml:space="preserve"> </w:t>
      </w:r>
      <w:r>
        <w:rPr>
          <w:rFonts w:hint="eastAsia" w:ascii="宋体" w:hAnsi="宋体" w:eastAsia="宋体" w:cs="宋体"/>
          <w:b/>
          <w:bCs/>
          <w:color w:val="auto"/>
          <w:sz w:val="52"/>
          <w:szCs w:val="52"/>
          <w:highlight w:val="none"/>
        </w:rPr>
        <w:t>市</w:t>
      </w:r>
      <w:r>
        <w:rPr>
          <w:rFonts w:hint="eastAsia" w:ascii="宋体" w:hAnsi="宋体" w:eastAsia="宋体" w:cs="宋体"/>
          <w:b/>
          <w:bCs/>
          <w:color w:val="auto"/>
          <w:sz w:val="52"/>
          <w:szCs w:val="52"/>
          <w:highlight w:val="none"/>
          <w:lang w:val="en-US" w:eastAsia="zh-CN"/>
        </w:rPr>
        <w:t xml:space="preserve"> 政 府 采 购</w:t>
      </w:r>
    </w:p>
    <w:p w14:paraId="38666D38">
      <w:pPr>
        <w:spacing w:line="360" w:lineRule="auto"/>
        <w:jc w:val="center"/>
        <w:rPr>
          <w:rFonts w:hint="eastAsia" w:ascii="宋体" w:hAnsi="宋体" w:eastAsia="宋体" w:cs="宋体"/>
          <w:b/>
          <w:bCs/>
          <w:color w:val="auto"/>
          <w:sz w:val="44"/>
          <w:szCs w:val="44"/>
          <w:highlight w:val="none"/>
          <w:lang w:val="en-US" w:eastAsia="zh-CN"/>
        </w:rPr>
      </w:pPr>
    </w:p>
    <w:p w14:paraId="23EAD39C">
      <w:pPr>
        <w:spacing w:line="360" w:lineRule="auto"/>
        <w:jc w:val="center"/>
        <w:rPr>
          <w:rFonts w:hint="eastAsia"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u w:val="single"/>
          <w:lang w:val="en-US" w:eastAsia="zh-CN"/>
        </w:rPr>
        <w:t xml:space="preserve">                </w:t>
      </w:r>
      <w:r>
        <w:rPr>
          <w:rFonts w:hint="eastAsia" w:ascii="宋体" w:hAnsi="宋体" w:eastAsia="宋体" w:cs="宋体"/>
          <w:b/>
          <w:bCs/>
          <w:color w:val="auto"/>
          <w:sz w:val="44"/>
          <w:szCs w:val="44"/>
          <w:highlight w:val="none"/>
          <w:lang w:val="en-US" w:eastAsia="zh-CN"/>
        </w:rPr>
        <w:t>施工合同</w:t>
      </w:r>
    </w:p>
    <w:p w14:paraId="483DF03E">
      <w:pPr>
        <w:widowControl/>
        <w:shd w:val="clear" w:color="auto" w:fill="FFFFFF"/>
        <w:spacing w:before="100" w:beforeAutospacing="1" w:after="100" w:afterAutospacing="1"/>
        <w:ind w:firstLine="360"/>
        <w:jc w:val="center"/>
        <w:rPr>
          <w:rFonts w:hint="eastAsia" w:ascii="宋体" w:hAnsi="宋体" w:eastAsia="宋体" w:cs="宋体"/>
          <w:b/>
          <w:bCs/>
          <w:color w:val="auto"/>
          <w:sz w:val="32"/>
          <w:szCs w:val="32"/>
          <w:highlight w:val="none"/>
          <w:lang w:val="en-US" w:eastAsia="zh-CN"/>
        </w:rPr>
      </w:pPr>
    </w:p>
    <w:p w14:paraId="2D11112E">
      <w:pPr>
        <w:widowControl/>
        <w:shd w:val="clear" w:color="auto" w:fill="FFFFFF"/>
        <w:spacing w:before="100" w:beforeAutospacing="1" w:after="100" w:afterAutospacing="1"/>
        <w:ind w:firstLine="360"/>
        <w:jc w:val="center"/>
        <w:rPr>
          <w:rFonts w:hint="eastAsia" w:ascii="宋体" w:hAnsi="宋体" w:eastAsia="宋体" w:cs="宋体"/>
          <w:b/>
          <w:bCs/>
          <w:color w:val="auto"/>
          <w:sz w:val="32"/>
          <w:szCs w:val="32"/>
          <w:highlight w:val="none"/>
          <w:lang w:val="en-US" w:eastAsia="zh-CN"/>
        </w:rPr>
      </w:pPr>
    </w:p>
    <w:p w14:paraId="3F93343B">
      <w:pPr>
        <w:widowControl/>
        <w:shd w:val="clear" w:color="auto" w:fill="FFFFFF"/>
        <w:spacing w:before="100" w:beforeAutospacing="1" w:after="100" w:afterAutospacing="1"/>
        <w:ind w:firstLine="1690" w:firstLineChars="526"/>
        <w:jc w:val="both"/>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采购项目编号：</w:t>
      </w:r>
      <w:r>
        <w:rPr>
          <w:rFonts w:hint="eastAsia" w:ascii="宋体" w:hAnsi="宋体" w:cs="宋体"/>
          <w:b/>
          <w:bCs/>
          <w:color w:val="auto"/>
          <w:sz w:val="32"/>
          <w:szCs w:val="32"/>
          <w:highlight w:val="none"/>
          <w:u w:val="single"/>
          <w:lang w:val="en-US" w:eastAsia="zh-CN"/>
        </w:rPr>
        <w:t>NNZC2026-C2-070045-GXGG</w:t>
      </w:r>
    </w:p>
    <w:p w14:paraId="63A51B4E">
      <w:pPr>
        <w:widowControl/>
        <w:shd w:val="clear" w:color="auto" w:fill="FFFFFF"/>
        <w:spacing w:before="100" w:beforeAutospacing="1" w:after="100" w:afterAutospacing="1"/>
        <w:ind w:firstLine="1606" w:firstLineChars="500"/>
        <w:jc w:val="left"/>
        <w:rPr>
          <w:rFonts w:hint="default" w:ascii="宋体" w:hAnsi="宋体" w:eastAsia="宋体" w:cs="宋体"/>
          <w:color w:val="auto"/>
          <w:sz w:val="32"/>
          <w:szCs w:val="32"/>
          <w:highlight w:val="none"/>
          <w:lang w:val="en-US"/>
        </w:rPr>
      </w:pPr>
      <w:r>
        <w:rPr>
          <w:rFonts w:hint="eastAsia" w:ascii="宋体" w:hAnsi="宋体" w:eastAsia="宋体" w:cs="宋体"/>
          <w:b/>
          <w:bCs/>
          <w:color w:val="auto"/>
          <w:sz w:val="32"/>
          <w:szCs w:val="32"/>
          <w:highlight w:val="none"/>
          <w:lang w:val="en-US" w:eastAsia="zh-CN"/>
        </w:rPr>
        <w:t>采购计划编号：</w:t>
      </w:r>
      <w:r>
        <w:rPr>
          <w:rFonts w:hint="eastAsia" w:ascii="宋体" w:hAnsi="宋体" w:cs="宋体"/>
          <w:b/>
          <w:bCs/>
          <w:color w:val="auto"/>
          <w:sz w:val="32"/>
          <w:szCs w:val="32"/>
          <w:highlight w:val="none"/>
          <w:u w:val="single"/>
          <w:lang w:val="en-US" w:eastAsia="zh-CN"/>
        </w:rPr>
        <w:t xml:space="preserve"> XXTZC[2026]1136号 </w:t>
      </w:r>
    </w:p>
    <w:p w14:paraId="4E42FE70">
      <w:pPr>
        <w:widowControl/>
        <w:shd w:val="clear" w:color="auto" w:fill="FFFFFF"/>
        <w:spacing w:before="100" w:beforeAutospacing="1" w:after="100" w:afterAutospacing="1"/>
        <w:ind w:firstLine="140"/>
        <w:rPr>
          <w:rFonts w:hint="eastAsia" w:ascii="宋体" w:hAnsi="宋体" w:eastAsia="宋体" w:cs="宋体"/>
          <w:color w:val="auto"/>
          <w:sz w:val="32"/>
          <w:szCs w:val="32"/>
          <w:highlight w:val="none"/>
        </w:rPr>
      </w:pPr>
    </w:p>
    <w:p w14:paraId="3EAA30CC">
      <w:pPr>
        <w:widowControl/>
        <w:shd w:val="clear" w:color="auto" w:fill="FFFFFF"/>
        <w:spacing w:before="100" w:beforeAutospacing="1" w:after="100" w:afterAutospacing="1"/>
        <w:ind w:firstLine="140"/>
        <w:rPr>
          <w:rFonts w:hint="eastAsia" w:ascii="宋体" w:hAnsi="宋体" w:eastAsia="宋体" w:cs="宋体"/>
          <w:color w:val="auto"/>
          <w:sz w:val="32"/>
          <w:szCs w:val="32"/>
          <w:highlight w:val="none"/>
        </w:rPr>
      </w:pPr>
    </w:p>
    <w:p w14:paraId="04F533BD">
      <w:pPr>
        <w:widowControl/>
        <w:shd w:val="clear" w:color="auto" w:fill="FFFFFF"/>
        <w:spacing w:before="100" w:beforeAutospacing="1" w:after="100" w:afterAutospacing="1"/>
        <w:ind w:firstLine="14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w:t>
      </w:r>
    </w:p>
    <w:p w14:paraId="3AA653E5">
      <w:pPr>
        <w:widowControl/>
        <w:shd w:val="clear" w:color="auto" w:fill="FFFFFF"/>
        <w:spacing w:before="100" w:beforeAutospacing="1" w:after="100" w:afterAutospacing="1"/>
        <w:ind w:left="745" w:leftChars="50" w:hanging="640" w:hangingChars="200"/>
        <w:rPr>
          <w:rFonts w:hint="eastAsia" w:ascii="宋体" w:hAnsi="宋体" w:eastAsia="宋体" w:cs="宋体"/>
          <w:b w:val="0"/>
          <w:bCs w:val="0"/>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 xml:space="preserve"> </w:t>
      </w:r>
      <w:r>
        <w:rPr>
          <w:rFonts w:hint="eastAsia" w:ascii="宋体" w:hAnsi="宋体" w:eastAsia="宋体" w:cs="宋体"/>
          <w:b w:val="0"/>
          <w:bCs w:val="0"/>
          <w:color w:val="auto"/>
          <w:sz w:val="32"/>
          <w:szCs w:val="32"/>
          <w:highlight w:val="none"/>
          <w:lang w:val="en-US" w:eastAsia="zh-CN"/>
        </w:rPr>
        <w:t>采  购  人</w:t>
      </w:r>
      <w:r>
        <w:rPr>
          <w:rFonts w:hint="eastAsia" w:ascii="宋体" w:hAnsi="宋体" w:eastAsia="宋体" w:cs="宋体"/>
          <w:b w:val="0"/>
          <w:bCs w:val="0"/>
          <w:color w:val="auto"/>
          <w:sz w:val="32"/>
          <w:szCs w:val="32"/>
          <w:highlight w:val="none"/>
        </w:rPr>
        <w:t>：</w:t>
      </w:r>
      <w:r>
        <w:rPr>
          <w:rFonts w:hint="eastAsia" w:ascii="宋体" w:hAnsi="宋体" w:eastAsia="宋体" w:cs="宋体"/>
          <w:b w:val="0"/>
          <w:bCs w:val="0"/>
          <w:color w:val="auto"/>
          <w:sz w:val="32"/>
          <w:szCs w:val="32"/>
          <w:highlight w:val="none"/>
          <w:u w:val="single"/>
        </w:rPr>
        <w:t xml:space="preserve"> </w:t>
      </w:r>
      <w:r>
        <w:rPr>
          <w:rFonts w:hint="eastAsia" w:ascii="宋体" w:hAnsi="宋体" w:cs="宋体"/>
          <w:b w:val="0"/>
          <w:bCs w:val="0"/>
          <w:color w:val="auto"/>
          <w:sz w:val="32"/>
          <w:szCs w:val="32"/>
          <w:highlight w:val="none"/>
          <w:u w:val="single"/>
          <w:lang w:val="en-US" w:eastAsia="zh-CN"/>
        </w:rPr>
        <w:t>南宁市衡阳西路第二幼儿园</w:t>
      </w:r>
      <w:r>
        <w:rPr>
          <w:rFonts w:hint="eastAsia" w:ascii="宋体" w:hAnsi="宋体" w:eastAsia="宋体" w:cs="宋体"/>
          <w:b w:val="0"/>
          <w:bCs w:val="0"/>
          <w:color w:val="auto"/>
          <w:sz w:val="32"/>
          <w:szCs w:val="32"/>
          <w:highlight w:val="none"/>
          <w:u w:val="single"/>
        </w:rPr>
        <w:t xml:space="preserve"> </w:t>
      </w:r>
      <w:r>
        <w:rPr>
          <w:rFonts w:hint="eastAsia" w:ascii="宋体" w:hAnsi="宋体" w:eastAsia="宋体" w:cs="宋体"/>
          <w:b w:val="0"/>
          <w:bCs w:val="0"/>
          <w:color w:val="auto"/>
          <w:sz w:val="32"/>
          <w:szCs w:val="32"/>
          <w:highlight w:val="none"/>
        </w:rPr>
        <w:t xml:space="preserve"> </w:t>
      </w:r>
    </w:p>
    <w:p w14:paraId="3552C78B">
      <w:pPr>
        <w:widowControl/>
        <w:shd w:val="clear" w:color="auto" w:fill="FFFFFF"/>
        <w:spacing w:before="100" w:beforeAutospacing="1" w:after="100" w:afterAutospacing="1"/>
        <w:ind w:firstLine="1747" w:firstLineChars="546"/>
        <w:rPr>
          <w:rFonts w:hint="eastAsia" w:ascii="宋体" w:hAnsi="宋体" w:eastAsia="宋体" w:cs="宋体"/>
          <w:color w:val="auto"/>
          <w:sz w:val="32"/>
          <w:szCs w:val="32"/>
          <w:highlight w:val="none"/>
          <w:u w:val="single"/>
        </w:rPr>
      </w:pPr>
      <w:r>
        <w:rPr>
          <w:rFonts w:hint="eastAsia" w:ascii="宋体" w:hAnsi="宋体" w:eastAsia="宋体" w:cs="宋体"/>
          <w:b w:val="0"/>
          <w:bCs w:val="0"/>
          <w:color w:val="auto"/>
          <w:sz w:val="32"/>
          <w:szCs w:val="32"/>
          <w:highlight w:val="none"/>
          <w:lang w:val="en-US" w:eastAsia="zh-CN"/>
        </w:rPr>
        <w:t>成交供应商</w:t>
      </w:r>
      <w:r>
        <w:rPr>
          <w:rFonts w:hint="eastAsia" w:ascii="宋体" w:hAnsi="宋体" w:eastAsia="宋体" w:cs="宋体"/>
          <w:b w:val="0"/>
          <w:bCs w:val="0"/>
          <w:color w:val="auto"/>
          <w:sz w:val="32"/>
          <w:szCs w:val="32"/>
          <w:highlight w:val="none"/>
        </w:rPr>
        <w:t>：</w:t>
      </w:r>
      <w:r>
        <w:rPr>
          <w:rFonts w:hint="eastAsia" w:ascii="宋体" w:hAnsi="宋体" w:eastAsia="宋体" w:cs="宋体"/>
          <w:b w:val="0"/>
          <w:bCs w:val="0"/>
          <w:color w:val="auto"/>
          <w:sz w:val="32"/>
          <w:szCs w:val="32"/>
          <w:highlight w:val="none"/>
          <w:u w:val="single"/>
        </w:rPr>
        <w:t xml:space="preserve">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u w:val="single"/>
          <w:lang w:val="en-US" w:eastAsia="zh-CN"/>
        </w:rPr>
        <w:t xml:space="preserve">         </w:t>
      </w:r>
      <w:r>
        <w:rPr>
          <w:rFonts w:hint="eastAsia" w:ascii="宋体" w:hAnsi="宋体" w:eastAsia="宋体" w:cs="宋体"/>
          <w:b/>
          <w:bCs/>
          <w:color w:val="auto"/>
          <w:sz w:val="32"/>
          <w:szCs w:val="32"/>
          <w:highlight w:val="none"/>
          <w:u w:val="single"/>
        </w:rPr>
        <w:t xml:space="preserve">   </w:t>
      </w:r>
    </w:p>
    <w:p w14:paraId="39EDCF42">
      <w:pPr>
        <w:widowControl/>
        <w:shd w:val="clear" w:color="auto" w:fill="FFFFFF"/>
        <w:spacing w:before="100" w:beforeAutospacing="1" w:after="100" w:afterAutospacing="1"/>
        <w:ind w:firstLine="694"/>
        <w:rPr>
          <w:rFonts w:hint="eastAsia" w:ascii="宋体" w:hAnsi="宋体" w:eastAsia="宋体" w:cs="宋体"/>
          <w:color w:val="auto"/>
          <w:highlight w:val="none"/>
        </w:rPr>
      </w:pPr>
      <w:r>
        <w:rPr>
          <w:rFonts w:hint="eastAsia" w:ascii="宋体" w:hAnsi="宋体" w:eastAsia="宋体" w:cs="宋体"/>
          <w:color w:val="auto"/>
          <w:sz w:val="27"/>
          <w:szCs w:val="27"/>
          <w:highlight w:val="none"/>
        </w:rPr>
        <w:br w:type="page"/>
      </w:r>
    </w:p>
    <w:p w14:paraId="6D12CBE2">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依照《</w:t>
      </w:r>
      <w:r>
        <w:rPr>
          <w:rFonts w:hint="eastAsia" w:ascii="宋体" w:hAnsi="宋体" w:eastAsia="宋体" w:cs="宋体"/>
          <w:color w:val="auto"/>
          <w:sz w:val="24"/>
          <w:szCs w:val="24"/>
          <w:highlight w:val="none"/>
          <w:lang w:eastAsia="zh-CN"/>
        </w:rPr>
        <w:t>中华人民共和国民法典</w:t>
      </w:r>
      <w:r>
        <w:rPr>
          <w:rFonts w:hint="eastAsia" w:ascii="宋体" w:hAnsi="宋体" w:eastAsia="宋体" w:cs="宋体"/>
          <w:color w:val="auto"/>
          <w:sz w:val="24"/>
          <w:szCs w:val="24"/>
          <w:highlight w:val="none"/>
        </w:rPr>
        <w:t>》及有关建筑工程的法律规定条款，遵循平等、自愿、公平和诚信的原则，经双方协商一致，就本工程施工事项签订本合同。</w:t>
      </w:r>
    </w:p>
    <w:p w14:paraId="440C8BC1">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一、工程概况</w:t>
      </w:r>
    </w:p>
    <w:p w14:paraId="107D9261">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工程名称：</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lang w:eastAsia="zh-CN"/>
        </w:rPr>
        <w:t>南宁市衡阳西路第二幼儿园教学楼(阳光楼)维修工程</w:t>
      </w:r>
      <w:r>
        <w:rPr>
          <w:rFonts w:hint="eastAsia" w:ascii="宋体" w:hAnsi="宋体" w:eastAsia="宋体" w:cs="宋体"/>
          <w:b w:val="0"/>
          <w:bCs w:val="0"/>
          <w:color w:val="auto"/>
          <w:sz w:val="24"/>
          <w:szCs w:val="24"/>
          <w:highlight w:val="none"/>
          <w:u w:val="single"/>
          <w:lang w:val="en-US" w:eastAsia="zh-CN"/>
        </w:rPr>
        <w:t xml:space="preserve"> </w:t>
      </w:r>
    </w:p>
    <w:p w14:paraId="28531246">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5A85190">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C60E4E6">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二、承包范围及承包方式</w:t>
      </w:r>
    </w:p>
    <w:p w14:paraId="71FD019E">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1．承包范围：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14:paraId="39928C38">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2．承包方式：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包工包料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3C175FEC">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三、合同期限：</w:t>
      </w:r>
    </w:p>
    <w:p w14:paraId="041559C1">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开工日期：        年     月      日（确切开工日期以双方商定日为准）</w:t>
      </w:r>
    </w:p>
    <w:p w14:paraId="4C9B5015">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竣工日期：        年     月      日</w:t>
      </w:r>
    </w:p>
    <w:p w14:paraId="00D2F810">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合同工期：        日历天数。</w:t>
      </w:r>
    </w:p>
    <w:p w14:paraId="5A72027B">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四、质量标准</w:t>
      </w:r>
    </w:p>
    <w:p w14:paraId="364E8449">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符合国家现行建设工程施工质量评定标准和施工技术规范验收标准。承包方施工质量达不到合格时应无条件返工，由此产生的一切费用由承包人承担。</w:t>
      </w:r>
    </w:p>
    <w:p w14:paraId="31AEA339">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五、安全施工</w:t>
      </w:r>
    </w:p>
    <w:p w14:paraId="089AF492">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1．承包方应遵守工程建设安全生产有关管理规定，严格按安全标准组织施工，采用必要的安全防护措施，消除事故隐患。</w:t>
      </w:r>
    </w:p>
    <w:p w14:paraId="0806B234">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2．承包人应设立安全员对工作人员进行安全教育，对施工现场和过程进行监督检查，确保施工安全。如果在施工过程中发生安全或意外事故，一切责任由承包人承担，与发包人无关。</w:t>
      </w:r>
    </w:p>
    <w:p w14:paraId="5FA12EE3">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六、合同价款与支付</w:t>
      </w:r>
    </w:p>
    <w:p w14:paraId="0E0FBED2">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（一）合同价款</w:t>
      </w:r>
    </w:p>
    <w:p w14:paraId="048D12CB">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.签约合同价为：</w:t>
      </w:r>
    </w:p>
    <w:p w14:paraId="52EF8A93">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人民币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大写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元）</w:t>
      </w:r>
    </w:p>
    <w:p w14:paraId="2B306C4C">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lang w:val="en-US" w:eastAsia="zh-CN"/>
        </w:rPr>
        <w:t>合同价格形式：</w:t>
      </w:r>
      <w:r>
        <w:rPr>
          <w:rFonts w:hint="eastAsia" w:ascii="宋体" w:hAnsi="宋体" w:eastAsia="宋体" w:cs="宋体"/>
          <w:color w:val="auto"/>
          <w:sz w:val="24"/>
          <w:szCs w:val="24"/>
          <w:highlight w:val="none"/>
          <w:u w:val="single"/>
          <w:lang w:val="en-US" w:eastAsia="zh-CN"/>
        </w:rPr>
        <w:t xml:space="preserve"> 固定综合单价 </w:t>
      </w:r>
      <w:r>
        <w:rPr>
          <w:rFonts w:hint="eastAsia" w:ascii="宋体" w:hAnsi="宋体" w:eastAsia="宋体" w:cs="宋体"/>
          <w:color w:val="auto"/>
          <w:sz w:val="24"/>
          <w:szCs w:val="24"/>
          <w:highlight w:val="none"/>
        </w:rPr>
        <w:t>。</w:t>
      </w:r>
    </w:p>
    <w:p w14:paraId="1F49B43E">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结算工程量以双方验收的实际完成工程量为准，该工程有施工内容或工程量变化的，必须事先经发包人同意，由发包人和承包人、监理方按《南宁市西乡塘区人民政府办公室关于加强政府投资项目工程变更管理的通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西府办〔2024〕2号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执行，未批复前不能擅自变更。</w:t>
      </w:r>
    </w:p>
    <w:p w14:paraId="020FE16E">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工程竣工结算文件经发承包双方签字确认，工程竣工结算由承包人编制，由发包人委托西乡塘区</w:t>
      </w:r>
      <w:r>
        <w:rPr>
          <w:rFonts w:hint="eastAsia" w:ascii="宋体" w:hAnsi="宋体" w:cs="宋体"/>
          <w:color w:val="auto"/>
          <w:sz w:val="24"/>
          <w:szCs w:val="24"/>
          <w:highlight w:val="none"/>
          <w:lang w:eastAsia="zh-CN"/>
        </w:rPr>
        <w:t>财政</w:t>
      </w:r>
      <w:r>
        <w:rPr>
          <w:rFonts w:hint="eastAsia" w:ascii="宋体" w:hAnsi="宋体" w:eastAsia="宋体" w:cs="宋体"/>
          <w:color w:val="auto"/>
          <w:sz w:val="24"/>
          <w:szCs w:val="24"/>
          <w:highlight w:val="none"/>
        </w:rPr>
        <w:t>局定点的具有相应资质的工程造价咨询机构审核，审核结论与承包人竣工结算文件不一致的，应该提交给承包人复核，承包人应在规定期限内将同意审核结论或不同意见的说明提交工程造价咨询机构，复核后仍有异议的，一个月内，可以向有关工程造价管理机构申请调解。</w:t>
      </w:r>
    </w:p>
    <w:p w14:paraId="6E6C1850">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．如承包人报送的工程结算总价过高，造成该结算审减率（审减率=(送审造价-审定造价)/送审造价×100%）超过8%以上的，则全额的审核费由承包人支付；审减率小于或等于8%时，全额的审核费由发包人支付。</w:t>
      </w:r>
    </w:p>
    <w:p w14:paraId="71A528AC">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（二）工程款支付方式：</w:t>
      </w:r>
    </w:p>
    <w:p w14:paraId="66154686">
      <w:pPr>
        <w:keepNext w:val="0"/>
        <w:keepLines w:val="0"/>
        <w:pageBreakBefore w:val="0"/>
        <w:kinsoku/>
        <w:wordWrap/>
        <w:overflowPunct/>
        <w:topLinePunct w:val="0"/>
        <w:autoSpaceDE w:val="0"/>
        <w:autoSpaceDN w:val="0"/>
        <w:bidi w:val="0"/>
        <w:adjustRightInd w:val="0"/>
        <w:snapToGrid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双方约定的工程款（进度款）的支付方式：工程进度款按</w:t>
      </w:r>
      <w:r>
        <w:rPr>
          <w:rFonts w:hint="eastAsia" w:ascii="宋体" w:hAnsi="宋体" w:eastAsia="宋体" w:cs="宋体"/>
          <w:color w:val="auto"/>
          <w:sz w:val="24"/>
          <w:szCs w:val="24"/>
          <w:highlight w:val="none"/>
          <w:lang w:val="en-US" w:eastAsia="zh-CN"/>
        </w:rPr>
        <w:t>进度申请</w:t>
      </w:r>
      <w:r>
        <w:rPr>
          <w:rFonts w:hint="eastAsia" w:ascii="宋体" w:hAnsi="宋体" w:eastAsia="宋体" w:cs="宋体"/>
          <w:color w:val="auto"/>
          <w:sz w:val="24"/>
          <w:szCs w:val="24"/>
          <w:highlight w:val="none"/>
        </w:rPr>
        <w:t>支付，合同价款内的进度款支付额为当</w:t>
      </w:r>
      <w:r>
        <w:rPr>
          <w:rFonts w:hint="eastAsia" w:ascii="宋体" w:hAnsi="宋体" w:eastAsia="宋体" w:cs="宋体"/>
          <w:color w:val="auto"/>
          <w:sz w:val="24"/>
          <w:szCs w:val="24"/>
          <w:highlight w:val="none"/>
          <w:lang w:val="en-US" w:eastAsia="zh-CN"/>
        </w:rPr>
        <w:t>期</w:t>
      </w:r>
      <w:r>
        <w:rPr>
          <w:rFonts w:hint="eastAsia" w:ascii="宋体" w:hAnsi="宋体" w:eastAsia="宋体" w:cs="宋体"/>
          <w:color w:val="auto"/>
          <w:sz w:val="24"/>
          <w:szCs w:val="24"/>
          <w:highlight w:val="none"/>
        </w:rPr>
        <w:t>实际完成工程量价款的80%，发包人在每</w:t>
      </w:r>
      <w:r>
        <w:rPr>
          <w:rFonts w:hint="eastAsia" w:ascii="宋体" w:hAnsi="宋体" w:eastAsia="宋体" w:cs="宋体"/>
          <w:color w:val="auto"/>
          <w:sz w:val="24"/>
          <w:szCs w:val="24"/>
          <w:highlight w:val="none"/>
          <w:lang w:val="en-US" w:eastAsia="zh-CN"/>
        </w:rPr>
        <w:t>期</w:t>
      </w:r>
      <w:r>
        <w:rPr>
          <w:rFonts w:hint="eastAsia" w:ascii="宋体" w:hAnsi="宋体" w:eastAsia="宋体" w:cs="宋体"/>
          <w:color w:val="auto"/>
          <w:sz w:val="24"/>
          <w:szCs w:val="24"/>
          <w:highlight w:val="none"/>
        </w:rPr>
        <w:t>已完成的工程价款中扣留20%作为保留金，保留金限额为合同价款的20%。合同价款外的进度款支付额为当</w:t>
      </w:r>
      <w:r>
        <w:rPr>
          <w:rFonts w:hint="eastAsia" w:ascii="宋体" w:hAnsi="宋体" w:eastAsia="宋体" w:cs="宋体"/>
          <w:color w:val="auto"/>
          <w:sz w:val="24"/>
          <w:szCs w:val="24"/>
          <w:highlight w:val="none"/>
          <w:lang w:val="en-US" w:eastAsia="zh-CN"/>
        </w:rPr>
        <w:t>期</w:t>
      </w:r>
      <w:r>
        <w:rPr>
          <w:rFonts w:hint="eastAsia" w:ascii="宋体" w:hAnsi="宋体" w:eastAsia="宋体" w:cs="宋体"/>
          <w:color w:val="auto"/>
          <w:sz w:val="24"/>
          <w:szCs w:val="24"/>
          <w:highlight w:val="none"/>
        </w:rPr>
        <w:t>实际完成工程量价款的60%。工程竣工结算经审核后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工程款支付至97%。</w:t>
      </w:r>
    </w:p>
    <w:p w14:paraId="7CD1B4A4">
      <w:pPr>
        <w:keepNext w:val="0"/>
        <w:keepLines w:val="0"/>
        <w:pageBreakBefore w:val="0"/>
        <w:kinsoku/>
        <w:wordWrap/>
        <w:overflowPunct/>
        <w:topLinePunct w:val="0"/>
        <w:autoSpaceDE w:val="0"/>
        <w:autoSpaceDN w:val="0"/>
        <w:bidi w:val="0"/>
        <w:adjustRightInd w:val="0"/>
        <w:snapToGrid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建设单位按工程价款的3%作为工程质量保修金，待工程质量保修期满后无息返还给施工单位。</w:t>
      </w:r>
    </w:p>
    <w:p w14:paraId="541FAF4B">
      <w:pPr>
        <w:pStyle w:val="116"/>
        <w:keepNext w:val="0"/>
        <w:keepLines w:val="0"/>
        <w:pageBreakBefore w:val="0"/>
        <w:kinsoku/>
        <w:wordWrap/>
        <w:overflowPunct/>
        <w:topLinePunct w:val="0"/>
        <w:bidi w:val="0"/>
        <w:spacing w:beforeAutospacing="0" w:afterAutospacing="0"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工程竣工验收合格，结算金额经城区</w:t>
      </w:r>
      <w:r>
        <w:rPr>
          <w:rFonts w:hint="eastAsia" w:ascii="宋体" w:hAnsi="宋体" w:cs="宋体"/>
          <w:color w:val="auto"/>
          <w:sz w:val="24"/>
          <w:szCs w:val="24"/>
          <w:highlight w:val="none"/>
          <w:lang w:eastAsia="zh-CN"/>
        </w:rPr>
        <w:t>财政</w:t>
      </w:r>
      <w:r>
        <w:rPr>
          <w:rFonts w:hint="eastAsia" w:ascii="宋体" w:hAnsi="宋体" w:eastAsia="宋体" w:cs="宋体"/>
          <w:color w:val="auto"/>
          <w:sz w:val="24"/>
          <w:szCs w:val="24"/>
          <w:highlight w:val="none"/>
        </w:rPr>
        <w:t>部门对审核结论提出审核意见后，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15</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个工作日内，付97%的工程款，余下3%的工程款的在质保期满后（具体已按照签订的工程质量保修书）后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15</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个工作日内付清给承包人。</w:t>
      </w:r>
    </w:p>
    <w:p w14:paraId="74D2F9EC">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七、双方责任</w:t>
      </w:r>
    </w:p>
    <w:p w14:paraId="09871B13">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1．发包人工作</w:t>
      </w:r>
    </w:p>
    <w:p w14:paraId="149F303B">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（1）负责办理施工所需的证件、批文。</w:t>
      </w:r>
    </w:p>
    <w:p w14:paraId="12B4CA03">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（2）提供施工用水、用电的连接点及场地。</w:t>
      </w:r>
    </w:p>
    <w:p w14:paraId="151D82A9">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2．承包人工作</w:t>
      </w:r>
    </w:p>
    <w:p w14:paraId="7FB41C30">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（1）按施工图纸所列的内容。</w:t>
      </w:r>
    </w:p>
    <w:p w14:paraId="5926137F">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（2）按国家现行标准施工规范要求，再约定时间内完成所约定的工作内容。</w:t>
      </w:r>
    </w:p>
    <w:p w14:paraId="23D312E3">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八、违约责任</w:t>
      </w:r>
    </w:p>
    <w:p w14:paraId="6A72C96E">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1．本合同第三条、第四条约定承包人违约应承担的违约责任，每延误一天，按合同价款的万分之四支付违约金（由于发包人的原因引起的除外）。</w:t>
      </w:r>
    </w:p>
    <w:p w14:paraId="4D1CC988">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九、本合同条款未尽事宜，双方参照《</w:t>
      </w:r>
      <w:r>
        <w:rPr>
          <w:rFonts w:hint="eastAsia" w:ascii="宋体" w:hAnsi="宋体" w:eastAsia="宋体" w:cs="宋体"/>
          <w:b w:val="0"/>
          <w:bCs/>
          <w:color w:val="auto"/>
          <w:sz w:val="24"/>
          <w:szCs w:val="24"/>
          <w:highlight w:val="none"/>
          <w:lang w:eastAsia="zh-CN"/>
        </w:rPr>
        <w:t>中华人民共和国民法典</w:t>
      </w:r>
      <w:r>
        <w:rPr>
          <w:rFonts w:hint="eastAsia" w:ascii="宋体" w:hAnsi="宋体" w:eastAsia="宋体" w:cs="宋体"/>
          <w:b w:val="0"/>
          <w:bCs/>
          <w:color w:val="auto"/>
          <w:sz w:val="24"/>
          <w:szCs w:val="24"/>
          <w:highlight w:val="none"/>
        </w:rPr>
        <w:t>》协商解决。</w:t>
      </w:r>
    </w:p>
    <w:p w14:paraId="13AE83C5">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十、履行本合同过程中，如发生争议，由双方协商不成，由合同订立地有管辖权的人民法院裁决。</w:t>
      </w:r>
    </w:p>
    <w:p w14:paraId="3450FAA2">
      <w:pPr>
        <w:keepNext w:val="0"/>
        <w:keepLines w:val="0"/>
        <w:pageBreakBefore w:val="0"/>
        <w:widowControl/>
        <w:shd w:val="clear" w:color="auto" w:fill="FFFFFF"/>
        <w:kinsoku/>
        <w:wordWrap/>
        <w:overflowPunct/>
        <w:topLinePunct w:val="0"/>
        <w:bidi w:val="0"/>
        <w:spacing w:beforeAutospacing="0" w:afterAutospacing="0" w:line="400" w:lineRule="exact"/>
        <w:ind w:firstLine="570"/>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十一、本合同一式肆份，双方各执壹份，自双方法定代表或委托代理人签字并加盖法人章后生效。</w:t>
      </w:r>
    </w:p>
    <w:p w14:paraId="43FC65C9">
      <w:pPr>
        <w:keepNext w:val="0"/>
        <w:keepLines w:val="0"/>
        <w:pageBreakBefore w:val="0"/>
        <w:widowControl/>
        <w:shd w:val="clear" w:color="auto" w:fill="FFFFFF"/>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0E3B0C29">
      <w:pPr>
        <w:keepNext w:val="0"/>
        <w:keepLines w:val="0"/>
        <w:pageBreakBefore w:val="0"/>
        <w:widowControl/>
        <w:shd w:val="clear" w:color="auto" w:fill="FFFFFF"/>
        <w:kinsoku/>
        <w:wordWrap/>
        <w:overflowPunct/>
        <w:topLinePunct w:val="0"/>
        <w:bidi w:val="0"/>
        <w:spacing w:beforeAutospacing="0" w:afterAutospacing="0" w:line="400" w:lineRule="exact"/>
        <w:ind w:left="7741" w:hanging="7741"/>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发包人：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南宁市衡阳西路第二幼儿园</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承包人：</w:t>
      </w:r>
      <w:r>
        <w:rPr>
          <w:rFonts w:hint="eastAsia" w:ascii="宋体" w:hAnsi="宋体" w:eastAsia="宋体" w:cs="宋体"/>
          <w:color w:val="auto"/>
          <w:sz w:val="24"/>
          <w:szCs w:val="24"/>
          <w:highlight w:val="none"/>
          <w:u w:val="single"/>
          <w:lang w:val="en-US" w:eastAsia="zh-CN"/>
        </w:rPr>
        <w:t xml:space="preserve">                        </w:t>
      </w:r>
    </w:p>
    <w:p w14:paraId="495332D3">
      <w:pPr>
        <w:keepNext w:val="0"/>
        <w:keepLines w:val="0"/>
        <w:pageBreakBefore w:val="0"/>
        <w:widowControl/>
        <w:shd w:val="clear" w:color="auto" w:fill="FFFFFF"/>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490DA1EC">
      <w:pPr>
        <w:keepNext w:val="0"/>
        <w:keepLines w:val="0"/>
        <w:pageBreakBefore w:val="0"/>
        <w:widowControl/>
        <w:shd w:val="clear" w:color="auto" w:fill="FFFFFF"/>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法人代表（委托代理人）：        法定代表（委托代理人）：</w:t>
      </w:r>
    </w:p>
    <w:p w14:paraId="4BE29FE4">
      <w:pPr>
        <w:keepNext w:val="0"/>
        <w:keepLines w:val="0"/>
        <w:pageBreakBefore w:val="0"/>
        <w:widowControl/>
        <w:shd w:val="clear" w:color="auto" w:fill="FFFFFF"/>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日期：    年  月   日</w:t>
      </w:r>
    </w:p>
    <w:p w14:paraId="741ACB51">
      <w:pPr>
        <w:pStyle w:val="116"/>
        <w:keepNext w:val="0"/>
        <w:keepLines w:val="0"/>
        <w:pageBreakBefore w:val="0"/>
        <w:kinsoku/>
        <w:wordWrap/>
        <w:overflowPunct/>
        <w:topLinePunct w:val="0"/>
        <w:bidi w:val="0"/>
        <w:spacing w:beforeAutospacing="0" w:afterAutospacing="0" w:line="400" w:lineRule="exact"/>
        <w:jc w:val="left"/>
        <w:textAlignment w:val="auto"/>
        <w:rPr>
          <w:rFonts w:hint="eastAsia" w:ascii="宋体" w:hAnsi="宋体" w:eastAsia="宋体" w:cs="宋体"/>
          <w:color w:val="auto"/>
          <w:sz w:val="24"/>
          <w:szCs w:val="24"/>
          <w:highlight w:val="none"/>
        </w:rPr>
      </w:pPr>
    </w:p>
    <w:p w14:paraId="3A7370A6">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1D86DDC2">
      <w:pPr>
        <w:pStyle w:val="116"/>
        <w:keepNext w:val="0"/>
        <w:keepLines w:val="0"/>
        <w:pageBreakBefore w:val="0"/>
        <w:kinsoku/>
        <w:wordWrap/>
        <w:overflowPunct/>
        <w:topLinePunct w:val="0"/>
        <w:bidi w:val="0"/>
        <w:spacing w:beforeAutospacing="0" w:afterAutospacing="0" w:line="4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w:t>
      </w:r>
    </w:p>
    <w:p w14:paraId="57690635">
      <w:pPr>
        <w:pStyle w:val="116"/>
        <w:keepNext w:val="0"/>
        <w:keepLines w:val="0"/>
        <w:pageBreakBefore w:val="0"/>
        <w:kinsoku/>
        <w:wordWrap/>
        <w:overflowPunct/>
        <w:topLinePunct w:val="0"/>
        <w:bidi w:val="0"/>
        <w:spacing w:beforeAutospacing="0" w:afterAutospacing="0"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工程质量保修书（房屋建筑工程）</w:t>
      </w:r>
    </w:p>
    <w:p w14:paraId="19EA339A">
      <w:pPr>
        <w:pStyle w:val="116"/>
        <w:keepNext w:val="0"/>
        <w:keepLines w:val="0"/>
        <w:pageBreakBefore w:val="0"/>
        <w:kinsoku/>
        <w:wordWrap/>
        <w:overflowPunct/>
        <w:topLinePunct w:val="0"/>
        <w:bidi w:val="0"/>
        <w:spacing w:beforeAutospacing="0" w:afterAutospacing="0" w:line="400" w:lineRule="exact"/>
        <w:ind w:firstLine="420"/>
        <w:jc w:val="center"/>
        <w:textAlignment w:val="auto"/>
        <w:rPr>
          <w:rFonts w:hint="eastAsia" w:ascii="宋体" w:hAnsi="宋体" w:eastAsia="宋体" w:cs="宋体"/>
          <w:color w:val="auto"/>
          <w:sz w:val="24"/>
          <w:szCs w:val="24"/>
          <w:highlight w:val="none"/>
        </w:rPr>
      </w:pPr>
    </w:p>
    <w:p w14:paraId="38AFF9EF">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发包人（全称）：</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lang w:eastAsia="zh-CN"/>
        </w:rPr>
        <w:t>南宁市衡阳西路第二幼儿园</w:t>
      </w:r>
      <w:r>
        <w:rPr>
          <w:rFonts w:hint="eastAsia" w:ascii="宋体" w:hAnsi="宋体" w:eastAsia="宋体" w:cs="宋体"/>
          <w:b w:val="0"/>
          <w:bCs w:val="0"/>
          <w:color w:val="auto"/>
          <w:sz w:val="24"/>
          <w:szCs w:val="24"/>
          <w:highlight w:val="none"/>
          <w:u w:val="single"/>
          <w:lang w:val="en-US" w:eastAsia="zh-CN"/>
        </w:rPr>
        <w:t xml:space="preserve"> </w:t>
      </w:r>
    </w:p>
    <w:p w14:paraId="3E0CD77F">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承包人（全称）：</w:t>
      </w:r>
      <w:r>
        <w:rPr>
          <w:rFonts w:hint="eastAsia" w:ascii="宋体" w:hAnsi="宋体" w:eastAsia="宋体" w:cs="宋体"/>
          <w:color w:val="auto"/>
          <w:sz w:val="24"/>
          <w:szCs w:val="24"/>
          <w:highlight w:val="none"/>
          <w:u w:val="single"/>
        </w:rPr>
        <w:t xml:space="preserve">                    </w:t>
      </w:r>
    </w:p>
    <w:p w14:paraId="0DC20A18">
      <w:pPr>
        <w:pStyle w:val="116"/>
        <w:keepNext w:val="0"/>
        <w:keepLines w:val="0"/>
        <w:pageBreakBefore w:val="0"/>
        <w:kinsoku/>
        <w:wordWrap/>
        <w:overflowPunct/>
        <w:topLinePunct w:val="0"/>
        <w:bidi w:val="0"/>
        <w:spacing w:beforeAutospacing="0" w:afterAutospacing="0" w:line="400" w:lineRule="exact"/>
        <w:ind w:firstLine="420"/>
        <w:textAlignment w:val="auto"/>
        <w:rPr>
          <w:rFonts w:hint="eastAsia" w:ascii="宋体" w:hAnsi="宋体" w:eastAsia="宋体" w:cs="宋体"/>
          <w:color w:val="auto"/>
          <w:sz w:val="24"/>
          <w:szCs w:val="24"/>
          <w:highlight w:val="none"/>
        </w:rPr>
      </w:pPr>
    </w:p>
    <w:p w14:paraId="4A3BEE33">
      <w:pPr>
        <w:pStyle w:val="116"/>
        <w:keepNext w:val="0"/>
        <w:keepLines w:val="0"/>
        <w:pageBreakBefore w:val="0"/>
        <w:kinsoku/>
        <w:wordWrap/>
        <w:overflowPunct/>
        <w:topLinePunct w:val="0"/>
        <w:bidi w:val="0"/>
        <w:spacing w:beforeAutospacing="0" w:afterAutospacing="0"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发包人和承包人根据《中华人民共和国建筑法》和《建设工程质量管理条例》，经协商一致就</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cs="宋体"/>
          <w:b w:val="0"/>
          <w:bCs w:val="0"/>
          <w:color w:val="auto"/>
          <w:sz w:val="24"/>
          <w:szCs w:val="24"/>
          <w:highlight w:val="none"/>
          <w:u w:val="single"/>
          <w:lang w:eastAsia="zh-CN"/>
        </w:rPr>
        <w:t>南宁市衡阳西路第二幼儿园教学楼(阳光楼)维修工程</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（工程全称）签订工程质量保修书。</w:t>
      </w:r>
    </w:p>
    <w:p w14:paraId="3FC902CE">
      <w:pPr>
        <w:pStyle w:val="116"/>
        <w:keepNext w:val="0"/>
        <w:keepLines w:val="0"/>
        <w:pageBreakBefore w:val="0"/>
        <w:kinsoku/>
        <w:wordWrap/>
        <w:overflowPunct/>
        <w:topLinePunct w:val="0"/>
        <w:bidi w:val="0"/>
        <w:spacing w:beforeAutospacing="0" w:afterAutospacing="0" w:line="4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一、工程质量保修范围和内容</w:t>
      </w:r>
    </w:p>
    <w:p w14:paraId="1B885C74">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承包人在质量保修期内，按照有关法律规定和合同约定，承担工程质量保修责任。</w:t>
      </w:r>
    </w:p>
    <w:p w14:paraId="653E32E3">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　</w:t>
      </w:r>
      <w:r>
        <w:rPr>
          <w:rFonts w:hint="eastAsia" w:ascii="宋体" w:hAnsi="宋体" w:eastAsia="宋体" w:cs="宋体"/>
          <w:color w:val="auto"/>
          <w:sz w:val="24"/>
          <w:szCs w:val="24"/>
          <w:highlight w:val="none"/>
          <w:u w:val="single"/>
        </w:rPr>
        <w:t>按《建设工程质量管理条例》有关规定进行质量保修。保修范围：竣工图图示范围内（含变更部分）及招标文件要求纳入投标报价的全部工作内容。</w:t>
      </w:r>
    </w:p>
    <w:p w14:paraId="44F281BD">
      <w:pPr>
        <w:pStyle w:val="116"/>
        <w:keepNext w:val="0"/>
        <w:keepLines w:val="0"/>
        <w:pageBreakBefore w:val="0"/>
        <w:kinsoku/>
        <w:wordWrap/>
        <w:overflowPunct/>
        <w:topLinePunct w:val="0"/>
        <w:bidi w:val="0"/>
        <w:spacing w:beforeAutospacing="0" w:afterAutospacing="0" w:line="400" w:lineRule="exact"/>
        <w:ind w:firstLine="472" w:firstLineChars="196"/>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二、质量保修期</w:t>
      </w:r>
    </w:p>
    <w:p w14:paraId="75527826">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根据《建设工程质量管理条例》及有关规定，工程的质量保修期如下：</w:t>
      </w:r>
    </w:p>
    <w:p w14:paraId="5CAA8F1A">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1．地基基础工程和主体结构工程为设计文件规定的工程合理使用年限；</w:t>
      </w:r>
    </w:p>
    <w:p w14:paraId="0E92761D">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2．屋面防水工程、有防水要求的卫生间、房间和外墙面的防渗为</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年；</w:t>
      </w:r>
    </w:p>
    <w:p w14:paraId="1F40CFCC">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3．装修工程为</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年；</w:t>
      </w:r>
    </w:p>
    <w:p w14:paraId="71C29FC8">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4．电气管线、给排水管道、设备安装工程为</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年；</w:t>
      </w:r>
    </w:p>
    <w:p w14:paraId="09B24234">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5．供热与供冷系统为</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个采暖期、供冷期；</w:t>
      </w:r>
    </w:p>
    <w:p w14:paraId="0ED96A59">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6．住宅小区内的给排水设施、道路等配套工程为</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年；</w:t>
      </w:r>
    </w:p>
    <w:p w14:paraId="3E2438EC">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7．其他项目保修期限约定如下：</w:t>
      </w:r>
      <w:r>
        <w:rPr>
          <w:rFonts w:hint="eastAsia" w:ascii="宋体" w:hAnsi="宋体" w:eastAsia="宋体" w:cs="宋体"/>
          <w:color w:val="auto"/>
          <w:sz w:val="24"/>
          <w:szCs w:val="24"/>
          <w:highlight w:val="none"/>
          <w:u w:val="single"/>
        </w:rPr>
        <w:t xml:space="preserve">2 </w:t>
      </w:r>
      <w:r>
        <w:rPr>
          <w:rFonts w:hint="eastAsia" w:ascii="宋体" w:hAnsi="宋体" w:eastAsia="宋体" w:cs="宋体"/>
          <w:color w:val="auto"/>
          <w:sz w:val="24"/>
          <w:szCs w:val="24"/>
          <w:highlight w:val="none"/>
        </w:rPr>
        <w:t>年</w:t>
      </w:r>
    </w:p>
    <w:p w14:paraId="4E89D441">
      <w:pPr>
        <w:pStyle w:val="116"/>
        <w:keepNext w:val="0"/>
        <w:keepLines w:val="0"/>
        <w:pageBreakBefore w:val="0"/>
        <w:kinsoku/>
        <w:wordWrap/>
        <w:overflowPunct/>
        <w:topLinePunct w:val="0"/>
        <w:bidi w:val="0"/>
        <w:spacing w:beforeAutospacing="0" w:afterAutospacing="0" w:line="400" w:lineRule="exact"/>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质量保修期自工程竣工验收合格之日起计算。</w:t>
      </w:r>
    </w:p>
    <w:p w14:paraId="5AF01BF7">
      <w:pPr>
        <w:pStyle w:val="116"/>
        <w:keepNext w:val="0"/>
        <w:keepLines w:val="0"/>
        <w:pageBreakBefore w:val="0"/>
        <w:kinsoku/>
        <w:wordWrap/>
        <w:overflowPunct/>
        <w:topLinePunct w:val="0"/>
        <w:bidi w:val="0"/>
        <w:spacing w:beforeAutospacing="0" w:afterAutospacing="0" w:line="4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三、缺陷责任期</w:t>
      </w:r>
    </w:p>
    <w:p w14:paraId="628628D9">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工程缺陷责任期为</w:t>
      </w:r>
      <w:r>
        <w:rPr>
          <w:rFonts w:hint="eastAsia" w:ascii="宋体" w:hAnsi="宋体" w:eastAsia="宋体" w:cs="宋体"/>
          <w:color w:val="auto"/>
          <w:sz w:val="24"/>
          <w:szCs w:val="24"/>
          <w:highlight w:val="none"/>
          <w:u w:val="single"/>
        </w:rPr>
        <w:t xml:space="preserve"> 24 </w:t>
      </w:r>
      <w:r>
        <w:rPr>
          <w:rFonts w:hint="eastAsia" w:ascii="宋体" w:hAnsi="宋体" w:eastAsia="宋体" w:cs="宋体"/>
          <w:color w:val="auto"/>
          <w:sz w:val="24"/>
          <w:szCs w:val="24"/>
          <w:highlight w:val="none"/>
        </w:rPr>
        <w:t>个月，缺陷责任期自工程竣工验收合格之日起计算。单位工程先于全部工程进行验收，单位工程缺陷责任期自单位工程验收合格之日起算。</w:t>
      </w:r>
    </w:p>
    <w:p w14:paraId="25574C99">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缺陷责任期终止后，发包人应退还剩余的质量保证金。</w:t>
      </w:r>
    </w:p>
    <w:p w14:paraId="6E5B3542">
      <w:pPr>
        <w:pStyle w:val="116"/>
        <w:keepNext w:val="0"/>
        <w:keepLines w:val="0"/>
        <w:pageBreakBefore w:val="0"/>
        <w:kinsoku/>
        <w:wordWrap/>
        <w:overflowPunct/>
        <w:topLinePunct w:val="0"/>
        <w:bidi w:val="0"/>
        <w:spacing w:beforeAutospacing="0" w:afterAutospacing="0" w:line="4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四、质量保修责任</w:t>
      </w:r>
    </w:p>
    <w:p w14:paraId="6099837C">
      <w:pPr>
        <w:pStyle w:val="116"/>
        <w:keepNext w:val="0"/>
        <w:keepLines w:val="0"/>
        <w:pageBreakBefore w:val="0"/>
        <w:kinsoku/>
        <w:wordWrap/>
        <w:overflowPunct/>
        <w:topLinePunct w:val="0"/>
        <w:bidi w:val="0"/>
        <w:spacing w:beforeAutospacing="0" w:afterAutospacing="0" w:line="400" w:lineRule="exact"/>
        <w:ind w:left="105" w:leftChars="50" w:firstLine="491" w:firstLineChars="2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1．属于保修范围、内容的项目，承包人应当在接到保修通知之日起7天内派人保修。承包人不在约定期限内派人保修的，发包人可以委托他人修理。</w:t>
      </w:r>
    </w:p>
    <w:p w14:paraId="196AB4F6">
      <w:pPr>
        <w:pStyle w:val="116"/>
        <w:keepNext w:val="0"/>
        <w:keepLines w:val="0"/>
        <w:pageBreakBefore w:val="0"/>
        <w:kinsoku/>
        <w:wordWrap/>
        <w:overflowPunct/>
        <w:topLinePunct w:val="0"/>
        <w:bidi w:val="0"/>
        <w:spacing w:beforeAutospacing="0" w:afterAutospacing="0" w:line="400" w:lineRule="exact"/>
        <w:ind w:left="105" w:leftChars="50" w:firstLine="491" w:firstLineChars="2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2．发生紧急事故需抢修的，承包人在接到事故通知后，应当立即到达事故现场抢修。</w:t>
      </w:r>
    </w:p>
    <w:p w14:paraId="18C8B3F7">
      <w:pPr>
        <w:pStyle w:val="116"/>
        <w:keepNext w:val="0"/>
        <w:keepLines w:val="0"/>
        <w:pageBreakBefore w:val="0"/>
        <w:kinsoku/>
        <w:wordWrap/>
        <w:overflowPunct/>
        <w:topLinePunct w:val="0"/>
        <w:bidi w:val="0"/>
        <w:spacing w:beforeAutospacing="0" w:afterAutospacing="0" w:line="400" w:lineRule="exact"/>
        <w:ind w:left="105" w:leftChars="50" w:firstLine="491" w:firstLineChars="20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DEA08D7">
      <w:pPr>
        <w:pStyle w:val="116"/>
        <w:keepNext w:val="0"/>
        <w:keepLines w:val="0"/>
        <w:pageBreakBefore w:val="0"/>
        <w:kinsoku/>
        <w:wordWrap/>
        <w:overflowPunct/>
        <w:topLinePunct w:val="0"/>
        <w:bidi w:val="0"/>
        <w:spacing w:beforeAutospacing="0" w:afterAutospacing="0" w:line="400" w:lineRule="exact"/>
        <w:ind w:left="420" w:leftChars="200" w:firstLine="120" w:firstLineChars="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4．质量保修完成后，由发包人组织验收。</w:t>
      </w:r>
    </w:p>
    <w:p w14:paraId="1104F3E3">
      <w:pPr>
        <w:pStyle w:val="116"/>
        <w:keepNext w:val="0"/>
        <w:keepLines w:val="0"/>
        <w:pageBreakBefore w:val="0"/>
        <w:kinsoku/>
        <w:wordWrap/>
        <w:overflowPunct/>
        <w:topLinePunct w:val="0"/>
        <w:bidi w:val="0"/>
        <w:spacing w:beforeAutospacing="0" w:afterAutospacing="0" w:line="400" w:lineRule="exact"/>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五、保修费用</w:t>
      </w:r>
    </w:p>
    <w:p w14:paraId="618FDE13">
      <w:pPr>
        <w:pStyle w:val="116"/>
        <w:keepNext w:val="0"/>
        <w:keepLines w:val="0"/>
        <w:pageBreakBefore w:val="0"/>
        <w:kinsoku/>
        <w:wordWrap/>
        <w:overflowPunct/>
        <w:topLinePunct w:val="0"/>
        <w:bidi w:val="0"/>
        <w:spacing w:beforeAutospacing="0" w:afterAutospacing="0"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保修费用由造成质量缺陷的责任方承担。</w:t>
      </w:r>
    </w:p>
    <w:p w14:paraId="4D3A758A">
      <w:pPr>
        <w:pStyle w:val="116"/>
        <w:keepNext w:val="0"/>
        <w:keepLines w:val="0"/>
        <w:pageBreakBefore w:val="0"/>
        <w:kinsoku/>
        <w:wordWrap/>
        <w:overflowPunct/>
        <w:topLinePunct w:val="0"/>
        <w:bidi w:val="0"/>
        <w:spacing w:beforeAutospacing="0" w:afterAutospacing="0" w:line="400" w:lineRule="exact"/>
        <w:ind w:firstLine="472" w:firstLineChars="196"/>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六、双方约定的其他工程质量保修事项：</w:t>
      </w:r>
    </w:p>
    <w:p w14:paraId="59404F3C">
      <w:pPr>
        <w:pStyle w:val="116"/>
        <w:keepNext w:val="0"/>
        <w:keepLines w:val="0"/>
        <w:pageBreakBefore w:val="0"/>
        <w:kinsoku/>
        <w:wordWrap/>
        <w:overflowPunct/>
        <w:topLinePunct w:val="0"/>
        <w:bidi w:val="0"/>
        <w:spacing w:beforeAutospacing="0" w:afterAutospacing="0" w:line="400" w:lineRule="exact"/>
        <w:ind w:firstLine="470" w:firstLineChars="196"/>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1．承包人未按照法律法规有关规定和合同约定履行质量保修义务的，发包人有权从质量保证金中扣留用于质量保修的各项支出。</w:t>
      </w:r>
    </w:p>
    <w:p w14:paraId="5B2822ED">
      <w:pPr>
        <w:pStyle w:val="116"/>
        <w:keepNext w:val="0"/>
        <w:keepLines w:val="0"/>
        <w:pageBreakBefore w:val="0"/>
        <w:kinsoku/>
        <w:wordWrap/>
        <w:overflowPunct/>
        <w:topLinePunct w:val="0"/>
        <w:bidi w:val="0"/>
        <w:spacing w:beforeAutospacing="0" w:afterAutospacing="0" w:line="400" w:lineRule="exact"/>
        <w:ind w:firstLine="470" w:firstLineChars="196"/>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质量保证金为结算总额的3%。质量保证金分两次返还承包人：第一返还的时间及金额：发包人在工程竣工验收合格之日起满两年后14天内将保证金的90%返回给承包人。第二次返还的时间及金额：发包人在竣工验收合格之日起满五年后14天内返还剩余部分。</w:t>
      </w:r>
    </w:p>
    <w:p w14:paraId="2E02DC5A">
      <w:pPr>
        <w:pStyle w:val="116"/>
        <w:keepNext w:val="0"/>
        <w:keepLines w:val="0"/>
        <w:pageBreakBefore w:val="0"/>
        <w:kinsoku/>
        <w:wordWrap/>
        <w:overflowPunct/>
        <w:topLinePunct w:val="0"/>
        <w:bidi w:val="0"/>
        <w:spacing w:beforeAutospacing="0" w:afterAutospacing="0" w:line="400" w:lineRule="exact"/>
        <w:ind w:firstLine="470" w:firstLineChars="196"/>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3．本协议未完善事宜由双方协商确定。</w:t>
      </w:r>
    </w:p>
    <w:p w14:paraId="5D340B14">
      <w:pPr>
        <w:pStyle w:val="116"/>
        <w:keepNext w:val="0"/>
        <w:keepLines w:val="0"/>
        <w:pageBreakBefore w:val="0"/>
        <w:kinsoku/>
        <w:wordWrap/>
        <w:overflowPunct/>
        <w:topLinePunct w:val="0"/>
        <w:bidi w:val="0"/>
        <w:spacing w:beforeAutospacing="0" w:afterAutospacing="0" w:line="400" w:lineRule="exact"/>
        <w:ind w:firstLine="470" w:firstLineChars="196"/>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工程质量保修书由发包人、承包人在工程竣工验收前共同签署，作为施工合同附件，其有效期限至保修期满。</w:t>
      </w:r>
    </w:p>
    <w:tbl>
      <w:tblPr>
        <w:tblStyle w:val="3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29"/>
        <w:gridCol w:w="4930"/>
      </w:tblGrid>
      <w:tr w14:paraId="769A1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1A45F79C">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发包人(公章)</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u w:val="none"/>
                <w:lang w:val="en-US" w:eastAsia="zh-CN"/>
              </w:rPr>
              <w:t>南宁市衡阳西路第二幼儿园</w:t>
            </w:r>
          </w:p>
        </w:tc>
        <w:tc>
          <w:tcPr>
            <w:tcW w:w="4930" w:type="dxa"/>
            <w:tcBorders>
              <w:tl2br w:val="nil"/>
              <w:tr2bl w:val="nil"/>
            </w:tcBorders>
            <w:vAlign w:val="top"/>
          </w:tcPr>
          <w:p w14:paraId="5A503803">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承包人(公章)：</w:t>
            </w:r>
          </w:p>
        </w:tc>
      </w:tr>
      <w:tr w14:paraId="76A68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23F47025">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地  址：</w:t>
            </w:r>
          </w:p>
        </w:tc>
        <w:tc>
          <w:tcPr>
            <w:tcW w:w="4930" w:type="dxa"/>
            <w:tcBorders>
              <w:tl2br w:val="nil"/>
              <w:tr2bl w:val="nil"/>
            </w:tcBorders>
            <w:vAlign w:val="top"/>
          </w:tcPr>
          <w:p w14:paraId="44421E6A">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地  址：</w:t>
            </w:r>
          </w:p>
        </w:tc>
      </w:tr>
      <w:tr w14:paraId="7156D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65168300">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法定代表人(签字)：</w:t>
            </w:r>
          </w:p>
        </w:tc>
        <w:tc>
          <w:tcPr>
            <w:tcW w:w="4930" w:type="dxa"/>
            <w:tcBorders>
              <w:tl2br w:val="nil"/>
              <w:tr2bl w:val="nil"/>
            </w:tcBorders>
            <w:vAlign w:val="top"/>
          </w:tcPr>
          <w:p w14:paraId="50199E59">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法定代表人(签字)：</w:t>
            </w:r>
          </w:p>
        </w:tc>
      </w:tr>
      <w:tr w14:paraId="7FCCA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48601086">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委托代理人(签字)：</w:t>
            </w:r>
          </w:p>
        </w:tc>
        <w:tc>
          <w:tcPr>
            <w:tcW w:w="4930" w:type="dxa"/>
            <w:tcBorders>
              <w:tl2br w:val="nil"/>
              <w:tr2bl w:val="nil"/>
            </w:tcBorders>
            <w:vAlign w:val="top"/>
          </w:tcPr>
          <w:p w14:paraId="436CC94B">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委托代理人(签字)：</w:t>
            </w:r>
          </w:p>
        </w:tc>
      </w:tr>
      <w:tr w14:paraId="0B46B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75ED4A57">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rPr>
              <w:t>电  话</w:t>
            </w:r>
            <w:r>
              <w:rPr>
                <w:rFonts w:hint="eastAsia" w:ascii="宋体" w:hAnsi="宋体" w:cs="宋体"/>
                <w:color w:val="auto"/>
                <w:sz w:val="24"/>
                <w:szCs w:val="24"/>
                <w:highlight w:val="none"/>
                <w:lang w:eastAsia="zh-CN"/>
              </w:rPr>
              <w:t>：</w:t>
            </w:r>
          </w:p>
        </w:tc>
        <w:tc>
          <w:tcPr>
            <w:tcW w:w="4930" w:type="dxa"/>
            <w:tcBorders>
              <w:tl2br w:val="nil"/>
              <w:tr2bl w:val="nil"/>
            </w:tcBorders>
            <w:vAlign w:val="top"/>
          </w:tcPr>
          <w:p w14:paraId="5009E46C">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b/>
                <w:bCs/>
                <w:color w:val="auto"/>
                <w:sz w:val="24"/>
                <w:szCs w:val="24"/>
                <w:highlight w:val="none"/>
                <w:vertAlign w:val="baseline"/>
              </w:rPr>
            </w:pPr>
            <w:r>
              <w:rPr>
                <w:rFonts w:hint="eastAsia" w:ascii="宋体" w:hAnsi="宋体" w:eastAsia="宋体" w:cs="宋体"/>
                <w:color w:val="auto"/>
                <w:sz w:val="24"/>
                <w:szCs w:val="24"/>
                <w:highlight w:val="none"/>
              </w:rPr>
              <w:t>电  话</w:t>
            </w:r>
            <w:r>
              <w:rPr>
                <w:rFonts w:hint="eastAsia" w:ascii="宋体" w:hAnsi="宋体" w:cs="宋体"/>
                <w:color w:val="auto"/>
                <w:sz w:val="24"/>
                <w:szCs w:val="24"/>
                <w:highlight w:val="none"/>
                <w:lang w:eastAsia="zh-CN"/>
              </w:rPr>
              <w:t>：</w:t>
            </w:r>
          </w:p>
        </w:tc>
      </w:tr>
      <w:tr w14:paraId="41C93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166C79F8">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传  真：</w:t>
            </w:r>
          </w:p>
        </w:tc>
        <w:tc>
          <w:tcPr>
            <w:tcW w:w="4930" w:type="dxa"/>
            <w:tcBorders>
              <w:tl2br w:val="nil"/>
              <w:tr2bl w:val="nil"/>
            </w:tcBorders>
            <w:vAlign w:val="top"/>
          </w:tcPr>
          <w:p w14:paraId="27424209">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传  真：</w:t>
            </w:r>
          </w:p>
        </w:tc>
      </w:tr>
      <w:tr w14:paraId="66AF9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7F7CD308">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开户银行：</w:t>
            </w:r>
          </w:p>
        </w:tc>
        <w:tc>
          <w:tcPr>
            <w:tcW w:w="4930" w:type="dxa"/>
            <w:tcBorders>
              <w:tl2br w:val="nil"/>
              <w:tr2bl w:val="nil"/>
            </w:tcBorders>
            <w:vAlign w:val="top"/>
          </w:tcPr>
          <w:p w14:paraId="0C8E6E1E">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开户银行：</w:t>
            </w:r>
          </w:p>
        </w:tc>
      </w:tr>
      <w:tr w14:paraId="1C510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7C5518E1">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账  号：</w:t>
            </w:r>
          </w:p>
        </w:tc>
        <w:tc>
          <w:tcPr>
            <w:tcW w:w="4930" w:type="dxa"/>
            <w:tcBorders>
              <w:tl2br w:val="nil"/>
              <w:tr2bl w:val="nil"/>
            </w:tcBorders>
            <w:vAlign w:val="top"/>
          </w:tcPr>
          <w:p w14:paraId="003B26B6">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账  号：</w:t>
            </w:r>
          </w:p>
        </w:tc>
      </w:tr>
      <w:tr w14:paraId="194E6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9" w:type="dxa"/>
            <w:tcBorders>
              <w:tl2br w:val="nil"/>
              <w:tr2bl w:val="nil"/>
            </w:tcBorders>
            <w:vAlign w:val="top"/>
          </w:tcPr>
          <w:p w14:paraId="0B3AB1A0">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4930" w:type="dxa"/>
            <w:tcBorders>
              <w:tl2br w:val="nil"/>
              <w:tr2bl w:val="nil"/>
            </w:tcBorders>
            <w:vAlign w:val="top"/>
          </w:tcPr>
          <w:p w14:paraId="74A8D978">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r>
    </w:tbl>
    <w:p w14:paraId="1DE3BD44">
      <w:pPr>
        <w:pStyle w:val="116"/>
        <w:keepNext w:val="0"/>
        <w:keepLines w:val="0"/>
        <w:pageBreakBefore w:val="0"/>
        <w:kinsoku/>
        <w:wordWrap/>
        <w:overflowPunct/>
        <w:topLinePunct w:val="0"/>
        <w:bidi w:val="0"/>
        <w:spacing w:beforeAutospacing="0" w:afterAutospacing="0" w:line="400" w:lineRule="exact"/>
        <w:textAlignment w:val="auto"/>
        <w:rPr>
          <w:rFonts w:hint="eastAsia" w:ascii="宋体" w:hAnsi="宋体" w:eastAsia="宋体" w:cs="宋体"/>
          <w:color w:val="auto"/>
          <w:sz w:val="24"/>
          <w:szCs w:val="24"/>
          <w:highlight w:val="none"/>
        </w:rPr>
      </w:pPr>
    </w:p>
    <w:p w14:paraId="65E5060B">
      <w:pPr>
        <w:spacing w:line="360" w:lineRule="auto"/>
        <w:jc w:val="both"/>
        <w:rPr>
          <w:rFonts w:hint="eastAsia" w:ascii="宋体" w:hAnsi="宋体" w:eastAsia="宋体" w:cs="宋体"/>
          <w:color w:val="auto"/>
          <w:sz w:val="24"/>
          <w:szCs w:val="24"/>
          <w:highlight w:val="none"/>
        </w:rPr>
      </w:pPr>
    </w:p>
    <w:p w14:paraId="386F24C8">
      <w:pPr>
        <w:pStyle w:val="2"/>
        <w:spacing w:before="0" w:after="0" w:line="240" w:lineRule="auto"/>
        <w:jc w:val="center"/>
        <w:rPr>
          <w:rFonts w:hint="eastAsia" w:ascii="宋体" w:hAnsi="宋体" w:eastAsia="宋体" w:cs="宋体"/>
          <w:b w:val="0"/>
          <w:bCs w:val="0"/>
          <w:color w:val="auto"/>
          <w:highlight w:val="none"/>
        </w:rPr>
      </w:pPr>
      <w:r>
        <w:rPr>
          <w:rFonts w:hint="eastAsia" w:ascii="宋体" w:hAnsi="宋体" w:eastAsia="宋体" w:cs="宋体"/>
          <w:color w:val="auto"/>
          <w:szCs w:val="21"/>
          <w:highlight w:val="none"/>
        </w:rPr>
        <w:br w:type="page"/>
      </w:r>
      <w:bookmarkEnd w:id="63"/>
      <w:bookmarkEnd w:id="64"/>
      <w:bookmarkEnd w:id="65"/>
      <w:bookmarkEnd w:id="66"/>
      <w:bookmarkStart w:id="67" w:name="_Toc407135283"/>
      <w:bookmarkStart w:id="68" w:name="_Toc29015"/>
      <w:bookmarkStart w:id="69" w:name="_Toc10491"/>
      <w:r>
        <w:rPr>
          <w:rFonts w:hint="eastAsia" w:ascii="宋体" w:hAnsi="宋体" w:eastAsia="宋体" w:cs="宋体"/>
          <w:b w:val="0"/>
          <w:bCs w:val="0"/>
          <w:color w:val="auto"/>
          <w:highlight w:val="none"/>
        </w:rPr>
        <w:t>第七章 工程量清单</w:t>
      </w:r>
      <w:bookmarkEnd w:id="67"/>
      <w:bookmarkEnd w:id="68"/>
      <w:r>
        <w:rPr>
          <w:rFonts w:hint="eastAsia" w:ascii="宋体" w:hAnsi="宋体" w:eastAsia="宋体" w:cs="宋体"/>
          <w:b w:val="0"/>
          <w:bCs w:val="0"/>
          <w:color w:val="auto"/>
          <w:highlight w:val="none"/>
        </w:rPr>
        <w:t>、图纸</w:t>
      </w:r>
      <w:bookmarkEnd w:id="69"/>
    </w:p>
    <w:p w14:paraId="01CB923A">
      <w:pPr>
        <w:spacing w:before="0" w:after="0" w:line="360" w:lineRule="auto"/>
        <w:jc w:val="center"/>
        <w:outlineLvl w:val="9"/>
        <w:rPr>
          <w:rFonts w:hint="eastAsia" w:ascii="宋体" w:hAnsi="宋体" w:eastAsia="宋体" w:cs="宋体"/>
          <w:color w:val="auto"/>
          <w:highlight w:val="none"/>
        </w:rPr>
      </w:pPr>
    </w:p>
    <w:p w14:paraId="13EBB0CF">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获取方式：网上下载。本项目不发放</w:t>
      </w:r>
      <w:r>
        <w:rPr>
          <w:rFonts w:hint="eastAsia" w:ascii="宋体" w:hAnsi="宋体" w:eastAsia="宋体" w:cs="宋体"/>
          <w:color w:val="auto"/>
          <w:highlight w:val="none"/>
          <w:lang w:eastAsia="zh-CN"/>
        </w:rPr>
        <w:t>纸质版的</w:t>
      </w:r>
      <w:r>
        <w:rPr>
          <w:rFonts w:hint="eastAsia" w:ascii="宋体" w:hAnsi="宋体" w:eastAsia="宋体" w:cs="宋体"/>
          <w:color w:val="auto"/>
          <w:highlight w:val="none"/>
        </w:rPr>
        <w:t>工程量清单及图纸，由潜在供应商自行在</w:t>
      </w:r>
      <w:r>
        <w:rPr>
          <w:rFonts w:hint="eastAsia" w:ascii="宋体" w:hAnsi="宋体" w:eastAsia="宋体" w:cs="宋体"/>
          <w:color w:val="auto"/>
          <w:szCs w:val="21"/>
          <w:highlight w:val="none"/>
        </w:rPr>
        <w:t>广西政府采购云平台</w:t>
      </w:r>
      <w:r>
        <w:rPr>
          <w:rFonts w:hint="eastAsia" w:ascii="宋体" w:hAnsi="宋体" w:eastAsia="宋体" w:cs="宋体"/>
          <w:color w:val="auto"/>
          <w:highlight w:val="none"/>
        </w:rPr>
        <w:t>下载。</w:t>
      </w:r>
    </w:p>
    <w:p w14:paraId="0BB71BAB">
      <w:pPr>
        <w:pStyle w:val="7"/>
        <w:pageBreakBefore w:val="0"/>
        <w:widowControl w:val="0"/>
        <w:kinsoku/>
        <w:wordWrap/>
        <w:overflowPunct/>
        <w:topLinePunct w:val="0"/>
        <w:autoSpaceDE/>
        <w:autoSpaceDN/>
        <w:bidi w:val="0"/>
        <w:adjustRightInd/>
        <w:snapToGrid/>
        <w:textAlignment w:val="auto"/>
        <w:outlineLvl w:val="9"/>
        <w:rPr>
          <w:rFonts w:hint="eastAsia" w:ascii="宋体" w:hAnsi="宋体" w:eastAsia="宋体" w:cs="宋体"/>
          <w:color w:val="auto"/>
          <w:highlight w:val="none"/>
        </w:rPr>
      </w:pPr>
    </w:p>
    <w:p w14:paraId="733D9A04">
      <w:pPr>
        <w:pageBreakBefore w:val="0"/>
        <w:widowControl w:val="0"/>
        <w:kinsoku/>
        <w:wordWrap/>
        <w:overflowPunct/>
        <w:topLinePunct w:val="0"/>
        <w:autoSpaceDE/>
        <w:autoSpaceDN/>
        <w:bidi w:val="0"/>
        <w:adjustRightInd/>
        <w:snapToGrid/>
        <w:spacing w:before="0" w:after="0" w:line="240" w:lineRule="auto"/>
        <w:jc w:val="center"/>
        <w:textAlignment w:val="auto"/>
        <w:outlineLvl w:val="9"/>
        <w:rPr>
          <w:rFonts w:hint="eastAsia" w:ascii="宋体" w:hAnsi="宋体" w:eastAsia="宋体" w:cs="宋体"/>
          <w:b w:val="0"/>
          <w:bCs/>
          <w:color w:val="auto"/>
          <w:highlight w:val="none"/>
        </w:rPr>
      </w:pPr>
      <w:bookmarkStart w:id="70" w:name="_Toc178"/>
      <w:bookmarkStart w:id="71" w:name="_Toc20915"/>
      <w:bookmarkStart w:id="72" w:name="_Toc29624"/>
      <w:bookmarkStart w:id="73" w:name="_Toc4654"/>
      <w:bookmarkStart w:id="74" w:name="_Toc8963"/>
      <w:bookmarkStart w:id="75" w:name="_Toc28283"/>
    </w:p>
    <w:p w14:paraId="0EEEBF20">
      <w:pPr>
        <w:pageBreakBefore w:val="0"/>
        <w:widowControl w:val="0"/>
        <w:kinsoku/>
        <w:wordWrap/>
        <w:overflowPunct/>
        <w:topLinePunct w:val="0"/>
        <w:autoSpaceDE/>
        <w:autoSpaceDN/>
        <w:bidi w:val="0"/>
        <w:adjustRightInd/>
        <w:snapToGrid/>
        <w:spacing w:before="0" w:after="0" w:line="240" w:lineRule="auto"/>
        <w:jc w:val="center"/>
        <w:textAlignment w:val="auto"/>
        <w:outlineLvl w:val="9"/>
        <w:rPr>
          <w:rFonts w:hint="eastAsia" w:ascii="宋体" w:hAnsi="宋体" w:eastAsia="宋体" w:cs="宋体"/>
          <w:b w:val="0"/>
          <w:bCs/>
          <w:color w:val="auto"/>
          <w:highlight w:val="none"/>
        </w:rPr>
      </w:pPr>
      <w:r>
        <w:rPr>
          <w:rFonts w:hint="eastAsia" w:ascii="宋体" w:hAnsi="宋体" w:eastAsia="宋体" w:cs="宋体"/>
          <w:b w:val="0"/>
          <w:bCs/>
          <w:color w:val="auto"/>
          <w:highlight w:val="none"/>
        </w:rPr>
        <w:br w:type="page"/>
      </w:r>
    </w:p>
    <w:p w14:paraId="444DFDFE">
      <w:pPr>
        <w:pStyle w:val="2"/>
        <w:spacing w:before="0" w:after="0" w:line="240" w:lineRule="auto"/>
        <w:jc w:val="center"/>
        <w:rPr>
          <w:rFonts w:hint="eastAsia" w:ascii="宋体" w:hAnsi="宋体" w:eastAsia="宋体" w:cs="宋体"/>
          <w:b w:val="0"/>
          <w:bCs w:val="0"/>
          <w:color w:val="auto"/>
          <w:highlight w:val="none"/>
        </w:rPr>
        <w:sectPr>
          <w:footerReference r:id="rId12" w:type="default"/>
          <w:pgSz w:w="11911" w:h="16838"/>
          <w:pgMar w:top="1134" w:right="1134" w:bottom="1134" w:left="1134" w:header="720" w:footer="720" w:gutter="0"/>
          <w:pgBorders>
            <w:top w:val="none" w:sz="0" w:space="0"/>
            <w:left w:val="none" w:sz="0" w:space="0"/>
            <w:bottom w:val="none" w:sz="0" w:space="0"/>
            <w:right w:val="none" w:sz="0" w:space="0"/>
          </w:pgBorders>
          <w:cols w:space="720" w:num="1"/>
        </w:sectPr>
      </w:pPr>
      <w:r>
        <w:rPr>
          <w:rFonts w:hint="eastAsia" w:ascii="宋体" w:hAnsi="宋体" w:eastAsia="宋体" w:cs="宋体"/>
          <w:b w:val="0"/>
          <w:bCs w:val="0"/>
          <w:color w:val="auto"/>
          <w:highlight w:val="none"/>
        </w:rPr>
        <w:t>第八章 质疑、投诉材料格式</w:t>
      </w:r>
      <w:bookmarkEnd w:id="70"/>
      <w:bookmarkEnd w:id="71"/>
      <w:bookmarkEnd w:id="72"/>
      <w:bookmarkEnd w:id="73"/>
      <w:bookmarkEnd w:id="74"/>
      <w:bookmarkEnd w:id="75"/>
    </w:p>
    <w:p w14:paraId="1677133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27B880CC">
      <w:pPr>
        <w:keepNext w:val="0"/>
        <w:keepLines w:val="0"/>
        <w:pageBreakBefore w:val="0"/>
        <w:widowControl w:val="0"/>
        <w:kinsoku/>
        <w:wordWrap/>
        <w:overflowPunct/>
        <w:topLinePunct w:val="0"/>
        <w:autoSpaceDE/>
        <w:autoSpaceDN/>
        <w:bidi w:val="0"/>
        <w:adjustRightInd/>
        <w:snapToGrid/>
        <w:spacing w:line="380" w:lineRule="exact"/>
        <w:ind w:firstLine="482" w:firstLineChars="200"/>
        <w:contextualSpacing/>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 w:val="24"/>
          <w:highlight w:val="none"/>
        </w:rPr>
        <w:t>一</w:t>
      </w:r>
      <w:r>
        <w:rPr>
          <w:rFonts w:hint="eastAsia" w:ascii="宋体" w:hAnsi="宋体" w:eastAsia="宋体" w:cs="宋体"/>
          <w:b/>
          <w:bCs/>
          <w:color w:val="auto"/>
          <w:kern w:val="0"/>
          <w:szCs w:val="21"/>
          <w:highlight w:val="none"/>
        </w:rPr>
        <w:t>、质疑供应商基本信息：</w:t>
      </w:r>
    </w:p>
    <w:p w14:paraId="6F556F57">
      <w:pPr>
        <w:keepNext w:val="0"/>
        <w:keepLines w:val="0"/>
        <w:pageBreakBefore w:val="0"/>
        <w:widowControl w:val="0"/>
        <w:kinsoku/>
        <w:wordWrap/>
        <w:overflowPunct/>
        <w:topLinePunct w:val="0"/>
        <w:autoSpaceDE/>
        <w:autoSpaceDN/>
        <w:bidi w:val="0"/>
        <w:adjustRightInd/>
        <w:snapToGrid/>
        <w:spacing w:line="380" w:lineRule="exact"/>
        <w:ind w:firstLine="420" w:firstLineChars="200"/>
        <w:contextualSpacing/>
        <w:textAlignment w:val="auto"/>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质疑供应商：</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01D3A027">
      <w:pPr>
        <w:keepNext w:val="0"/>
        <w:keepLines w:val="0"/>
        <w:pageBreakBefore w:val="0"/>
        <w:widowControl w:val="0"/>
        <w:kinsoku/>
        <w:wordWrap/>
        <w:overflowPunct/>
        <w:topLinePunct w:val="0"/>
        <w:autoSpaceDE/>
        <w:autoSpaceDN/>
        <w:bidi w:val="0"/>
        <w:adjustRightInd/>
        <w:snapToGrid/>
        <w:spacing w:line="380" w:lineRule="exact"/>
        <w:ind w:firstLine="420" w:firstLineChars="200"/>
        <w:contextualSpacing/>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地址：</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邮编：</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4E1B46C6">
      <w:pPr>
        <w:keepNext w:val="0"/>
        <w:keepLines w:val="0"/>
        <w:pageBreakBefore w:val="0"/>
        <w:widowControl w:val="0"/>
        <w:kinsoku/>
        <w:wordWrap/>
        <w:overflowPunct/>
        <w:topLinePunct w:val="0"/>
        <w:autoSpaceDE/>
        <w:autoSpaceDN/>
        <w:bidi w:val="0"/>
        <w:adjustRightInd/>
        <w:snapToGrid/>
        <w:spacing w:line="380" w:lineRule="exact"/>
        <w:ind w:firstLine="420" w:firstLineChars="200"/>
        <w:contextualSpacing/>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联系人：</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联系电话：</w:t>
      </w:r>
      <w:r>
        <w:rPr>
          <w:rFonts w:hint="eastAsia" w:ascii="宋体" w:hAnsi="宋体" w:eastAsia="宋体" w:cs="宋体"/>
          <w:bCs/>
          <w:color w:val="auto"/>
          <w:kern w:val="0"/>
          <w:szCs w:val="21"/>
          <w:highlight w:val="none"/>
          <w:u w:val="single"/>
        </w:rPr>
        <w:t xml:space="preserve">                 </w:t>
      </w:r>
    </w:p>
    <w:p w14:paraId="5965379E">
      <w:pPr>
        <w:keepNext w:val="0"/>
        <w:keepLines w:val="0"/>
        <w:pageBreakBefore w:val="0"/>
        <w:widowControl w:val="0"/>
        <w:kinsoku/>
        <w:wordWrap/>
        <w:overflowPunct/>
        <w:topLinePunct w:val="0"/>
        <w:autoSpaceDE/>
        <w:autoSpaceDN/>
        <w:bidi w:val="0"/>
        <w:adjustRightInd/>
        <w:snapToGrid/>
        <w:spacing w:line="380" w:lineRule="exact"/>
        <w:ind w:firstLine="420" w:firstLineChars="200"/>
        <w:contextualSpacing/>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授权代表：</w:t>
      </w:r>
      <w:r>
        <w:rPr>
          <w:rFonts w:hint="eastAsia" w:ascii="宋体" w:hAnsi="宋体" w:eastAsia="宋体" w:cs="宋体"/>
          <w:bCs/>
          <w:color w:val="auto"/>
          <w:kern w:val="0"/>
          <w:szCs w:val="21"/>
          <w:highlight w:val="none"/>
          <w:u w:val="single"/>
        </w:rPr>
        <w:t xml:space="preserve">                      </w:t>
      </w:r>
    </w:p>
    <w:p w14:paraId="0967EF7E">
      <w:pPr>
        <w:keepNext w:val="0"/>
        <w:keepLines w:val="0"/>
        <w:pageBreakBefore w:val="0"/>
        <w:widowControl w:val="0"/>
        <w:kinsoku/>
        <w:wordWrap/>
        <w:overflowPunct/>
        <w:topLinePunct w:val="0"/>
        <w:autoSpaceDE/>
        <w:autoSpaceDN/>
        <w:bidi w:val="0"/>
        <w:adjustRightInd/>
        <w:snapToGrid/>
        <w:spacing w:line="380" w:lineRule="exact"/>
        <w:ind w:firstLine="420" w:firstLineChars="200"/>
        <w:contextualSpacing/>
        <w:textAlignment w:val="auto"/>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联系电话：</w:t>
      </w:r>
      <w:r>
        <w:rPr>
          <w:rFonts w:hint="eastAsia" w:ascii="宋体" w:hAnsi="宋体" w:eastAsia="宋体" w:cs="宋体"/>
          <w:bCs/>
          <w:color w:val="auto"/>
          <w:kern w:val="0"/>
          <w:szCs w:val="21"/>
          <w:highlight w:val="none"/>
          <w:u w:val="single"/>
        </w:rPr>
        <w:t xml:space="preserve">                      </w:t>
      </w:r>
    </w:p>
    <w:p w14:paraId="36E25000">
      <w:pPr>
        <w:keepNext w:val="0"/>
        <w:keepLines w:val="0"/>
        <w:pageBreakBefore w:val="0"/>
        <w:widowControl w:val="0"/>
        <w:kinsoku/>
        <w:wordWrap/>
        <w:overflowPunct/>
        <w:topLinePunct w:val="0"/>
        <w:autoSpaceDE/>
        <w:autoSpaceDN/>
        <w:bidi w:val="0"/>
        <w:adjustRightInd/>
        <w:snapToGrid/>
        <w:spacing w:line="380" w:lineRule="exact"/>
        <w:ind w:firstLine="420" w:firstLineChars="200"/>
        <w:contextualSpacing/>
        <w:textAlignment w:val="auto"/>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地址：</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邮编：</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33A9F12B">
      <w:pPr>
        <w:keepNext w:val="0"/>
        <w:keepLines w:val="0"/>
        <w:pageBreakBefore w:val="0"/>
        <w:widowControl w:val="0"/>
        <w:kinsoku/>
        <w:wordWrap/>
        <w:overflowPunct/>
        <w:topLinePunct w:val="0"/>
        <w:autoSpaceDE/>
        <w:autoSpaceDN/>
        <w:bidi w:val="0"/>
        <w:adjustRightInd/>
        <w:snapToGrid/>
        <w:spacing w:line="380" w:lineRule="exact"/>
        <w:ind w:firstLine="422" w:firstLineChars="200"/>
        <w:contextualSpacing/>
        <w:textAlignment w:val="auto"/>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二、质疑项目基本情况：</w:t>
      </w:r>
    </w:p>
    <w:p w14:paraId="46FCDCA2">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质疑</w:t>
      </w:r>
      <w:r>
        <w:rPr>
          <w:rFonts w:hint="eastAsia" w:ascii="宋体" w:hAnsi="宋体" w:eastAsia="宋体" w:cs="宋体"/>
          <w:color w:val="auto"/>
          <w:kern w:val="0"/>
          <w:szCs w:val="21"/>
          <w:highlight w:val="none"/>
        </w:rPr>
        <w:t>项目的名称：</w:t>
      </w:r>
      <w:r>
        <w:rPr>
          <w:rFonts w:hint="eastAsia" w:ascii="宋体" w:hAnsi="宋体" w:eastAsia="宋体" w:cs="宋体"/>
          <w:bCs/>
          <w:color w:val="auto"/>
          <w:kern w:val="0"/>
          <w:szCs w:val="21"/>
          <w:highlight w:val="none"/>
          <w:u w:val="single"/>
        </w:rPr>
        <w:t xml:space="preserve">                                     </w:t>
      </w:r>
    </w:p>
    <w:p w14:paraId="69C1F544">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质疑</w:t>
      </w:r>
      <w:r>
        <w:rPr>
          <w:rFonts w:hint="eastAsia" w:ascii="宋体" w:hAnsi="宋体" w:eastAsia="宋体" w:cs="宋体"/>
          <w:color w:val="auto"/>
          <w:kern w:val="0"/>
          <w:szCs w:val="21"/>
          <w:highlight w:val="none"/>
        </w:rPr>
        <w:t>项目的编号：</w:t>
      </w:r>
      <w:r>
        <w:rPr>
          <w:rFonts w:hint="eastAsia" w:ascii="宋体" w:hAnsi="宋体" w:eastAsia="宋体" w:cs="宋体"/>
          <w:bCs/>
          <w:color w:val="auto"/>
          <w:kern w:val="0"/>
          <w:szCs w:val="21"/>
          <w:highlight w:val="none"/>
          <w:u w:val="single"/>
        </w:rPr>
        <w:t xml:space="preserve">                                     </w:t>
      </w:r>
    </w:p>
    <w:p w14:paraId="143EF2AC">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采购人名称：</w:t>
      </w:r>
      <w:r>
        <w:rPr>
          <w:rFonts w:hint="eastAsia" w:ascii="宋体" w:hAnsi="宋体" w:eastAsia="宋体" w:cs="宋体"/>
          <w:bCs/>
          <w:color w:val="auto"/>
          <w:kern w:val="0"/>
          <w:szCs w:val="21"/>
          <w:highlight w:val="none"/>
          <w:u w:val="single"/>
        </w:rPr>
        <w:t xml:space="preserve">                                         </w:t>
      </w:r>
    </w:p>
    <w:p w14:paraId="52D23F58">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质疑事项：</w:t>
      </w:r>
    </w:p>
    <w:p w14:paraId="07896BE4">
      <w:pPr>
        <w:keepNext w:val="0"/>
        <w:keepLines w:val="0"/>
        <w:pageBreakBefore w:val="0"/>
        <w:widowControl w:val="0"/>
        <w:kinsoku/>
        <w:wordWrap/>
        <w:overflowPunct/>
        <w:topLinePunct w:val="0"/>
        <w:autoSpaceDE/>
        <w:autoSpaceDN/>
        <w:bidi w:val="0"/>
        <w:adjustRightInd/>
        <w:snapToGrid/>
        <w:spacing w:line="380" w:lineRule="exact"/>
        <w:ind w:left="25" w:leftChars="12" w:firstLine="308" w:firstLineChars="14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□采购文件   采购文件获取日期：</w:t>
      </w:r>
      <w:r>
        <w:rPr>
          <w:rFonts w:hint="eastAsia" w:ascii="宋体" w:hAnsi="宋体" w:eastAsia="宋体" w:cs="宋体"/>
          <w:bCs/>
          <w:color w:val="auto"/>
          <w:kern w:val="0"/>
          <w:szCs w:val="21"/>
          <w:highlight w:val="none"/>
          <w:u w:val="single"/>
        </w:rPr>
        <w:t xml:space="preserve">                                   </w:t>
      </w:r>
    </w:p>
    <w:p w14:paraId="50902F4D">
      <w:pPr>
        <w:keepNext w:val="0"/>
        <w:keepLines w:val="0"/>
        <w:pageBreakBefore w:val="0"/>
        <w:widowControl w:val="0"/>
        <w:kinsoku/>
        <w:wordWrap/>
        <w:overflowPunct/>
        <w:topLinePunct w:val="0"/>
        <w:autoSpaceDE/>
        <w:autoSpaceDN/>
        <w:bidi w:val="0"/>
        <w:adjustRightInd/>
        <w:snapToGrid/>
        <w:spacing w:line="380" w:lineRule="exact"/>
        <w:ind w:left="25" w:leftChars="12" w:firstLine="308" w:firstLineChars="14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□采购过程   </w:t>
      </w:r>
    </w:p>
    <w:p w14:paraId="7FEA537E">
      <w:pPr>
        <w:keepNext w:val="0"/>
        <w:keepLines w:val="0"/>
        <w:pageBreakBefore w:val="0"/>
        <w:widowControl w:val="0"/>
        <w:kinsoku/>
        <w:wordWrap/>
        <w:overflowPunct/>
        <w:topLinePunct w:val="0"/>
        <w:autoSpaceDE/>
        <w:autoSpaceDN/>
        <w:bidi w:val="0"/>
        <w:adjustRightInd/>
        <w:snapToGrid/>
        <w:spacing w:line="380" w:lineRule="exact"/>
        <w:ind w:left="25" w:leftChars="12" w:firstLine="308" w:firstLineChars="147"/>
        <w:contextualSpacing/>
        <w:textAlignment w:val="auto"/>
        <w:rPr>
          <w:rFonts w:hint="eastAsia" w:ascii="宋体" w:hAnsi="宋体" w:eastAsia="宋体" w:cs="宋体"/>
          <w:bCs/>
          <w:color w:val="auto"/>
          <w:kern w:val="0"/>
          <w:szCs w:val="21"/>
          <w:highlight w:val="none"/>
          <w:u w:val="single"/>
        </w:rPr>
      </w:pPr>
      <w:r>
        <w:rPr>
          <w:rFonts w:hint="eastAsia" w:ascii="宋体" w:hAnsi="宋体" w:eastAsia="宋体" w:cs="宋体"/>
          <w:color w:val="auto"/>
          <w:kern w:val="0"/>
          <w:szCs w:val="21"/>
          <w:highlight w:val="none"/>
        </w:rPr>
        <w:t xml:space="preserve">□成交结果   </w:t>
      </w:r>
    </w:p>
    <w:p w14:paraId="640EAB62">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6"/>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三、质疑事项具体内容</w:t>
      </w:r>
    </w:p>
    <w:p w14:paraId="606F66FF">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质疑事项1：</w:t>
      </w:r>
      <w:r>
        <w:rPr>
          <w:rFonts w:hint="eastAsia" w:ascii="宋体" w:hAnsi="宋体" w:eastAsia="宋体" w:cs="宋体"/>
          <w:bCs/>
          <w:color w:val="auto"/>
          <w:kern w:val="0"/>
          <w:szCs w:val="21"/>
          <w:highlight w:val="none"/>
          <w:u w:val="single"/>
        </w:rPr>
        <w:t xml:space="preserve">                                                                    </w:t>
      </w:r>
    </w:p>
    <w:p w14:paraId="396CA77C">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事实依据：</w:t>
      </w:r>
      <w:r>
        <w:rPr>
          <w:rFonts w:hint="eastAsia" w:ascii="宋体" w:hAnsi="宋体" w:eastAsia="宋体" w:cs="宋体"/>
          <w:bCs/>
          <w:color w:val="auto"/>
          <w:kern w:val="0"/>
          <w:szCs w:val="21"/>
          <w:highlight w:val="none"/>
          <w:u w:val="single"/>
        </w:rPr>
        <w:t xml:space="preserve">                                                                      </w:t>
      </w:r>
    </w:p>
    <w:p w14:paraId="6FFAD3E5">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法律依据：</w:t>
      </w:r>
      <w:r>
        <w:rPr>
          <w:rFonts w:hint="eastAsia" w:ascii="宋体" w:hAnsi="宋体" w:eastAsia="宋体" w:cs="宋体"/>
          <w:color w:val="auto"/>
          <w:kern w:val="0"/>
          <w:szCs w:val="21"/>
          <w:highlight w:val="none"/>
          <w:u w:val="single"/>
        </w:rPr>
        <w:t xml:space="preserve">                                                        </w:t>
      </w:r>
      <w:r>
        <w:rPr>
          <w:rFonts w:hint="eastAsia" w:ascii="宋体" w:hAnsi="宋体" w:eastAsia="宋体" w:cs="宋体"/>
          <w:bCs/>
          <w:color w:val="auto"/>
          <w:kern w:val="0"/>
          <w:szCs w:val="21"/>
          <w:highlight w:val="none"/>
          <w:u w:val="single"/>
        </w:rPr>
        <w:t xml:space="preserve">               </w:t>
      </w:r>
    </w:p>
    <w:p w14:paraId="728B41D8">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质疑事项2</w:t>
      </w:r>
    </w:p>
    <w:p w14:paraId="2DA86291">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p w14:paraId="5DE81946">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四、与质疑事项相关的质疑请求：</w:t>
      </w:r>
    </w:p>
    <w:p w14:paraId="45D0CB98">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请求：</w:t>
      </w:r>
      <w:r>
        <w:rPr>
          <w:rFonts w:hint="eastAsia" w:ascii="宋体" w:hAnsi="宋体" w:eastAsia="宋体" w:cs="宋体"/>
          <w:bCs/>
          <w:color w:val="auto"/>
          <w:kern w:val="0"/>
          <w:szCs w:val="21"/>
          <w:highlight w:val="none"/>
          <w:u w:val="single"/>
        </w:rPr>
        <w:t xml:space="preserve">                                                                </w:t>
      </w:r>
    </w:p>
    <w:p w14:paraId="7EEB8CA6">
      <w:pPr>
        <w:keepNext w:val="0"/>
        <w:keepLines w:val="0"/>
        <w:pageBreakBefore w:val="0"/>
        <w:widowControl w:val="0"/>
        <w:kinsoku/>
        <w:wordWrap/>
        <w:overflowPunct/>
        <w:topLinePunct w:val="0"/>
        <w:autoSpaceDE/>
        <w:autoSpaceDN/>
        <w:bidi w:val="0"/>
        <w:adjustRightInd/>
        <w:snapToGrid/>
        <w:spacing w:line="380" w:lineRule="exact"/>
        <w:ind w:left="25" w:leftChars="12" w:firstLine="308" w:firstLineChars="147"/>
        <w:contextualSpacing/>
        <w:textAlignment w:val="auto"/>
        <w:rPr>
          <w:rFonts w:hint="eastAsia" w:ascii="宋体" w:hAnsi="宋体" w:eastAsia="宋体" w:cs="宋体"/>
          <w:color w:val="auto"/>
          <w:kern w:val="0"/>
          <w:szCs w:val="21"/>
          <w:highlight w:val="none"/>
        </w:rPr>
      </w:pPr>
    </w:p>
    <w:p w14:paraId="0F11589B">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签字（签章）：                                       公章：</w:t>
      </w:r>
    </w:p>
    <w:p w14:paraId="28BCEA06">
      <w:pPr>
        <w:keepNext w:val="0"/>
        <w:keepLines w:val="0"/>
        <w:pageBreakBefore w:val="0"/>
        <w:widowControl w:val="0"/>
        <w:kinsoku/>
        <w:wordWrap/>
        <w:overflowPunct/>
        <w:topLinePunct w:val="0"/>
        <w:autoSpaceDE/>
        <w:autoSpaceDN/>
        <w:bidi w:val="0"/>
        <w:adjustRightInd/>
        <w:snapToGrid/>
        <w:spacing w:line="380" w:lineRule="exact"/>
        <w:ind w:left="25" w:leftChars="12" w:firstLine="413" w:firstLineChars="197"/>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日期：</w:t>
      </w:r>
    </w:p>
    <w:p w14:paraId="3D5AD9BD">
      <w:pPr>
        <w:keepNext w:val="0"/>
        <w:keepLines w:val="0"/>
        <w:pageBreakBefore w:val="0"/>
        <w:widowControl w:val="0"/>
        <w:kinsoku/>
        <w:wordWrap/>
        <w:overflowPunct/>
        <w:topLinePunct w:val="0"/>
        <w:autoSpaceDE/>
        <w:autoSpaceDN/>
        <w:bidi w:val="0"/>
        <w:adjustRightInd/>
        <w:snapToGrid/>
        <w:spacing w:line="380" w:lineRule="exact"/>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说明：</w:t>
      </w:r>
    </w:p>
    <w:p w14:paraId="0F4CDCC5">
      <w:pPr>
        <w:keepNext w:val="0"/>
        <w:keepLines w:val="0"/>
        <w:pageBreakBefore w:val="0"/>
        <w:widowControl w:val="0"/>
        <w:kinsoku/>
        <w:wordWrap/>
        <w:overflowPunct/>
        <w:topLinePunct w:val="0"/>
        <w:autoSpaceDE/>
        <w:autoSpaceDN/>
        <w:bidi w:val="0"/>
        <w:adjustRightInd/>
        <w:snapToGrid/>
        <w:spacing w:line="380" w:lineRule="exact"/>
        <w:ind w:left="25" w:leftChars="12" w:firstLine="310" w:firstLineChars="147"/>
        <w:contextualSpacing/>
        <w:textAlignment w:val="auto"/>
        <w:rPr>
          <w:rFonts w:hint="eastAsia" w:ascii="宋体" w:hAnsi="宋体" w:eastAsia="宋体" w:cs="宋体"/>
          <w:b/>
          <w:bCs/>
          <w:color w:val="auto"/>
          <w:kern w:val="0"/>
          <w:szCs w:val="21"/>
          <w:highlight w:val="none"/>
        </w:rPr>
      </w:pPr>
      <w:r>
        <w:rPr>
          <w:rFonts w:hint="eastAsia" w:ascii="宋体" w:hAnsi="宋体" w:eastAsia="宋体" w:cs="宋体"/>
          <w:b/>
          <w:color w:val="auto"/>
          <w:kern w:val="0"/>
          <w:szCs w:val="21"/>
          <w:highlight w:val="none"/>
        </w:rPr>
        <w:t>1.供应商提出质疑时，应提交质疑函和必要的证明材料</w:t>
      </w:r>
      <w:r>
        <w:rPr>
          <w:rFonts w:hint="eastAsia" w:ascii="宋体" w:hAnsi="宋体" w:eastAsia="宋体" w:cs="宋体"/>
          <w:b/>
          <w:bCs/>
          <w:color w:val="auto"/>
          <w:kern w:val="0"/>
          <w:szCs w:val="21"/>
          <w:highlight w:val="none"/>
        </w:rPr>
        <w:t>。</w:t>
      </w:r>
    </w:p>
    <w:p w14:paraId="2734EFE9">
      <w:pPr>
        <w:keepNext w:val="0"/>
        <w:keepLines w:val="0"/>
        <w:pageBreakBefore w:val="0"/>
        <w:widowControl w:val="0"/>
        <w:kinsoku/>
        <w:wordWrap/>
        <w:overflowPunct/>
        <w:topLinePunct w:val="0"/>
        <w:autoSpaceDE/>
        <w:autoSpaceDN/>
        <w:bidi w:val="0"/>
        <w:adjustRightInd/>
        <w:snapToGrid/>
        <w:spacing w:line="380" w:lineRule="exact"/>
        <w:ind w:left="25" w:leftChars="12" w:firstLine="310" w:firstLineChars="147"/>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E45A103">
      <w:pPr>
        <w:keepNext w:val="0"/>
        <w:keepLines w:val="0"/>
        <w:pageBreakBefore w:val="0"/>
        <w:widowControl w:val="0"/>
        <w:kinsoku/>
        <w:wordWrap/>
        <w:overflowPunct/>
        <w:topLinePunct w:val="0"/>
        <w:autoSpaceDE/>
        <w:autoSpaceDN/>
        <w:bidi w:val="0"/>
        <w:adjustRightInd/>
        <w:snapToGrid/>
        <w:spacing w:line="380" w:lineRule="exact"/>
        <w:ind w:left="25" w:leftChars="12" w:firstLine="310" w:firstLineChars="147"/>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3.质疑函的质疑事项应具体、明确，并有必要的事实依据和法律依据。</w:t>
      </w:r>
    </w:p>
    <w:p w14:paraId="00AB9C0B">
      <w:pPr>
        <w:keepNext w:val="0"/>
        <w:keepLines w:val="0"/>
        <w:pageBreakBefore w:val="0"/>
        <w:widowControl w:val="0"/>
        <w:kinsoku/>
        <w:wordWrap/>
        <w:overflowPunct/>
        <w:topLinePunct w:val="0"/>
        <w:autoSpaceDE/>
        <w:autoSpaceDN/>
        <w:bidi w:val="0"/>
        <w:adjustRightInd/>
        <w:snapToGrid/>
        <w:spacing w:line="380" w:lineRule="exact"/>
        <w:ind w:left="25" w:leftChars="12" w:firstLine="310" w:firstLineChars="147"/>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4.质疑函的质疑请求应与质疑事项相关。</w:t>
      </w:r>
    </w:p>
    <w:p w14:paraId="2F006CD4">
      <w:pPr>
        <w:keepNext w:val="0"/>
        <w:keepLines w:val="0"/>
        <w:pageBreakBefore w:val="0"/>
        <w:widowControl w:val="0"/>
        <w:kinsoku/>
        <w:wordWrap/>
        <w:overflowPunct/>
        <w:topLinePunct w:val="0"/>
        <w:autoSpaceDE/>
        <w:autoSpaceDN/>
        <w:bidi w:val="0"/>
        <w:adjustRightInd/>
        <w:snapToGrid/>
        <w:spacing w:line="380" w:lineRule="exact"/>
        <w:ind w:left="25" w:leftChars="12" w:firstLine="310" w:firstLineChars="147"/>
        <w:contextualSpacing/>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5.质疑供应商为法人或者其他组织的，质疑函应由法定代表人、主要负责人，或者其授权代表签字或者盖章，并加盖公章。</w:t>
      </w:r>
    </w:p>
    <w:p w14:paraId="64E03B4C">
      <w:pPr>
        <w:spacing w:line="460" w:lineRule="exact"/>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rPr>
        <w:br w:type="page"/>
      </w:r>
    </w:p>
    <w:p w14:paraId="4FD337AB">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4BD0683A">
      <w:pPr>
        <w:snapToGrid w:val="0"/>
        <w:spacing w:line="360" w:lineRule="auto"/>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一、投诉相关主体基本情况：</w:t>
      </w:r>
    </w:p>
    <w:p w14:paraId="67090462">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供应商：</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6717C3B6">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地址：</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邮编：</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4F4A3001">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法定代表人/主要负责人：</w:t>
      </w:r>
      <w:r>
        <w:rPr>
          <w:rFonts w:hint="eastAsia" w:ascii="宋体" w:hAnsi="宋体" w:eastAsia="宋体" w:cs="宋体"/>
          <w:bCs/>
          <w:color w:val="auto"/>
          <w:kern w:val="0"/>
          <w:szCs w:val="21"/>
          <w:highlight w:val="none"/>
          <w:u w:val="single"/>
        </w:rPr>
        <w:t xml:space="preserve">                                                         </w:t>
      </w:r>
    </w:p>
    <w:p w14:paraId="13E09124">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联系电话：</w:t>
      </w:r>
      <w:r>
        <w:rPr>
          <w:rFonts w:hint="eastAsia" w:ascii="宋体" w:hAnsi="宋体" w:eastAsia="宋体" w:cs="宋体"/>
          <w:bCs/>
          <w:color w:val="auto"/>
          <w:kern w:val="0"/>
          <w:szCs w:val="21"/>
          <w:highlight w:val="none"/>
          <w:u w:val="single"/>
        </w:rPr>
        <w:t xml:space="preserve">                                         </w:t>
      </w:r>
    </w:p>
    <w:p w14:paraId="69E13BB2">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授权代表：</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联系电话：</w:t>
      </w:r>
      <w:r>
        <w:rPr>
          <w:rFonts w:hint="eastAsia" w:ascii="宋体" w:hAnsi="宋体" w:eastAsia="宋体" w:cs="宋体"/>
          <w:bCs/>
          <w:color w:val="auto"/>
          <w:kern w:val="0"/>
          <w:szCs w:val="21"/>
          <w:highlight w:val="none"/>
          <w:u w:val="single"/>
        </w:rPr>
        <w:t xml:space="preserve">                   </w:t>
      </w:r>
    </w:p>
    <w:p w14:paraId="35D44F84">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地址：</w:t>
      </w:r>
      <w:r>
        <w:rPr>
          <w:rFonts w:hint="eastAsia" w:ascii="宋体" w:hAnsi="宋体" w:eastAsia="宋体" w:cs="宋体"/>
          <w:bCs/>
          <w:color w:val="auto"/>
          <w:kern w:val="0"/>
          <w:szCs w:val="21"/>
          <w:highlight w:val="none"/>
          <w:u w:val="single"/>
        </w:rPr>
        <w:t xml:space="preserve">                                                            </w:t>
      </w:r>
    </w:p>
    <w:p w14:paraId="585397A2">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邮编：</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03026B85">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被投诉人1：</w:t>
      </w:r>
    </w:p>
    <w:p w14:paraId="4C20CF9A">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地址：</w:t>
      </w:r>
      <w:r>
        <w:rPr>
          <w:rFonts w:hint="eastAsia" w:ascii="宋体" w:hAnsi="宋体" w:eastAsia="宋体" w:cs="宋体"/>
          <w:bCs/>
          <w:color w:val="auto"/>
          <w:kern w:val="0"/>
          <w:szCs w:val="21"/>
          <w:highlight w:val="none"/>
          <w:u w:val="single"/>
        </w:rPr>
        <w:t xml:space="preserve">                                                            </w:t>
      </w:r>
    </w:p>
    <w:p w14:paraId="452C772D">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邮编：</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4CA85687">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联系人：</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联系电话：</w:t>
      </w:r>
      <w:r>
        <w:rPr>
          <w:rFonts w:hint="eastAsia" w:ascii="宋体" w:hAnsi="宋体" w:eastAsia="宋体" w:cs="宋体"/>
          <w:bCs/>
          <w:color w:val="auto"/>
          <w:kern w:val="0"/>
          <w:szCs w:val="21"/>
          <w:highlight w:val="none"/>
          <w:u w:val="single"/>
        </w:rPr>
        <w:t xml:space="preserve">                </w:t>
      </w:r>
    </w:p>
    <w:p w14:paraId="56DB3FB6">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被投诉人2：</w:t>
      </w:r>
    </w:p>
    <w:p w14:paraId="128A16CC">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w:t>
      </w:r>
    </w:p>
    <w:p w14:paraId="1C5AD33C">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相关供应商：</w:t>
      </w:r>
      <w:r>
        <w:rPr>
          <w:rFonts w:hint="eastAsia" w:ascii="宋体" w:hAnsi="宋体" w:eastAsia="宋体" w:cs="宋体"/>
          <w:bCs/>
          <w:color w:val="auto"/>
          <w:kern w:val="0"/>
          <w:szCs w:val="21"/>
          <w:highlight w:val="none"/>
          <w:u w:val="single"/>
        </w:rPr>
        <w:t xml:space="preserve">                                                                       </w:t>
      </w:r>
    </w:p>
    <w:p w14:paraId="5241341C">
      <w:pPr>
        <w:snapToGrid w:val="0"/>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地址：</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邮编：</w:t>
      </w:r>
      <w:r>
        <w:rPr>
          <w:rFonts w:hint="eastAsia" w:ascii="宋体" w:hAnsi="宋体" w:eastAsia="宋体" w:cs="宋体"/>
          <w:bCs/>
          <w:color w:val="auto"/>
          <w:kern w:val="0"/>
          <w:szCs w:val="21"/>
          <w:highlight w:val="none"/>
          <w:u w:val="single"/>
        </w:rPr>
        <w:t xml:space="preserve">                         </w:t>
      </w:r>
    </w:p>
    <w:p w14:paraId="00AEA9A6">
      <w:pPr>
        <w:snapToGrid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联系人：</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联系电话：</w:t>
      </w:r>
      <w:r>
        <w:rPr>
          <w:rFonts w:hint="eastAsia" w:ascii="宋体" w:hAnsi="宋体" w:eastAsia="宋体" w:cs="宋体"/>
          <w:bCs/>
          <w:color w:val="auto"/>
          <w:kern w:val="0"/>
          <w:szCs w:val="21"/>
          <w:highlight w:val="none"/>
          <w:u w:val="single"/>
        </w:rPr>
        <w:t xml:space="preserve">                     </w:t>
      </w:r>
      <w:r>
        <w:rPr>
          <w:rFonts w:hint="eastAsia" w:ascii="宋体" w:hAnsi="宋体" w:eastAsia="宋体" w:cs="宋体"/>
          <w:bCs/>
          <w:color w:val="auto"/>
          <w:kern w:val="0"/>
          <w:szCs w:val="21"/>
          <w:highlight w:val="none"/>
        </w:rPr>
        <w:t xml:space="preserve">                </w:t>
      </w:r>
    </w:p>
    <w:p w14:paraId="14F4AC2E">
      <w:pPr>
        <w:snapToGrid w:val="0"/>
        <w:spacing w:line="360" w:lineRule="auto"/>
        <w:ind w:firstLine="422" w:firstLineChars="20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二、投诉项目基本情况：</w:t>
      </w:r>
    </w:p>
    <w:p w14:paraId="6A185616">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采购</w:t>
      </w:r>
      <w:r>
        <w:rPr>
          <w:rFonts w:hint="eastAsia" w:ascii="宋体" w:hAnsi="宋体" w:eastAsia="宋体" w:cs="宋体"/>
          <w:color w:val="auto"/>
          <w:kern w:val="0"/>
          <w:szCs w:val="21"/>
          <w:highlight w:val="none"/>
        </w:rPr>
        <w:t>项目的名称：</w:t>
      </w:r>
      <w:r>
        <w:rPr>
          <w:rFonts w:hint="eastAsia" w:ascii="宋体" w:hAnsi="宋体" w:eastAsia="宋体" w:cs="宋体"/>
          <w:bCs/>
          <w:color w:val="auto"/>
          <w:kern w:val="0"/>
          <w:szCs w:val="21"/>
          <w:highlight w:val="none"/>
          <w:u w:val="single"/>
        </w:rPr>
        <w:t xml:space="preserve">                                                                   </w:t>
      </w:r>
    </w:p>
    <w:p w14:paraId="27AFAFCB">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采购</w:t>
      </w:r>
      <w:r>
        <w:rPr>
          <w:rFonts w:hint="eastAsia" w:ascii="宋体" w:hAnsi="宋体" w:eastAsia="宋体" w:cs="宋体"/>
          <w:color w:val="auto"/>
          <w:kern w:val="0"/>
          <w:szCs w:val="21"/>
          <w:highlight w:val="none"/>
        </w:rPr>
        <w:t>项目的编号：</w:t>
      </w:r>
      <w:r>
        <w:rPr>
          <w:rFonts w:hint="eastAsia" w:ascii="宋体" w:hAnsi="宋体" w:eastAsia="宋体" w:cs="宋体"/>
          <w:bCs/>
          <w:color w:val="auto"/>
          <w:kern w:val="0"/>
          <w:szCs w:val="21"/>
          <w:highlight w:val="none"/>
          <w:u w:val="single"/>
        </w:rPr>
        <w:t xml:space="preserve">                                          </w:t>
      </w:r>
    </w:p>
    <w:p w14:paraId="42CC4D96">
      <w:pPr>
        <w:spacing w:line="360" w:lineRule="auto"/>
        <w:ind w:left="25" w:leftChars="12" w:firstLine="413" w:firstLineChars="197"/>
        <w:rPr>
          <w:rFonts w:hint="eastAsia" w:ascii="宋体" w:hAnsi="宋体" w:eastAsia="宋体" w:cs="宋体"/>
          <w:bCs/>
          <w:color w:val="auto"/>
          <w:kern w:val="0"/>
          <w:szCs w:val="21"/>
          <w:highlight w:val="none"/>
          <w:u w:val="single"/>
        </w:rPr>
      </w:pPr>
      <w:r>
        <w:rPr>
          <w:rFonts w:hint="eastAsia" w:ascii="宋体" w:hAnsi="宋体" w:eastAsia="宋体" w:cs="宋体"/>
          <w:color w:val="auto"/>
          <w:kern w:val="0"/>
          <w:szCs w:val="21"/>
          <w:highlight w:val="none"/>
        </w:rPr>
        <w:t>采购人名称：</w:t>
      </w:r>
      <w:r>
        <w:rPr>
          <w:rFonts w:hint="eastAsia" w:ascii="宋体" w:hAnsi="宋体" w:eastAsia="宋体" w:cs="宋体"/>
          <w:bCs/>
          <w:color w:val="auto"/>
          <w:kern w:val="0"/>
          <w:szCs w:val="21"/>
          <w:highlight w:val="none"/>
          <w:u w:val="single"/>
        </w:rPr>
        <w:t xml:space="preserve">                                                                        </w:t>
      </w:r>
    </w:p>
    <w:p w14:paraId="0961B3B9">
      <w:pPr>
        <w:spacing w:line="360" w:lineRule="auto"/>
        <w:ind w:left="25" w:leftChars="12" w:firstLine="413" w:firstLineChars="197"/>
        <w:rPr>
          <w:rFonts w:hint="eastAsia" w:ascii="宋体" w:hAnsi="宋体" w:eastAsia="宋体" w:cs="宋体"/>
          <w:bCs/>
          <w:color w:val="auto"/>
          <w:kern w:val="0"/>
          <w:szCs w:val="21"/>
          <w:highlight w:val="none"/>
          <w:u w:val="single"/>
        </w:rPr>
      </w:pPr>
      <w:r>
        <w:rPr>
          <w:rFonts w:hint="eastAsia" w:ascii="宋体" w:hAnsi="宋体" w:eastAsia="宋体" w:cs="宋体"/>
          <w:color w:val="auto"/>
          <w:kern w:val="0"/>
          <w:szCs w:val="21"/>
          <w:highlight w:val="none"/>
        </w:rPr>
        <w:t>代理机构名称：</w:t>
      </w:r>
      <w:r>
        <w:rPr>
          <w:rFonts w:hint="eastAsia" w:ascii="宋体" w:hAnsi="宋体" w:eastAsia="宋体" w:cs="宋体"/>
          <w:bCs/>
          <w:color w:val="auto"/>
          <w:kern w:val="0"/>
          <w:szCs w:val="21"/>
          <w:highlight w:val="none"/>
          <w:u w:val="single"/>
        </w:rPr>
        <w:t xml:space="preserve">                                                                      </w:t>
      </w:r>
    </w:p>
    <w:p w14:paraId="1703BCFA">
      <w:pPr>
        <w:spacing w:line="360" w:lineRule="auto"/>
        <w:ind w:left="25" w:leftChars="12" w:firstLine="413" w:firstLineChars="197"/>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采购文件公告：</w:t>
      </w:r>
      <w:r>
        <w:rPr>
          <w:rFonts w:hint="eastAsia" w:ascii="宋体" w:hAnsi="宋体" w:eastAsia="宋体" w:cs="宋体"/>
          <w:bCs/>
          <w:color w:val="auto"/>
          <w:kern w:val="0"/>
          <w:szCs w:val="21"/>
          <w:highlight w:val="none"/>
          <w:u w:val="single"/>
        </w:rPr>
        <w:t>是/否</w:t>
      </w:r>
      <w:r>
        <w:rPr>
          <w:rFonts w:hint="eastAsia" w:ascii="宋体" w:hAnsi="宋体" w:eastAsia="宋体" w:cs="宋体"/>
          <w:bCs/>
          <w:color w:val="auto"/>
          <w:kern w:val="0"/>
          <w:szCs w:val="21"/>
          <w:highlight w:val="none"/>
        </w:rPr>
        <w:t>公告期限：</w:t>
      </w:r>
      <w:r>
        <w:rPr>
          <w:rFonts w:hint="eastAsia" w:ascii="宋体" w:hAnsi="宋体" w:eastAsia="宋体" w:cs="宋体"/>
          <w:bCs/>
          <w:color w:val="auto"/>
          <w:kern w:val="0"/>
          <w:szCs w:val="21"/>
          <w:highlight w:val="none"/>
          <w:u w:val="single"/>
        </w:rPr>
        <w:t xml:space="preserve">                                                       </w:t>
      </w:r>
    </w:p>
    <w:p w14:paraId="0143327A">
      <w:pPr>
        <w:spacing w:line="360" w:lineRule="auto"/>
        <w:ind w:left="25" w:leftChars="12" w:firstLine="413" w:firstLineChars="197"/>
        <w:rPr>
          <w:rFonts w:hint="eastAsia" w:ascii="宋体" w:hAnsi="宋体" w:eastAsia="宋体" w:cs="宋体"/>
          <w:b/>
          <w:color w:val="auto"/>
          <w:kern w:val="0"/>
          <w:szCs w:val="21"/>
          <w:highlight w:val="none"/>
        </w:rPr>
      </w:pPr>
      <w:r>
        <w:rPr>
          <w:rFonts w:hint="eastAsia" w:ascii="宋体" w:hAnsi="宋体" w:eastAsia="宋体" w:cs="宋体"/>
          <w:bCs/>
          <w:color w:val="auto"/>
          <w:kern w:val="0"/>
          <w:szCs w:val="21"/>
          <w:highlight w:val="none"/>
        </w:rPr>
        <w:t>采购结果公告：</w:t>
      </w:r>
      <w:r>
        <w:rPr>
          <w:rFonts w:hint="eastAsia" w:ascii="宋体" w:hAnsi="宋体" w:eastAsia="宋体" w:cs="宋体"/>
          <w:bCs/>
          <w:color w:val="auto"/>
          <w:kern w:val="0"/>
          <w:szCs w:val="21"/>
          <w:highlight w:val="none"/>
          <w:u w:val="single"/>
        </w:rPr>
        <w:t>是/否</w:t>
      </w:r>
      <w:r>
        <w:rPr>
          <w:rFonts w:hint="eastAsia" w:ascii="宋体" w:hAnsi="宋体" w:eastAsia="宋体" w:cs="宋体"/>
          <w:bCs/>
          <w:color w:val="auto"/>
          <w:kern w:val="0"/>
          <w:szCs w:val="21"/>
          <w:highlight w:val="none"/>
        </w:rPr>
        <w:t>公告期限：</w:t>
      </w:r>
      <w:r>
        <w:rPr>
          <w:rFonts w:hint="eastAsia" w:ascii="宋体" w:hAnsi="宋体" w:eastAsia="宋体" w:cs="宋体"/>
          <w:bCs/>
          <w:color w:val="auto"/>
          <w:kern w:val="0"/>
          <w:szCs w:val="21"/>
          <w:highlight w:val="none"/>
          <w:u w:val="single"/>
        </w:rPr>
        <w:t xml:space="preserve">                                                       </w:t>
      </w:r>
    </w:p>
    <w:p w14:paraId="139D9317">
      <w:pPr>
        <w:spacing w:line="360" w:lineRule="auto"/>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三、质疑基本情况</w:t>
      </w:r>
    </w:p>
    <w:p w14:paraId="6FB812A0">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投诉人于</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日，向</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提出质疑，质疑事项为：</w:t>
      </w:r>
    </w:p>
    <w:p w14:paraId="16F6356A">
      <w:pPr>
        <w:spacing w:line="360" w:lineRule="auto"/>
        <w:ind w:firstLine="241"/>
        <w:rPr>
          <w:rFonts w:hint="eastAsia" w:ascii="宋体" w:hAnsi="宋体" w:eastAsia="宋体" w:cs="宋体"/>
          <w:bCs/>
          <w:color w:val="auto"/>
          <w:kern w:val="0"/>
          <w:szCs w:val="21"/>
          <w:highlight w:val="none"/>
          <w:u w:val="single"/>
        </w:rPr>
      </w:pPr>
      <w:r>
        <w:rPr>
          <w:rFonts w:hint="eastAsia" w:ascii="宋体" w:hAnsi="宋体" w:eastAsia="宋体" w:cs="宋体"/>
          <w:color w:val="auto"/>
          <w:kern w:val="0"/>
          <w:szCs w:val="21"/>
          <w:highlight w:val="none"/>
        </w:rPr>
        <w:t xml:space="preserve">    </w:t>
      </w:r>
      <w:r>
        <w:rPr>
          <w:rFonts w:hint="eastAsia" w:ascii="宋体" w:hAnsi="宋体" w:eastAsia="宋体" w:cs="宋体"/>
          <w:bCs/>
          <w:color w:val="auto"/>
          <w:kern w:val="0"/>
          <w:szCs w:val="21"/>
          <w:highlight w:val="none"/>
          <w:u w:val="single"/>
        </w:rPr>
        <w:t xml:space="preserve">                                                                                      </w:t>
      </w:r>
    </w:p>
    <w:p w14:paraId="12D7B281">
      <w:pPr>
        <w:spacing w:line="360" w:lineRule="auto"/>
        <w:ind w:firstLine="241"/>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 xml:space="preserve">    </w:t>
      </w:r>
      <w:r>
        <w:rPr>
          <w:rFonts w:hint="eastAsia" w:ascii="宋体" w:hAnsi="宋体" w:eastAsia="宋体" w:cs="宋体"/>
          <w:bCs/>
          <w:color w:val="auto"/>
          <w:kern w:val="0"/>
          <w:szCs w:val="21"/>
          <w:highlight w:val="none"/>
          <w:u w:val="single"/>
        </w:rPr>
        <w:t xml:space="preserve">                                                                                      </w:t>
      </w:r>
    </w:p>
    <w:p w14:paraId="726D081F">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u w:val="single"/>
        </w:rPr>
        <w:t>采购人/采购代理机构</w:t>
      </w:r>
      <w:r>
        <w:rPr>
          <w:rFonts w:hint="eastAsia" w:ascii="宋体" w:hAnsi="宋体" w:eastAsia="宋体" w:cs="宋体"/>
          <w:bCs/>
          <w:color w:val="auto"/>
          <w:kern w:val="0"/>
          <w:szCs w:val="21"/>
          <w:highlight w:val="none"/>
        </w:rPr>
        <w:t>于</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日，</w:t>
      </w:r>
      <w:r>
        <w:rPr>
          <w:rFonts w:hint="eastAsia" w:ascii="宋体" w:hAnsi="宋体" w:eastAsia="宋体" w:cs="宋体"/>
          <w:bCs/>
          <w:color w:val="auto"/>
          <w:kern w:val="0"/>
          <w:szCs w:val="21"/>
          <w:highlight w:val="none"/>
        </w:rPr>
        <w:t xml:space="preserve">就质疑事项作出了答复/没有在法定期限内作出答复。                                                                                             </w:t>
      </w:r>
    </w:p>
    <w:p w14:paraId="7CB11BB4">
      <w:pPr>
        <w:spacing w:line="360" w:lineRule="auto"/>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四、投诉事项具体内容</w:t>
      </w:r>
    </w:p>
    <w:p w14:paraId="7285E45A">
      <w:pPr>
        <w:spacing w:line="360" w:lineRule="auto"/>
        <w:ind w:left="25" w:leftChars="12" w:firstLine="413" w:firstLineChars="197"/>
        <w:rPr>
          <w:rFonts w:hint="eastAsia" w:ascii="宋体" w:hAnsi="宋体" w:eastAsia="宋体" w:cs="宋体"/>
          <w:bCs/>
          <w:color w:val="auto"/>
          <w:kern w:val="0"/>
          <w:szCs w:val="21"/>
          <w:highlight w:val="none"/>
          <w:u w:val="single"/>
        </w:rPr>
      </w:pPr>
      <w:r>
        <w:rPr>
          <w:rFonts w:hint="eastAsia" w:ascii="宋体" w:hAnsi="宋体" w:eastAsia="宋体" w:cs="宋体"/>
          <w:color w:val="auto"/>
          <w:kern w:val="0"/>
          <w:szCs w:val="21"/>
          <w:highlight w:val="none"/>
        </w:rPr>
        <w:t>投诉事项1：</w:t>
      </w:r>
      <w:r>
        <w:rPr>
          <w:rFonts w:hint="eastAsia" w:ascii="宋体" w:hAnsi="宋体" w:eastAsia="宋体" w:cs="宋体"/>
          <w:bCs/>
          <w:color w:val="auto"/>
          <w:kern w:val="0"/>
          <w:szCs w:val="21"/>
          <w:highlight w:val="none"/>
          <w:u w:val="single"/>
        </w:rPr>
        <w:t xml:space="preserve">                                                                           </w:t>
      </w:r>
    </w:p>
    <w:p w14:paraId="37768F74">
      <w:pPr>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事实依据：</w:t>
      </w:r>
      <w:r>
        <w:rPr>
          <w:rFonts w:hint="eastAsia" w:ascii="宋体" w:hAnsi="宋体" w:eastAsia="宋体" w:cs="宋体"/>
          <w:color w:val="auto"/>
          <w:kern w:val="0"/>
          <w:szCs w:val="21"/>
          <w:highlight w:val="none"/>
        </w:rPr>
        <w:t xml:space="preserve"> </w:t>
      </w:r>
      <w:r>
        <w:rPr>
          <w:rFonts w:hint="eastAsia" w:ascii="宋体" w:hAnsi="宋体" w:eastAsia="宋体" w:cs="宋体"/>
          <w:bCs/>
          <w:color w:val="auto"/>
          <w:kern w:val="0"/>
          <w:szCs w:val="21"/>
          <w:highlight w:val="none"/>
          <w:u w:val="single"/>
        </w:rPr>
        <w:t xml:space="preserve">                                                                                      </w:t>
      </w:r>
    </w:p>
    <w:p w14:paraId="0609D463">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u w:val="single"/>
        </w:rPr>
        <w:t xml:space="preserve">                                                                                        </w:t>
      </w:r>
    </w:p>
    <w:p w14:paraId="5A21E73B">
      <w:pPr>
        <w:spacing w:line="360" w:lineRule="auto"/>
        <w:ind w:firstLine="420" w:firstLineChars="200"/>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法律依据：</w:t>
      </w:r>
      <w:r>
        <w:rPr>
          <w:rFonts w:hint="eastAsia" w:ascii="宋体" w:hAnsi="宋体" w:eastAsia="宋体" w:cs="宋体"/>
          <w:color w:val="auto"/>
          <w:kern w:val="0"/>
          <w:szCs w:val="21"/>
          <w:highlight w:val="none"/>
        </w:rPr>
        <w:t xml:space="preserve"> </w:t>
      </w:r>
      <w:r>
        <w:rPr>
          <w:rFonts w:hint="eastAsia" w:ascii="宋体" w:hAnsi="宋体" w:eastAsia="宋体" w:cs="宋体"/>
          <w:bCs/>
          <w:color w:val="auto"/>
          <w:kern w:val="0"/>
          <w:szCs w:val="21"/>
          <w:highlight w:val="none"/>
          <w:u w:val="single"/>
        </w:rPr>
        <w:t xml:space="preserve">                                                                                      </w:t>
      </w:r>
    </w:p>
    <w:p w14:paraId="709A72A0">
      <w:pPr>
        <w:spacing w:line="360" w:lineRule="auto"/>
        <w:ind w:left="25" w:leftChars="12" w:firstLine="308" w:firstLineChars="147"/>
        <w:rPr>
          <w:rFonts w:hint="eastAsia" w:ascii="宋体" w:hAnsi="宋体" w:eastAsia="宋体" w:cs="宋体"/>
          <w:bCs/>
          <w:color w:val="auto"/>
          <w:kern w:val="0"/>
          <w:szCs w:val="21"/>
          <w:highlight w:val="none"/>
          <w:u w:val="single"/>
        </w:rPr>
      </w:pPr>
      <w:r>
        <w:rPr>
          <w:rFonts w:hint="eastAsia" w:ascii="宋体" w:hAnsi="宋体" w:eastAsia="宋体" w:cs="宋体"/>
          <w:bCs/>
          <w:color w:val="auto"/>
          <w:kern w:val="0"/>
          <w:szCs w:val="21"/>
          <w:highlight w:val="none"/>
        </w:rPr>
        <w:t xml:space="preserve"> </w:t>
      </w:r>
      <w:r>
        <w:rPr>
          <w:rFonts w:hint="eastAsia" w:ascii="宋体" w:hAnsi="宋体" w:eastAsia="宋体" w:cs="宋体"/>
          <w:bCs/>
          <w:color w:val="auto"/>
          <w:kern w:val="0"/>
          <w:szCs w:val="21"/>
          <w:highlight w:val="none"/>
          <w:u w:val="single"/>
        </w:rPr>
        <w:t xml:space="preserve">                                                                                        </w:t>
      </w:r>
    </w:p>
    <w:p w14:paraId="6E4C3676">
      <w:pPr>
        <w:spacing w:line="360" w:lineRule="auto"/>
        <w:ind w:left="25" w:leftChars="12" w:firstLine="413" w:firstLineChars="197"/>
        <w:rPr>
          <w:rFonts w:hint="eastAsia" w:ascii="宋体" w:hAnsi="宋体" w:eastAsia="宋体" w:cs="宋体"/>
          <w:bCs/>
          <w:color w:val="auto"/>
          <w:kern w:val="0"/>
          <w:szCs w:val="21"/>
          <w:highlight w:val="none"/>
        </w:rPr>
      </w:pPr>
      <w:r>
        <w:rPr>
          <w:rFonts w:hint="eastAsia" w:ascii="宋体" w:hAnsi="宋体" w:eastAsia="宋体" w:cs="宋体"/>
          <w:color w:val="auto"/>
          <w:kern w:val="0"/>
          <w:szCs w:val="21"/>
          <w:highlight w:val="none"/>
        </w:rPr>
        <w:t xml:space="preserve">投诉事项2  </w:t>
      </w:r>
      <w:r>
        <w:rPr>
          <w:rFonts w:hint="eastAsia" w:ascii="宋体" w:hAnsi="宋体" w:eastAsia="宋体" w:cs="宋体"/>
          <w:bCs/>
          <w:color w:val="auto"/>
          <w:kern w:val="0"/>
          <w:szCs w:val="21"/>
          <w:highlight w:val="none"/>
        </w:rPr>
        <w:t xml:space="preserve">   </w:t>
      </w:r>
    </w:p>
    <w:p w14:paraId="589A2516">
      <w:pPr>
        <w:spacing w:line="360" w:lineRule="auto"/>
        <w:ind w:left="25" w:leftChars="12" w:firstLine="413" w:firstLineChars="197"/>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w:t>
      </w:r>
    </w:p>
    <w:p w14:paraId="361B1933">
      <w:pPr>
        <w:spacing w:line="360" w:lineRule="auto"/>
        <w:ind w:left="25" w:leftChars="12" w:firstLine="413" w:firstLineChars="196"/>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五、与投诉事项相关的投诉请求：</w:t>
      </w:r>
    </w:p>
    <w:p w14:paraId="231C4E5E">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请求：</w:t>
      </w:r>
      <w:r>
        <w:rPr>
          <w:rFonts w:hint="eastAsia" w:ascii="宋体" w:hAnsi="宋体" w:eastAsia="宋体" w:cs="宋体"/>
          <w:bCs/>
          <w:color w:val="auto"/>
          <w:kern w:val="0"/>
          <w:szCs w:val="21"/>
          <w:highlight w:val="none"/>
          <w:u w:val="single"/>
        </w:rPr>
        <w:t xml:space="preserve">                                                                                 </w:t>
      </w:r>
    </w:p>
    <w:p w14:paraId="4649598E">
      <w:pPr>
        <w:spacing w:line="360" w:lineRule="auto"/>
        <w:ind w:left="25" w:leftChars="12" w:firstLine="308" w:firstLineChars="147"/>
        <w:rPr>
          <w:rFonts w:hint="eastAsia" w:ascii="宋体" w:hAnsi="宋体" w:eastAsia="宋体" w:cs="宋体"/>
          <w:color w:val="auto"/>
          <w:kern w:val="0"/>
          <w:szCs w:val="21"/>
          <w:highlight w:val="none"/>
        </w:rPr>
      </w:pPr>
    </w:p>
    <w:p w14:paraId="031C1A0C">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签字（签章）：                                       公章：</w:t>
      </w:r>
    </w:p>
    <w:p w14:paraId="440DCD50">
      <w:pPr>
        <w:spacing w:line="360" w:lineRule="auto"/>
        <w:ind w:left="25" w:leftChars="12" w:firstLine="308" w:firstLineChars="147"/>
        <w:rPr>
          <w:rFonts w:hint="eastAsia" w:ascii="宋体" w:hAnsi="宋体" w:eastAsia="宋体" w:cs="宋体"/>
          <w:color w:val="auto"/>
          <w:kern w:val="0"/>
          <w:szCs w:val="21"/>
          <w:highlight w:val="none"/>
        </w:rPr>
      </w:pPr>
    </w:p>
    <w:p w14:paraId="0B84BC25">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日期：</w:t>
      </w:r>
    </w:p>
    <w:p w14:paraId="7888365B">
      <w:pPr>
        <w:spacing w:line="360" w:lineRule="auto"/>
        <w:ind w:left="25" w:leftChars="12" w:firstLine="413" w:firstLineChars="197"/>
        <w:rPr>
          <w:rFonts w:hint="eastAsia" w:ascii="宋体" w:hAnsi="宋体" w:eastAsia="宋体" w:cs="宋体"/>
          <w:color w:val="auto"/>
          <w:kern w:val="0"/>
          <w:szCs w:val="21"/>
          <w:highlight w:val="none"/>
        </w:rPr>
      </w:pPr>
      <w:r>
        <w:rPr>
          <w:rFonts w:hint="eastAsia" w:ascii="宋体" w:hAnsi="宋体" w:eastAsia="宋体" w:cs="宋体"/>
          <w:bCs/>
          <w:color w:val="auto"/>
          <w:kern w:val="0"/>
          <w:szCs w:val="21"/>
          <w:highlight w:val="none"/>
        </w:rPr>
        <w:t xml:space="preserve">                                                                                 </w:t>
      </w:r>
    </w:p>
    <w:p w14:paraId="2F895523">
      <w:pPr>
        <w:snapToGrid w:val="0"/>
        <w:spacing w:line="360" w:lineRule="auto"/>
        <w:rPr>
          <w:rFonts w:hint="eastAsia" w:ascii="宋体" w:hAnsi="宋体" w:eastAsia="宋体" w:cs="宋体"/>
          <w:b/>
          <w:color w:val="auto"/>
          <w:kern w:val="0"/>
          <w:szCs w:val="21"/>
          <w:highlight w:val="none"/>
        </w:rPr>
      </w:pPr>
    </w:p>
    <w:p w14:paraId="227BF7E8">
      <w:pPr>
        <w:snapToGrid w:val="0"/>
        <w:spacing w:line="360" w:lineRule="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说明：</w:t>
      </w:r>
    </w:p>
    <w:p w14:paraId="0F2A3120">
      <w:pPr>
        <w:spacing w:line="360" w:lineRule="auto"/>
        <w:ind w:left="25" w:leftChars="12" w:firstLine="310" w:firstLineChars="147"/>
        <w:rPr>
          <w:rFonts w:hint="eastAsia" w:ascii="宋体" w:hAnsi="宋体" w:eastAsia="宋体" w:cs="宋体"/>
          <w:b/>
          <w:bCs/>
          <w:color w:val="auto"/>
          <w:kern w:val="0"/>
          <w:szCs w:val="21"/>
          <w:highlight w:val="none"/>
        </w:rPr>
      </w:pPr>
      <w:r>
        <w:rPr>
          <w:rFonts w:hint="eastAsia" w:ascii="宋体" w:hAnsi="宋体" w:eastAsia="宋体" w:cs="宋体"/>
          <w:b/>
          <w:color w:val="auto"/>
          <w:kern w:val="0"/>
          <w:szCs w:val="21"/>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kern w:val="0"/>
          <w:szCs w:val="21"/>
          <w:highlight w:val="none"/>
        </w:rPr>
        <w:t>。</w:t>
      </w:r>
    </w:p>
    <w:p w14:paraId="7E30AE7E">
      <w:pPr>
        <w:spacing w:line="360" w:lineRule="auto"/>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BE15A67">
      <w:pPr>
        <w:spacing w:line="360" w:lineRule="auto"/>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3.投诉书应简要列明质疑事项，质疑函、质疑答复等作为附件材料提供。</w:t>
      </w:r>
    </w:p>
    <w:p w14:paraId="39E1A538">
      <w:pPr>
        <w:spacing w:line="360" w:lineRule="auto"/>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4.投诉书的投诉事项应具体、明确，并有必要的事实依据和法律依据。</w:t>
      </w:r>
    </w:p>
    <w:p w14:paraId="64EB9023">
      <w:pPr>
        <w:spacing w:line="360" w:lineRule="auto"/>
        <w:ind w:left="25" w:leftChars="12" w:firstLine="310" w:firstLineChars="147"/>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5.投诉书的投诉请求应与投诉事项相关。</w:t>
      </w:r>
    </w:p>
    <w:p w14:paraId="7CD3F8F4">
      <w:pPr>
        <w:spacing w:line="360" w:lineRule="auto"/>
        <w:ind w:left="25" w:leftChars="12" w:firstLine="310" w:firstLineChars="147"/>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rPr>
        <w:t>6.投诉人为法人或者其他组织的，投诉书应由法定代表人、主要负责人，或者其授权代表签字或者盖章，并加盖公章。</w:t>
      </w:r>
    </w:p>
    <w:p w14:paraId="2263835C">
      <w:pPr>
        <w:rPr>
          <w:rFonts w:hint="eastAsia" w:ascii="宋体" w:hAnsi="宋体" w:eastAsia="宋体" w:cs="宋体"/>
          <w:color w:val="auto"/>
          <w:highlight w:val="none"/>
        </w:rPr>
      </w:pPr>
    </w:p>
    <w:p w14:paraId="2EBB00CB">
      <w:pPr>
        <w:spacing w:line="360" w:lineRule="auto"/>
        <w:jc w:val="center"/>
        <w:rPr>
          <w:rFonts w:hint="eastAsia" w:ascii="宋体" w:hAnsi="宋体" w:eastAsia="宋体" w:cs="宋体"/>
          <w:b/>
          <w:color w:val="auto"/>
          <w:highlight w:val="none"/>
        </w:rPr>
      </w:pPr>
    </w:p>
    <w:p w14:paraId="68546925">
      <w:pPr>
        <w:rPr>
          <w:rFonts w:hint="eastAsia" w:ascii="宋体" w:hAnsi="宋体" w:eastAsia="宋体" w:cs="宋体"/>
          <w:color w:val="auto"/>
          <w:highlight w:val="none"/>
        </w:rPr>
      </w:pPr>
    </w:p>
    <w:p w14:paraId="3D8F6D61">
      <w:pPr>
        <w:rPr>
          <w:rFonts w:hint="eastAsia" w:ascii="宋体" w:hAnsi="宋体" w:eastAsia="宋体" w:cs="宋体"/>
          <w:color w:val="auto"/>
          <w:highlight w:val="none"/>
        </w:rPr>
      </w:pPr>
    </w:p>
    <w:p w14:paraId="587164CE">
      <w:pPr>
        <w:rPr>
          <w:rFonts w:hint="eastAsia" w:ascii="宋体" w:hAnsi="宋体" w:eastAsia="宋体" w:cs="宋体"/>
          <w:color w:val="auto"/>
          <w:highlight w:val="none"/>
        </w:rPr>
      </w:pPr>
    </w:p>
    <w:p w14:paraId="5A565734">
      <w:pPr>
        <w:rPr>
          <w:rFonts w:hint="eastAsia" w:ascii="宋体" w:hAnsi="宋体" w:eastAsia="宋体" w:cs="宋体"/>
          <w:color w:val="auto"/>
          <w:highlight w:val="none"/>
        </w:rPr>
      </w:pPr>
    </w:p>
    <w:sectPr>
      <w:footerReference r:id="rId15" w:type="first"/>
      <w:headerReference r:id="rId13" w:type="default"/>
      <w:footerReference r:id="rId14" w:type="default"/>
      <w:pgSz w:w="11910" w:h="16840"/>
      <w:pgMar w:top="1340" w:right="1500" w:bottom="280" w:left="1680" w:header="720" w:footer="7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35B54">
    <w:pPr>
      <w:pStyle w:val="21"/>
      <w:jc w:val="center"/>
      <w:rPr>
        <w:rFonts w:hint="eastAsia" w:ascii="Calibri" w:hAnsi="Calibri"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7EAEE">
    <w:pPr>
      <w:pStyle w:val="21"/>
      <w:framePr w:wrap="around" w:vAnchor="text" w:hAnchor="margin" w:xAlign="center" w:y="1"/>
      <w:rPr>
        <w:rStyle w:val="33"/>
        <w:rFonts w:ascii="Calibri" w:hAnsi="Calibri" w:eastAsia="宋体" w:cs="Times New Roman"/>
        <w:sz w:val="21"/>
      </w:rPr>
    </w:pPr>
    <w:r>
      <w:rPr>
        <w:rFonts w:ascii="Calibri" w:hAnsi="Calibri" w:eastAsia="宋体" w:cs="Times New Roman"/>
        <w:sz w:val="21"/>
      </w:rPr>
      <w:fldChar w:fldCharType="begin"/>
    </w:r>
    <w:r>
      <w:rPr>
        <w:rStyle w:val="33"/>
        <w:rFonts w:ascii="Calibri" w:hAnsi="Calibri" w:eastAsia="宋体" w:cs="Times New Roman"/>
        <w:kern w:val="2"/>
        <w:sz w:val="21"/>
        <w:szCs w:val="24"/>
      </w:rPr>
      <w:instrText xml:space="preserve">PAGE  </w:instrText>
    </w:r>
    <w:r>
      <w:rPr>
        <w:rFonts w:ascii="Calibri" w:hAnsi="Calibri" w:eastAsia="宋体" w:cs="Times New Roman"/>
        <w:sz w:val="21"/>
      </w:rPr>
      <w:fldChar w:fldCharType="separate"/>
    </w:r>
    <w:r>
      <w:rPr>
        <w:rStyle w:val="33"/>
        <w:rFonts w:ascii="Calibri" w:hAnsi="Calibri" w:eastAsia="宋体" w:cs="Times New Roman"/>
        <w:kern w:val="2"/>
        <w:sz w:val="21"/>
        <w:szCs w:val="24"/>
      </w:rPr>
      <w:t>0</w:t>
    </w:r>
    <w:r>
      <w:rPr>
        <w:rFonts w:ascii="Calibri" w:hAnsi="Calibri" w:eastAsia="宋体" w:cs="Times New Roman"/>
        <w:sz w:val="21"/>
      </w:rPr>
      <w:fldChar w:fldCharType="end"/>
    </w:r>
  </w:p>
  <w:p w14:paraId="197E385A">
    <w:pPr>
      <w:pStyle w:val="21"/>
      <w:rPr>
        <w:rFonts w:ascii="Calibri" w:hAnsi="Calibri" w:eastAsia="宋体" w:cs="Times New Roman"/>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346B6">
    <w:pPr>
      <w:pStyle w:val="21"/>
      <w:tabs>
        <w:tab w:val="center" w:pos="4439"/>
        <w:tab w:val="clear" w:pos="4153"/>
      </w:tabs>
      <w:jc w:val="both"/>
      <w:rPr>
        <w:rFonts w:ascii="Calibri" w:hAnsi="Calibri" w:eastAsia="宋体" w:cs="Times New Roman"/>
      </w:rPr>
    </w:pPr>
    <w:r>
      <w:rPr>
        <w:rFonts w:ascii="Times New Roman" w:hAnsi="Times New Roman" w:eastAsia="宋体" w:cs="Times New Roma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CA0B33">
                          <w:pPr>
                            <w:pStyle w:val="21"/>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1</w:t>
                          </w:r>
                          <w:r>
                            <w:rPr>
                              <w:rFonts w:hint="eastAsia"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CakDMsBAACcAwAADgAAAGRycy9lMm9Eb2MueG1srVPNjtMwEL4j8Q6W&#10;79RpxaI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7lZ&#10;rl5m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AmpAzLAQAAnAMAAA4AAAAAAAAAAQAgAAAAHgEAAGRycy9lMm9E&#10;b2MueG1sUEsFBgAAAAAGAAYAWQEAAFsFAAAAAA==&#10;">
              <v:fill on="f" focussize="0,0"/>
              <v:stroke on="f"/>
              <v:imagedata o:title=""/>
              <o:lock v:ext="edit" aspectratio="f"/>
              <v:textbox inset="0mm,0mm,0mm,0mm" style="mso-fit-shape-to-text:t;">
                <w:txbxContent>
                  <w:p w14:paraId="34CA0B33">
                    <w:pPr>
                      <w:pStyle w:val="21"/>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1</w:t>
                    </w:r>
                    <w:r>
                      <w:rPr>
                        <w:rFonts w:hint="eastAsia" w:ascii="Times New Roman" w:hAnsi="Times New Roman" w:eastAsia="宋体" w:cs="Times New Roma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44FCD">
    <w:pPr>
      <w:pStyle w:val="21"/>
      <w:tabs>
        <w:tab w:val="center" w:pos="4439"/>
        <w:tab w:val="clear" w:pos="4153"/>
      </w:tabs>
      <w:rPr>
        <w:rFonts w:ascii="Calibri" w:hAnsi="Calibri" w:eastAsia="宋体" w:cs="Times New Roman"/>
      </w:rPr>
    </w:pPr>
    <w:r>
      <w:rPr>
        <w:rFonts w:ascii="Calibri" w:hAnsi="Calibri" w:eastAsia="宋体" w:cs="Times New Roma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121967">
                          <w:pPr>
                            <w:rPr>
                              <w:rFonts w:ascii="Calibri" w:hAnsi="Calibri" w:eastAsia="宋体" w:cs="Times New Roman"/>
                            </w:rPr>
                          </w:pPr>
                        </w:p>
                      </w:txbxContent>
                    </wps:txbx>
                    <wps:bodyPr wrap="none" lIns="0" tIns="0" rIns="0" bIns="0" upright="0">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y11OHLAQAAnAMAAA4AAAAAAAAAAQAgAAAAHgEAAGRycy9lMm9E&#10;b2MueG1sUEsFBgAAAAAGAAYAWQEAAFsFAAAAAA==&#10;">
              <v:fill on="f" focussize="0,0"/>
              <v:stroke on="f"/>
              <v:imagedata o:title=""/>
              <o:lock v:ext="edit" aspectratio="f"/>
              <v:textbox inset="0mm,0mm,0mm,0mm" style="mso-fit-shape-to-text:t;">
                <w:txbxContent>
                  <w:p w14:paraId="27121967">
                    <w:pPr>
                      <w:rPr>
                        <w:rFonts w:ascii="Calibri" w:hAnsi="Calibri" w:eastAsia="宋体" w:cs="Times New Roma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F9484">
    <w:pPr>
      <w:pStyle w:val="21"/>
      <w:jc w:val="center"/>
      <w:rPr>
        <w:rFonts w:ascii="Calibri" w:hAnsi="Calibri" w:eastAsia="宋体" w:cs="Times New Roman"/>
      </w:rPr>
    </w:pPr>
    <w:r>
      <w:rPr>
        <w:rFonts w:ascii="Times New Roman" w:hAnsi="Times New Roman" w:eastAsia="宋体" w:cs="Times New Roma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4BFFEC">
                          <w:pPr>
                            <w:pStyle w:val="21"/>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2</w:t>
                          </w:r>
                          <w:r>
                            <w:rPr>
                              <w:rFonts w:hint="eastAsia"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文本框 51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5zKxfLAQAAnAMAAA4AAAAAAAAAAQAgAAAAHgEAAGRycy9lMm9E&#10;b2MueG1sUEsFBgAAAAAGAAYAWQEAAFsFAAAAAA==&#10;">
              <v:fill on="f" focussize="0,0"/>
              <v:stroke on="f"/>
              <v:imagedata o:title=""/>
              <o:lock v:ext="edit" aspectratio="f"/>
              <v:textbox inset="0mm,0mm,0mm,0mm" style="mso-fit-shape-to-text:t;">
                <w:txbxContent>
                  <w:p w14:paraId="724BFFEC">
                    <w:pPr>
                      <w:pStyle w:val="21"/>
                      <w:rPr>
                        <w:rFonts w:hint="eastAsia"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PAGE  \* MERGEFORMAT </w:instrText>
                    </w:r>
                    <w:r>
                      <w:rPr>
                        <w:rFonts w:hint="eastAsia" w:ascii="Times New Roman" w:hAnsi="Times New Roman" w:eastAsia="宋体" w:cs="Times New Roman"/>
                      </w:rPr>
                      <w:fldChar w:fldCharType="separate"/>
                    </w:r>
                    <w:r>
                      <w:rPr>
                        <w:rFonts w:ascii="Times New Roman" w:hAnsi="Times New Roman" w:eastAsia="宋体" w:cs="Times New Roman"/>
                      </w:rPr>
                      <w:t>2</w:t>
                    </w:r>
                    <w:r>
                      <w:rPr>
                        <w:rFonts w:hint="eastAsia" w:ascii="Times New Roman" w:hAnsi="Times New Roman" w:eastAsia="宋体" w:cs="Times New Roman"/>
                      </w:rPr>
                      <w:fldChar w:fldCharType="end"/>
                    </w:r>
                  </w:p>
                </w:txbxContent>
              </v:textbox>
            </v:shape>
          </w:pict>
        </mc:Fallback>
      </mc:AlternateContent>
    </w:r>
  </w:p>
  <w:p w14:paraId="7A1B2B3B">
    <w:pPr>
      <w:pStyle w:val="21"/>
      <w:rPr>
        <w:rFonts w:ascii="Calibri" w:hAnsi="Calibri" w:eastAsia="宋体"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BC622">
    <w:pPr>
      <w:pStyle w:val="21"/>
      <w:rPr>
        <w:rFonts w:ascii="Calibri" w:hAnsi="Calibri" w:eastAsia="宋体" w:cs="Times New Roman"/>
      </w:rPr>
    </w:pPr>
    <w:r>
      <w:rPr>
        <w:rFonts w:ascii="Calibri" w:hAnsi="Calibri" w:eastAsia="宋体" w:cs="Times New Roma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764138">
                          <w:pPr>
                            <w:pStyle w:val="21"/>
                            <w:rPr>
                              <w:rFonts w:hint="eastAsia" w:ascii="Calibri" w:hAnsi="Calibri" w:eastAsia="宋体" w:cs="Times New Roman"/>
                            </w:rPr>
                          </w:pPr>
                          <w:r>
                            <w:rPr>
                              <w:rFonts w:hint="eastAsia" w:ascii="Calibri" w:hAnsi="Calibri" w:eastAsia="宋体" w:cs="Times New Roman"/>
                            </w:rPr>
                            <w:fldChar w:fldCharType="begin"/>
                          </w:r>
                          <w:r>
                            <w:rPr>
                              <w:rFonts w:hint="eastAsia" w:ascii="Calibri" w:hAnsi="Calibri" w:eastAsia="宋体" w:cs="Times New Roman"/>
                            </w:rPr>
                            <w:instrText xml:space="preserve"> PAGE  \* MERGEFORMAT </w:instrText>
                          </w:r>
                          <w:r>
                            <w:rPr>
                              <w:rFonts w:hint="eastAsia" w:ascii="Calibri" w:hAnsi="Calibri" w:eastAsia="宋体" w:cs="Times New Roman"/>
                            </w:rPr>
                            <w:fldChar w:fldCharType="separate"/>
                          </w:r>
                          <w:r>
                            <w:rPr>
                              <w:rFonts w:ascii="Calibri" w:hAnsi="Calibri" w:eastAsia="宋体" w:cs="Times New Roman"/>
                            </w:rPr>
                            <w:t>63</w:t>
                          </w:r>
                          <w:r>
                            <w:rPr>
                              <w:rFonts w:hint="eastAsia" w:ascii="Calibri" w:hAnsi="Calibri" w:eastAsia="宋体" w:cs="Times New Roman"/>
                            </w:rPr>
                            <w:fldChar w:fldCharType="end"/>
                          </w:r>
                        </w:p>
                      </w:txbxContent>
                    </wps:txbx>
                    <wps:bodyPr wrap="none" lIns="0" tIns="0" rIns="0" bIns="0" upright="0">
                      <a:spAutoFit/>
                    </wps:bodyPr>
                  </wps:wsp>
                </a:graphicData>
              </a:graphic>
            </wp:anchor>
          </w:drawing>
        </mc:Choice>
        <mc:Fallback>
          <w:pict>
            <v:shape id="文本框 512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d2kTcsBAACcAwAADgAAAGRycy9lMm9Eb2MueG1srVPNjtMwEL4j8Q6W&#10;79Rp0aI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fUmJ4xYHfvn+7fLj1+XnV3Kz&#10;XN1khfoANSbeB0xNwxs/4N7MfkBnJj6oaPMXKRGMo77nq75ySETkR+vVel1hSGBsviA+e3geIqS3&#10;0luSjYZGHGDRlZ/eQxpT55Rczfk7bUwZonF/ORAze1jufewxW2nYDxOhvW/PyKfH2TfU4apTYt45&#10;lDavyWzE2djPxjFEfejKHuV6EF4fEzZRessVRtipMA6tsJsWLG/Fn/eS9fB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ndpE3LAQAAnAMAAA4AAAAAAAAAAQAgAAAAHgEAAGRycy9lMm9E&#10;b2MueG1sUEsFBgAAAAAGAAYAWQEAAFsFAAAAAA==&#10;">
              <v:fill on="f" focussize="0,0"/>
              <v:stroke on="f"/>
              <v:imagedata o:title=""/>
              <o:lock v:ext="edit" aspectratio="f"/>
              <v:textbox inset="0mm,0mm,0mm,0mm" style="mso-fit-shape-to-text:t;">
                <w:txbxContent>
                  <w:p w14:paraId="0E764138">
                    <w:pPr>
                      <w:pStyle w:val="21"/>
                      <w:rPr>
                        <w:rFonts w:hint="eastAsia" w:ascii="Calibri" w:hAnsi="Calibri" w:eastAsia="宋体" w:cs="Times New Roman"/>
                      </w:rPr>
                    </w:pPr>
                    <w:r>
                      <w:rPr>
                        <w:rFonts w:hint="eastAsia" w:ascii="Calibri" w:hAnsi="Calibri" w:eastAsia="宋体" w:cs="Times New Roman"/>
                      </w:rPr>
                      <w:fldChar w:fldCharType="begin"/>
                    </w:r>
                    <w:r>
                      <w:rPr>
                        <w:rFonts w:hint="eastAsia" w:ascii="Calibri" w:hAnsi="Calibri" w:eastAsia="宋体" w:cs="Times New Roman"/>
                      </w:rPr>
                      <w:instrText xml:space="preserve"> PAGE  \* MERGEFORMAT </w:instrText>
                    </w:r>
                    <w:r>
                      <w:rPr>
                        <w:rFonts w:hint="eastAsia" w:ascii="Calibri" w:hAnsi="Calibri" w:eastAsia="宋体" w:cs="Times New Roman"/>
                      </w:rPr>
                      <w:fldChar w:fldCharType="separate"/>
                    </w:r>
                    <w:r>
                      <w:rPr>
                        <w:rFonts w:ascii="Calibri" w:hAnsi="Calibri" w:eastAsia="宋体" w:cs="Times New Roman"/>
                      </w:rPr>
                      <w:t>63</w:t>
                    </w:r>
                    <w:r>
                      <w:rPr>
                        <w:rFonts w:hint="eastAsia" w:ascii="Calibri" w:hAnsi="Calibri" w:eastAsia="宋体" w:cs="Times New Roma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96163">
    <w:pPr>
      <w:pStyle w:val="21"/>
      <w:jc w:val="right"/>
      <w:rPr>
        <w:rFonts w:ascii="Times New Roman" w:hAnsi="Times New Roman" w:eastAsia="宋体" w:cs="Times New Roman"/>
      </w:rPr>
    </w:pPr>
    <w:r>
      <w:rPr>
        <w:rFonts w:ascii="Times New Roman" w:hAnsi="Times New Roman" w:eastAsia="宋体" w:cs="Times New Roma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1B48BD">
                          <w:pPr>
                            <w:pStyle w:val="21"/>
                            <w:jc w:val="right"/>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PAGE   \* MERGEFORMAT</w:instrText>
                          </w:r>
                          <w:r>
                            <w:rPr>
                              <w:rFonts w:ascii="Times New Roman" w:hAnsi="Times New Roman" w:eastAsia="宋体" w:cs="Times New Roman"/>
                            </w:rPr>
                            <w:fldChar w:fldCharType="separate"/>
                          </w:r>
                          <w:r>
                            <w:rPr>
                              <w:rFonts w:ascii="Times New Roman" w:hAnsi="Times New Roman" w:eastAsia="宋体" w:cs="Times New Roman"/>
                            </w:rPr>
                            <w:t>149</w:t>
                          </w:r>
                          <w:r>
                            <w:rPr>
                              <w:rFonts w:ascii="Times New Roman" w:hAnsi="Times New Roman" w:eastAsia="宋体" w:cs="Times New Roman"/>
                            </w:rPr>
                            <w:fldChar w:fldCharType="end"/>
                          </w:r>
                        </w:p>
                      </w:txbxContent>
                    </wps:txbx>
                    <wps:bodyPr wrap="none" lIns="0" tIns="0" rIns="0" bIns="0" upright="0">
                      <a:spAutoFit/>
                    </wps:bodyPr>
                  </wps:wsp>
                </a:graphicData>
              </a:graphic>
            </wp:anchor>
          </w:drawing>
        </mc:Choice>
        <mc:Fallback>
          <w:pict>
            <v:shape id="文本框 512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IwSDLAQAAnAMAAA4AAAAAAAAAAQAgAAAAHgEAAGRycy9lMm9E&#10;b2MueG1sUEsFBgAAAAAGAAYAWQEAAFsFAAAAAA==&#10;">
              <v:fill on="f" focussize="0,0"/>
              <v:stroke on="f"/>
              <v:imagedata o:title=""/>
              <o:lock v:ext="edit" aspectratio="f"/>
              <v:textbox inset="0mm,0mm,0mm,0mm" style="mso-fit-shape-to-text:t;">
                <w:txbxContent>
                  <w:p w14:paraId="051B48BD">
                    <w:pPr>
                      <w:pStyle w:val="21"/>
                      <w:jc w:val="right"/>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PAGE   \* MERGEFORMAT</w:instrText>
                    </w:r>
                    <w:r>
                      <w:rPr>
                        <w:rFonts w:ascii="Times New Roman" w:hAnsi="Times New Roman" w:eastAsia="宋体" w:cs="Times New Roman"/>
                      </w:rPr>
                      <w:fldChar w:fldCharType="separate"/>
                    </w:r>
                    <w:r>
                      <w:rPr>
                        <w:rFonts w:ascii="Times New Roman" w:hAnsi="Times New Roman" w:eastAsia="宋体" w:cs="Times New Roman"/>
                      </w:rPr>
                      <w:t>149</w:t>
                    </w:r>
                    <w:r>
                      <w:rPr>
                        <w:rFonts w:ascii="Times New Roman" w:hAnsi="Times New Roman" w:eastAsia="宋体" w:cs="Times New Roman"/>
                      </w:rPr>
                      <w:fldChar w:fldCharType="end"/>
                    </w:r>
                  </w:p>
                </w:txbxContent>
              </v:textbox>
            </v:shape>
          </w:pict>
        </mc:Fallback>
      </mc:AlternateContent>
    </w:r>
  </w:p>
  <w:p w14:paraId="1159F290">
    <w:pPr>
      <w:pStyle w:val="13"/>
      <w:spacing w:line="14" w:lineRule="auto"/>
      <w:rPr>
        <w:rFonts w:ascii="Times New Roman" w:hAnsi="Times New Roman" w:eastAsia="宋体" w:cs="Times New Roman"/>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30071">
    <w:pPr>
      <w:pStyle w:val="2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35D14C">
                          <w:pPr>
                            <w:pStyle w:val="21"/>
                            <w:jc w:val="center"/>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4IoM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3m9&#10;XC2zQn2AGhMfAqam4c4POXvyAzoz8UFFm79IiWAc9T1f9ZVDIiI/Wq/W6wpDAmPzBXHY4/MQIb2V&#10;3pJsNDTiAIuu/PQe0pg6p+Rqzt9rY9DPa+P+ciBm9rDc+9hjttKwH6bG9749I58eZ99Qh6tOiXnn&#10;UNq8JrMRZ2M/G8cQ9aEre5TrQbg9Jmyi9JYrjLBTYRxaY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peCKDLAQAAnAMAAA4AAAAAAAAAAQAgAAAAHgEAAGRycy9lMm9E&#10;b2MueG1sUEsFBgAAAAAGAAYAWQEAAFsFAAAAAA==&#10;">
              <v:fill on="f" focussize="0,0"/>
              <v:stroke on="f"/>
              <v:imagedata o:title=""/>
              <o:lock v:ext="edit" aspectratio="f"/>
              <v:textbox inset="0mm,0mm,0mm,0mm" style="mso-fit-shape-to-text:t;">
                <w:txbxContent>
                  <w:p w14:paraId="7235D14C">
                    <w:pPr>
                      <w:pStyle w:val="21"/>
                      <w:jc w:val="center"/>
                    </w:pPr>
                    <w:r>
                      <w:fldChar w:fldCharType="begin"/>
                    </w:r>
                    <w:r>
                      <w:instrText xml:space="preserve"> PAGE  \* MERGEFORMAT </w:instrText>
                    </w:r>
                    <w:r>
                      <w:fldChar w:fldCharType="separate"/>
                    </w:r>
                    <w:r>
                      <w:t>90</w:t>
                    </w:r>
                    <w:r>
                      <w:fldChar w:fldCharType="end"/>
                    </w:r>
                  </w:p>
                </w:txbxContent>
              </v:textbox>
            </v:shape>
          </w:pict>
        </mc:Fallback>
      </mc:AlternateContent>
    </w:r>
  </w:p>
  <w:p w14:paraId="7E794BBD">
    <w:pPr>
      <w:pStyle w:val="2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64291">
    <w:pPr>
      <w:pStyle w:val="2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050BA2">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U7UoM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VZ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VO1KDLAQAAnAMAAA4AAAAAAAAAAQAgAAAAHgEAAGRycy9lMm9E&#10;b2MueG1sUEsFBgAAAAAGAAYAWQEAAFsFAAAAAA==&#10;">
              <v:fill on="f" focussize="0,0"/>
              <v:stroke on="f"/>
              <v:imagedata o:title=""/>
              <o:lock v:ext="edit" aspectratio="f"/>
              <v:textbox inset="0mm,0mm,0mm,0mm" style="mso-fit-shape-to-text:t;">
                <w:txbxContent>
                  <w:p w14:paraId="0C050BA2">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4B1D7">
    <w:pPr>
      <w:pStyle w:val="22"/>
      <w:tabs>
        <w:tab w:val="center" w:pos="0"/>
        <w:tab w:val="clear" w:pos="4153"/>
      </w:tabs>
      <w:rPr>
        <w:rFonts w:ascii="Calibri" w:hAnsi="Calibri"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B4D6B">
    <w:pPr>
      <w:rPr>
        <w:rFonts w:hint="eastAsia" w:ascii="Times New Roman" w:hAnsi="Times New Roman" w:eastAsia="宋体"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6D4F2">
    <w:pPr>
      <w:pStyle w:val="22"/>
      <w:tabs>
        <w:tab w:val="center" w:pos="0"/>
        <w:tab w:val="clear" w:pos="4153"/>
      </w:tabs>
      <w:rPr>
        <w:rFonts w:ascii="Calibri" w:hAnsi="Calibri" w:eastAsia="宋体" w:cs="Times New Roman"/>
      </w:rPr>
    </w:pPr>
    <w:r>
      <w:rPr>
        <w:rFonts w:hint="eastAsia" w:ascii="Calibri" w:hAnsi="Calibri" w:eastAsia="宋体" w:cs="Times New Roman"/>
      </w:rPr>
      <w:t>南宁市政府采购竞争性磋商采购文件（项目编号：NNZC2021-C3--KLZB）</w:t>
    </w:r>
  </w:p>
  <w:p w14:paraId="70EC8357">
    <w:pPr>
      <w:pStyle w:val="22"/>
      <w:pBdr>
        <w:bottom w:val="none" w:color="auto" w:sz="0" w:space="1"/>
      </w:pBdr>
      <w:rPr>
        <w:rFonts w:ascii="Calibri" w:hAnsi="Calibri" w:eastAsia="宋体"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E171A">
    <w:pPr>
      <w:pStyle w:val="22"/>
      <w:pBdr>
        <w:bottom w:val="double" w:color="auto" w:sz="8" w:space="1"/>
      </w:pBdr>
      <w:rPr>
        <w:rFonts w:hint="eastAsia" w:ascii="宋体" w:hAnsi="宋体" w:eastAsia="宋体" w:cs="宋体"/>
        <w:sz w:val="21"/>
        <w:szCs w:val="21"/>
        <w:lang w:val="en-US" w:eastAsia="zh-CN"/>
      </w:rPr>
    </w:pPr>
    <w:r>
      <w:rPr>
        <w:rFonts w:hint="eastAsia" w:ascii="宋体" w:hAnsi="宋体" w:cs="宋体"/>
        <w:sz w:val="21"/>
        <w:szCs w:val="21"/>
        <w:lang w:eastAsia="zh-CN"/>
      </w:rPr>
      <w:t>南宁市衡阳西路第二幼儿园教学楼(阳光楼)维修工程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2AF652"/>
    <w:multiLevelType w:val="singleLevel"/>
    <w:tmpl w:val="372AF652"/>
    <w:lvl w:ilvl="0" w:tentative="0">
      <w:start w:val="6"/>
      <w:numFmt w:val="chineseCounting"/>
      <w:suff w:val="space"/>
      <w:lvlText w:val="第%1章"/>
      <w:lvlJc w:val="left"/>
      <w:rPr>
        <w:rFonts w:hint="eastAsia"/>
      </w:rPr>
    </w:lvl>
  </w:abstractNum>
  <w:abstractNum w:abstractNumId="1">
    <w:nsid w:val="508D7A92"/>
    <w:multiLevelType w:val="singleLevel"/>
    <w:tmpl w:val="508D7A92"/>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4,5,6,7"/>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yODFmOGU0Y2RhNTc1YzUzN2NjMTM5MGQ1YTJkOWMifQ=="/>
  </w:docVars>
  <w:rsids>
    <w:rsidRoot w:val="00F34B14"/>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5461"/>
    <w:rsid w:val="00025636"/>
    <w:rsid w:val="00025E36"/>
    <w:rsid w:val="00026855"/>
    <w:rsid w:val="00026886"/>
    <w:rsid w:val="0002785D"/>
    <w:rsid w:val="000329E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585"/>
    <w:rsid w:val="000B2BC6"/>
    <w:rsid w:val="000B2D03"/>
    <w:rsid w:val="000B3815"/>
    <w:rsid w:val="000B3C7B"/>
    <w:rsid w:val="000B3ED8"/>
    <w:rsid w:val="000B4321"/>
    <w:rsid w:val="000B6A6B"/>
    <w:rsid w:val="000B6C95"/>
    <w:rsid w:val="000B79FC"/>
    <w:rsid w:val="000B7BD1"/>
    <w:rsid w:val="000C02B1"/>
    <w:rsid w:val="000C1679"/>
    <w:rsid w:val="000C1EE3"/>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AE7"/>
    <w:rsid w:val="00117CBD"/>
    <w:rsid w:val="0012006A"/>
    <w:rsid w:val="00121979"/>
    <w:rsid w:val="00121C4E"/>
    <w:rsid w:val="00122064"/>
    <w:rsid w:val="00124341"/>
    <w:rsid w:val="00124492"/>
    <w:rsid w:val="00124B12"/>
    <w:rsid w:val="001250A0"/>
    <w:rsid w:val="001263B8"/>
    <w:rsid w:val="0012763E"/>
    <w:rsid w:val="00130217"/>
    <w:rsid w:val="00130783"/>
    <w:rsid w:val="00130A47"/>
    <w:rsid w:val="00130D7C"/>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C34"/>
    <w:rsid w:val="001A3EDE"/>
    <w:rsid w:val="001A4222"/>
    <w:rsid w:val="001A50EA"/>
    <w:rsid w:val="001A5BA2"/>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6512"/>
    <w:rsid w:val="001B65D7"/>
    <w:rsid w:val="001B6752"/>
    <w:rsid w:val="001B6768"/>
    <w:rsid w:val="001B6F1F"/>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B63"/>
    <w:rsid w:val="001E522E"/>
    <w:rsid w:val="001E5A94"/>
    <w:rsid w:val="001E5F6F"/>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B1"/>
    <w:rsid w:val="002575E3"/>
    <w:rsid w:val="00257A74"/>
    <w:rsid w:val="002603C1"/>
    <w:rsid w:val="002609A1"/>
    <w:rsid w:val="002612B1"/>
    <w:rsid w:val="00266165"/>
    <w:rsid w:val="002662FE"/>
    <w:rsid w:val="00266F2C"/>
    <w:rsid w:val="0027125E"/>
    <w:rsid w:val="00271767"/>
    <w:rsid w:val="00272293"/>
    <w:rsid w:val="002723C8"/>
    <w:rsid w:val="00273C2A"/>
    <w:rsid w:val="00273CBE"/>
    <w:rsid w:val="002746B1"/>
    <w:rsid w:val="00274BAD"/>
    <w:rsid w:val="00282D56"/>
    <w:rsid w:val="002835B0"/>
    <w:rsid w:val="00283C74"/>
    <w:rsid w:val="0028407E"/>
    <w:rsid w:val="0028410F"/>
    <w:rsid w:val="00284572"/>
    <w:rsid w:val="00285221"/>
    <w:rsid w:val="00286FB5"/>
    <w:rsid w:val="00287763"/>
    <w:rsid w:val="00287FCB"/>
    <w:rsid w:val="00290606"/>
    <w:rsid w:val="002909B2"/>
    <w:rsid w:val="00291D6D"/>
    <w:rsid w:val="00291FF1"/>
    <w:rsid w:val="00292AA2"/>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58D"/>
    <w:rsid w:val="002B0C16"/>
    <w:rsid w:val="002B2AC5"/>
    <w:rsid w:val="002B3528"/>
    <w:rsid w:val="002B3539"/>
    <w:rsid w:val="002B4532"/>
    <w:rsid w:val="002B5042"/>
    <w:rsid w:val="002B69CC"/>
    <w:rsid w:val="002B6D71"/>
    <w:rsid w:val="002C0C1C"/>
    <w:rsid w:val="002C54C2"/>
    <w:rsid w:val="002C5D34"/>
    <w:rsid w:val="002C5D7F"/>
    <w:rsid w:val="002C60BB"/>
    <w:rsid w:val="002C661A"/>
    <w:rsid w:val="002D0D6F"/>
    <w:rsid w:val="002D25FC"/>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2EFC"/>
    <w:rsid w:val="00303243"/>
    <w:rsid w:val="00303BCC"/>
    <w:rsid w:val="00303F2B"/>
    <w:rsid w:val="00303F8D"/>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50458"/>
    <w:rsid w:val="00350E6C"/>
    <w:rsid w:val="003518A6"/>
    <w:rsid w:val="00351E7F"/>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00"/>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728"/>
    <w:rsid w:val="003A60E7"/>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63D"/>
    <w:rsid w:val="00410D17"/>
    <w:rsid w:val="00413442"/>
    <w:rsid w:val="00413821"/>
    <w:rsid w:val="00413BA5"/>
    <w:rsid w:val="004141A3"/>
    <w:rsid w:val="00414909"/>
    <w:rsid w:val="0041582F"/>
    <w:rsid w:val="00416112"/>
    <w:rsid w:val="00416AC8"/>
    <w:rsid w:val="00417AE0"/>
    <w:rsid w:val="00417BAA"/>
    <w:rsid w:val="0042042B"/>
    <w:rsid w:val="00420B45"/>
    <w:rsid w:val="00420D7A"/>
    <w:rsid w:val="00421257"/>
    <w:rsid w:val="00422193"/>
    <w:rsid w:val="004223DE"/>
    <w:rsid w:val="00422A10"/>
    <w:rsid w:val="00424D17"/>
    <w:rsid w:val="00425DFD"/>
    <w:rsid w:val="004263A3"/>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B70"/>
    <w:rsid w:val="004360C8"/>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2429"/>
    <w:rsid w:val="004725E5"/>
    <w:rsid w:val="00472751"/>
    <w:rsid w:val="00473128"/>
    <w:rsid w:val="00473263"/>
    <w:rsid w:val="00475078"/>
    <w:rsid w:val="00475767"/>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2138"/>
    <w:rsid w:val="004C3940"/>
    <w:rsid w:val="004C51FD"/>
    <w:rsid w:val="004C65A8"/>
    <w:rsid w:val="004C6689"/>
    <w:rsid w:val="004D139A"/>
    <w:rsid w:val="004D14DC"/>
    <w:rsid w:val="004D17C6"/>
    <w:rsid w:val="004D2858"/>
    <w:rsid w:val="004D28C5"/>
    <w:rsid w:val="004D2E49"/>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7160"/>
    <w:rsid w:val="00500258"/>
    <w:rsid w:val="00500B2D"/>
    <w:rsid w:val="00501A99"/>
    <w:rsid w:val="00503180"/>
    <w:rsid w:val="005038A4"/>
    <w:rsid w:val="0050456D"/>
    <w:rsid w:val="00505450"/>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761"/>
    <w:rsid w:val="0053248F"/>
    <w:rsid w:val="0053332A"/>
    <w:rsid w:val="0053358A"/>
    <w:rsid w:val="00534668"/>
    <w:rsid w:val="00534DDD"/>
    <w:rsid w:val="00535291"/>
    <w:rsid w:val="00535A94"/>
    <w:rsid w:val="00537874"/>
    <w:rsid w:val="0053795F"/>
    <w:rsid w:val="00537D3D"/>
    <w:rsid w:val="00537DE2"/>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B5D"/>
    <w:rsid w:val="005706D5"/>
    <w:rsid w:val="00570757"/>
    <w:rsid w:val="00573733"/>
    <w:rsid w:val="00573F8B"/>
    <w:rsid w:val="00574554"/>
    <w:rsid w:val="00574E06"/>
    <w:rsid w:val="005751BB"/>
    <w:rsid w:val="00576089"/>
    <w:rsid w:val="005764B1"/>
    <w:rsid w:val="00576852"/>
    <w:rsid w:val="00576D06"/>
    <w:rsid w:val="00577287"/>
    <w:rsid w:val="005779E4"/>
    <w:rsid w:val="00577F9F"/>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30F5"/>
    <w:rsid w:val="005C49CA"/>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41B0"/>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70AF"/>
    <w:rsid w:val="0063420F"/>
    <w:rsid w:val="00634367"/>
    <w:rsid w:val="00640082"/>
    <w:rsid w:val="00640291"/>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16AD"/>
    <w:rsid w:val="00672CA5"/>
    <w:rsid w:val="00673711"/>
    <w:rsid w:val="00673F82"/>
    <w:rsid w:val="00674F74"/>
    <w:rsid w:val="0067508F"/>
    <w:rsid w:val="00677576"/>
    <w:rsid w:val="0068051E"/>
    <w:rsid w:val="00680B9D"/>
    <w:rsid w:val="00681F13"/>
    <w:rsid w:val="0068231C"/>
    <w:rsid w:val="00682344"/>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C43"/>
    <w:rsid w:val="006F61D8"/>
    <w:rsid w:val="006F62B7"/>
    <w:rsid w:val="006F70BC"/>
    <w:rsid w:val="006F734B"/>
    <w:rsid w:val="006F7E7C"/>
    <w:rsid w:val="0070174E"/>
    <w:rsid w:val="007018DB"/>
    <w:rsid w:val="00701DE6"/>
    <w:rsid w:val="00702740"/>
    <w:rsid w:val="0070381B"/>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F8"/>
    <w:rsid w:val="00725137"/>
    <w:rsid w:val="00725378"/>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DFF"/>
    <w:rsid w:val="00787F93"/>
    <w:rsid w:val="00791E6D"/>
    <w:rsid w:val="00791EB5"/>
    <w:rsid w:val="00791FF2"/>
    <w:rsid w:val="00793696"/>
    <w:rsid w:val="007955DA"/>
    <w:rsid w:val="00796F65"/>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13F7"/>
    <w:rsid w:val="007C218D"/>
    <w:rsid w:val="007C2D28"/>
    <w:rsid w:val="007C3E22"/>
    <w:rsid w:val="007C5B90"/>
    <w:rsid w:val="007C6218"/>
    <w:rsid w:val="007C6484"/>
    <w:rsid w:val="007C67C6"/>
    <w:rsid w:val="007C78BE"/>
    <w:rsid w:val="007C7E59"/>
    <w:rsid w:val="007D0476"/>
    <w:rsid w:val="007D0B91"/>
    <w:rsid w:val="007D1386"/>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55DE"/>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41F"/>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FC9"/>
    <w:rsid w:val="008A1956"/>
    <w:rsid w:val="008A1A7C"/>
    <w:rsid w:val="008A2CE2"/>
    <w:rsid w:val="008A40D3"/>
    <w:rsid w:val="008A469C"/>
    <w:rsid w:val="008A51D1"/>
    <w:rsid w:val="008A5DCE"/>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12D2"/>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77E27"/>
    <w:rsid w:val="0098048B"/>
    <w:rsid w:val="00980DF9"/>
    <w:rsid w:val="00981150"/>
    <w:rsid w:val="0098243D"/>
    <w:rsid w:val="00982D26"/>
    <w:rsid w:val="00983B6E"/>
    <w:rsid w:val="00983FE5"/>
    <w:rsid w:val="009849E9"/>
    <w:rsid w:val="009859E4"/>
    <w:rsid w:val="00987812"/>
    <w:rsid w:val="00990225"/>
    <w:rsid w:val="00992A13"/>
    <w:rsid w:val="00994AAD"/>
    <w:rsid w:val="00994DE1"/>
    <w:rsid w:val="00995150"/>
    <w:rsid w:val="00995D67"/>
    <w:rsid w:val="009A013B"/>
    <w:rsid w:val="009A01A8"/>
    <w:rsid w:val="009A02F4"/>
    <w:rsid w:val="009A06BF"/>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859"/>
    <w:rsid w:val="00B13EC9"/>
    <w:rsid w:val="00B14319"/>
    <w:rsid w:val="00B14A06"/>
    <w:rsid w:val="00B158E1"/>
    <w:rsid w:val="00B16715"/>
    <w:rsid w:val="00B1768E"/>
    <w:rsid w:val="00B17910"/>
    <w:rsid w:val="00B20F18"/>
    <w:rsid w:val="00B21516"/>
    <w:rsid w:val="00B21A37"/>
    <w:rsid w:val="00B21D23"/>
    <w:rsid w:val="00B21F62"/>
    <w:rsid w:val="00B22CE0"/>
    <w:rsid w:val="00B23738"/>
    <w:rsid w:val="00B23BEF"/>
    <w:rsid w:val="00B247BB"/>
    <w:rsid w:val="00B2504A"/>
    <w:rsid w:val="00B25EE6"/>
    <w:rsid w:val="00B3115A"/>
    <w:rsid w:val="00B31825"/>
    <w:rsid w:val="00B31A5C"/>
    <w:rsid w:val="00B33B06"/>
    <w:rsid w:val="00B33C19"/>
    <w:rsid w:val="00B35A15"/>
    <w:rsid w:val="00B35B45"/>
    <w:rsid w:val="00B36A99"/>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D7"/>
    <w:rsid w:val="00B662FF"/>
    <w:rsid w:val="00B66679"/>
    <w:rsid w:val="00B70145"/>
    <w:rsid w:val="00B71A92"/>
    <w:rsid w:val="00B721D8"/>
    <w:rsid w:val="00B730CA"/>
    <w:rsid w:val="00B747C5"/>
    <w:rsid w:val="00B747D1"/>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C2A"/>
    <w:rsid w:val="00B878BE"/>
    <w:rsid w:val="00B902A5"/>
    <w:rsid w:val="00B90420"/>
    <w:rsid w:val="00B90848"/>
    <w:rsid w:val="00B91146"/>
    <w:rsid w:val="00B913E4"/>
    <w:rsid w:val="00B91DB9"/>
    <w:rsid w:val="00B91FF3"/>
    <w:rsid w:val="00B93EFE"/>
    <w:rsid w:val="00B944B9"/>
    <w:rsid w:val="00B94956"/>
    <w:rsid w:val="00B94C7F"/>
    <w:rsid w:val="00B94E93"/>
    <w:rsid w:val="00B956B5"/>
    <w:rsid w:val="00B96DF2"/>
    <w:rsid w:val="00B96E18"/>
    <w:rsid w:val="00B96F5A"/>
    <w:rsid w:val="00BA0B39"/>
    <w:rsid w:val="00BA0CB2"/>
    <w:rsid w:val="00BA0E26"/>
    <w:rsid w:val="00BA138B"/>
    <w:rsid w:val="00BA305B"/>
    <w:rsid w:val="00BA31BF"/>
    <w:rsid w:val="00BA3FC7"/>
    <w:rsid w:val="00BA478B"/>
    <w:rsid w:val="00BA5224"/>
    <w:rsid w:val="00BA575E"/>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37"/>
    <w:rsid w:val="00C00D18"/>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A48"/>
    <w:rsid w:val="00C62AC4"/>
    <w:rsid w:val="00C62B59"/>
    <w:rsid w:val="00C62F96"/>
    <w:rsid w:val="00C631E1"/>
    <w:rsid w:val="00C638D8"/>
    <w:rsid w:val="00C63AE7"/>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105"/>
    <w:rsid w:val="00CE56BD"/>
    <w:rsid w:val="00CE5EC0"/>
    <w:rsid w:val="00CE6A0B"/>
    <w:rsid w:val="00CE6F9F"/>
    <w:rsid w:val="00CE781A"/>
    <w:rsid w:val="00CE7B08"/>
    <w:rsid w:val="00CE7D52"/>
    <w:rsid w:val="00CF1D74"/>
    <w:rsid w:val="00CF2BE2"/>
    <w:rsid w:val="00CF3DEB"/>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988"/>
    <w:rsid w:val="00D45B4C"/>
    <w:rsid w:val="00D45BA4"/>
    <w:rsid w:val="00D471AF"/>
    <w:rsid w:val="00D4724F"/>
    <w:rsid w:val="00D50519"/>
    <w:rsid w:val="00D512C8"/>
    <w:rsid w:val="00D51601"/>
    <w:rsid w:val="00D51ECB"/>
    <w:rsid w:val="00D5264C"/>
    <w:rsid w:val="00D52BBC"/>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A7722"/>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009D"/>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A1D"/>
    <w:rsid w:val="00DE15B2"/>
    <w:rsid w:val="00DE1A9A"/>
    <w:rsid w:val="00DE3D2C"/>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608"/>
    <w:rsid w:val="00DF6CCC"/>
    <w:rsid w:val="00DF6D0C"/>
    <w:rsid w:val="00DF6F64"/>
    <w:rsid w:val="00DF721E"/>
    <w:rsid w:val="00DF7B8A"/>
    <w:rsid w:val="00DF7C87"/>
    <w:rsid w:val="00E009B0"/>
    <w:rsid w:val="00E00A12"/>
    <w:rsid w:val="00E00C49"/>
    <w:rsid w:val="00E01C9C"/>
    <w:rsid w:val="00E0219D"/>
    <w:rsid w:val="00E04C0F"/>
    <w:rsid w:val="00E0570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931"/>
    <w:rsid w:val="00E359FF"/>
    <w:rsid w:val="00E36BD1"/>
    <w:rsid w:val="00E402C5"/>
    <w:rsid w:val="00E402F4"/>
    <w:rsid w:val="00E405F1"/>
    <w:rsid w:val="00E4178B"/>
    <w:rsid w:val="00E417DB"/>
    <w:rsid w:val="00E43054"/>
    <w:rsid w:val="00E43655"/>
    <w:rsid w:val="00E44440"/>
    <w:rsid w:val="00E46013"/>
    <w:rsid w:val="00E47099"/>
    <w:rsid w:val="00E47284"/>
    <w:rsid w:val="00E4730A"/>
    <w:rsid w:val="00E477C3"/>
    <w:rsid w:val="00E47BE3"/>
    <w:rsid w:val="00E517A5"/>
    <w:rsid w:val="00E51E16"/>
    <w:rsid w:val="00E53730"/>
    <w:rsid w:val="00E5438D"/>
    <w:rsid w:val="00E54511"/>
    <w:rsid w:val="00E54E50"/>
    <w:rsid w:val="00E55288"/>
    <w:rsid w:val="00E57577"/>
    <w:rsid w:val="00E62043"/>
    <w:rsid w:val="00E626B9"/>
    <w:rsid w:val="00E627C9"/>
    <w:rsid w:val="00E630F3"/>
    <w:rsid w:val="00E6332F"/>
    <w:rsid w:val="00E637C9"/>
    <w:rsid w:val="00E6402D"/>
    <w:rsid w:val="00E6680A"/>
    <w:rsid w:val="00E66F0D"/>
    <w:rsid w:val="00E70615"/>
    <w:rsid w:val="00E7161E"/>
    <w:rsid w:val="00E7207B"/>
    <w:rsid w:val="00E72E86"/>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23D9"/>
    <w:rsid w:val="00EB39A0"/>
    <w:rsid w:val="00EB559F"/>
    <w:rsid w:val="00EB566C"/>
    <w:rsid w:val="00EB5F3D"/>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2C"/>
    <w:rsid w:val="00F069EA"/>
    <w:rsid w:val="00F070E5"/>
    <w:rsid w:val="00F07DDE"/>
    <w:rsid w:val="00F11675"/>
    <w:rsid w:val="00F12557"/>
    <w:rsid w:val="00F13599"/>
    <w:rsid w:val="00F13B28"/>
    <w:rsid w:val="00F14E01"/>
    <w:rsid w:val="00F156A0"/>
    <w:rsid w:val="00F1573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DA7"/>
    <w:rsid w:val="00F36A6A"/>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4FEF"/>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658C"/>
    <w:rsid w:val="00F97A7F"/>
    <w:rsid w:val="00FA0889"/>
    <w:rsid w:val="00FA16E7"/>
    <w:rsid w:val="00FA31C7"/>
    <w:rsid w:val="00FA472D"/>
    <w:rsid w:val="00FB0CBF"/>
    <w:rsid w:val="00FB18F6"/>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1C9B"/>
    <w:rsid w:val="00FF1D49"/>
    <w:rsid w:val="00FF203B"/>
    <w:rsid w:val="00FF2562"/>
    <w:rsid w:val="00FF3A41"/>
    <w:rsid w:val="00FF3E5B"/>
    <w:rsid w:val="00FF57E4"/>
    <w:rsid w:val="00FF78E5"/>
    <w:rsid w:val="01851C90"/>
    <w:rsid w:val="01AF3D99"/>
    <w:rsid w:val="022E44A8"/>
    <w:rsid w:val="02511F9D"/>
    <w:rsid w:val="02F950B7"/>
    <w:rsid w:val="033678E4"/>
    <w:rsid w:val="03A314B8"/>
    <w:rsid w:val="03BB7FBE"/>
    <w:rsid w:val="03D82B98"/>
    <w:rsid w:val="03F83E8B"/>
    <w:rsid w:val="05C56868"/>
    <w:rsid w:val="06AE3E0A"/>
    <w:rsid w:val="06C47189"/>
    <w:rsid w:val="06F537E7"/>
    <w:rsid w:val="07B72767"/>
    <w:rsid w:val="07CA07CF"/>
    <w:rsid w:val="08077E72"/>
    <w:rsid w:val="08882DD0"/>
    <w:rsid w:val="08A33831"/>
    <w:rsid w:val="08CB1718"/>
    <w:rsid w:val="09CC2AAC"/>
    <w:rsid w:val="09D26E76"/>
    <w:rsid w:val="0A280BED"/>
    <w:rsid w:val="0A652D3E"/>
    <w:rsid w:val="0A8C6210"/>
    <w:rsid w:val="0B326F2A"/>
    <w:rsid w:val="0B422D73"/>
    <w:rsid w:val="0BF71DAF"/>
    <w:rsid w:val="0C1E2888"/>
    <w:rsid w:val="0C8C24F7"/>
    <w:rsid w:val="0C92213C"/>
    <w:rsid w:val="0CC46135"/>
    <w:rsid w:val="0D84032B"/>
    <w:rsid w:val="0E9E29B6"/>
    <w:rsid w:val="0F2A74C4"/>
    <w:rsid w:val="0F421593"/>
    <w:rsid w:val="0F50409B"/>
    <w:rsid w:val="0FD70482"/>
    <w:rsid w:val="10A27F31"/>
    <w:rsid w:val="113576B4"/>
    <w:rsid w:val="11927058"/>
    <w:rsid w:val="11D97125"/>
    <w:rsid w:val="12192C9D"/>
    <w:rsid w:val="13AF4F03"/>
    <w:rsid w:val="13B1314F"/>
    <w:rsid w:val="14736E66"/>
    <w:rsid w:val="147F458F"/>
    <w:rsid w:val="14D958EC"/>
    <w:rsid w:val="1534169A"/>
    <w:rsid w:val="15C03E03"/>
    <w:rsid w:val="162A25EB"/>
    <w:rsid w:val="16755F45"/>
    <w:rsid w:val="16FD2A55"/>
    <w:rsid w:val="17067C1A"/>
    <w:rsid w:val="17366761"/>
    <w:rsid w:val="177C01F0"/>
    <w:rsid w:val="17C73DF4"/>
    <w:rsid w:val="17CE6630"/>
    <w:rsid w:val="18316649"/>
    <w:rsid w:val="19C74610"/>
    <w:rsid w:val="1AD522D3"/>
    <w:rsid w:val="1AFF0AFE"/>
    <w:rsid w:val="1B4F19F8"/>
    <w:rsid w:val="1B55264E"/>
    <w:rsid w:val="1B755924"/>
    <w:rsid w:val="1BF9262F"/>
    <w:rsid w:val="1C226F03"/>
    <w:rsid w:val="1CF66653"/>
    <w:rsid w:val="1DC43CB7"/>
    <w:rsid w:val="1DF105FE"/>
    <w:rsid w:val="1ECC44FA"/>
    <w:rsid w:val="1EEA04C4"/>
    <w:rsid w:val="1F063325"/>
    <w:rsid w:val="1F672950"/>
    <w:rsid w:val="1FBC5DF5"/>
    <w:rsid w:val="1FC63F00"/>
    <w:rsid w:val="1FF90588"/>
    <w:rsid w:val="20B373C6"/>
    <w:rsid w:val="20C3623F"/>
    <w:rsid w:val="21251CA1"/>
    <w:rsid w:val="21781212"/>
    <w:rsid w:val="21B83F86"/>
    <w:rsid w:val="221178A8"/>
    <w:rsid w:val="221213CF"/>
    <w:rsid w:val="22327A92"/>
    <w:rsid w:val="226A7D59"/>
    <w:rsid w:val="22B67E76"/>
    <w:rsid w:val="22CF718A"/>
    <w:rsid w:val="22D64075"/>
    <w:rsid w:val="231D53A2"/>
    <w:rsid w:val="23225648"/>
    <w:rsid w:val="236D5383"/>
    <w:rsid w:val="23B7504C"/>
    <w:rsid w:val="23E0247D"/>
    <w:rsid w:val="240B2482"/>
    <w:rsid w:val="24571307"/>
    <w:rsid w:val="25110A2A"/>
    <w:rsid w:val="25413053"/>
    <w:rsid w:val="256C0944"/>
    <w:rsid w:val="259C3C81"/>
    <w:rsid w:val="25B60BEB"/>
    <w:rsid w:val="26446DE3"/>
    <w:rsid w:val="269669E7"/>
    <w:rsid w:val="26D7699F"/>
    <w:rsid w:val="26F26F4A"/>
    <w:rsid w:val="275D4D64"/>
    <w:rsid w:val="27FE6547"/>
    <w:rsid w:val="28F17ED1"/>
    <w:rsid w:val="29C2792C"/>
    <w:rsid w:val="29D55086"/>
    <w:rsid w:val="2B163BA8"/>
    <w:rsid w:val="2B774624"/>
    <w:rsid w:val="2BBC10DC"/>
    <w:rsid w:val="2C7A72BE"/>
    <w:rsid w:val="2C9A7D75"/>
    <w:rsid w:val="2CC17412"/>
    <w:rsid w:val="2D297497"/>
    <w:rsid w:val="2D3644A8"/>
    <w:rsid w:val="2E635A59"/>
    <w:rsid w:val="2E9976CE"/>
    <w:rsid w:val="2F401D3C"/>
    <w:rsid w:val="2F5B24E1"/>
    <w:rsid w:val="2FA95C88"/>
    <w:rsid w:val="3041370F"/>
    <w:rsid w:val="312B50A3"/>
    <w:rsid w:val="31F94BF2"/>
    <w:rsid w:val="3238172D"/>
    <w:rsid w:val="32453A27"/>
    <w:rsid w:val="3263064A"/>
    <w:rsid w:val="32A43132"/>
    <w:rsid w:val="32AC0C06"/>
    <w:rsid w:val="32BA306B"/>
    <w:rsid w:val="33344EF5"/>
    <w:rsid w:val="33FD242F"/>
    <w:rsid w:val="3537750C"/>
    <w:rsid w:val="3537798C"/>
    <w:rsid w:val="35973E3A"/>
    <w:rsid w:val="35C13FC9"/>
    <w:rsid w:val="364257B6"/>
    <w:rsid w:val="37817453"/>
    <w:rsid w:val="37EA5922"/>
    <w:rsid w:val="381D40B8"/>
    <w:rsid w:val="38276B93"/>
    <w:rsid w:val="38AC3431"/>
    <w:rsid w:val="392F2E16"/>
    <w:rsid w:val="39DA6B77"/>
    <w:rsid w:val="39E00529"/>
    <w:rsid w:val="39E430C3"/>
    <w:rsid w:val="3A0B64A7"/>
    <w:rsid w:val="3A574DDA"/>
    <w:rsid w:val="3AA7333A"/>
    <w:rsid w:val="3AD3075A"/>
    <w:rsid w:val="3AF46316"/>
    <w:rsid w:val="3AF74C02"/>
    <w:rsid w:val="3B0B1FFB"/>
    <w:rsid w:val="3B7D6A94"/>
    <w:rsid w:val="3C0059A5"/>
    <w:rsid w:val="3C134E78"/>
    <w:rsid w:val="3C5D26C1"/>
    <w:rsid w:val="3CE47B8A"/>
    <w:rsid w:val="3D693246"/>
    <w:rsid w:val="3DBE03D0"/>
    <w:rsid w:val="3DEC7285"/>
    <w:rsid w:val="3DF6345D"/>
    <w:rsid w:val="3E2B5515"/>
    <w:rsid w:val="3E4D4F28"/>
    <w:rsid w:val="3E8715A7"/>
    <w:rsid w:val="3EAB082D"/>
    <w:rsid w:val="3EE13701"/>
    <w:rsid w:val="3F1A4BB3"/>
    <w:rsid w:val="3FF04570"/>
    <w:rsid w:val="40192BA6"/>
    <w:rsid w:val="40923879"/>
    <w:rsid w:val="41766EA9"/>
    <w:rsid w:val="42393F4E"/>
    <w:rsid w:val="42550A18"/>
    <w:rsid w:val="429D496A"/>
    <w:rsid w:val="42DA6073"/>
    <w:rsid w:val="42F473A1"/>
    <w:rsid w:val="43022B82"/>
    <w:rsid w:val="439F3C23"/>
    <w:rsid w:val="43A15B81"/>
    <w:rsid w:val="441E62C0"/>
    <w:rsid w:val="44FC39B7"/>
    <w:rsid w:val="45325D14"/>
    <w:rsid w:val="453A003B"/>
    <w:rsid w:val="45811C7C"/>
    <w:rsid w:val="45906116"/>
    <w:rsid w:val="468B3EFB"/>
    <w:rsid w:val="470A6193"/>
    <w:rsid w:val="47385210"/>
    <w:rsid w:val="47B8464C"/>
    <w:rsid w:val="47DC4F5C"/>
    <w:rsid w:val="47E2687B"/>
    <w:rsid w:val="480C5CBF"/>
    <w:rsid w:val="483D2FCF"/>
    <w:rsid w:val="48B40671"/>
    <w:rsid w:val="492139EC"/>
    <w:rsid w:val="499B5738"/>
    <w:rsid w:val="499F244D"/>
    <w:rsid w:val="49D338FF"/>
    <w:rsid w:val="49D767A1"/>
    <w:rsid w:val="4A973F3F"/>
    <w:rsid w:val="4AF96BC7"/>
    <w:rsid w:val="4B5A416B"/>
    <w:rsid w:val="4B6F6A6A"/>
    <w:rsid w:val="4B862A85"/>
    <w:rsid w:val="4BAE76C0"/>
    <w:rsid w:val="4CEF36E2"/>
    <w:rsid w:val="4CEF4DC5"/>
    <w:rsid w:val="4D2C0BB1"/>
    <w:rsid w:val="4DE07F74"/>
    <w:rsid w:val="4E257655"/>
    <w:rsid w:val="4E847583"/>
    <w:rsid w:val="4E8E7871"/>
    <w:rsid w:val="4F372380"/>
    <w:rsid w:val="4F372FFB"/>
    <w:rsid w:val="4F574EBE"/>
    <w:rsid w:val="4F762EAA"/>
    <w:rsid w:val="4F786B13"/>
    <w:rsid w:val="4F91332A"/>
    <w:rsid w:val="4FB25455"/>
    <w:rsid w:val="5001331F"/>
    <w:rsid w:val="5025116D"/>
    <w:rsid w:val="50692AA8"/>
    <w:rsid w:val="50B138A7"/>
    <w:rsid w:val="50C73B1B"/>
    <w:rsid w:val="523241A0"/>
    <w:rsid w:val="52395ECD"/>
    <w:rsid w:val="52C10D75"/>
    <w:rsid w:val="5308686A"/>
    <w:rsid w:val="53C27FF8"/>
    <w:rsid w:val="546F2DCE"/>
    <w:rsid w:val="549E1A80"/>
    <w:rsid w:val="54C658F4"/>
    <w:rsid w:val="550C4BD7"/>
    <w:rsid w:val="550F1D82"/>
    <w:rsid w:val="552C3D05"/>
    <w:rsid w:val="554C1D56"/>
    <w:rsid w:val="55572986"/>
    <w:rsid w:val="55C062DD"/>
    <w:rsid w:val="565340FA"/>
    <w:rsid w:val="56B21B93"/>
    <w:rsid w:val="5723343E"/>
    <w:rsid w:val="573D7EAB"/>
    <w:rsid w:val="57975881"/>
    <w:rsid w:val="5842734C"/>
    <w:rsid w:val="58D610C2"/>
    <w:rsid w:val="58DF4B66"/>
    <w:rsid w:val="590E7F53"/>
    <w:rsid w:val="5A2F2CC8"/>
    <w:rsid w:val="5BA26962"/>
    <w:rsid w:val="5C10702D"/>
    <w:rsid w:val="5C152601"/>
    <w:rsid w:val="5C591F03"/>
    <w:rsid w:val="5C8A1B2F"/>
    <w:rsid w:val="5D914004"/>
    <w:rsid w:val="5E087BE1"/>
    <w:rsid w:val="5F561B72"/>
    <w:rsid w:val="606007BB"/>
    <w:rsid w:val="60AC7F66"/>
    <w:rsid w:val="617D2BA3"/>
    <w:rsid w:val="61BF10D9"/>
    <w:rsid w:val="61DA3D4C"/>
    <w:rsid w:val="628E1C9B"/>
    <w:rsid w:val="62A635A4"/>
    <w:rsid w:val="62AC22DC"/>
    <w:rsid w:val="62F92629"/>
    <w:rsid w:val="63057A83"/>
    <w:rsid w:val="63770981"/>
    <w:rsid w:val="637833E8"/>
    <w:rsid w:val="6477675E"/>
    <w:rsid w:val="64E45EF7"/>
    <w:rsid w:val="653F54CE"/>
    <w:rsid w:val="654237C0"/>
    <w:rsid w:val="656F7435"/>
    <w:rsid w:val="668A4527"/>
    <w:rsid w:val="6691014E"/>
    <w:rsid w:val="66C87CCE"/>
    <w:rsid w:val="677435B2"/>
    <w:rsid w:val="67A55390"/>
    <w:rsid w:val="67CB129B"/>
    <w:rsid w:val="67EF75F1"/>
    <w:rsid w:val="69124F16"/>
    <w:rsid w:val="694A5205"/>
    <w:rsid w:val="69CD5C14"/>
    <w:rsid w:val="69CF0D33"/>
    <w:rsid w:val="69F0323B"/>
    <w:rsid w:val="6B7C78A9"/>
    <w:rsid w:val="6B9946B3"/>
    <w:rsid w:val="6BB94DB9"/>
    <w:rsid w:val="6C0703C8"/>
    <w:rsid w:val="6C5F5E5C"/>
    <w:rsid w:val="6C640B9C"/>
    <w:rsid w:val="6C662189"/>
    <w:rsid w:val="6C7007C7"/>
    <w:rsid w:val="6CE93F71"/>
    <w:rsid w:val="6D2000FF"/>
    <w:rsid w:val="6DE76850"/>
    <w:rsid w:val="6E3522FC"/>
    <w:rsid w:val="6FB20BD4"/>
    <w:rsid w:val="6FB650F7"/>
    <w:rsid w:val="6FBA59BE"/>
    <w:rsid w:val="70296B3E"/>
    <w:rsid w:val="70611204"/>
    <w:rsid w:val="72444124"/>
    <w:rsid w:val="72812503"/>
    <w:rsid w:val="73445350"/>
    <w:rsid w:val="73922C6D"/>
    <w:rsid w:val="73BF2E85"/>
    <w:rsid w:val="73F14D9C"/>
    <w:rsid w:val="74FA2C30"/>
    <w:rsid w:val="754D5C4B"/>
    <w:rsid w:val="75DC0687"/>
    <w:rsid w:val="76C240A7"/>
    <w:rsid w:val="775246B7"/>
    <w:rsid w:val="781E69D1"/>
    <w:rsid w:val="78D828A4"/>
    <w:rsid w:val="79E214CC"/>
    <w:rsid w:val="7A263B6B"/>
    <w:rsid w:val="7A3E76AA"/>
    <w:rsid w:val="7AAF05A8"/>
    <w:rsid w:val="7AF46346"/>
    <w:rsid w:val="7B0F5EBF"/>
    <w:rsid w:val="7B130FB9"/>
    <w:rsid w:val="7BAE201A"/>
    <w:rsid w:val="7BF64EDE"/>
    <w:rsid w:val="7C400C1E"/>
    <w:rsid w:val="7CF0654C"/>
    <w:rsid w:val="7D636F6F"/>
    <w:rsid w:val="7D794B3F"/>
    <w:rsid w:val="7D8027B1"/>
    <w:rsid w:val="7DD11708"/>
    <w:rsid w:val="7DE2122D"/>
    <w:rsid w:val="7EBD579E"/>
    <w:rsid w:val="7EC167BD"/>
    <w:rsid w:val="7F272D9E"/>
    <w:rsid w:val="7F7338C5"/>
    <w:rsid w:val="7F7B4EF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54"/>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41"/>
    <w:unhideWhenUsed/>
    <w:qFormat/>
    <w:uiPriority w:val="0"/>
    <w:pPr>
      <w:keepNext/>
      <w:keepLines/>
      <w:spacing w:before="280" w:beforeLines="0" w:beforeAutospacing="0" w:after="290" w:afterLines="0" w:afterAutospacing="0" w:line="372" w:lineRule="auto"/>
      <w:outlineLvl w:val="3"/>
    </w:pPr>
    <w:rPr>
      <w:rFonts w:ascii="Arial" w:hAnsi="Arial" w:eastAsia="黑体" w:cs="Times New Roman"/>
      <w:b/>
      <w:sz w:val="28"/>
    </w:rPr>
  </w:style>
  <w:style w:type="paragraph" w:styleId="6">
    <w:name w:val="heading 5"/>
    <w:basedOn w:val="1"/>
    <w:next w:val="7"/>
    <w:link w:val="42"/>
    <w:unhideWhenUsed/>
    <w:qFormat/>
    <w:uiPriority w:val="0"/>
    <w:pPr>
      <w:keepNext/>
      <w:keepLines/>
      <w:spacing w:before="280" w:after="290" w:line="376" w:lineRule="auto"/>
      <w:outlineLvl w:val="4"/>
    </w:pPr>
    <w:rPr>
      <w:b/>
      <w:bCs/>
      <w:sz w:val="28"/>
      <w:szCs w:val="28"/>
    </w:rPr>
  </w:style>
  <w:style w:type="paragraph" w:styleId="8">
    <w:name w:val="heading 8"/>
    <w:basedOn w:val="1"/>
    <w:next w:val="1"/>
    <w:link w:val="43"/>
    <w:unhideWhenUsed/>
    <w:qFormat/>
    <w:uiPriority w:val="0"/>
    <w:pPr>
      <w:keepNext/>
      <w:keepLines/>
      <w:spacing w:before="240" w:after="64" w:line="320" w:lineRule="auto"/>
      <w:outlineLvl w:val="7"/>
    </w:pPr>
    <w:rPr>
      <w:rFonts w:ascii="等线 Light" w:hAnsi="等线 Light" w:eastAsia="等线 Light"/>
      <w:sz w:val="24"/>
    </w:rPr>
  </w:style>
  <w:style w:type="character" w:default="1" w:styleId="31">
    <w:name w:val="Default Paragraph Font"/>
    <w:semiHidden/>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9">
    <w:name w:val="index 8"/>
    <w:next w:val="1"/>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annotation text"/>
    <w:basedOn w:val="1"/>
    <w:link w:val="44"/>
    <w:qFormat/>
    <w:uiPriority w:val="0"/>
    <w:pPr>
      <w:jc w:val="left"/>
    </w:pPr>
  </w:style>
  <w:style w:type="paragraph" w:styleId="12">
    <w:name w:val="Body Text 3"/>
    <w:basedOn w:val="1"/>
    <w:link w:val="45"/>
    <w:qFormat/>
    <w:uiPriority w:val="0"/>
    <w:pPr>
      <w:spacing w:after="120"/>
    </w:pPr>
    <w:rPr>
      <w:sz w:val="16"/>
      <w:szCs w:val="16"/>
    </w:rPr>
  </w:style>
  <w:style w:type="paragraph" w:styleId="13">
    <w:name w:val="Body Text"/>
    <w:basedOn w:val="1"/>
    <w:link w:val="46"/>
    <w:qFormat/>
    <w:uiPriority w:val="0"/>
    <w:pPr>
      <w:spacing w:after="120"/>
    </w:pPr>
  </w:style>
  <w:style w:type="paragraph" w:styleId="14">
    <w:name w:val="Body Text Indent"/>
    <w:basedOn w:val="1"/>
    <w:link w:val="47"/>
    <w:qFormat/>
    <w:uiPriority w:val="0"/>
    <w:pPr>
      <w:ind w:firstLine="830" w:firstLineChars="352"/>
    </w:pPr>
    <w:rPr>
      <w:rFonts w:ascii="仿宋_GB2312" w:eastAsia="仿宋_GB2312"/>
      <w:kern w:val="0"/>
      <w:sz w:val="32"/>
      <w:szCs w:val="20"/>
    </w:rPr>
  </w:style>
  <w:style w:type="paragraph" w:styleId="15">
    <w:name w:val="List 2"/>
    <w:basedOn w:val="1"/>
    <w:qFormat/>
    <w:uiPriority w:val="0"/>
    <w:pPr>
      <w:ind w:left="100" w:leftChars="200" w:hanging="200" w:hangingChars="200"/>
      <w:contextualSpacing/>
    </w:pPr>
  </w:style>
  <w:style w:type="paragraph" w:styleId="16">
    <w:name w:val="toc 3"/>
    <w:basedOn w:val="1"/>
    <w:next w:val="1"/>
    <w:qFormat/>
    <w:uiPriority w:val="0"/>
    <w:pPr>
      <w:ind w:left="840" w:leftChars="400"/>
    </w:pPr>
  </w:style>
  <w:style w:type="paragraph" w:styleId="17">
    <w:name w:val="Plain Text"/>
    <w:basedOn w:val="1"/>
    <w:next w:val="1"/>
    <w:link w:val="48"/>
    <w:qFormat/>
    <w:uiPriority w:val="0"/>
    <w:rPr>
      <w:rFonts w:ascii="宋体" w:hAnsi="Courier New"/>
      <w:kern w:val="0"/>
      <w:sz w:val="20"/>
      <w:szCs w:val="21"/>
    </w:rPr>
  </w:style>
  <w:style w:type="paragraph" w:styleId="18">
    <w:name w:val="Date"/>
    <w:basedOn w:val="1"/>
    <w:next w:val="1"/>
    <w:link w:val="49"/>
    <w:qFormat/>
    <w:uiPriority w:val="0"/>
    <w:pPr>
      <w:ind w:left="100" w:leftChars="2500"/>
    </w:pPr>
  </w:style>
  <w:style w:type="paragraph" w:styleId="19">
    <w:name w:val="Body Text Indent 2"/>
    <w:qFormat/>
    <w:uiPriority w:val="99"/>
    <w:pPr>
      <w:widowControl w:val="0"/>
      <w:spacing w:after="120" w:line="480" w:lineRule="auto"/>
      <w:ind w:left="420" w:leftChars="200"/>
      <w:jc w:val="both"/>
    </w:pPr>
    <w:rPr>
      <w:rFonts w:ascii="Times New Roman" w:hAnsi="Times New Roman" w:eastAsia="宋体" w:cs="Times New Roman"/>
      <w:kern w:val="2"/>
      <w:sz w:val="24"/>
      <w:szCs w:val="24"/>
      <w:lang w:val="en-US" w:eastAsia="zh-CN" w:bidi="ar-SA"/>
    </w:rPr>
  </w:style>
  <w:style w:type="paragraph" w:styleId="20">
    <w:name w:val="Balloon Text"/>
    <w:basedOn w:val="1"/>
    <w:link w:val="50"/>
    <w:qFormat/>
    <w:uiPriority w:val="0"/>
    <w:rPr>
      <w:sz w:val="18"/>
      <w:szCs w:val="18"/>
    </w:rPr>
  </w:style>
  <w:style w:type="paragraph" w:styleId="21">
    <w:name w:val="footer"/>
    <w:basedOn w:val="1"/>
    <w:link w:val="51"/>
    <w:qFormat/>
    <w:uiPriority w:val="0"/>
    <w:pPr>
      <w:tabs>
        <w:tab w:val="center" w:pos="4153"/>
        <w:tab w:val="right" w:pos="8306"/>
      </w:tabs>
      <w:snapToGrid w:val="0"/>
      <w:jc w:val="left"/>
    </w:pPr>
    <w:rPr>
      <w:kern w:val="0"/>
      <w:sz w:val="18"/>
      <w:szCs w:val="18"/>
    </w:rPr>
  </w:style>
  <w:style w:type="paragraph" w:styleId="22">
    <w:name w:val="header"/>
    <w:basedOn w:val="1"/>
    <w:link w:val="52"/>
    <w:qFormat/>
    <w:uiPriority w:val="0"/>
    <w:pPr>
      <w:pBdr>
        <w:bottom w:val="single" w:color="auto" w:sz="6" w:space="1"/>
      </w:pBdr>
      <w:tabs>
        <w:tab w:val="center" w:pos="4153"/>
        <w:tab w:val="right" w:pos="8306"/>
      </w:tabs>
      <w:snapToGrid w:val="0"/>
      <w:jc w:val="center"/>
    </w:pPr>
    <w:rPr>
      <w:kern w:val="0"/>
      <w:sz w:val="18"/>
      <w:szCs w:val="18"/>
    </w:rPr>
  </w:style>
  <w:style w:type="paragraph" w:styleId="23">
    <w:name w:val="toc 1"/>
    <w:basedOn w:val="1"/>
    <w:next w:val="1"/>
    <w:qFormat/>
    <w:uiPriority w:val="0"/>
  </w:style>
  <w:style w:type="paragraph" w:styleId="24">
    <w:name w:val="List"/>
    <w:basedOn w:val="1"/>
    <w:qFormat/>
    <w:uiPriority w:val="0"/>
    <w:pPr>
      <w:ind w:left="200" w:hanging="200" w:hangingChars="200"/>
      <w:contextualSpacing/>
    </w:pPr>
  </w:style>
  <w:style w:type="paragraph" w:styleId="25">
    <w:name w:val="footnote text"/>
    <w:qFormat/>
    <w:uiPriority w:val="0"/>
    <w:pPr>
      <w:widowControl w:val="0"/>
      <w:adjustRightInd w:val="0"/>
      <w:spacing w:line="312" w:lineRule="atLeast"/>
      <w:jc w:val="left"/>
      <w:textAlignment w:val="baseline"/>
    </w:pPr>
    <w:rPr>
      <w:rFonts w:ascii="Times New Roman" w:hAnsi="Times New Roman" w:eastAsia="宋体" w:cs="Times New Roman"/>
      <w:kern w:val="0"/>
      <w:sz w:val="18"/>
      <w:szCs w:val="18"/>
      <w:lang w:val="en-US" w:eastAsia="zh-CN" w:bidi="ar-SA"/>
    </w:rPr>
  </w:style>
  <w:style w:type="paragraph" w:styleId="26">
    <w:name w:val="toc 2"/>
    <w:basedOn w:val="1"/>
    <w:next w:val="1"/>
    <w:qFormat/>
    <w:uiPriority w:val="0"/>
    <w:pPr>
      <w:tabs>
        <w:tab w:val="right" w:leader="dot" w:pos="8296"/>
      </w:tabs>
      <w:ind w:left="420" w:leftChars="200"/>
    </w:pPr>
  </w:style>
  <w:style w:type="paragraph" w:styleId="27">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8">
    <w:name w:val="annotation subject"/>
    <w:basedOn w:val="11"/>
    <w:next w:val="11"/>
    <w:link w:val="53"/>
    <w:qFormat/>
    <w:uiPriority w:val="0"/>
    <w:rPr>
      <w:b/>
      <w:bCs/>
    </w:rPr>
  </w:style>
  <w:style w:type="table" w:styleId="30">
    <w:name w:val="Table Grid"/>
    <w:basedOn w:val="2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endnote reference"/>
    <w:qFormat/>
    <w:uiPriority w:val="0"/>
    <w:rPr>
      <w:vertAlign w:val="superscript"/>
    </w:rPr>
  </w:style>
  <w:style w:type="character" w:styleId="33">
    <w:name w:val="page number"/>
    <w:qFormat/>
    <w:uiPriority w:val="0"/>
  </w:style>
  <w:style w:type="character" w:styleId="34">
    <w:name w:val="FollowedHyperlink"/>
    <w:qFormat/>
    <w:uiPriority w:val="0"/>
    <w:rPr>
      <w:color w:val="800080"/>
      <w:u w:val="single"/>
    </w:rPr>
  </w:style>
  <w:style w:type="character" w:styleId="35">
    <w:name w:val="Hyperlink"/>
    <w:qFormat/>
    <w:uiPriority w:val="0"/>
    <w:rPr>
      <w:color w:val="0000FF"/>
      <w:u w:val="single"/>
    </w:rPr>
  </w:style>
  <w:style w:type="character" w:styleId="36">
    <w:name w:val="annotation reference"/>
    <w:qFormat/>
    <w:uiPriority w:val="0"/>
    <w:rPr>
      <w:sz w:val="21"/>
      <w:szCs w:val="21"/>
    </w:rPr>
  </w:style>
  <w:style w:type="character" w:styleId="37">
    <w:name w:val="footnote reference"/>
    <w:unhideWhenUsed/>
    <w:qFormat/>
    <w:uiPriority w:val="0"/>
    <w:rPr>
      <w:vertAlign w:val="superscript"/>
    </w:rPr>
  </w:style>
  <w:style w:type="character" w:customStyle="1" w:styleId="38">
    <w:name w:val="标题 1 字符2"/>
    <w:link w:val="2"/>
    <w:qFormat/>
    <w:uiPriority w:val="9"/>
    <w:rPr>
      <w:b/>
      <w:bCs/>
      <w:kern w:val="44"/>
      <w:sz w:val="44"/>
      <w:szCs w:val="44"/>
    </w:rPr>
  </w:style>
  <w:style w:type="character" w:customStyle="1" w:styleId="39">
    <w:name w:val="标题 2 字符1"/>
    <w:link w:val="3"/>
    <w:qFormat/>
    <w:uiPriority w:val="9"/>
    <w:rPr>
      <w:rFonts w:ascii="Cambria" w:hAnsi="Cambria" w:eastAsia="宋体" w:cs="Times New Roman"/>
      <w:b/>
      <w:bCs/>
      <w:kern w:val="2"/>
      <w:sz w:val="32"/>
      <w:szCs w:val="32"/>
    </w:rPr>
  </w:style>
  <w:style w:type="character" w:customStyle="1" w:styleId="40">
    <w:name w:val="标题 3 字符1"/>
    <w:link w:val="4"/>
    <w:qFormat/>
    <w:uiPriority w:val="9"/>
    <w:rPr>
      <w:b/>
      <w:bCs/>
      <w:kern w:val="2"/>
      <w:sz w:val="32"/>
      <w:szCs w:val="32"/>
    </w:rPr>
  </w:style>
  <w:style w:type="character" w:customStyle="1" w:styleId="41">
    <w:name w:val="标题 4 Char"/>
    <w:link w:val="5"/>
    <w:qFormat/>
    <w:uiPriority w:val="0"/>
    <w:rPr>
      <w:rFonts w:ascii="Arial" w:hAnsi="Arial" w:eastAsia="黑体" w:cs="Times New Roman"/>
      <w:b/>
      <w:sz w:val="28"/>
    </w:rPr>
  </w:style>
  <w:style w:type="character" w:customStyle="1" w:styleId="42">
    <w:name w:val="标题 5 字符1"/>
    <w:link w:val="6"/>
    <w:qFormat/>
    <w:uiPriority w:val="9"/>
    <w:rPr>
      <w:rFonts w:ascii="Times New Roman" w:hAnsi="Times New Roman"/>
      <w:b/>
      <w:bCs/>
      <w:kern w:val="2"/>
      <w:sz w:val="28"/>
      <w:szCs w:val="28"/>
    </w:rPr>
  </w:style>
  <w:style w:type="character" w:customStyle="1" w:styleId="43">
    <w:name w:val="标题 8 字符1"/>
    <w:link w:val="8"/>
    <w:qFormat/>
    <w:uiPriority w:val="9"/>
    <w:rPr>
      <w:rFonts w:ascii="等线 Light" w:hAnsi="等线 Light" w:eastAsia="等线 Light" w:cs="Times New Roman"/>
      <w:kern w:val="2"/>
      <w:sz w:val="24"/>
      <w:szCs w:val="24"/>
    </w:rPr>
  </w:style>
  <w:style w:type="character" w:customStyle="1" w:styleId="44">
    <w:name w:val="批注文字 字符3"/>
    <w:link w:val="11"/>
    <w:qFormat/>
    <w:uiPriority w:val="0"/>
    <w:rPr>
      <w:rFonts w:ascii="Times New Roman" w:hAnsi="Times New Roman"/>
      <w:kern w:val="2"/>
      <w:sz w:val="21"/>
      <w:szCs w:val="24"/>
    </w:rPr>
  </w:style>
  <w:style w:type="character" w:customStyle="1" w:styleId="45">
    <w:name w:val="正文文本 3 字符1"/>
    <w:link w:val="12"/>
    <w:qFormat/>
    <w:uiPriority w:val="99"/>
    <w:rPr>
      <w:kern w:val="2"/>
      <w:sz w:val="16"/>
      <w:szCs w:val="16"/>
    </w:rPr>
  </w:style>
  <w:style w:type="character" w:customStyle="1" w:styleId="46">
    <w:name w:val="正文文本 字符2"/>
    <w:link w:val="13"/>
    <w:qFormat/>
    <w:uiPriority w:val="0"/>
    <w:rPr>
      <w:rFonts w:ascii="Times New Roman" w:hAnsi="Times New Roman"/>
      <w:kern w:val="2"/>
      <w:sz w:val="21"/>
      <w:szCs w:val="24"/>
    </w:rPr>
  </w:style>
  <w:style w:type="character" w:customStyle="1" w:styleId="47">
    <w:name w:val="正文文本缩进 字符1"/>
    <w:link w:val="14"/>
    <w:qFormat/>
    <w:uiPriority w:val="0"/>
    <w:rPr>
      <w:rFonts w:ascii="仿宋_GB2312" w:hAnsi="Times New Roman" w:eastAsia="仿宋_GB2312" w:cs="Times New Roman"/>
      <w:sz w:val="32"/>
      <w:szCs w:val="20"/>
    </w:rPr>
  </w:style>
  <w:style w:type="character" w:customStyle="1" w:styleId="48">
    <w:name w:val="纯文本 字符4"/>
    <w:link w:val="17"/>
    <w:qFormat/>
    <w:uiPriority w:val="0"/>
    <w:rPr>
      <w:rFonts w:ascii="宋体" w:hAnsi="Courier New" w:eastAsia="宋体" w:cs="Courier New"/>
      <w:szCs w:val="21"/>
    </w:rPr>
  </w:style>
  <w:style w:type="character" w:customStyle="1" w:styleId="49">
    <w:name w:val="日期 字符1"/>
    <w:link w:val="18"/>
    <w:qFormat/>
    <w:uiPriority w:val="99"/>
    <w:rPr>
      <w:rFonts w:ascii="Times New Roman" w:hAnsi="Times New Roman"/>
      <w:kern w:val="2"/>
      <w:sz w:val="21"/>
      <w:szCs w:val="24"/>
    </w:rPr>
  </w:style>
  <w:style w:type="character" w:customStyle="1" w:styleId="50">
    <w:name w:val="批注框文本 字符"/>
    <w:link w:val="20"/>
    <w:semiHidden/>
    <w:qFormat/>
    <w:uiPriority w:val="99"/>
    <w:rPr>
      <w:kern w:val="2"/>
      <w:sz w:val="18"/>
      <w:szCs w:val="18"/>
    </w:rPr>
  </w:style>
  <w:style w:type="character" w:customStyle="1" w:styleId="51">
    <w:name w:val="页脚 字符1"/>
    <w:link w:val="21"/>
    <w:qFormat/>
    <w:uiPriority w:val="99"/>
    <w:rPr>
      <w:sz w:val="18"/>
      <w:szCs w:val="18"/>
    </w:rPr>
  </w:style>
  <w:style w:type="character" w:customStyle="1" w:styleId="52">
    <w:name w:val="页眉 字符1"/>
    <w:link w:val="22"/>
    <w:qFormat/>
    <w:uiPriority w:val="99"/>
    <w:rPr>
      <w:sz w:val="18"/>
      <w:szCs w:val="18"/>
    </w:rPr>
  </w:style>
  <w:style w:type="character" w:customStyle="1" w:styleId="53">
    <w:name w:val="批注主题 字符1"/>
    <w:link w:val="28"/>
    <w:qFormat/>
    <w:uiPriority w:val="99"/>
    <w:rPr>
      <w:rFonts w:ascii="Times New Roman" w:hAnsi="Times New Roman"/>
      <w:b/>
      <w:bCs/>
      <w:kern w:val="2"/>
      <w:sz w:val="21"/>
      <w:szCs w:val="24"/>
    </w:rPr>
  </w:style>
  <w:style w:type="character" w:customStyle="1" w:styleId="54">
    <w:name w:val="标题 3 Char"/>
    <w:link w:val="4"/>
    <w:qFormat/>
    <w:uiPriority w:val="0"/>
    <w:rPr>
      <w:rFonts w:ascii="宋体" w:hAnsi="宋体" w:eastAsia="宋体" w:cs="宋体"/>
      <w:b/>
      <w:sz w:val="28"/>
    </w:rPr>
  </w:style>
  <w:style w:type="character" w:customStyle="1" w:styleId="55">
    <w:name w:val="纯文本 字符2"/>
    <w:qFormat/>
    <w:uiPriority w:val="0"/>
    <w:rPr>
      <w:rFonts w:ascii="宋体" w:hAnsi="Courier New" w:eastAsia="宋体" w:cs="Courier New"/>
      <w:szCs w:val="21"/>
    </w:rPr>
  </w:style>
  <w:style w:type="character" w:customStyle="1" w:styleId="56">
    <w:name w:val="apple-style-span"/>
    <w:qFormat/>
    <w:uiPriority w:val="0"/>
  </w:style>
  <w:style w:type="character" w:customStyle="1" w:styleId="57">
    <w:name w:val="标题 2 Char"/>
    <w:qFormat/>
    <w:uiPriority w:val="9"/>
    <w:rPr>
      <w:rFonts w:ascii="Cambria" w:hAnsi="Cambria" w:eastAsia="宋体" w:cs="Times New Roman"/>
      <w:b/>
      <w:bCs/>
      <w:kern w:val="2"/>
      <w:sz w:val="32"/>
      <w:szCs w:val="32"/>
    </w:rPr>
  </w:style>
  <w:style w:type="character" w:customStyle="1" w:styleId="58">
    <w:name w:val="纯文本 字符"/>
    <w:qFormat/>
    <w:uiPriority w:val="0"/>
    <w:rPr>
      <w:rFonts w:ascii="宋体" w:hAnsi="Courier New" w:eastAsia="宋体" w:cs="Courier New"/>
      <w:szCs w:val="21"/>
    </w:rPr>
  </w:style>
  <w:style w:type="character" w:customStyle="1" w:styleId="59">
    <w:name w:val="纯文本 字符1"/>
    <w:qFormat/>
    <w:uiPriority w:val="0"/>
    <w:rPr>
      <w:rFonts w:ascii="宋体" w:hAnsi="Courier New"/>
    </w:rPr>
  </w:style>
  <w:style w:type="character" w:customStyle="1" w:styleId="60">
    <w:name w:val="标题 8 Char"/>
    <w:qFormat/>
    <w:uiPriority w:val="0"/>
    <w:rPr>
      <w:rFonts w:ascii="Arial" w:hAnsi="Arial" w:eastAsia="黑体"/>
      <w:kern w:val="2"/>
      <w:sz w:val="24"/>
      <w:szCs w:val="24"/>
    </w:rPr>
  </w:style>
  <w:style w:type="character" w:customStyle="1" w:styleId="61">
    <w:name w:val="纯文本 Char"/>
    <w:qFormat/>
    <w:uiPriority w:val="0"/>
    <w:rPr>
      <w:rFonts w:ascii="宋体" w:hAnsi="Courier New" w:eastAsia="宋体" w:cs="Courier New"/>
      <w:szCs w:val="21"/>
    </w:rPr>
  </w:style>
  <w:style w:type="character" w:customStyle="1" w:styleId="62">
    <w:name w:val="正文文本 Char"/>
    <w:qFormat/>
    <w:uiPriority w:val="0"/>
    <w:rPr>
      <w:rFonts w:ascii="Times New Roman" w:hAnsi="Times New Roman"/>
      <w:kern w:val="2"/>
      <w:sz w:val="21"/>
      <w:szCs w:val="24"/>
    </w:rPr>
  </w:style>
  <w:style w:type="character" w:customStyle="1" w:styleId="63">
    <w:name w:val="批注文字 字符1"/>
    <w:qFormat/>
    <w:uiPriority w:val="0"/>
    <w:rPr>
      <w:rFonts w:ascii="Times New Roman" w:hAnsi="Times New Roman"/>
      <w:kern w:val="2"/>
      <w:sz w:val="21"/>
      <w:szCs w:val="24"/>
    </w:rPr>
  </w:style>
  <w:style w:type="character" w:customStyle="1" w:styleId="6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5">
    <w:name w:val="标题 1 字符1"/>
    <w:qFormat/>
    <w:uiPriority w:val="0"/>
    <w:rPr>
      <w:b/>
      <w:bCs/>
      <w:kern w:val="44"/>
      <w:sz w:val="44"/>
      <w:szCs w:val="44"/>
    </w:rPr>
  </w:style>
  <w:style w:type="character" w:customStyle="1" w:styleId="66">
    <w:name w:val="正文文本 字符"/>
    <w:qFormat/>
    <w:uiPriority w:val="0"/>
    <w:rPr>
      <w:rFonts w:ascii="Times New Roman" w:hAnsi="Times New Roman"/>
      <w:kern w:val="2"/>
      <w:sz w:val="21"/>
      <w:szCs w:val="24"/>
    </w:rPr>
  </w:style>
  <w:style w:type="character" w:customStyle="1" w:styleId="67">
    <w:name w:val="批注文字 字符"/>
    <w:qFormat/>
    <w:uiPriority w:val="0"/>
    <w:rPr>
      <w:rFonts w:ascii="Times New Roman" w:hAnsi="Times New Roman"/>
      <w:kern w:val="2"/>
      <w:sz w:val="21"/>
      <w:szCs w:val="24"/>
    </w:rPr>
  </w:style>
  <w:style w:type="character" w:customStyle="1" w:styleId="68">
    <w:name w:val="textcontents"/>
    <w:qFormat/>
    <w:uiPriority w:val="0"/>
  </w:style>
  <w:style w:type="character" w:customStyle="1" w:styleId="69">
    <w:name w:val="批注文字 Char"/>
    <w:qFormat/>
    <w:uiPriority w:val="0"/>
    <w:rPr>
      <w:rFonts w:ascii="Times New Roman" w:hAnsi="Times New Roman"/>
      <w:kern w:val="2"/>
      <w:sz w:val="21"/>
      <w:szCs w:val="24"/>
    </w:rPr>
  </w:style>
  <w:style w:type="paragraph" w:customStyle="1" w:styleId="70">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styleId="71">
    <w:name w:val="List Paragraph"/>
    <w:basedOn w:val="1"/>
    <w:qFormat/>
    <w:uiPriority w:val="34"/>
    <w:pPr>
      <w:ind w:firstLine="420" w:firstLineChars="200"/>
    </w:pPr>
  </w:style>
  <w:style w:type="paragraph" w:customStyle="1" w:styleId="72">
    <w:name w:val="默认段落字体 Para Char Char Char Char Char Char Char Char Char1 Char Char Char Char"/>
    <w:basedOn w:val="1"/>
    <w:qFormat/>
    <w:uiPriority w:val="99"/>
    <w:rPr>
      <w:rFonts w:ascii="Tahoma" w:hAnsi="Tahoma"/>
      <w:sz w:val="24"/>
      <w:szCs w:val="20"/>
    </w:rPr>
  </w:style>
  <w:style w:type="paragraph" w:customStyle="1" w:styleId="73">
    <w:name w:val="Table Paragraph"/>
    <w:basedOn w:val="1"/>
    <w:qFormat/>
    <w:uiPriority w:val="1"/>
    <w:pPr>
      <w:jc w:val="left"/>
    </w:pPr>
    <w:rPr>
      <w:rFonts w:ascii="Calibri" w:hAnsi="Calibri"/>
      <w:kern w:val="0"/>
      <w:sz w:val="22"/>
      <w:szCs w:val="22"/>
      <w:lang w:eastAsia="en-US"/>
    </w:rPr>
  </w:style>
  <w:style w:type="paragraph" w:customStyle="1" w:styleId="74">
    <w:name w:val="Char Char Char Char"/>
    <w:basedOn w:val="1"/>
    <w:qFormat/>
    <w:uiPriority w:val="99"/>
    <w:pPr>
      <w:widowControl/>
      <w:spacing w:after="160" w:line="240" w:lineRule="exact"/>
      <w:jc w:val="left"/>
    </w:pPr>
  </w:style>
  <w:style w:type="character" w:customStyle="1" w:styleId="75">
    <w:name w:val="_Style 74"/>
    <w:unhideWhenUsed/>
    <w:qFormat/>
    <w:uiPriority w:val="99"/>
    <w:rPr>
      <w:color w:val="605E5C"/>
      <w:shd w:val="clear" w:color="auto" w:fill="E1DFDD"/>
    </w:rPr>
  </w:style>
  <w:style w:type="paragraph" w:customStyle="1" w:styleId="76">
    <w:name w:val="_Style 75"/>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character" w:customStyle="1" w:styleId="77">
    <w:name w:val="正文2 Char Char"/>
    <w:link w:val="78"/>
    <w:qFormat/>
    <w:uiPriority w:val="0"/>
    <w:rPr>
      <w:sz w:val="24"/>
    </w:rPr>
  </w:style>
  <w:style w:type="paragraph" w:customStyle="1" w:styleId="78">
    <w:name w:val="正文2"/>
    <w:basedOn w:val="1"/>
    <w:link w:val="77"/>
    <w:qFormat/>
    <w:uiPriority w:val="0"/>
    <w:pPr>
      <w:adjustRightInd w:val="0"/>
      <w:spacing w:before="156" w:line="360" w:lineRule="auto"/>
      <w:ind w:firstLine="510" w:firstLineChars="200"/>
    </w:pPr>
    <w:rPr>
      <w:kern w:val="0"/>
      <w:sz w:val="24"/>
      <w:szCs w:val="20"/>
    </w:rPr>
  </w:style>
  <w:style w:type="paragraph" w:customStyle="1" w:styleId="79">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80">
    <w:name w:val="正文缩进1"/>
    <w:basedOn w:val="1"/>
    <w:next w:val="14"/>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81">
    <w:name w:val="标题 1 字符"/>
    <w:qFormat/>
    <w:uiPriority w:val="9"/>
    <w:rPr>
      <w:b/>
      <w:bCs/>
      <w:kern w:val="44"/>
      <w:sz w:val="44"/>
      <w:szCs w:val="44"/>
    </w:rPr>
  </w:style>
  <w:style w:type="character" w:customStyle="1" w:styleId="82">
    <w:name w:val="标题 2 字符"/>
    <w:qFormat/>
    <w:uiPriority w:val="9"/>
    <w:rPr>
      <w:rFonts w:ascii="Cambria" w:hAnsi="Cambria"/>
      <w:b/>
      <w:bCs/>
      <w:kern w:val="2"/>
      <w:sz w:val="32"/>
      <w:szCs w:val="32"/>
    </w:rPr>
  </w:style>
  <w:style w:type="character" w:customStyle="1" w:styleId="83">
    <w:name w:val="标题 3 字符"/>
    <w:qFormat/>
    <w:uiPriority w:val="9"/>
    <w:rPr>
      <w:b/>
      <w:bCs/>
      <w:kern w:val="2"/>
      <w:sz w:val="32"/>
      <w:szCs w:val="32"/>
    </w:rPr>
  </w:style>
  <w:style w:type="character" w:customStyle="1" w:styleId="84">
    <w:name w:val="标题 5 字符"/>
    <w:qFormat/>
    <w:uiPriority w:val="9"/>
    <w:rPr>
      <w:b/>
      <w:bCs/>
      <w:kern w:val="2"/>
      <w:sz w:val="28"/>
      <w:szCs w:val="28"/>
    </w:rPr>
  </w:style>
  <w:style w:type="character" w:customStyle="1" w:styleId="85">
    <w:name w:val="标题 8 字符"/>
    <w:qFormat/>
    <w:uiPriority w:val="9"/>
    <w:rPr>
      <w:rFonts w:ascii="等线 Light" w:hAnsi="等线 Light" w:eastAsia="等线 Light"/>
      <w:kern w:val="2"/>
      <w:sz w:val="24"/>
      <w:szCs w:val="24"/>
    </w:rPr>
  </w:style>
  <w:style w:type="character" w:customStyle="1" w:styleId="86">
    <w:name w:val="批注文字 字符2"/>
    <w:qFormat/>
    <w:uiPriority w:val="99"/>
    <w:rPr>
      <w:kern w:val="2"/>
      <w:sz w:val="21"/>
      <w:szCs w:val="24"/>
    </w:rPr>
  </w:style>
  <w:style w:type="character" w:customStyle="1" w:styleId="87">
    <w:name w:val="正文文本 3 字符"/>
    <w:qFormat/>
    <w:uiPriority w:val="99"/>
    <w:rPr>
      <w:kern w:val="2"/>
      <w:sz w:val="16"/>
      <w:szCs w:val="16"/>
    </w:rPr>
  </w:style>
  <w:style w:type="character" w:customStyle="1" w:styleId="88">
    <w:name w:val="正文文本 字符1"/>
    <w:qFormat/>
    <w:uiPriority w:val="99"/>
    <w:rPr>
      <w:kern w:val="2"/>
      <w:sz w:val="21"/>
      <w:szCs w:val="24"/>
    </w:rPr>
  </w:style>
  <w:style w:type="character" w:customStyle="1" w:styleId="89">
    <w:name w:val="正文文本缩进 字符"/>
    <w:qFormat/>
    <w:uiPriority w:val="99"/>
    <w:rPr>
      <w:rFonts w:ascii="仿宋_GB2312" w:eastAsia="仿宋_GB2312"/>
      <w:sz w:val="32"/>
    </w:rPr>
  </w:style>
  <w:style w:type="character" w:customStyle="1" w:styleId="90">
    <w:name w:val="纯文本 字符3"/>
    <w:qFormat/>
    <w:uiPriority w:val="99"/>
    <w:rPr>
      <w:rFonts w:ascii="宋体" w:hAnsi="Courier New"/>
      <w:szCs w:val="21"/>
    </w:rPr>
  </w:style>
  <w:style w:type="character" w:customStyle="1" w:styleId="91">
    <w:name w:val="日期 字符"/>
    <w:qFormat/>
    <w:uiPriority w:val="99"/>
    <w:rPr>
      <w:kern w:val="2"/>
      <w:sz w:val="21"/>
      <w:szCs w:val="24"/>
    </w:rPr>
  </w:style>
  <w:style w:type="character" w:customStyle="1" w:styleId="92">
    <w:name w:val="页脚 字符"/>
    <w:qFormat/>
    <w:uiPriority w:val="99"/>
    <w:rPr>
      <w:sz w:val="18"/>
      <w:szCs w:val="18"/>
    </w:rPr>
  </w:style>
  <w:style w:type="character" w:customStyle="1" w:styleId="93">
    <w:name w:val="页眉 字符"/>
    <w:qFormat/>
    <w:uiPriority w:val="99"/>
    <w:rPr>
      <w:sz w:val="18"/>
      <w:szCs w:val="18"/>
    </w:rPr>
  </w:style>
  <w:style w:type="character" w:customStyle="1" w:styleId="94">
    <w:name w:val="批注主题 字符"/>
    <w:qFormat/>
    <w:uiPriority w:val="99"/>
    <w:rPr>
      <w:rFonts w:ascii="Times New Roman" w:hAnsi="Times New Roman"/>
      <w:b/>
      <w:bCs/>
      <w:kern w:val="2"/>
      <w:sz w:val="21"/>
      <w:szCs w:val="24"/>
    </w:rPr>
  </w:style>
  <w:style w:type="paragraph" w:customStyle="1" w:styleId="95">
    <w:name w:val="_Style 94"/>
    <w:basedOn w:val="1"/>
    <w:unhideWhenUsed/>
    <w:qFormat/>
    <w:uiPriority w:val="99"/>
  </w:style>
  <w:style w:type="paragraph" w:customStyle="1" w:styleId="96">
    <w:name w:val="_Style 95"/>
    <w:basedOn w:val="1"/>
    <w:unhideWhenUsed/>
    <w:qFormat/>
    <w:uiPriority w:val="99"/>
  </w:style>
  <w:style w:type="paragraph" w:customStyle="1" w:styleId="97">
    <w:name w:val="msonormal"/>
    <w:basedOn w:val="1"/>
    <w:qFormat/>
    <w:uiPriority w:val="99"/>
    <w:rPr>
      <w:rFonts w:ascii="Calibri" w:hAnsi="Calibri"/>
      <w:kern w:val="0"/>
      <w:sz w:val="24"/>
    </w:rPr>
  </w:style>
  <w:style w:type="character" w:customStyle="1" w:styleId="98">
    <w:name w:val="font51"/>
    <w:basedOn w:val="31"/>
    <w:qFormat/>
    <w:uiPriority w:val="0"/>
    <w:rPr>
      <w:rFonts w:hint="eastAsia" w:ascii="宋体" w:hAnsi="宋体" w:eastAsia="宋体" w:cs="宋体"/>
      <w:color w:val="000000"/>
      <w:sz w:val="18"/>
      <w:szCs w:val="18"/>
      <w:u w:val="none"/>
    </w:rPr>
  </w:style>
  <w:style w:type="character" w:customStyle="1" w:styleId="99">
    <w:name w:val="font11"/>
    <w:basedOn w:val="31"/>
    <w:qFormat/>
    <w:uiPriority w:val="0"/>
    <w:rPr>
      <w:rFonts w:hint="eastAsia" w:ascii="宋体" w:hAnsi="宋体" w:eastAsia="宋体" w:cs="宋体"/>
      <w:color w:val="000000"/>
      <w:sz w:val="18"/>
      <w:szCs w:val="18"/>
      <w:u w:val="none"/>
    </w:rPr>
  </w:style>
  <w:style w:type="character" w:customStyle="1" w:styleId="100">
    <w:name w:val="font21"/>
    <w:basedOn w:val="31"/>
    <w:qFormat/>
    <w:uiPriority w:val="0"/>
    <w:rPr>
      <w:rFonts w:hint="eastAsia" w:ascii="宋体" w:hAnsi="宋体" w:eastAsia="宋体" w:cs="宋体"/>
      <w:b/>
      <w:bCs/>
      <w:color w:val="000000"/>
      <w:sz w:val="18"/>
      <w:szCs w:val="18"/>
      <w:u w:val="none"/>
    </w:rPr>
  </w:style>
  <w:style w:type="character" w:customStyle="1" w:styleId="101">
    <w:name w:val="font31"/>
    <w:basedOn w:val="31"/>
    <w:qFormat/>
    <w:uiPriority w:val="0"/>
    <w:rPr>
      <w:rFonts w:hint="default" w:ascii="Times New Roman" w:hAnsi="Times New Roman" w:eastAsia="宋体" w:cs="Times New Roman"/>
      <w:color w:val="000000"/>
      <w:sz w:val="18"/>
      <w:szCs w:val="18"/>
      <w:u w:val="none"/>
    </w:rPr>
  </w:style>
  <w:style w:type="paragraph" w:customStyle="1" w:styleId="102">
    <w:name w:val="WPSOffice手动目录 1"/>
    <w:qFormat/>
    <w:uiPriority w:val="0"/>
    <w:pPr>
      <w:ind w:leftChars="0"/>
    </w:pPr>
    <w:rPr>
      <w:rFonts w:ascii="Calibri" w:hAnsi="Calibri" w:eastAsia="宋体" w:cs="Times New Roman"/>
      <w:sz w:val="20"/>
      <w:szCs w:val="20"/>
    </w:rPr>
  </w:style>
  <w:style w:type="paragraph" w:customStyle="1" w:styleId="103">
    <w:name w:val="WPSOffice手动目录 2"/>
    <w:qFormat/>
    <w:uiPriority w:val="0"/>
    <w:pPr>
      <w:ind w:leftChars="200"/>
    </w:pPr>
    <w:rPr>
      <w:rFonts w:ascii="Calibri" w:hAnsi="Calibri" w:eastAsia="宋体" w:cs="Times New Roman"/>
      <w:sz w:val="20"/>
      <w:szCs w:val="20"/>
    </w:rPr>
  </w:style>
  <w:style w:type="paragraph" w:customStyle="1" w:styleId="104">
    <w:name w:val="WPSOffice手动目录 3"/>
    <w:qFormat/>
    <w:uiPriority w:val="0"/>
    <w:pPr>
      <w:ind w:leftChars="400"/>
    </w:pPr>
    <w:rPr>
      <w:rFonts w:ascii="Calibri" w:hAnsi="Calibri" w:eastAsia="宋体" w:cs="Times New Roman"/>
      <w:sz w:val="20"/>
      <w:szCs w:val="20"/>
    </w:rPr>
  </w:style>
  <w:style w:type="paragraph" w:customStyle="1" w:styleId="105">
    <w:name w:val="_Style 142"/>
    <w:next w:val="71"/>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106">
    <w:name w:val="Body text|1"/>
    <w:qFormat/>
    <w:uiPriority w:val="0"/>
    <w:pPr>
      <w:widowControl w:val="0"/>
      <w:spacing w:line="360" w:lineRule="auto"/>
      <w:ind w:firstLine="400"/>
      <w:jc w:val="both"/>
    </w:pPr>
    <w:rPr>
      <w:rFonts w:ascii="宋体" w:hAnsi="宋体" w:eastAsia="宋体" w:cs="宋体"/>
      <w:kern w:val="2"/>
      <w:sz w:val="21"/>
      <w:szCs w:val="20"/>
      <w:lang w:val="zh-CN" w:eastAsia="zh-CN" w:bidi="zh-CN"/>
    </w:rPr>
  </w:style>
  <w:style w:type="paragraph" w:customStyle="1" w:styleId="107">
    <w:name w:val="表格文字"/>
    <w:qFormat/>
    <w:uiPriority w:val="0"/>
    <w:pPr>
      <w:widowControl w:val="0"/>
      <w:adjustRightInd w:val="0"/>
      <w:snapToGrid w:val="0"/>
      <w:jc w:val="center"/>
    </w:pPr>
    <w:rPr>
      <w:rFonts w:ascii="Times New Roman" w:hAnsi="Times New Roman" w:eastAsia="宋体" w:cs="Times New Roman"/>
      <w:kern w:val="0"/>
      <w:sz w:val="24"/>
      <w:szCs w:val="24"/>
      <w:lang w:val="en-US" w:eastAsia="zh-CN" w:bidi="ar-SA"/>
    </w:rPr>
  </w:style>
  <w:style w:type="paragraph" w:customStyle="1" w:styleId="10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0">
    <w:name w:val="首行缩进"/>
    <w:qFormat/>
    <w:uiPriority w:val="99"/>
    <w:pPr>
      <w:widowControl w:val="0"/>
      <w:ind w:firstLine="480" w:firstLineChars="200"/>
      <w:jc w:val="both"/>
    </w:pPr>
    <w:rPr>
      <w:rFonts w:ascii="Times New Roman" w:hAnsi="Times New Roman" w:eastAsia="宋体" w:cs="Times New Roman"/>
      <w:kern w:val="2"/>
      <w:sz w:val="21"/>
      <w:szCs w:val="24"/>
      <w:lang w:val="zh-CN" w:eastAsia="zh-CN" w:bidi="ar-SA"/>
    </w:rPr>
  </w:style>
  <w:style w:type="paragraph" w:customStyle="1" w:styleId="111">
    <w:name w:val="正文文本 (2)4"/>
    <w:qFormat/>
    <w:uiPriority w:val="0"/>
    <w:pPr>
      <w:widowControl w:val="0"/>
      <w:shd w:val="clear" w:color="auto" w:fill="FFFFFF"/>
      <w:autoSpaceDE/>
      <w:autoSpaceDN/>
      <w:adjustRightInd/>
      <w:spacing w:before="300" w:line="439" w:lineRule="exact"/>
      <w:jc w:val="distribute"/>
    </w:pPr>
    <w:rPr>
      <w:rFonts w:hint="default" w:ascii="MingLiU" w:hAnsi="MingLiU" w:eastAsia="MingLiU" w:cs="Times New Roman"/>
      <w:spacing w:val="20"/>
      <w:kern w:val="2"/>
      <w:sz w:val="22"/>
      <w:szCs w:val="22"/>
      <w:shd w:val="clear" w:color="auto" w:fill="FFFFFF"/>
      <w:lang w:val="en-US" w:eastAsia="zh-CN" w:bidi="ar-SA"/>
    </w:rPr>
  </w:style>
  <w:style w:type="character" w:customStyle="1" w:styleId="112">
    <w:name w:val="正文文本 (2) + 间距 0 pt2"/>
    <w:qFormat/>
    <w:uiPriority w:val="0"/>
    <w:rPr>
      <w:rFonts w:ascii="MingLiU" w:hAnsi="MingLiU" w:eastAsia="MingLiU" w:cs="MingLiU"/>
      <w:color w:val="000000"/>
      <w:spacing w:val="0"/>
      <w:w w:val="100"/>
      <w:position w:val="0"/>
      <w:sz w:val="22"/>
      <w:szCs w:val="22"/>
      <w:u w:val="none"/>
      <w:shd w:val="clear" w:color="auto" w:fill="FFFFFF"/>
      <w:lang w:val="zh-CN" w:eastAsia="zh-CN" w:bidi="zh-CN"/>
    </w:rPr>
  </w:style>
  <w:style w:type="paragraph" w:customStyle="1" w:styleId="113">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Table Text"/>
    <w:basedOn w:val="113"/>
    <w:semiHidden/>
    <w:qFormat/>
    <w:uiPriority w:val="0"/>
    <w:rPr>
      <w:rFonts w:ascii="宋体" w:hAnsi="宋体" w:cs="宋体"/>
      <w:szCs w:val="21"/>
      <w:lang w:eastAsia="en-US"/>
    </w:rPr>
  </w:style>
  <w:style w:type="table" w:customStyle="1" w:styleId="115">
    <w:name w:val="Table Normal"/>
    <w:unhideWhenUsed/>
    <w:qFormat/>
    <w:uiPriority w:val="2"/>
    <w:rPr>
      <w:rFonts w:ascii="Calibri" w:hAnsi="Calibri"/>
      <w:lang w:val="en-US" w:eastAsia="zh-CN" w:bidi="ar-SA"/>
    </w:rPr>
    <w:tblPr>
      <w:tblCellMar>
        <w:top w:w="0" w:type="dxa"/>
        <w:left w:w="0" w:type="dxa"/>
        <w:bottom w:w="0" w:type="dxa"/>
        <w:right w:w="0" w:type="dxa"/>
      </w:tblCellMar>
    </w:tblPr>
  </w:style>
  <w:style w:type="paragraph" w:customStyle="1" w:styleId="116">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标题 2_0"/>
    <w:basedOn w:val="117"/>
    <w:next w:val="117"/>
    <w:qFormat/>
    <w:uiPriority w:val="9"/>
    <w:pPr>
      <w:keepNext/>
      <w:keepLines/>
      <w:spacing w:before="260" w:after="260" w:line="412" w:lineRule="auto"/>
      <w:outlineLvl w:val="1"/>
    </w:pPr>
    <w:rPr>
      <w:rFonts w:ascii="Arial" w:hAnsi="Arial" w:eastAsia="黑体"/>
      <w:b/>
      <w:sz w:val="32"/>
      <w:szCs w:val="20"/>
    </w:rPr>
  </w:style>
  <w:style w:type="paragraph" w:customStyle="1" w:styleId="119">
    <w:name w:val="标题 3_0"/>
    <w:basedOn w:val="117"/>
    <w:next w:val="117"/>
    <w:unhideWhenUsed/>
    <w:qFormat/>
    <w:uiPriority w:val="9"/>
    <w:pPr>
      <w:keepNext/>
      <w:keepLines/>
      <w:spacing w:before="260" w:after="260" w:line="416" w:lineRule="auto"/>
      <w:outlineLvl w:val="2"/>
    </w:pPr>
    <w:rPr>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83</Pages>
  <Words>5503</Words>
  <Characters>6259</Characters>
  <Lines>0</Lines>
  <Paragraphs>0</Paragraphs>
  <TotalTime>13</TotalTime>
  <ScaleCrop>false</ScaleCrop>
  <LinksUpToDate>false</LinksUpToDate>
  <CharactersWithSpaces>6314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2024-06-14T08:39:00Z</dcterms:created>
  <dc:creator>无知者无畏</dc:creator>
  <cp:lastModifiedBy>admin</cp:lastModifiedBy>
  <cp:lastPrinted>2021-08-26T02:26:00Z</cp:lastPrinted>
  <dcterms:modified xsi:type="dcterms:W3CDTF">2026-08-11T08:56:00Z</dcterms:modified>
  <dc:title>竞争性谈判文件规范</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2FD7D141118546C8BC233EE6FBEF24C4_13</vt:lpwstr>
  </property>
  <property fmtid="{D5CDD505-2E9C-101B-9397-08002B2CF9AE}" pid="4" name="KSOTemplateDocerSaveRecord">
    <vt:lpwstr>eyJoZGlkIjoiZThmNjAzMWJlZjFkMmQwODUwMTJkYzE2ODFiYmFmYTciLCJ1c2VySWQiOiIxMTQzODI0NTMxIn0=</vt:lpwstr>
  </property>
</Properties>
</file>