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结露检查计算书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pPr>
        <w:spacing w:line="180" w:lineRule="atLeast"/>
        <w:jc w:val="center"/>
        <w:rPr>
          <w:rFonts w:ascii="宋体" w:hAnsi="宋体"/>
          <w:b/>
          <w:bCs/>
          <w:szCs w:val="18"/>
          <w:lang w:val="en-US"/>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vAlign w:val="top"/>
          </w:tcPr>
          <w:p>
            <w:pPr>
              <w:pStyle w:val="14"/>
              <w:tabs>
                <w:tab w:val="clear" w:pos="4153"/>
                <w:tab w:val="clear" w:pos="8306"/>
              </w:tabs>
              <w:snapToGrid/>
              <w:spacing w:line="240" w:lineRule="atLeast"/>
              <w:jc w:val="both"/>
              <w:rPr>
                <w:rFonts w:ascii="宋体" w:hAnsi="宋体"/>
                <w:szCs w:val="21"/>
              </w:rPr>
            </w:pPr>
            <w:r>
              <w:rPr>
                <w:rFonts w:hint="eastAsia" w:ascii="宋体" w:hAnsi="宋体"/>
                <w:szCs w:val="21"/>
              </w:rPr>
              <w:t>广西城市建设学校新校区</w:t>
            </w:r>
            <w:r>
              <w:rPr>
                <w:rFonts w:hint="eastAsia" w:ascii="宋体" w:hAnsi="宋体"/>
                <w:szCs w:val="21"/>
                <w:lang w:val="en-US" w:eastAsia="zh-CN"/>
              </w:rPr>
              <w:t>-23#a建筑工匠学院实训大楼</w:t>
            </w:r>
            <w:bookmarkStart w:id="32" w:name="_GoBack"/>
            <w:bookmarkEnd w:id="3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vAlign w:val="top"/>
          </w:tcPr>
          <w:p>
            <w:pPr>
              <w:spacing w:line="240" w:lineRule="atLeast"/>
              <w:rPr>
                <w:rFonts w:ascii="宋体" w:hAnsi="宋体"/>
                <w:szCs w:val="21"/>
              </w:rPr>
            </w:pPr>
            <w:r>
              <w:t>广西-桂林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vAlign w:val="top"/>
          </w:tcPr>
          <w:p>
            <w:pPr>
              <w:spacing w:line="240" w:lineRule="atLeast"/>
              <w:rPr>
                <w:rFonts w:ascii="宋体" w:hAnsi="宋体"/>
                <w:szCs w:val="21"/>
              </w:rPr>
            </w:pPr>
            <w:bookmarkStart w:id="1" w:name="设计编号"/>
            <w:bookmarkEnd w:id="1"/>
            <w:r>
              <w:rPr>
                <w:rFonts w:hint="eastAsia" w:ascii="宋体" w:hAnsi="宋体"/>
                <w:szCs w:val="21"/>
              </w:rPr>
              <w:t xml:space="preserve">JZ-B【2023】-027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vAlign w:val="top"/>
          </w:tcPr>
          <w:p>
            <w:pPr>
              <w:spacing w:line="240" w:lineRule="atLeast"/>
              <w:rPr>
                <w:rFonts w:ascii="宋体" w:hAnsi="宋体"/>
                <w:szCs w:val="21"/>
              </w:rPr>
            </w:pPr>
            <w:r>
              <w:rPr>
                <w:rFonts w:hint="eastAsia" w:ascii="宋体" w:hAnsi="宋体"/>
                <w:szCs w:val="21"/>
              </w:rPr>
              <w:t>广西城市建设学校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vAlign w:val="top"/>
          </w:tcPr>
          <w:p>
            <w:pPr>
              <w:spacing w:line="240" w:lineRule="atLeast"/>
              <w:rPr>
                <w:rFonts w:ascii="宋体" w:hAnsi="宋体"/>
                <w:szCs w:val="21"/>
              </w:rPr>
            </w:pPr>
            <w:r>
              <w:rPr>
                <w:rFonts w:hint="eastAsia" w:ascii="宋体" w:hAnsi="宋体"/>
                <w:szCs w:val="21"/>
              </w:rPr>
              <w:t>广西华业建筑工程有限公司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vAlign w:val="top"/>
          </w:tcPr>
          <w:p>
            <w:pPr>
              <w:spacing w:line="240" w:lineRule="atLeast"/>
              <w:rPr>
                <w:rFonts w:ascii="宋体" w:hAnsi="宋体"/>
                <w:szCs w:val="21"/>
              </w:rPr>
            </w:pPr>
            <w:r>
              <w:rPr>
                <w:rFonts w:hint="default" w:ascii="宋体" w:hAnsi="宋体" w:eastAsia="宋体"/>
                <w:szCs w:val="21"/>
                <w:lang w:val="en-US" w:eastAsia="zh-CN"/>
              </w:rPr>
              <w:t>冯大铭</w:t>
            </w:r>
            <w:r>
              <w:rPr>
                <w:rFonts w:ascii="宋体" w:hAnsi="宋体"/>
                <w:szCs w:val="21"/>
              </w:rPr>
              <w:drawing>
                <wp:inline distT="0" distB="0" distL="114300" distR="114300">
                  <wp:extent cx="982980" cy="241300"/>
                  <wp:effectExtent l="0" t="0" r="7620" b="635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10"/>
                          <a:srcRect b="91689"/>
                          <a:stretch>
                            <a:fillRect/>
                          </a:stretch>
                        </pic:blipFill>
                        <pic:spPr>
                          <a:xfrm>
                            <a:off x="0" y="0"/>
                            <a:ext cx="982980" cy="241300"/>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vAlign w:val="top"/>
          </w:tcPr>
          <w:p>
            <w:pPr>
              <w:spacing w:line="240" w:lineRule="atLeast"/>
              <w:rPr>
                <w:rFonts w:hint="eastAsia" w:ascii="宋体" w:hAnsi="宋体" w:eastAsia="宋体"/>
                <w:szCs w:val="21"/>
                <w:lang w:eastAsia="zh-CN"/>
              </w:rPr>
            </w:pPr>
            <w:r>
              <w:rPr>
                <w:rFonts w:hint="eastAsia" w:ascii="宋体" w:hAnsi="宋体"/>
                <w:szCs w:val="21"/>
              </w:rPr>
              <w:t>方恒专</w:t>
            </w:r>
            <w:r>
              <w:rPr>
                <w:rFonts w:hint="eastAsia" w:ascii="宋体" w:hAnsi="宋体" w:eastAsia="宋体"/>
                <w:szCs w:val="21"/>
                <w:lang w:eastAsia="zh-CN"/>
              </w:rPr>
              <w:drawing>
                <wp:inline distT="0" distB="0" distL="114300" distR="114300">
                  <wp:extent cx="584200" cy="291465"/>
                  <wp:effectExtent l="0" t="0" r="0" b="13335"/>
                  <wp:docPr id="6" name="图片 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
                          <pic:cNvPicPr>
                            <a:picLocks noChangeAspect="1"/>
                          </pic:cNvPicPr>
                        </pic:nvPicPr>
                        <pic:blipFill>
                          <a:blip r:embed="rId11"/>
                          <a:srcRect t="20439" b="62652"/>
                          <a:stretch>
                            <a:fillRect/>
                          </a:stretch>
                        </pic:blipFill>
                        <pic:spPr>
                          <a:xfrm>
                            <a:off x="0" y="0"/>
                            <a:ext cx="584200" cy="291465"/>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vAlign w:val="top"/>
          </w:tcPr>
          <w:p>
            <w:pPr>
              <w:spacing w:line="240" w:lineRule="atLeast"/>
              <w:rPr>
                <w:rFonts w:hint="eastAsia" w:ascii="宋体" w:hAnsi="宋体" w:eastAsia="宋体"/>
                <w:szCs w:val="21"/>
                <w:lang w:eastAsia="zh-CN"/>
              </w:rPr>
            </w:pPr>
            <w:r>
              <w:rPr>
                <w:rFonts w:hint="eastAsia" w:ascii="宋体" w:hAnsi="宋体"/>
                <w:szCs w:val="21"/>
              </w:rPr>
              <w:t>黄  庆</w:t>
            </w:r>
            <w:r>
              <w:rPr>
                <w:rFonts w:hint="eastAsia" w:ascii="宋体" w:hAnsi="宋体" w:eastAsia="宋体"/>
                <w:szCs w:val="21"/>
                <w:lang w:eastAsia="zh-CN"/>
              </w:rPr>
              <w:drawing>
                <wp:inline distT="0" distB="0" distL="114300" distR="114300">
                  <wp:extent cx="973455" cy="326390"/>
                  <wp:effectExtent l="0" t="0" r="0" b="16510"/>
                  <wp:docPr id="7" name="图片 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
                          <pic:cNvPicPr>
                            <a:picLocks noChangeAspect="1"/>
                          </pic:cNvPicPr>
                        </pic:nvPicPr>
                        <pic:blipFill>
                          <a:blip r:embed="rId12"/>
                          <a:srcRect t="88648"/>
                          <a:stretch>
                            <a:fillRect/>
                          </a:stretch>
                        </pic:blipFill>
                        <pic:spPr>
                          <a:xfrm>
                            <a:off x="0" y="0"/>
                            <a:ext cx="973455" cy="326390"/>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计算日期</w:t>
            </w:r>
          </w:p>
        </w:tc>
        <w:tc>
          <w:tcPr>
            <w:tcW w:w="3780" w:type="dxa"/>
            <w:vAlign w:val="top"/>
          </w:tcPr>
          <w:p>
            <w:pPr>
              <w:spacing w:line="240" w:lineRule="atLeast"/>
              <w:rPr>
                <w:rFonts w:ascii="宋体" w:hAnsi="宋体"/>
                <w:szCs w:val="21"/>
              </w:rPr>
            </w:pPr>
            <w:r>
              <w:rPr>
                <w:rFonts w:hint="eastAsia" w:ascii="宋体" w:hAnsi="宋体"/>
                <w:szCs w:val="21"/>
              </w:rPr>
              <w:t>2023年11月17日</w:t>
            </w:r>
          </w:p>
        </w:tc>
      </w:tr>
    </w:tbl>
    <w:p>
      <w:pPr>
        <w:jc w:val="center"/>
        <w:rPr>
          <w:rFonts w:ascii="宋体" w:hAnsi="宋体"/>
          <w:szCs w:val="18"/>
          <w:lang w:val="en-US"/>
        </w:rPr>
      </w:pPr>
    </w:p>
    <w:p>
      <w:pPr>
        <w:jc w:val="center"/>
        <w:rPr>
          <w:rFonts w:ascii="宋体" w:hAnsi="宋体"/>
          <w:bCs/>
          <w:szCs w:val="18"/>
        </w:rPr>
      </w:pPr>
      <w:bookmarkStart w:id="2" w:name="二维码"/>
      <w:bookmarkEnd w:id="2"/>
      <w:r>
        <w:drawing>
          <wp:inline distT="0" distB="0" distL="0" distR="0">
            <wp:extent cx="1514475" cy="15144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1514634" cy="1514634"/>
                    </a:xfrm>
                    <a:prstGeom prst="rect">
                      <a:avLst/>
                    </a:prstGeom>
                  </pic:spPr>
                </pic:pic>
              </a:graphicData>
            </a:graphic>
          </wp:inline>
        </w:drawing>
      </w:r>
    </w:p>
    <w:p>
      <w:pPr>
        <w:jc w:val="center"/>
        <w:rPr>
          <w:rFonts w:ascii="宋体" w:hAnsi="宋体"/>
          <w:bCs/>
          <w:szCs w:val="18"/>
        </w:rPr>
      </w:pPr>
    </w:p>
    <w:p>
      <w:pPr>
        <w:jc w:val="center"/>
        <w:rPr>
          <w:rFonts w:ascii="宋体" w:hAnsi="宋体"/>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3" w:name="软件全称"/>
            <w:r>
              <w:t>斯维尔节能设计Becs2024</w:t>
            </w:r>
            <w:bookmarkEnd w:id="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vAlign w:val="center"/>
          </w:tcPr>
          <w:p>
            <w:pPr>
              <w:jc w:val="both"/>
              <w:rPr>
                <w:rFonts w:ascii="宋体" w:hAnsi="宋体"/>
                <w:szCs w:val="18"/>
              </w:rPr>
            </w:pPr>
            <w:bookmarkStart w:id="4" w:name="软件版本"/>
            <w:r>
              <w:rPr>
                <w:rFonts w:hint="eastAsia" w:ascii="宋体" w:hAnsi="宋体"/>
                <w:szCs w:val="18"/>
              </w:rPr>
              <w:t>20230303(广西)</w:t>
            </w:r>
            <w:bookmarkEnd w:id="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4" w:hRule="atLeast"/>
        </w:trPr>
        <w:tc>
          <w:tcPr>
            <w:tcW w:w="1800" w:type="dxa"/>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vAlign w:val="center"/>
          </w:tcPr>
          <w:p>
            <w:pPr>
              <w:jc w:val="both"/>
              <w:rPr>
                <w:rFonts w:ascii="宋体" w:hAnsi="宋体"/>
                <w:szCs w:val="18"/>
              </w:rPr>
            </w:pPr>
            <w:r>
              <w:rPr>
                <w:rFonts w:hint="eastAsia" w:ascii="宋体" w:cs="宋体"/>
                <w:szCs w:val="18"/>
                <w:lang w:val="zh-CN"/>
              </w:rPr>
              <w:t>北京绿建软件股份有限公司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vAlign w:val="center"/>
          </w:tcPr>
          <w:p>
            <w:pPr>
              <w:jc w:val="both"/>
              <w:rPr>
                <w:rFonts w:ascii="宋体" w:hAnsi="宋体"/>
                <w:szCs w:val="18"/>
              </w:rPr>
            </w:pPr>
            <w:bookmarkStart w:id="5" w:name="加密锁号"/>
            <w:r>
              <w:rPr>
                <w:rFonts w:hint="eastAsia" w:ascii="宋体" w:hAnsi="宋体"/>
                <w:szCs w:val="18"/>
              </w:rPr>
              <w:t>P2F92908B</w:t>
            </w:r>
            <w:bookmarkEnd w:id="5"/>
          </w:p>
        </w:tc>
      </w:tr>
    </w:tbl>
    <w:p>
      <w:pPr>
        <w:pStyle w:val="16"/>
      </w:pPr>
      <w:r>
        <w:rPr>
          <w:rFonts w:ascii="宋体" w:hAnsi="宋体"/>
          <w:b w:val="0"/>
          <w:bCs w:val="0"/>
          <w:sz w:val="32"/>
          <w:szCs w:val="32"/>
        </w:rPr>
        <w:br w:type="textWrapping" w:clear="all"/>
      </w:r>
      <w:r>
        <w:rPr>
          <w:rFonts w:hint="eastAsia"/>
        </w:rPr>
        <w:t xml:space="preserve"> </w:t>
      </w:r>
    </w:p>
    <w:p>
      <w:pPr>
        <w:rPr>
          <w:lang w:val="en-US"/>
        </w:rPr>
        <w:sectPr>
          <w:headerReference r:id="rId3" w:type="first"/>
          <w:footerReference r:id="rId4" w:type="first"/>
          <w:pgSz w:w="11906" w:h="16838"/>
          <w:pgMar w:top="1440" w:right="1418" w:bottom="1440" w:left="1418" w:header="851" w:footer="992" w:gutter="0"/>
          <w:cols w:space="425" w:num="1"/>
          <w:docGrid w:type="lines" w:linePitch="312" w:charSpace="0"/>
        </w:sectPr>
      </w:pPr>
    </w:p>
    <w:p>
      <w:pPr>
        <w:pStyle w:val="2"/>
      </w:pPr>
      <w:bookmarkStart w:id="6" w:name="_Toc316568035"/>
      <w:r>
        <w:rPr>
          <w:rFonts w:hint="eastAsia"/>
        </w:rPr>
        <w:t>建筑概况</w:t>
      </w:r>
      <w:bookmarkEnd w:id="6"/>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9"/>
        <w:gridCol w:w="58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pPr>
              <w:pStyle w:val="3"/>
              <w:ind w:firstLine="0" w:firstLineChars="0"/>
              <w:rPr>
                <w:rFonts w:ascii="宋体" w:hAnsi="宋体"/>
                <w:lang w:val="en-US"/>
              </w:rPr>
            </w:pPr>
            <w:bookmarkStart w:id="7" w:name="工程名称"/>
            <w:r>
              <w:t xml:space="preserve">广西城市建设学校新校区建筑工匠学院实训大楼设计-施工-采购（EPC）工程总承包 </w:t>
            </w:r>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pPr>
              <w:pStyle w:val="3"/>
              <w:ind w:firstLine="0" w:firstLineChars="0"/>
              <w:rPr>
                <w:rFonts w:ascii="宋体" w:hAnsi="宋体"/>
                <w:lang w:val="en-US"/>
              </w:rPr>
            </w:pPr>
            <w:bookmarkStart w:id="8" w:name="工程地点"/>
            <w:r>
              <w:t>广西-桂林</w:t>
            </w:r>
            <w:bookmarkEnd w:id="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pPr>
              <w:pStyle w:val="3"/>
              <w:ind w:firstLine="0" w:firstLineChars="0"/>
              <w:rPr>
                <w:rFonts w:ascii="宋体" w:hAnsi="宋体"/>
                <w:lang w:val="en-US"/>
              </w:rPr>
            </w:pPr>
            <w:bookmarkStart w:id="9" w:name="气候分区"/>
            <w:r>
              <w:t>夏热冬冷区</w:t>
            </w:r>
            <w:bookmarkEnd w:id="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pPr>
              <w:pStyle w:val="3"/>
              <w:ind w:firstLine="0" w:firstLineChars="0"/>
              <w:rPr>
                <w:rFonts w:ascii="宋体" w:hAnsi="宋体"/>
                <w:lang w:val="en-US"/>
              </w:rPr>
            </w:pPr>
            <w:r>
              <w:rPr>
                <w:rFonts w:hint="eastAsia" w:ascii="宋体" w:hAnsi="宋体"/>
                <w:lang w:val="en-US"/>
              </w:rPr>
              <w:t>地上</w:t>
            </w:r>
            <w:bookmarkStart w:id="10" w:name="地上建筑面积"/>
            <w:r>
              <w:rPr>
                <w:rFonts w:hint="eastAsia" w:ascii="宋体" w:hAnsi="宋体"/>
                <w:lang w:val="en-US"/>
              </w:rPr>
              <w:t>9048</w:t>
            </w:r>
            <w:bookmarkEnd w:id="10"/>
            <w:r>
              <w:rPr>
                <w:rFonts w:hint="eastAsia" w:ascii="宋体" w:hAnsi="宋体"/>
              </w:rPr>
              <w:t>㎡</w:t>
            </w:r>
            <w:r>
              <w:rPr>
                <w:rFonts w:hint="eastAsia" w:ascii="宋体" w:hAnsi="宋体"/>
                <w:lang w:val="en-US"/>
              </w:rPr>
              <w:t xml:space="preserve">    地下</w:t>
            </w:r>
            <w:bookmarkStart w:id="11" w:name="地下建筑面积"/>
            <w:r>
              <w:rPr>
                <w:rFonts w:hint="eastAsia" w:ascii="宋体" w:hAnsi="宋体"/>
                <w:lang w:val="en-US"/>
              </w:rPr>
              <w:t>0</w:t>
            </w:r>
            <w:bookmarkEnd w:id="11"/>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pPr>
              <w:pStyle w:val="3"/>
              <w:ind w:firstLine="0" w:firstLineChars="0"/>
              <w:rPr>
                <w:rFonts w:ascii="宋体" w:hAnsi="宋体"/>
                <w:lang w:val="en-US"/>
              </w:rPr>
            </w:pPr>
            <w:r>
              <w:rPr>
                <w:rFonts w:hint="eastAsia" w:ascii="宋体" w:hAnsi="宋体"/>
                <w:lang w:val="en-US"/>
              </w:rPr>
              <w:t>地上</w:t>
            </w:r>
            <w:r>
              <w:rPr>
                <w:rFonts w:hint="eastAsia" w:ascii="宋体" w:hAnsi="宋体"/>
                <w:lang w:val="en-US" w:eastAsia="zh-CN"/>
              </w:rPr>
              <w:t>9</w:t>
            </w:r>
            <w:r>
              <w:rPr>
                <w:rFonts w:hint="eastAsia" w:ascii="宋体" w:hAnsi="宋体"/>
                <w:lang w:val="en-US"/>
              </w:rPr>
              <w:t xml:space="preserve">         地下</w:t>
            </w:r>
            <w:bookmarkStart w:id="12" w:name="地下建筑层数"/>
            <w:r>
              <w:t>0</w:t>
            </w:r>
            <w:bookmarkEnd w:id="1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pPr>
              <w:pStyle w:val="3"/>
              <w:ind w:firstLine="0" w:firstLineChars="0"/>
              <w:rPr>
                <w:rFonts w:ascii="宋体" w:hAnsi="宋体"/>
                <w:lang w:val="en-US"/>
              </w:rPr>
            </w:pPr>
            <w:bookmarkStart w:id="13" w:name="地上建筑高度"/>
            <w:r>
              <w:rPr>
                <w:rFonts w:hint="eastAsia" w:ascii="宋体" w:hAnsi="宋体"/>
                <w:lang w:val="en-US"/>
              </w:rPr>
              <w:t>38.7</w:t>
            </w:r>
            <w:bookmarkEnd w:id="13"/>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pPr>
              <w:pStyle w:val="3"/>
              <w:ind w:firstLine="0" w:firstLineChars="0"/>
              <w:rPr>
                <w:rFonts w:ascii="宋体" w:hAnsi="宋体"/>
                <w:lang w:val="en-US"/>
              </w:rPr>
            </w:pPr>
            <w:bookmarkStart w:id="14" w:name="结构类型"/>
            <w:r>
              <w:t>框架结构</w:t>
            </w:r>
            <w:bookmarkEnd w:id="1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r>
              <w:rPr>
                <w:position w:val="-6"/>
              </w:rPr>
              <w:object>
                <v:shape id="_x0000_i1025" o:spt="75" type="#_x0000_t75" style="height:12pt;width:27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pPr>
              <w:pStyle w:val="3"/>
              <w:ind w:firstLine="0" w:firstLineChars="0"/>
              <w:rPr>
                <w:rFonts w:ascii="宋体" w:hAnsi="宋体"/>
                <w:lang w:val="en-US"/>
              </w:rPr>
            </w:pPr>
            <w:bookmarkStart w:id="15" w:name="累年最低日平均温度"/>
            <w:r>
              <w:t>-0.2</w:t>
            </w:r>
            <w:bookmarkEnd w:id="1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r>
              <w:rPr>
                <w:position w:val="-6"/>
              </w:rPr>
              <w:object>
                <v:shape id="_x0000_i1026" o:spt="75" type="#_x0000_t75" style="height:12pt;width:1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pPr>
              <w:pStyle w:val="3"/>
              <w:ind w:firstLine="0" w:firstLineChars="0"/>
              <w:rPr>
                <w:rFonts w:ascii="宋体" w:hAnsi="宋体"/>
                <w:lang w:val="en-US"/>
              </w:rPr>
            </w:pPr>
            <w:bookmarkStart w:id="16" w:name="采暖期室外计算温度"/>
            <w:r>
              <w:t>4.1</w:t>
            </w:r>
            <w:bookmarkEnd w:id="16"/>
          </w:p>
        </w:tc>
      </w:tr>
    </w:tbl>
    <w:p>
      <w:pPr>
        <w:pStyle w:val="2"/>
      </w:pPr>
      <w:bookmarkStart w:id="17" w:name="_Toc316568036"/>
      <w:bookmarkStart w:id="18" w:name="TitleFormat"/>
      <w:r>
        <w:rPr>
          <w:rFonts w:hint="eastAsia"/>
        </w:rPr>
        <w:t>评价依据</w:t>
      </w:r>
      <w:bookmarkEnd w:id="17"/>
    </w:p>
    <w:bookmarkEnd w:id="18"/>
    <w:p>
      <w:pPr>
        <w:widowControl w:val="0"/>
        <w:jc w:val="both"/>
        <w:rPr>
          <w:kern w:val="2"/>
          <w:szCs w:val="24"/>
          <w:lang w:val="en-US"/>
        </w:rPr>
      </w:pPr>
      <w:r>
        <w:rPr>
          <w:kern w:val="2"/>
          <w:szCs w:val="24"/>
          <w:lang w:val="en-US"/>
        </w:rPr>
        <w:t>1</w:t>
      </w:r>
      <w:r>
        <w:rPr>
          <w:rFonts w:hint="eastAsia"/>
          <w:kern w:val="2"/>
          <w:szCs w:val="24"/>
          <w:lang w:val="en-US"/>
        </w:rPr>
        <w:t xml:space="preserve">. </w:t>
      </w:r>
      <w:bookmarkStart w:id="19" w:name="建筑环境通用规范Y"/>
      <w:r>
        <w:rPr>
          <w:rFonts w:hint="eastAsia"/>
          <w:kern w:val="2"/>
          <w:szCs w:val="24"/>
          <w:lang w:val="en-US"/>
        </w:rPr>
        <w:t>《建筑环境通用规范》GB55016-2021</w:t>
      </w:r>
      <w:bookmarkEnd w:id="19"/>
    </w:p>
    <w:p>
      <w:pPr>
        <w:widowControl w:val="0"/>
        <w:jc w:val="both"/>
        <w:rPr>
          <w:kern w:val="2"/>
          <w:lang w:val="en-US"/>
        </w:rPr>
      </w:pPr>
      <w:r>
        <w:rPr>
          <w:rFonts w:hint="eastAsia"/>
          <w:kern w:val="2"/>
          <w:szCs w:val="24"/>
          <w:lang w:val="en-US"/>
        </w:rPr>
        <w:t xml:space="preserve">2. </w:t>
      </w:r>
      <w:bookmarkStart w:id="20" w:name="地方绿建评价标准"/>
      <w:r>
        <w:rPr>
          <w:rFonts w:hint="eastAsia"/>
          <w:kern w:val="2"/>
          <w:szCs w:val="24"/>
          <w:lang w:val="en-US"/>
        </w:rPr>
        <w:t>《绿色建筑评价标准》GB/T 50378-2019</w:t>
      </w:r>
      <w:bookmarkEnd w:id="20"/>
    </w:p>
    <w:p>
      <w:pPr>
        <w:widowControl w:val="0"/>
        <w:jc w:val="both"/>
        <w:rPr>
          <w:kern w:val="2"/>
          <w:lang w:val="en-US"/>
        </w:rPr>
      </w:pPr>
      <w:r>
        <w:rPr>
          <w:rFonts w:hint="eastAsia"/>
          <w:kern w:val="2"/>
          <w:szCs w:val="24"/>
          <w:lang w:val="en-US"/>
        </w:rPr>
        <w:t xml:space="preserve">3. </w:t>
      </w:r>
      <w:bookmarkStart w:id="21" w:name="民用建筑热工设计规范Y"/>
      <w:r>
        <w:rPr>
          <w:rFonts w:hint="eastAsia"/>
          <w:kern w:val="2"/>
          <w:szCs w:val="24"/>
          <w:lang w:val="en-US"/>
        </w:rPr>
        <w:t>《民用建筑热工设计规范》GB50176-2016</w:t>
      </w:r>
      <w:bookmarkEnd w:id="21"/>
    </w:p>
    <w:p>
      <w:pPr>
        <w:widowControl w:val="0"/>
        <w:jc w:val="both"/>
        <w:rPr>
          <w:kern w:val="2"/>
          <w:lang w:val="en-US"/>
        </w:rPr>
      </w:pPr>
      <w:r>
        <w:rPr>
          <w:rFonts w:hint="eastAsia"/>
          <w:kern w:val="2"/>
          <w:szCs w:val="24"/>
          <w:lang w:val="en-US"/>
        </w:rPr>
        <w:t>4.  施工图、设计说明、墙身大样图、节能计算书</w:t>
      </w:r>
    </w:p>
    <w:p>
      <w:pPr>
        <w:pStyle w:val="2"/>
      </w:pPr>
      <w:r>
        <w:rPr>
          <w:rFonts w:hint="eastAsia"/>
        </w:rPr>
        <w:t>评价目标与方法</w:t>
      </w:r>
    </w:p>
    <w:p>
      <w:pPr>
        <w:pStyle w:val="4"/>
        <w:rPr>
          <w:kern w:val="2"/>
        </w:rPr>
      </w:pPr>
      <w:r>
        <w:rPr>
          <w:rFonts w:hint="eastAsia"/>
          <w:kern w:val="2"/>
        </w:rPr>
        <w:t>评价目标</w:t>
      </w:r>
    </w:p>
    <w:p>
      <w:pPr>
        <w:pStyle w:val="5"/>
      </w:pPr>
      <w:bookmarkStart w:id="22" w:name="热桥部位评价目标"/>
      <w:r>
        <w:rPr>
          <w:rFonts w:hint="eastAsia"/>
        </w:rPr>
        <w:t>热</w:t>
      </w:r>
      <w:r>
        <w:t>桥部位</w:t>
      </w:r>
      <w:r>
        <w:rPr>
          <w:rFonts w:hint="eastAsia"/>
        </w:rPr>
        <w:t>评价目标</w:t>
      </w:r>
    </w:p>
    <w:p>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3" w:name="建筑环境通用规范Y：1"/>
      <w:r>
        <w:rPr>
          <w:rFonts w:hint="eastAsia"/>
          <w:kern w:val="2"/>
          <w:szCs w:val="24"/>
          <w:lang w:val="en-US"/>
        </w:rPr>
        <w:t>《建筑环境通用规范》GB55016-2021</w:t>
      </w:r>
      <w:bookmarkEnd w:id="23"/>
      <w:r>
        <w:rPr>
          <w:kern w:val="2"/>
          <w:szCs w:val="24"/>
          <w:lang w:val="en-US"/>
        </w:rPr>
        <w:t xml:space="preserve"> </w:t>
      </w:r>
      <w:r>
        <w:rPr>
          <w:rFonts w:hint="eastAsia" w:ascii="宋体" w:hAnsi="宋体"/>
          <w:kern w:val="2"/>
          <w:szCs w:val="21"/>
          <w:lang w:val="en-US"/>
        </w:rPr>
        <w:t>的要求和规定：</w:t>
      </w:r>
    </w:p>
    <w:p>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pPr>
        <w:autoSpaceDE w:val="0"/>
        <w:autoSpaceDN w:val="0"/>
        <w:adjustRightInd w:val="0"/>
        <w:spacing w:line="350" w:lineRule="atLeast"/>
        <w:ind w:firstLine="630" w:firstLineChars="300"/>
      </w:pPr>
      <w:r>
        <w:t>1 当冬季室外计算温度低于 0.9℃时，应对热桥部位进行 内表面结露验算。</w:t>
      </w:r>
    </w:p>
    <w:p>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4" w:name="地方绿建评价标准：1"/>
      <w:r>
        <w:rPr>
          <w:rFonts w:ascii="宋体" w:hAnsi="宋体"/>
          <w:kern w:val="2"/>
          <w:szCs w:val="21"/>
          <w:lang w:val="en-US"/>
        </w:rPr>
        <w:t>《绿色建筑评价标准》GB/T 50378-2019</w:t>
      </w:r>
      <w:bookmarkEnd w:id="24"/>
      <w:r>
        <w:rPr>
          <w:rFonts w:hint="eastAsia" w:ascii="宋体" w:hAnsi="宋体"/>
          <w:kern w:val="2"/>
          <w:szCs w:val="21"/>
          <w:lang w:val="en-US"/>
        </w:rPr>
        <w:t>“围护结构的内表面在室内设计温、湿度条件下无结露现象”的要求。</w:t>
      </w:r>
    </w:p>
    <w:bookmarkEnd w:id="22"/>
    <w:p>
      <w:pPr>
        <w:pStyle w:val="5"/>
      </w:pPr>
      <w:bookmarkStart w:id="25" w:name="主体部位评价目标"/>
      <w:r>
        <w:rPr>
          <w:rFonts w:hint="eastAsia"/>
        </w:rPr>
        <w:t>主</w:t>
      </w:r>
      <w:r>
        <w:t>体部位</w:t>
      </w:r>
      <w:r>
        <w:rPr>
          <w:rFonts w:hint="eastAsia"/>
        </w:rPr>
        <w:t>评价目标</w:t>
      </w:r>
    </w:p>
    <w:p>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26" w:name="建筑环境通用规范Y：2"/>
      <w:r>
        <w:rPr>
          <w:rFonts w:hint="eastAsia"/>
          <w:kern w:val="2"/>
          <w:szCs w:val="24"/>
          <w:lang w:val="en-US"/>
        </w:rPr>
        <w:t>《建筑环境通用规范》GB55016-2021</w:t>
      </w:r>
      <w:bookmarkEnd w:id="26"/>
      <w:r>
        <w:rPr>
          <w:kern w:val="2"/>
          <w:szCs w:val="24"/>
          <w:lang w:val="en-US"/>
        </w:rPr>
        <w:t xml:space="preserve"> </w:t>
      </w:r>
      <w:r>
        <w:rPr>
          <w:rFonts w:hint="eastAsia" w:ascii="宋体" w:hAnsi="宋体"/>
          <w:kern w:val="2"/>
          <w:szCs w:val="21"/>
          <w:lang w:val="en-US"/>
        </w:rPr>
        <w:t>的要求和规定：</w:t>
      </w:r>
    </w:p>
    <w:p>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19"/>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0"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外墙</w:t>
            </w:r>
          </w:p>
        </w:tc>
        <w:tc>
          <w:tcPr>
            <w:tcW w:w="2240" w:type="dxa"/>
            <w:vMerge w:val="restart"/>
            <w:tcBorders>
              <w:top w:val="single" w:color="auto" w:sz="4" w:space="0"/>
              <w:left w:val="single" w:color="auto" w:sz="4" w:space="0"/>
              <w:bottom w:val="single" w:color="auto" w:sz="4" w:space="0"/>
              <w:right w:val="single" w:color="auto" w:sz="4" w:space="0"/>
            </w:tcBorders>
            <w:vAlign w:val="center"/>
          </w:tcPr>
          <w:p>
            <w:pPr>
              <w:pStyle w:val="3"/>
              <w:spacing w:line="240" w:lineRule="exact"/>
              <w:ind w:right="-111" w:rightChars="-53" w:firstLine="0" w:firstLineChars="0"/>
              <w:jc w:val="center"/>
              <w:rPr>
                <w:color w:val="000000"/>
              </w:rPr>
            </w:pPr>
            <w:r>
              <w:rPr>
                <w:position w:val="-6"/>
              </w:rPr>
              <w:object>
                <v:shape id="_x0000_i1027" o:spt="75" type="#_x0000_t75" style="height:14.25pt;width:36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楼、屋面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地面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地下室外墙</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bookmarkEnd w:id="25"/>
    </w:tbl>
    <w:p>
      <w:pPr>
        <w:pStyle w:val="4"/>
        <w:rPr>
          <w:kern w:val="2"/>
        </w:rPr>
      </w:pPr>
      <w:r>
        <w:rPr>
          <w:rFonts w:hint="eastAsia"/>
          <w:kern w:val="2"/>
        </w:rPr>
        <w:t>评价方法</w:t>
      </w:r>
    </w:p>
    <w:p>
      <w:pPr>
        <w:pStyle w:val="5"/>
      </w:pPr>
      <w:bookmarkStart w:id="27" w:name="热桥部位评价方法"/>
      <w:r>
        <w:rPr>
          <w:rFonts w:hint="eastAsia"/>
        </w:rPr>
        <w:t>热</w:t>
      </w:r>
      <w:r>
        <w:t>桥部位</w:t>
      </w:r>
      <w:r>
        <w:rPr>
          <w:rFonts w:hint="eastAsia"/>
        </w:rPr>
        <w:t>评价方法</w:t>
      </w:r>
    </w:p>
    <w:p>
      <w:pPr>
        <w:pStyle w:val="24"/>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28" w:name="民用建筑热工设计规范Y：1"/>
      <w:r>
        <w:rPr>
          <w:rFonts w:cs="宋体"/>
        </w:rPr>
        <w:t>《民用建筑热工设计规范》GB50176-2016</w:t>
      </w:r>
      <w:bookmarkEnd w:id="28"/>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19"/>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pPr>
              <w:pStyle w:val="3"/>
              <w:spacing w:line="240" w:lineRule="atLeast"/>
              <w:ind w:right="-111" w:rightChars="-53" w:firstLine="0" w:firstLineChars="0"/>
              <w:jc w:val="center"/>
              <w:rPr>
                <w:color w:val="000000"/>
              </w:rPr>
            </w:pPr>
            <w:r>
              <w:rPr>
                <w:position w:val="-6"/>
              </w:rPr>
              <w:object>
                <v:shape id="_x0000_i1029" o:spt="75" type="#_x0000_t75" style="height:12pt;width:8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1.6≤D＜4.1</w:t>
            </w:r>
          </w:p>
        </w:tc>
        <w:tc>
          <w:tcPr>
            <w:tcW w:w="2240" w:type="dxa"/>
          </w:tcPr>
          <w:p>
            <w:pPr>
              <w:pStyle w:val="3"/>
              <w:spacing w:line="240" w:lineRule="atLeast"/>
              <w:ind w:right="-111" w:rightChars="-53" w:firstLine="0" w:firstLineChars="0"/>
              <w:jc w:val="center"/>
              <w:rPr>
                <w:color w:val="000000"/>
              </w:rPr>
            </w:pPr>
            <w:r>
              <w:rPr>
                <w:position w:val="-6"/>
              </w:rPr>
              <w:object>
                <v:shape id="_x0000_i1030" o:spt="75" type="#_x0000_t75" style="height:12pt;width:81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D&lt;l. 6</w:t>
            </w:r>
          </w:p>
        </w:tc>
        <w:tc>
          <w:tcPr>
            <w:tcW w:w="2240" w:type="dxa"/>
          </w:tcPr>
          <w:p>
            <w:pPr>
              <w:pStyle w:val="3"/>
              <w:spacing w:line="240" w:lineRule="atLeast"/>
              <w:ind w:right="-111" w:rightChars="-53" w:firstLine="0" w:firstLineChars="0"/>
              <w:jc w:val="center"/>
              <w:rPr>
                <w:color w:val="000000"/>
              </w:rPr>
            </w:pPr>
            <w:r>
              <w:rPr>
                <w:position w:val="-6"/>
              </w:rPr>
              <w:object>
                <v:shape id="_x0000_i1031" o:spt="75" type="#_x0000_t75" style="height:12pt;width:42.7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p>
        </w:tc>
      </w:tr>
    </w:tbl>
    <w:p>
      <w:pPr>
        <w:autoSpaceDE w:val="0"/>
        <w:autoSpaceDN w:val="0"/>
        <w:adjustRightInd w:val="0"/>
        <w:snapToGrid w:val="0"/>
        <w:spacing w:line="300" w:lineRule="auto"/>
        <w:ind w:left="360"/>
        <w:rPr>
          <w:rFonts w:cs="宋体"/>
        </w:rPr>
      </w:pPr>
    </w:p>
    <w:p>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29" w:name="民用建筑热工设计规范Y：2"/>
      <w:r>
        <w:rPr>
          <w:rFonts w:ascii="宋体" w:hAnsi="宋体"/>
          <w:kern w:val="2"/>
          <w:szCs w:val="21"/>
          <w:lang w:val="en-US"/>
        </w:rPr>
        <w:t>《民用建筑热工设计规范》GB50176-2016</w:t>
      </w:r>
      <w:bookmarkEnd w:id="29"/>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27"/>
    <w:p>
      <w:pPr>
        <w:pStyle w:val="5"/>
      </w:pPr>
      <w:bookmarkStart w:id="30" w:name="主体部位评价方法"/>
      <w:r>
        <w:rPr>
          <w:rFonts w:hint="eastAsia"/>
        </w:rPr>
        <w:t>主</w:t>
      </w:r>
      <w:r>
        <w:t>体部位</w:t>
      </w:r>
      <w:r>
        <w:rPr>
          <w:rFonts w:hint="eastAsia"/>
        </w:rPr>
        <w:t>评价方法</w:t>
      </w:r>
    </w:p>
    <w:p>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pPr>
        <w:ind w:left="210" w:leftChars="100" w:firstLine="420" w:firstLineChars="200"/>
        <w:rPr>
          <w:lang w:val="en-US"/>
        </w:rPr>
      </w:pPr>
      <w:r>
        <w:rPr>
          <w:lang w:val="en-US"/>
        </w:rPr>
        <w:t>t</w:t>
      </w:r>
      <w:r>
        <w:rPr>
          <w:vertAlign w:val="subscript"/>
          <w:lang w:val="en-US"/>
        </w:rPr>
        <w:t>i</w:t>
      </w:r>
      <w:r>
        <w:rPr>
          <w:rFonts w:hint="eastAsia"/>
          <w:lang w:val="en-US"/>
        </w:rPr>
        <w:t>——室内计算温度（℃）；</w:t>
      </w:r>
    </w:p>
    <w:p>
      <w:pPr>
        <w:ind w:left="210" w:leftChars="100" w:firstLine="420" w:firstLineChars="200"/>
        <w:rPr>
          <w:lang w:val="en-US"/>
        </w:rPr>
      </w:pPr>
      <w:r>
        <w:rPr>
          <w:lang w:val="en-US"/>
        </w:rPr>
        <w:t>te</w:t>
      </w:r>
      <w:r>
        <w:rPr>
          <w:rFonts w:hint="eastAsia"/>
          <w:lang w:val="en-US"/>
        </w:rPr>
        <w:t>——室外计算温度（℃）</w:t>
      </w:r>
    </w:p>
    <w:p>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pPr>
        <w:ind w:firstLine="525" w:firstLineChars="250"/>
        <w:rPr>
          <w:lang w:val="en-US"/>
        </w:rPr>
      </w:pPr>
      <w:r>
        <w:rPr>
          <w:lang w:val="en-US"/>
        </w:rPr>
        <w:t>t</w:t>
      </w:r>
      <w:r>
        <w:rPr>
          <w:vertAlign w:val="subscript"/>
          <w:lang w:val="en-US"/>
        </w:rPr>
        <w:t>i</w:t>
      </w:r>
      <w:r>
        <w:rPr>
          <w:rFonts w:hint="eastAsia"/>
          <w:lang w:val="en-US"/>
        </w:rPr>
        <w:t>——室内计算温度（℃）；</w:t>
      </w:r>
    </w:p>
    <w:p>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1" w:name="民用建筑热工设计规范Y：3"/>
      <w:r>
        <w:rPr>
          <w:rFonts w:ascii="宋体" w:hAnsi="宋体"/>
          <w:kern w:val="2"/>
          <w:szCs w:val="21"/>
          <w:lang w:val="en-US"/>
        </w:rPr>
        <w:t>《民用建筑热工设计规范》GB50176-2016</w:t>
      </w:r>
      <w:bookmarkEnd w:id="31"/>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0"/>
    <w:p>
      <w:pPr>
        <w:pStyle w:val="2"/>
        <w:autoSpaceDE w:val="0"/>
        <w:autoSpaceDN w:val="0"/>
        <w:adjustRightInd w:val="0"/>
        <w:snapToGrid w:val="0"/>
        <w:rPr>
          <w:kern w:val="2"/>
          <w:szCs w:val="21"/>
          <w:lang w:val="en-US"/>
        </w:rPr>
      </w:pPr>
      <w:r>
        <w:rPr>
          <w:kern w:val="2"/>
          <w:szCs w:val="21"/>
          <w:lang w:val="en-US"/>
        </w:rPr>
        <w:t>评价内容</w:t>
      </w:r>
    </w:p>
    <w:p>
      <w:pPr>
        <w:pStyle w:val="4"/>
        <w:autoSpaceDE w:val="0"/>
        <w:autoSpaceDN w:val="0"/>
        <w:adjustRightInd w:val="0"/>
        <w:snapToGrid w:val="0"/>
        <w:rPr>
          <w:kern w:val="2"/>
          <w:szCs w:val="21"/>
          <w:lang w:val="en-US"/>
        </w:rPr>
      </w:pPr>
      <w:r>
        <w:rPr>
          <w:kern w:val="2"/>
          <w:szCs w:val="21"/>
          <w:lang w:val="en-US"/>
        </w:rPr>
        <w:t>基础计算条件和露点温度</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120"/>
        <w:gridCol w:w="52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地点</w:t>
            </w:r>
          </w:p>
        </w:tc>
        <w:tc>
          <w:tcPr>
            <w:vAlign w:val="center"/>
          </w:tcPr>
          <w:p>
            <w:r>
              <w:t>广西-桂林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ai 内表面换热系数W/(m2.K)</w:t>
            </w:r>
          </w:p>
        </w:tc>
        <w:tc>
          <w:tcPr>
            <w:vAlign w:val="center"/>
          </w:tcPr>
          <w:p>
            <w:r>
              <w:t>8.7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ae 外表面换热系数W/(m2.K)</w:t>
            </w:r>
          </w:p>
        </w:tc>
        <w:tc>
          <w:tcPr>
            <w:vAlign w:val="center"/>
          </w:tcPr>
          <w:p>
            <w:r>
              <w:t>23.0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ti 室内计算温度(℃)</w:t>
            </w:r>
          </w:p>
        </w:tc>
        <w:tc>
          <w:tcPr>
            <w:vAlign w:val="center"/>
          </w:tcPr>
          <w:p>
            <w:r>
              <w:t>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te.min 累年最低日平均温度(℃)</w:t>
            </w:r>
          </w:p>
        </w:tc>
        <w:tc>
          <w:tcPr>
            <w:vAlign w:val="center"/>
          </w:tcPr>
          <w:p>
            <w:r>
              <w:t>-0.20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tw 采暖室外计算温度(℃)</w:t>
            </w:r>
          </w:p>
        </w:tc>
        <w:tc>
          <w:tcPr>
            <w:vAlign w:val="center"/>
          </w:tcPr>
          <w:p>
            <w:r>
              <w:t>4.10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室内相对湿度 (%)</w:t>
            </w:r>
          </w:p>
        </w:tc>
        <w:tc>
          <w:tcPr>
            <w:vAlign w:val="center"/>
          </w:tcPr>
          <w:p>
            <w:r>
              <w:t>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室内露点温度(℃)</w:t>
            </w:r>
          </w:p>
        </w:tc>
        <w:tc>
          <w:tcPr>
            <w:vAlign w:val="center"/>
          </w:tcPr>
          <w:p>
            <w:r>
              <w:t>10.12</w:t>
            </w:r>
          </w:p>
        </w:tc>
      </w:tr>
    </w:tbl>
    <w:p>
      <w:pPr>
        <w:pStyle w:val="4"/>
        <w:autoSpaceDE w:val="0"/>
        <w:autoSpaceDN w:val="0"/>
        <w:adjustRightInd w:val="0"/>
        <w:snapToGrid w:val="0"/>
        <w:rPr>
          <w:kern w:val="2"/>
          <w:szCs w:val="21"/>
          <w:lang w:val="en-US"/>
        </w:rPr>
      </w:pPr>
      <w:r>
        <w:rPr>
          <w:kern w:val="2"/>
          <w:szCs w:val="21"/>
          <w:lang w:val="en-US"/>
        </w:rPr>
        <w:t>热桥节点图和内表面温度计算</w:t>
      </w:r>
    </w:p>
    <w:p>
      <w:pPr>
        <w:pStyle w:val="5"/>
        <w:autoSpaceDE w:val="0"/>
        <w:autoSpaceDN w:val="0"/>
        <w:adjustRightInd w:val="0"/>
        <w:snapToGrid w:val="0"/>
        <w:rPr>
          <w:kern w:val="2"/>
          <w:szCs w:val="21"/>
          <w:lang w:val="en-US"/>
        </w:rPr>
      </w:pPr>
      <w:r>
        <w:rPr>
          <w:kern w:val="2"/>
          <w:szCs w:val="21"/>
          <w:lang w:val="en-US"/>
        </w:rPr>
        <w:t>外墙－屋顶(OW-R5)节点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2.667</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6383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8"/>
                          <a:stretch>
                            <a:fillRect/>
                          </a:stretch>
                        </pic:blipFill>
                        <pic:spPr>
                          <a:xfrm>
                            <a:off x="0" y="0"/>
                            <a:ext cx="2962275" cy="1638300"/>
                          </a:xfrm>
                          <a:prstGeom prst="rect">
                            <a:avLst/>
                          </a:prstGeom>
                        </pic:spPr>
                      </pic:pic>
                    </a:graphicData>
                  </a:graphic>
                </wp:inline>
              </w:drawing>
            </w:r>
          </w:p>
        </w:tc>
        <w:tc>
          <w:tcPr>
            <w:vAlign w:val="center"/>
          </w:tcPr>
          <w:p>
            <w:r>
              <w:drawing>
                <wp:inline distT="0" distB="0" distL="0" distR="0">
                  <wp:extent cx="2962275" cy="1619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外墙－窗左右口(OW-WR4)节点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60</w:t>
            </w:r>
          </w:p>
        </w:tc>
        <w:tc>
          <w:tcPr>
            <w:vAlign w:val="center"/>
          </w:tcPr>
          <w:p>
            <w:r>
              <w:t>0.180</w:t>
            </w:r>
          </w:p>
        </w:tc>
        <w:tc>
          <w:tcPr>
            <w:vAlign w:val="center"/>
          </w:tcPr>
          <w:p>
            <w:r>
              <w:t>2.890</w:t>
            </w:r>
          </w:p>
        </w:tc>
        <w:tc>
          <w:tcPr>
            <w:vAlign w:val="center"/>
          </w:tcPr>
          <w:p>
            <w:r>
              <w:t>0.333</w:t>
            </w:r>
          </w:p>
        </w:tc>
        <w:tc>
          <w:tcPr>
            <w:vAlign w:val="center"/>
          </w:tcPr>
          <w:p>
            <w:r>
              <w:t>0.963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9.3</w:t>
            </w:r>
          </w:p>
        </w:tc>
        <w:tc>
          <w:tcPr>
            <w:vAlign w:val="center"/>
          </w:tcPr>
          <w:p>
            <w:r>
              <w:t>1.740</w:t>
            </w:r>
          </w:p>
        </w:tc>
        <w:tc>
          <w:tcPr>
            <w:vAlign w:val="center"/>
          </w:tcPr>
          <w:p>
            <w:r>
              <w:t>17.200</w:t>
            </w:r>
          </w:p>
        </w:tc>
        <w:tc>
          <w:tcPr>
            <w:vAlign w:val="center"/>
          </w:tcPr>
          <w:p>
            <w:r>
              <w:t>0.005</w:t>
            </w:r>
          </w:p>
        </w:tc>
        <w:tc>
          <w:tcPr>
            <w:vAlign w:val="center"/>
          </w:tcPr>
          <w:p>
            <w:r>
              <w:t>0.092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120.7</w:t>
            </w:r>
          </w:p>
        </w:tc>
        <w:tc>
          <w:tcPr>
            <w:vAlign w:val="center"/>
          </w:tcPr>
          <w:p>
            <w:r>
              <w:t>0.180</w:t>
            </w:r>
          </w:p>
        </w:tc>
        <w:tc>
          <w:tcPr>
            <w:vAlign w:val="center"/>
          </w:tcPr>
          <w:p>
            <w:r>
              <w:t>2.890</w:t>
            </w:r>
          </w:p>
        </w:tc>
        <w:tc>
          <w:tcPr>
            <w:vAlign w:val="center"/>
          </w:tcPr>
          <w:p>
            <w:r>
              <w:t>0.671</w:t>
            </w:r>
          </w:p>
        </w:tc>
        <w:tc>
          <w:tcPr>
            <w:vAlign w:val="center"/>
          </w:tcPr>
          <w:p>
            <w:r>
              <w:t>1.938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5525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0"/>
                          <a:stretch>
                            <a:fillRect/>
                          </a:stretch>
                        </pic:blipFill>
                        <pic:spPr>
                          <a:xfrm>
                            <a:off x="0" y="0"/>
                            <a:ext cx="2962275" cy="1552575"/>
                          </a:xfrm>
                          <a:prstGeom prst="rect">
                            <a:avLst/>
                          </a:prstGeom>
                        </pic:spPr>
                      </pic:pic>
                    </a:graphicData>
                  </a:graphic>
                </wp:inline>
              </w:drawing>
            </w:r>
          </w:p>
        </w:tc>
        <w:tc>
          <w:tcPr>
            <w:vAlign w:val="center"/>
          </w:tcPr>
          <w:p>
            <w:r>
              <w:drawing>
                <wp:inline distT="0" distB="0" distL="0" distR="0">
                  <wp:extent cx="2962275" cy="16192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1"/>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外墙－窗上口(OW-WU4)节点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2"/>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外墙－窗下口(OW-WB8)节点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57</w:t>
            </w:r>
          </w:p>
        </w:tc>
        <w:tc>
          <w:tcPr>
            <w:vAlign w:val="center"/>
          </w:tcPr>
          <w:p>
            <w:r>
              <w:t>0.070</w:t>
            </w:r>
          </w:p>
        </w:tc>
        <w:tc>
          <w:tcPr>
            <w:vAlign w:val="center"/>
          </w:tcPr>
          <w:p>
            <w:r>
              <w:t>1.260</w:t>
            </w:r>
          </w:p>
        </w:tc>
        <w:tc>
          <w:tcPr>
            <w:vAlign w:val="center"/>
          </w:tcPr>
          <w:p>
            <w:r>
              <w:t>0.814</w:t>
            </w:r>
          </w:p>
        </w:tc>
        <w:tc>
          <w:tcPr>
            <w:vAlign w:val="center"/>
          </w:tcPr>
          <w:p>
            <w:r>
              <w:t>1.026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w:t>
            </w:r>
          </w:p>
        </w:tc>
        <w:tc>
          <w:tcPr>
            <w:vAlign w:val="center"/>
          </w:tcPr>
          <w:p>
            <w:r>
              <w:t>0.180</w:t>
            </w:r>
          </w:p>
        </w:tc>
        <w:tc>
          <w:tcPr>
            <w:vAlign w:val="center"/>
          </w:tcPr>
          <w:p>
            <w:r>
              <w:t>2.890</w:t>
            </w:r>
          </w:p>
        </w:tc>
        <w:tc>
          <w:tcPr>
            <w:vAlign w:val="center"/>
          </w:tcPr>
          <w:p>
            <w:r>
              <w:t>0.034</w:t>
            </w:r>
          </w:p>
        </w:tc>
        <w:tc>
          <w:tcPr>
            <w:vAlign w:val="center"/>
          </w:tcPr>
          <w:p>
            <w:r>
              <w:t>0.097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0.5</w:t>
            </w:r>
          </w:p>
        </w:tc>
        <w:tc>
          <w:tcPr>
            <w:vAlign w:val="center"/>
          </w:tcPr>
          <w:p>
            <w:r>
              <w:t>1.740</w:t>
            </w:r>
          </w:p>
        </w:tc>
        <w:tc>
          <w:tcPr>
            <w:vAlign w:val="center"/>
          </w:tcPr>
          <w:p>
            <w:r>
              <w:t>17.200</w:t>
            </w:r>
          </w:p>
        </w:tc>
        <w:tc>
          <w:tcPr>
            <w:vAlign w:val="center"/>
          </w:tcPr>
          <w:p>
            <w:r>
              <w:t>0.000</w:t>
            </w:r>
          </w:p>
        </w:tc>
        <w:tc>
          <w:tcPr>
            <w:vAlign w:val="center"/>
          </w:tcPr>
          <w:p>
            <w:r>
              <w:t>0.005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60</w:t>
            </w:r>
          </w:p>
        </w:tc>
        <w:tc>
          <w:tcPr>
            <w:vAlign w:val="center"/>
          </w:tcPr>
          <w:p>
            <w:r>
              <w:t>0.180</w:t>
            </w:r>
          </w:p>
        </w:tc>
        <w:tc>
          <w:tcPr>
            <w:vAlign w:val="center"/>
          </w:tcPr>
          <w:p>
            <w:r>
              <w:t>2.890</w:t>
            </w:r>
          </w:p>
        </w:tc>
        <w:tc>
          <w:tcPr>
            <w:vAlign w:val="center"/>
          </w:tcPr>
          <w:p>
            <w:r>
              <w:t>0.333</w:t>
            </w:r>
          </w:p>
        </w:tc>
        <w:tc>
          <w:tcPr>
            <w:vAlign w:val="center"/>
          </w:tcPr>
          <w:p>
            <w:r>
              <w:t>0.963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2.09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外墙－凸墙角(OW-C1)节点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外墙－凹墙角(OW-C2)节点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809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8"/>
                          <a:stretch>
                            <a:fillRect/>
                          </a:stretch>
                        </pic:blipFill>
                        <pic:spPr>
                          <a:xfrm>
                            <a:off x="0" y="0"/>
                            <a:ext cx="2962275" cy="2809875"/>
                          </a:xfrm>
                          <a:prstGeom prst="rect">
                            <a:avLst/>
                          </a:prstGeom>
                        </pic:spPr>
                      </pic:pic>
                    </a:graphicData>
                  </a:graphic>
                </wp:inline>
              </w:drawing>
            </w:r>
          </w:p>
        </w:tc>
        <w:tc>
          <w:tcPr>
            <w:vAlign w:val="center"/>
          </w:tcPr>
          <w:p>
            <w:r>
              <w:drawing>
                <wp:inline distT="0" distB="0" distL="0" distR="0">
                  <wp:extent cx="2962275" cy="24288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外墙－楼板(OW-F1)节点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40"/>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41"/>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外墙－挑空楼板(OW-FW2)节点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挤塑聚苯乙烯泡沫塑料（带表皮）</w:t>
            </w:r>
          </w:p>
        </w:tc>
        <w:tc>
          <w:tcPr>
            <w:vAlign w:val="center"/>
          </w:tcPr>
          <w:p>
            <w:r>
              <w:t>40</w:t>
            </w:r>
          </w:p>
        </w:tc>
        <w:tc>
          <w:tcPr>
            <w:vAlign w:val="center"/>
          </w:tcPr>
          <w:p>
            <w:r>
              <w:t>0.030</w:t>
            </w:r>
          </w:p>
        </w:tc>
        <w:tc>
          <w:tcPr>
            <w:vAlign w:val="center"/>
          </w:tcPr>
          <w:p>
            <w:r>
              <w:t>0.340</w:t>
            </w:r>
          </w:p>
        </w:tc>
        <w:tc>
          <w:tcPr>
            <w:vAlign w:val="center"/>
          </w:tcPr>
          <w:p>
            <w:r>
              <w:t>1.333</w:t>
            </w:r>
          </w:p>
        </w:tc>
        <w:tc>
          <w:tcPr>
            <w:vAlign w:val="center"/>
          </w:tcPr>
          <w:p>
            <w:r>
              <w:t>0.453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te=te.min</w:t>
            </w:r>
          </w:p>
        </w:tc>
        <w:tc>
          <w:tcPr>
            <w:vAlign w:val="center"/>
          </w:tcPr>
          <w:p>
            <w:r>
              <w:t>-0.20</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-0.20.</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241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42"/>
                          <a:stretch>
                            <a:fillRect/>
                          </a:stretch>
                        </pic:blipFill>
                        <pic:spPr>
                          <a:xfrm>
                            <a:off x="0" y="0"/>
                            <a:ext cx="2962275" cy="2924175"/>
                          </a:xfrm>
                          <a:prstGeom prst="rect">
                            <a:avLst/>
                          </a:prstGeom>
                        </pic:spPr>
                      </pic:pic>
                    </a:graphicData>
                  </a:graphic>
                </wp:inline>
              </w:drawing>
            </w:r>
          </w:p>
        </w:tc>
        <w:tc>
          <w:tcPr>
            <w:vAlign w:val="center"/>
          </w:tcPr>
          <w:p>
            <w:r>
              <w:drawing>
                <wp:inline distT="0" distB="0" distL="0" distR="0">
                  <wp:extent cx="2962275" cy="24288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3"/>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外墙－内隔墙(OW-P1)节点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0.500</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89547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4"/>
                          <a:stretch>
                            <a:fillRect/>
                          </a:stretch>
                        </pic:blipFill>
                        <pic:spPr>
                          <a:xfrm>
                            <a:off x="0" y="0"/>
                            <a:ext cx="2962275" cy="1895475"/>
                          </a:xfrm>
                          <a:prstGeom prst="rect">
                            <a:avLst/>
                          </a:prstGeom>
                        </pic:spPr>
                      </pic:pic>
                    </a:graphicData>
                  </a:graphic>
                </wp:inline>
              </w:drawing>
            </w:r>
          </w:p>
        </w:tc>
        <w:tc>
          <w:tcPr>
            <w:vAlign w:val="center"/>
          </w:tcPr>
          <w:p>
            <w:r>
              <w:drawing>
                <wp:inline distT="0" distB="0" distL="0" distR="0">
                  <wp:extent cx="2962275" cy="16192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45"/>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4"/>
        <w:autoSpaceDE w:val="0"/>
        <w:autoSpaceDN w:val="0"/>
        <w:adjustRightInd w:val="0"/>
        <w:snapToGrid w:val="0"/>
        <w:rPr>
          <w:kern w:val="2"/>
          <w:szCs w:val="21"/>
          <w:lang w:val="en-US"/>
        </w:rPr>
      </w:pPr>
      <w:r>
        <w:rPr>
          <w:kern w:val="2"/>
          <w:szCs w:val="21"/>
          <w:lang w:val="en-US"/>
        </w:rPr>
        <w:t>主体结构做法及内表面温度计算</w:t>
      </w:r>
    </w:p>
    <w:p>
      <w:pPr>
        <w:pStyle w:val="5"/>
        <w:autoSpaceDE w:val="0"/>
        <w:autoSpaceDN w:val="0"/>
        <w:adjustRightInd w:val="0"/>
        <w:snapToGrid w:val="0"/>
        <w:rPr>
          <w:kern w:val="2"/>
          <w:szCs w:val="21"/>
          <w:lang w:val="en-US"/>
        </w:rPr>
      </w:pPr>
      <w:r>
        <w:rPr>
          <w:kern w:val="2"/>
          <w:szCs w:val="21"/>
          <w:lang w:val="en-US"/>
        </w:rPr>
        <w:t>屋顶</w:t>
      </w:r>
    </w:p>
    <w:p>
      <w:pPr>
        <w:pStyle w:val="6"/>
        <w:autoSpaceDE w:val="0"/>
        <w:autoSpaceDN w:val="0"/>
        <w:adjustRightInd w:val="0"/>
        <w:snapToGrid w:val="0"/>
        <w:rPr>
          <w:kern w:val="2"/>
          <w:szCs w:val="21"/>
          <w:lang w:val="en-US"/>
        </w:rPr>
      </w:pPr>
      <w:r>
        <w:rPr>
          <w:kern w:val="2"/>
          <w:szCs w:val="21"/>
          <w:lang w:val="en-US"/>
        </w:rPr>
        <w:t>平屋面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2.36</w:t>
            </w:r>
          </w:p>
        </w:tc>
        <w:tc>
          <w:tcPr>
            <w:vAlign w:val="center"/>
          </w:tcPr>
          <w:p>
            <w:r>
              <w:t>3.02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传热阻Ro(㎡.K/W)</w:t>
            </w:r>
          </w:p>
        </w:tc>
        <w:tc>
          <w:tcPr>
            <w:gridSpan w:val="6"/>
            <w:vAlign w:val="center"/>
          </w:tcPr>
          <w:p>
            <w:pPr>
              <w:jc w:val="center"/>
            </w:pPr>
            <w:r>
              <w:t>2.52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室外热工计算温度te（℃）</w:t>
            </w:r>
          </w:p>
        </w:tc>
        <w:tc>
          <w:tcPr>
            <w:gridSpan w:val="5"/>
            <w:vAlign w:val="center"/>
          </w:tcPr>
          <w:p>
            <w:pPr>
              <w:jc w:val="center"/>
            </w:pPr>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θi=ti-(ti-te)*Ri/Ro</w:t>
            </w:r>
          </w:p>
        </w:tc>
        <w:tc>
          <w:tcPr>
            <w:vAlign w:val="center"/>
          </w:tcPr>
          <w:p>
            <w:r>
              <w:t>17.26</w:t>
            </w:r>
          </w:p>
        </w:tc>
      </w:tr>
    </w:tbl>
    <w:p>
      <w:pPr>
        <w:pStyle w:val="5"/>
        <w:autoSpaceDE w:val="0"/>
        <w:autoSpaceDN w:val="0"/>
        <w:adjustRightInd w:val="0"/>
        <w:snapToGrid w:val="0"/>
        <w:rPr>
          <w:kern w:val="2"/>
          <w:szCs w:val="21"/>
          <w:lang w:val="en-US"/>
        </w:rPr>
      </w:pPr>
      <w:r>
        <w:rPr>
          <w:kern w:val="2"/>
          <w:szCs w:val="21"/>
          <w:lang w:val="en-US"/>
        </w:rPr>
        <w:t>外墙</w:t>
      </w:r>
    </w:p>
    <w:p>
      <w:pPr>
        <w:pStyle w:val="6"/>
        <w:autoSpaceDE w:val="0"/>
        <w:autoSpaceDN w:val="0"/>
        <w:adjustRightInd w:val="0"/>
        <w:snapToGrid w:val="0"/>
        <w:rPr>
          <w:kern w:val="2"/>
          <w:szCs w:val="21"/>
          <w:lang w:val="en-US"/>
        </w:rPr>
      </w:pPr>
      <w:r>
        <w:rPr>
          <w:kern w:val="2"/>
          <w:szCs w:val="21"/>
          <w:lang w:val="en-US"/>
        </w:rP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1.20</w:t>
            </w:r>
          </w:p>
        </w:tc>
        <w:tc>
          <w:tcPr>
            <w:vAlign w:val="center"/>
          </w:tcPr>
          <w:p>
            <w:r>
              <w:t>0.417</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1.50</w:t>
            </w:r>
          </w:p>
        </w:tc>
        <w:tc>
          <w:tcPr>
            <w:vAlign w:val="center"/>
          </w:tcPr>
          <w:p>
            <w:r>
              <w:t>3.99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传热阻Ro(㎡.K/W)</w:t>
            </w:r>
          </w:p>
        </w:tc>
        <w:tc>
          <w:tcPr>
            <w:gridSpan w:val="6"/>
            <w:vAlign w:val="center"/>
          </w:tcPr>
          <w:p>
            <w:pPr>
              <w:jc w:val="center"/>
            </w:pPr>
            <w:r>
              <w:t>1.66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室外热工计算温度te（℃）</w:t>
            </w:r>
          </w:p>
        </w:tc>
        <w:tc>
          <w:tcPr>
            <w:gridSpan w:val="5"/>
            <w:vAlign w:val="center"/>
          </w:tcPr>
          <w:p>
            <w:pPr>
              <w:jc w:val="center"/>
            </w:pPr>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θi=ti-(ti-te)*Ri/Ro</w:t>
            </w:r>
          </w:p>
        </w:tc>
        <w:tc>
          <w:tcPr>
            <w:vAlign w:val="center"/>
          </w:tcPr>
          <w:p>
            <w:r>
              <w:t>16.88</w:t>
            </w:r>
          </w:p>
        </w:tc>
      </w:tr>
    </w:tbl>
    <w:p>
      <w:pPr>
        <w:pStyle w:val="5"/>
        <w:autoSpaceDE w:val="0"/>
        <w:autoSpaceDN w:val="0"/>
        <w:adjustRightInd w:val="0"/>
        <w:snapToGrid w:val="0"/>
        <w:rPr>
          <w:kern w:val="2"/>
          <w:szCs w:val="21"/>
          <w:lang w:val="en-US"/>
        </w:rPr>
      </w:pPr>
      <w:r>
        <w:rPr>
          <w:kern w:val="2"/>
          <w:szCs w:val="21"/>
          <w:lang w:val="en-US"/>
        </w:rPr>
        <w:t>周边地面</w:t>
      </w:r>
    </w:p>
    <w:p>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瓷砖粘结砂浆</w:t>
            </w:r>
          </w:p>
        </w:tc>
        <w:tc>
          <w:tcPr>
            <w:vAlign w:val="center"/>
          </w:tcPr>
          <w:p>
            <w:r>
              <w:t>20</w:t>
            </w:r>
          </w:p>
        </w:tc>
        <w:tc>
          <w:tcPr>
            <w:vAlign w:val="center"/>
          </w:tcPr>
          <w:p>
            <w:r>
              <w:t>0.870</w:t>
            </w:r>
          </w:p>
        </w:tc>
        <w:tc>
          <w:tcPr>
            <w:vAlign w:val="center"/>
          </w:tcPr>
          <w:p>
            <w:r>
              <w:t>10.750</w:t>
            </w:r>
          </w:p>
        </w:tc>
        <w:tc>
          <w:tcPr>
            <w:vAlign w:val="center"/>
          </w:tcPr>
          <w:p>
            <w:r>
              <w:t>1.00</w:t>
            </w:r>
          </w:p>
        </w:tc>
        <w:tc>
          <w:tcPr>
            <w:vAlign w:val="center"/>
          </w:tcPr>
          <w:p>
            <w:r>
              <w:t>0.023</w:t>
            </w:r>
          </w:p>
        </w:tc>
        <w:tc>
          <w:tcPr>
            <w:vAlign w:val="center"/>
          </w:tcPr>
          <w:p>
            <w:r>
              <w:t>0.247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120</w:t>
            </w:r>
          </w:p>
        </w:tc>
        <w:tc>
          <w:tcPr>
            <w:vAlign w:val="center"/>
          </w:tcPr>
          <w:p>
            <w:r>
              <w:t>1.740</w:t>
            </w:r>
          </w:p>
        </w:tc>
        <w:tc>
          <w:tcPr>
            <w:vAlign w:val="center"/>
          </w:tcPr>
          <w:p>
            <w:r>
              <w:t>17.200</w:t>
            </w:r>
          </w:p>
        </w:tc>
        <w:tc>
          <w:tcPr>
            <w:vAlign w:val="center"/>
          </w:tcPr>
          <w:p>
            <w:r>
              <w:t>1.00</w:t>
            </w:r>
          </w:p>
        </w:tc>
        <w:tc>
          <w:tcPr>
            <w:vAlign w:val="center"/>
          </w:tcPr>
          <w:p>
            <w:r>
              <w:t>0.069</w:t>
            </w:r>
          </w:p>
        </w:tc>
        <w:tc>
          <w:tcPr>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0.09</w:t>
            </w:r>
          </w:p>
        </w:tc>
        <w:tc>
          <w:tcPr>
            <w:vAlign w:val="center"/>
          </w:tcPr>
          <w:p>
            <w:r>
              <w:t>1.43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热阻Rg(㎡.K/W)</w:t>
            </w:r>
          </w:p>
        </w:tc>
        <w:tc>
          <w:tcPr>
            <w:gridSpan w:val="6"/>
            <w:vAlign w:val="center"/>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地面与土体接触面温度θe（℃）</w:t>
            </w:r>
          </w:p>
        </w:tc>
        <w:tc>
          <w:tcPr>
            <w:gridSpan w:val="6"/>
            <w:vAlign w:val="center"/>
          </w:tcPr>
          <w:p>
            <w:pPr>
              <w:jc w:val="center"/>
            </w:pPr>
            <w:r>
              <w:t>13.30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θi=(ti*Rg+θe*Ri)/(Rg+Ri)</w:t>
            </w:r>
          </w:p>
        </w:tc>
        <w:tc>
          <w:tcPr>
            <w:vAlign w:val="center"/>
          </w:tcPr>
          <w:p>
            <w:r>
              <w:t>16.34</w:t>
            </w:r>
          </w:p>
        </w:tc>
      </w:tr>
    </w:tbl>
    <w:p>
      <w:pPr>
        <w:pStyle w:val="5"/>
        <w:autoSpaceDE w:val="0"/>
        <w:autoSpaceDN w:val="0"/>
        <w:adjustRightInd w:val="0"/>
        <w:snapToGrid w:val="0"/>
        <w:rPr>
          <w:kern w:val="2"/>
          <w:szCs w:val="21"/>
          <w:lang w:val="en-US"/>
        </w:rPr>
      </w:pPr>
      <w:r>
        <w:rPr>
          <w:kern w:val="2"/>
          <w:szCs w:val="21"/>
          <w:lang w:val="en-US"/>
        </w:rPr>
        <w:t>非周边地面</w:t>
      </w:r>
    </w:p>
    <w:p>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瓷砖粘结砂浆</w:t>
            </w:r>
          </w:p>
        </w:tc>
        <w:tc>
          <w:tcPr>
            <w:vAlign w:val="center"/>
          </w:tcPr>
          <w:p>
            <w:r>
              <w:t>20</w:t>
            </w:r>
          </w:p>
        </w:tc>
        <w:tc>
          <w:tcPr>
            <w:vAlign w:val="center"/>
          </w:tcPr>
          <w:p>
            <w:r>
              <w:t>0.870</w:t>
            </w:r>
          </w:p>
        </w:tc>
        <w:tc>
          <w:tcPr>
            <w:vAlign w:val="center"/>
          </w:tcPr>
          <w:p>
            <w:r>
              <w:t>10.750</w:t>
            </w:r>
          </w:p>
        </w:tc>
        <w:tc>
          <w:tcPr>
            <w:vAlign w:val="center"/>
          </w:tcPr>
          <w:p>
            <w:r>
              <w:t>1.00</w:t>
            </w:r>
          </w:p>
        </w:tc>
        <w:tc>
          <w:tcPr>
            <w:vAlign w:val="center"/>
          </w:tcPr>
          <w:p>
            <w:r>
              <w:t>0.023</w:t>
            </w:r>
          </w:p>
        </w:tc>
        <w:tc>
          <w:tcPr>
            <w:vAlign w:val="center"/>
          </w:tcPr>
          <w:p>
            <w:r>
              <w:t>0.247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120</w:t>
            </w:r>
          </w:p>
        </w:tc>
        <w:tc>
          <w:tcPr>
            <w:vAlign w:val="center"/>
          </w:tcPr>
          <w:p>
            <w:r>
              <w:t>1.740</w:t>
            </w:r>
          </w:p>
        </w:tc>
        <w:tc>
          <w:tcPr>
            <w:vAlign w:val="center"/>
          </w:tcPr>
          <w:p>
            <w:r>
              <w:t>17.200</w:t>
            </w:r>
          </w:p>
        </w:tc>
        <w:tc>
          <w:tcPr>
            <w:vAlign w:val="center"/>
          </w:tcPr>
          <w:p>
            <w:r>
              <w:t>1.00</w:t>
            </w:r>
          </w:p>
        </w:tc>
        <w:tc>
          <w:tcPr>
            <w:vAlign w:val="center"/>
          </w:tcPr>
          <w:p>
            <w:r>
              <w:t>0.069</w:t>
            </w:r>
          </w:p>
        </w:tc>
        <w:tc>
          <w:tcPr>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0.09</w:t>
            </w:r>
          </w:p>
        </w:tc>
        <w:tc>
          <w:tcPr>
            <w:vAlign w:val="center"/>
          </w:tcPr>
          <w:p>
            <w:r>
              <w:t>1.43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热阻Rg(㎡.K/W)</w:t>
            </w:r>
          </w:p>
        </w:tc>
        <w:tc>
          <w:tcPr>
            <w:gridSpan w:val="6"/>
            <w:vAlign w:val="center"/>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地面与土体接触面温度θe（℃）</w:t>
            </w:r>
          </w:p>
        </w:tc>
        <w:tc>
          <w:tcPr>
            <w:gridSpan w:val="6"/>
            <w:vAlign w:val="center"/>
          </w:tcPr>
          <w:p>
            <w:pPr>
              <w:jc w:val="center"/>
            </w:pPr>
            <w:r>
              <w:t>13.30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θi=(ti*Rg+θe*Ri)/(Rg+Ri)</w:t>
            </w:r>
          </w:p>
        </w:tc>
        <w:tc>
          <w:tcPr>
            <w:vAlign w:val="center"/>
          </w:tcPr>
          <w:p>
            <w:r>
              <w:t>16.34</w:t>
            </w:r>
          </w:p>
        </w:tc>
      </w:tr>
    </w:tbl>
    <w:p>
      <w:pPr>
        <w:pStyle w:val="2"/>
        <w:autoSpaceDE w:val="0"/>
        <w:autoSpaceDN w:val="0"/>
        <w:adjustRightInd w:val="0"/>
        <w:snapToGrid w:val="0"/>
        <w:rPr>
          <w:kern w:val="2"/>
          <w:szCs w:val="21"/>
          <w:lang w:val="en-US"/>
        </w:rPr>
      </w:pPr>
      <w:r>
        <w:rPr>
          <w:kern w:val="2"/>
          <w:szCs w:val="21"/>
          <w:lang w:val="en-US"/>
        </w:rPr>
        <w:t>结论</w:t>
      </w:r>
    </w:p>
    <w:p>
      <w:pPr>
        <w:pStyle w:val="4"/>
        <w:autoSpaceDE w:val="0"/>
        <w:autoSpaceDN w:val="0"/>
        <w:adjustRightInd w:val="0"/>
        <w:snapToGrid w:val="0"/>
        <w:rPr>
          <w:kern w:val="2"/>
          <w:szCs w:val="21"/>
          <w:lang w:val="en-US"/>
        </w:rPr>
      </w:pPr>
      <w:r>
        <w:rPr>
          <w:kern w:val="2"/>
          <w:szCs w:val="21"/>
          <w:lang w:val="en-US"/>
        </w:rPr>
        <w:t>围护结构热桥结露验算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82"/>
        <w:gridCol w:w="1131"/>
        <w:gridCol w:w="1799"/>
        <w:gridCol w:w="1709"/>
        <w:gridCol w:w="1471"/>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热桥部位</w:t>
            </w:r>
          </w:p>
        </w:tc>
        <w:tc>
          <w:tcPr>
            <w:shd w:val="clear" w:color="auto" w:fill="E6E6E6"/>
            <w:vAlign w:val="center"/>
          </w:tcPr>
          <w:p>
            <w:pPr>
              <w:jc w:val="center"/>
            </w:pPr>
            <w:r>
              <w:t>热桥类型</w:t>
            </w:r>
          </w:p>
        </w:tc>
        <w:tc>
          <w:tcPr>
            <w:shd w:val="clear" w:color="auto" w:fill="E6E6E6"/>
            <w:vAlign w:val="center"/>
          </w:tcPr>
          <w:p>
            <w:pPr>
              <w:jc w:val="center"/>
            </w:pPr>
            <w:r>
              <w:t>冬季室外计算温度(℃)</w:t>
            </w:r>
          </w:p>
        </w:tc>
        <w:tc>
          <w:tcPr>
            <w:shd w:val="clear" w:color="auto" w:fill="E6E6E6"/>
            <w:vAlign w:val="center"/>
          </w:tcPr>
          <w:p>
            <w:pPr>
              <w:jc w:val="center"/>
            </w:pPr>
            <w:r>
              <w:t>内表面最低温度(℃)</w:t>
            </w:r>
          </w:p>
        </w:tc>
        <w:tc>
          <w:tcPr>
            <w:shd w:val="clear" w:color="auto" w:fill="E6E6E6"/>
            <w:vAlign w:val="center"/>
          </w:tcPr>
          <w:p>
            <w:pPr>
              <w:jc w:val="center"/>
            </w:pPr>
            <w:r>
              <w:t>露点温度(℃)</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外墙－屋顶</w:t>
            </w:r>
          </w:p>
        </w:tc>
        <w:tc>
          <w:tcPr>
            <w:vAlign w:val="center"/>
          </w:tcPr>
          <w:p>
            <w:r>
              <w:t>OW-R5</w:t>
            </w:r>
          </w:p>
        </w:tc>
        <w:tc>
          <w:tcPr>
            <w:vAlign w:val="center"/>
          </w:tcPr>
          <w:p>
            <w:r>
              <w:t>1.09</w:t>
            </w:r>
          </w:p>
        </w:tc>
        <w:tc>
          <w:tcPr>
            <w:vAlign w:val="center"/>
          </w:tcPr>
          <w:p>
            <w:r>
              <w:t>14.87</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外墙－窗左右口</w:t>
            </w:r>
          </w:p>
        </w:tc>
        <w:tc>
          <w:tcPr>
            <w:vAlign w:val="center"/>
          </w:tcPr>
          <w:p>
            <w:r>
              <w:t>OW-WR4</w:t>
            </w:r>
          </w:p>
        </w:tc>
        <w:tc>
          <w:tcPr>
            <w:vAlign w:val="center"/>
          </w:tcPr>
          <w:p>
            <w:r>
              <w:t>1.09</w:t>
            </w:r>
          </w:p>
        </w:tc>
        <w:tc>
          <w:tcPr>
            <w:vAlign w:val="center"/>
          </w:tcPr>
          <w:p>
            <w:r>
              <w:t>12.64</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外墙－窗上口</w:t>
            </w:r>
          </w:p>
        </w:tc>
        <w:tc>
          <w:tcPr>
            <w:vAlign w:val="center"/>
          </w:tcPr>
          <w:p>
            <w:r>
              <w:t>OW-WU4</w:t>
            </w:r>
          </w:p>
        </w:tc>
        <w:tc>
          <w:tcPr>
            <w:vAlign w:val="center"/>
          </w:tcPr>
          <w:p>
            <w:r>
              <w:t>1.09</w:t>
            </w:r>
          </w:p>
        </w:tc>
        <w:tc>
          <w:tcPr>
            <w:vAlign w:val="center"/>
          </w:tcPr>
          <w:p>
            <w:r>
              <w:t>13.10</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外墙－窗下口</w:t>
            </w:r>
          </w:p>
        </w:tc>
        <w:tc>
          <w:tcPr>
            <w:vAlign w:val="center"/>
          </w:tcPr>
          <w:p>
            <w:r>
              <w:t>OW-WB8</w:t>
            </w:r>
          </w:p>
        </w:tc>
        <w:tc>
          <w:tcPr>
            <w:vAlign w:val="center"/>
          </w:tcPr>
          <w:p>
            <w:r>
              <w:t>1.09</w:t>
            </w:r>
          </w:p>
        </w:tc>
        <w:tc>
          <w:tcPr>
            <w:vAlign w:val="center"/>
          </w:tcPr>
          <w:p>
            <w:r>
              <w:t>14.42</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外墙－凸墙角</w:t>
            </w:r>
          </w:p>
        </w:tc>
        <w:tc>
          <w:tcPr>
            <w:vAlign w:val="center"/>
          </w:tcPr>
          <w:p>
            <w:r>
              <w:t>OW-C1</w:t>
            </w:r>
          </w:p>
        </w:tc>
        <w:tc>
          <w:tcPr>
            <w:vAlign w:val="center"/>
          </w:tcPr>
          <w:p>
            <w:r>
              <w:t>1.09</w:t>
            </w:r>
          </w:p>
        </w:tc>
        <w:tc>
          <w:tcPr>
            <w:vAlign w:val="center"/>
          </w:tcPr>
          <w:p>
            <w:r>
              <w:t>14.91</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外墙－凹墙角</w:t>
            </w:r>
          </w:p>
        </w:tc>
        <w:tc>
          <w:tcPr>
            <w:vAlign w:val="center"/>
          </w:tcPr>
          <w:p>
            <w:r>
              <w:t>OW-C2</w:t>
            </w:r>
          </w:p>
        </w:tc>
        <w:tc>
          <w:tcPr>
            <w:vAlign w:val="center"/>
          </w:tcPr>
          <w:p>
            <w:r>
              <w:t>1.09</w:t>
            </w:r>
          </w:p>
        </w:tc>
        <w:tc>
          <w:tcPr>
            <w:vAlign w:val="center"/>
          </w:tcPr>
          <w:p>
            <w:r>
              <w:t>16.76</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外墙－楼板</w:t>
            </w:r>
          </w:p>
        </w:tc>
        <w:tc>
          <w:tcPr>
            <w:vAlign w:val="center"/>
          </w:tcPr>
          <w:p>
            <w:r>
              <w:t>OW-F1</w:t>
            </w:r>
          </w:p>
        </w:tc>
        <w:tc>
          <w:tcPr>
            <w:vAlign w:val="center"/>
          </w:tcPr>
          <w:p>
            <w:r>
              <w:t>1.09</w:t>
            </w:r>
          </w:p>
        </w:tc>
        <w:tc>
          <w:tcPr>
            <w:vAlign w:val="center"/>
          </w:tcPr>
          <w:p>
            <w:r>
              <w:t>15.64</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外墙－挑空楼板</w:t>
            </w:r>
          </w:p>
        </w:tc>
        <w:tc>
          <w:tcPr>
            <w:vAlign w:val="center"/>
          </w:tcPr>
          <w:p>
            <w:r>
              <w:t>OW-FW2</w:t>
            </w:r>
          </w:p>
        </w:tc>
        <w:tc>
          <w:tcPr>
            <w:vAlign w:val="center"/>
          </w:tcPr>
          <w:p>
            <w:r>
              <w:t>-0.20</w:t>
            </w:r>
          </w:p>
        </w:tc>
        <w:tc>
          <w:tcPr>
            <w:vAlign w:val="center"/>
          </w:tcPr>
          <w:p>
            <w:r>
              <w:t>11.98</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外墙－内隔墙</w:t>
            </w:r>
          </w:p>
        </w:tc>
        <w:tc>
          <w:tcPr>
            <w:vAlign w:val="center"/>
          </w:tcPr>
          <w:p>
            <w:r>
              <w:t>OW-P1</w:t>
            </w:r>
          </w:p>
        </w:tc>
        <w:tc>
          <w:tcPr>
            <w:vAlign w:val="center"/>
          </w:tcPr>
          <w:p>
            <w:r>
              <w:t>1.09</w:t>
            </w:r>
          </w:p>
        </w:tc>
        <w:tc>
          <w:tcPr>
            <w:vAlign w:val="center"/>
          </w:tcPr>
          <w:p>
            <w:r>
              <w:t>16.76</w:t>
            </w:r>
          </w:p>
        </w:tc>
        <w:tc>
          <w:tcPr>
            <w:vAlign w:val="center"/>
          </w:tcPr>
          <w:p>
            <w:r>
              <w:t>10.12</w:t>
            </w:r>
          </w:p>
        </w:tc>
        <w:tc>
          <w:tcPr>
            <w:vAlign w:val="center"/>
          </w:tcPr>
          <w:p>
            <w:r>
              <w:t>不结露</w:t>
            </w:r>
          </w:p>
        </w:tc>
      </w:tr>
    </w:tbl>
    <w:p>
      <w:pPr>
        <w:pStyle w:val="4"/>
        <w:autoSpaceDE w:val="0"/>
        <w:autoSpaceDN w:val="0"/>
        <w:adjustRightInd w:val="0"/>
        <w:snapToGrid w:val="0"/>
        <w:rPr>
          <w:kern w:val="2"/>
          <w:szCs w:val="21"/>
          <w:lang w:val="en-US"/>
        </w:rPr>
      </w:pPr>
      <w:r>
        <w:rPr>
          <w:kern w:val="2"/>
          <w:szCs w:val="21"/>
          <w:lang w:val="en-US"/>
        </w:rPr>
        <w:t>围护结构内表面允许温差</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主体部位</w:t>
            </w:r>
          </w:p>
        </w:tc>
        <w:tc>
          <w:tcPr>
            <w:shd w:val="clear" w:color="auto" w:fill="E6E6E6"/>
            <w:vAlign w:val="center"/>
          </w:tcPr>
          <w:p>
            <w:pPr>
              <w:jc w:val="center"/>
            </w:pPr>
            <w:r>
              <w:t>内表面温度θi(℃)</w:t>
            </w:r>
          </w:p>
        </w:tc>
        <w:tc>
          <w:tcPr>
            <w:shd w:val="clear" w:color="auto" w:fill="E6E6E6"/>
            <w:vAlign w:val="center"/>
          </w:tcPr>
          <w:p>
            <w:pPr>
              <w:jc w:val="center"/>
            </w:pPr>
            <w:r>
              <w:t>室内设计温度ti(℃)</w:t>
            </w:r>
          </w:p>
        </w:tc>
        <w:tc>
          <w:tcPr>
            <w:shd w:val="clear" w:color="auto" w:fill="E6E6E6"/>
            <w:vAlign w:val="center"/>
          </w:tcPr>
          <w:p>
            <w:pPr>
              <w:jc w:val="center"/>
            </w:pPr>
            <w:r>
              <w:t>露点温度(℃)</w:t>
            </w:r>
          </w:p>
        </w:tc>
        <w:tc>
          <w:tcPr>
            <w:shd w:val="clear" w:color="auto" w:fill="E6E6E6"/>
            <w:vAlign w:val="center"/>
          </w:tcPr>
          <w:p>
            <w:pPr>
              <w:jc w:val="center"/>
            </w:pPr>
            <w:r>
              <w:t>设计温差△t</w:t>
            </w:r>
          </w:p>
        </w:tc>
        <w:tc>
          <w:tcPr>
            <w:shd w:val="clear" w:color="auto" w:fill="E6E6E6"/>
            <w:vAlign w:val="center"/>
          </w:tcPr>
          <w:p>
            <w:pPr>
              <w:jc w:val="center"/>
            </w:pPr>
            <w:r>
              <w:t>允许温差ti-td</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屋顶-平屋面</w:t>
            </w:r>
          </w:p>
        </w:tc>
        <w:tc>
          <w:tcPr>
            <w:vAlign w:val="center"/>
          </w:tcPr>
          <w:p>
            <w:r>
              <w:t>17.26</w:t>
            </w:r>
          </w:p>
        </w:tc>
        <w:tc>
          <w:tcPr>
            <w:vAlign w:val="center"/>
          </w:tcPr>
          <w:p>
            <w:r>
              <w:t>18</w:t>
            </w:r>
          </w:p>
        </w:tc>
        <w:tc>
          <w:tcPr>
            <w:vAlign w:val="center"/>
          </w:tcPr>
          <w:p>
            <w:r>
              <w:t>10.12</w:t>
            </w:r>
          </w:p>
        </w:tc>
        <w:tc>
          <w:tcPr>
            <w:vAlign w:val="center"/>
          </w:tcPr>
          <w:p>
            <w:r>
              <w:t>0.74</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外墙-外墙</w:t>
            </w:r>
          </w:p>
        </w:tc>
        <w:tc>
          <w:tcPr>
            <w:vAlign w:val="center"/>
          </w:tcPr>
          <w:p>
            <w:r>
              <w:t>16.88</w:t>
            </w:r>
          </w:p>
        </w:tc>
        <w:tc>
          <w:tcPr>
            <w:vAlign w:val="center"/>
          </w:tcPr>
          <w:p>
            <w:r>
              <w:t>18</w:t>
            </w:r>
          </w:p>
        </w:tc>
        <w:tc>
          <w:tcPr>
            <w:vAlign w:val="center"/>
          </w:tcPr>
          <w:p>
            <w:r>
              <w:t>10.12</w:t>
            </w:r>
          </w:p>
        </w:tc>
        <w:tc>
          <w:tcPr>
            <w:vAlign w:val="center"/>
          </w:tcPr>
          <w:p>
            <w:r>
              <w:t>1.12</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周边地面-混凝土120不保温地面</w:t>
            </w:r>
          </w:p>
        </w:tc>
        <w:tc>
          <w:tcPr>
            <w:vAlign w:val="center"/>
          </w:tcPr>
          <w:p>
            <w:r>
              <w:t>16.34</w:t>
            </w:r>
          </w:p>
        </w:tc>
        <w:tc>
          <w:tcPr>
            <w:vAlign w:val="center"/>
          </w:tcPr>
          <w:p>
            <w:r>
              <w:t>18</w:t>
            </w:r>
          </w:p>
        </w:tc>
        <w:tc>
          <w:tcPr>
            <w:vAlign w:val="center"/>
          </w:tcPr>
          <w:p>
            <w:r>
              <w:t>10.12</w:t>
            </w:r>
          </w:p>
        </w:tc>
        <w:tc>
          <w:tcPr>
            <w:vAlign w:val="center"/>
          </w:tcPr>
          <w:p>
            <w:r>
              <w:t>1.66</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非周边地面-混凝土120不保温地面</w:t>
            </w:r>
          </w:p>
        </w:tc>
        <w:tc>
          <w:tcPr>
            <w:vAlign w:val="center"/>
          </w:tcPr>
          <w:p>
            <w:r>
              <w:t>16.34</w:t>
            </w:r>
          </w:p>
        </w:tc>
        <w:tc>
          <w:tcPr>
            <w:vAlign w:val="center"/>
          </w:tcPr>
          <w:p>
            <w:r>
              <w:t>18</w:t>
            </w:r>
          </w:p>
        </w:tc>
        <w:tc>
          <w:tcPr>
            <w:vAlign w:val="center"/>
          </w:tcPr>
          <w:p>
            <w:r>
              <w:t>10.12</w:t>
            </w:r>
          </w:p>
        </w:tc>
        <w:tc>
          <w:tcPr>
            <w:vAlign w:val="center"/>
          </w:tcPr>
          <w:p>
            <w:r>
              <w:t>1.66</w:t>
            </w:r>
          </w:p>
        </w:tc>
        <w:tc>
          <w:tcPr>
            <w:vAlign w:val="center"/>
          </w:tcPr>
          <w:p>
            <w:r>
              <w:t>7.88</w:t>
            </w:r>
          </w:p>
        </w:tc>
        <w:tc>
          <w:tcPr>
            <w:vAlign w:val="center"/>
          </w:tcPr>
          <w:p>
            <w:r>
              <w:t>不结露</w:t>
            </w:r>
          </w:p>
        </w:tc>
      </w:tr>
    </w:tbl>
    <w:p>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3</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1NWVmODhmZTRjNDNkNDg5NTBhOGNhMWE4MDE4OTIifQ=="/>
  </w:docVars>
  <w:rsids>
    <w:rsidRoot w:val="45262818"/>
    <w:rsid w:val="00066F3C"/>
    <w:rsid w:val="000730E7"/>
    <w:rsid w:val="0007324E"/>
    <w:rsid w:val="00074DE7"/>
    <w:rsid w:val="000C650F"/>
    <w:rsid w:val="000E2E24"/>
    <w:rsid w:val="000F7EF2"/>
    <w:rsid w:val="0010335A"/>
    <w:rsid w:val="00136AB2"/>
    <w:rsid w:val="00136C0F"/>
    <w:rsid w:val="001462C8"/>
    <w:rsid w:val="001A784D"/>
    <w:rsid w:val="001D4779"/>
    <w:rsid w:val="001F4A03"/>
    <w:rsid w:val="00215607"/>
    <w:rsid w:val="0022315D"/>
    <w:rsid w:val="00230293"/>
    <w:rsid w:val="00247DEA"/>
    <w:rsid w:val="002555B8"/>
    <w:rsid w:val="00255E38"/>
    <w:rsid w:val="00280718"/>
    <w:rsid w:val="002833C3"/>
    <w:rsid w:val="00285C56"/>
    <w:rsid w:val="002D602A"/>
    <w:rsid w:val="002F439E"/>
    <w:rsid w:val="002F4BD4"/>
    <w:rsid w:val="003121F7"/>
    <w:rsid w:val="003244C8"/>
    <w:rsid w:val="0035354A"/>
    <w:rsid w:val="003F0698"/>
    <w:rsid w:val="00424199"/>
    <w:rsid w:val="00440906"/>
    <w:rsid w:val="00467891"/>
    <w:rsid w:val="004913B5"/>
    <w:rsid w:val="004A1234"/>
    <w:rsid w:val="004A5D78"/>
    <w:rsid w:val="004D230F"/>
    <w:rsid w:val="004D449D"/>
    <w:rsid w:val="004E398F"/>
    <w:rsid w:val="005000CF"/>
    <w:rsid w:val="005215FB"/>
    <w:rsid w:val="005436D3"/>
    <w:rsid w:val="0057217A"/>
    <w:rsid w:val="005B2FBA"/>
    <w:rsid w:val="005C44E7"/>
    <w:rsid w:val="00611792"/>
    <w:rsid w:val="00621E01"/>
    <w:rsid w:val="00635016"/>
    <w:rsid w:val="00635F59"/>
    <w:rsid w:val="00665760"/>
    <w:rsid w:val="0066795D"/>
    <w:rsid w:val="00672879"/>
    <w:rsid w:val="00685ADE"/>
    <w:rsid w:val="006C751C"/>
    <w:rsid w:val="006D1A5E"/>
    <w:rsid w:val="006D701D"/>
    <w:rsid w:val="006F6973"/>
    <w:rsid w:val="00717212"/>
    <w:rsid w:val="0073704D"/>
    <w:rsid w:val="0073724E"/>
    <w:rsid w:val="007474C4"/>
    <w:rsid w:val="00752D50"/>
    <w:rsid w:val="00760FC1"/>
    <w:rsid w:val="00766CC2"/>
    <w:rsid w:val="0079662C"/>
    <w:rsid w:val="007B368B"/>
    <w:rsid w:val="007C3FB2"/>
    <w:rsid w:val="007D62FC"/>
    <w:rsid w:val="0080048D"/>
    <w:rsid w:val="008400A2"/>
    <w:rsid w:val="00853A1E"/>
    <w:rsid w:val="00891616"/>
    <w:rsid w:val="008C1F4F"/>
    <w:rsid w:val="008C1FCF"/>
    <w:rsid w:val="008F0CC1"/>
    <w:rsid w:val="00901BD4"/>
    <w:rsid w:val="00906525"/>
    <w:rsid w:val="009305ED"/>
    <w:rsid w:val="00932182"/>
    <w:rsid w:val="00935D0D"/>
    <w:rsid w:val="00950AAE"/>
    <w:rsid w:val="009A1000"/>
    <w:rsid w:val="009A4A8F"/>
    <w:rsid w:val="009C4D39"/>
    <w:rsid w:val="009D6F8E"/>
    <w:rsid w:val="009F295E"/>
    <w:rsid w:val="009F5A09"/>
    <w:rsid w:val="009F60E2"/>
    <w:rsid w:val="00A07222"/>
    <w:rsid w:val="00A721FB"/>
    <w:rsid w:val="00AB413A"/>
    <w:rsid w:val="00AE56CD"/>
    <w:rsid w:val="00B17718"/>
    <w:rsid w:val="00B2664B"/>
    <w:rsid w:val="00B446E9"/>
    <w:rsid w:val="00B51927"/>
    <w:rsid w:val="00B55B22"/>
    <w:rsid w:val="00B65BBF"/>
    <w:rsid w:val="00B83C6A"/>
    <w:rsid w:val="00B919FD"/>
    <w:rsid w:val="00B95B58"/>
    <w:rsid w:val="00BA3E2B"/>
    <w:rsid w:val="00BA4B07"/>
    <w:rsid w:val="00BB189B"/>
    <w:rsid w:val="00BE46DC"/>
    <w:rsid w:val="00C25485"/>
    <w:rsid w:val="00C35E47"/>
    <w:rsid w:val="00C600E5"/>
    <w:rsid w:val="00C63237"/>
    <w:rsid w:val="00C65D3C"/>
    <w:rsid w:val="00C66B69"/>
    <w:rsid w:val="00C97E25"/>
    <w:rsid w:val="00CC07EB"/>
    <w:rsid w:val="00CE6B84"/>
    <w:rsid w:val="00CF6A84"/>
    <w:rsid w:val="00D221C6"/>
    <w:rsid w:val="00D37979"/>
    <w:rsid w:val="00D40158"/>
    <w:rsid w:val="00D41DDA"/>
    <w:rsid w:val="00D62A9A"/>
    <w:rsid w:val="00D724F9"/>
    <w:rsid w:val="00D758A7"/>
    <w:rsid w:val="00D903C9"/>
    <w:rsid w:val="00D9738B"/>
    <w:rsid w:val="00DC73AD"/>
    <w:rsid w:val="00DC756A"/>
    <w:rsid w:val="00E07041"/>
    <w:rsid w:val="00E14263"/>
    <w:rsid w:val="00E30F2C"/>
    <w:rsid w:val="00E6109B"/>
    <w:rsid w:val="00E81ACD"/>
    <w:rsid w:val="00EA4CC0"/>
    <w:rsid w:val="00EB06BF"/>
    <w:rsid w:val="00F329CC"/>
    <w:rsid w:val="00F3693D"/>
    <w:rsid w:val="00F506CF"/>
    <w:rsid w:val="00F53866"/>
    <w:rsid w:val="00F76DC9"/>
    <w:rsid w:val="00F775F5"/>
    <w:rsid w:val="00F81FA2"/>
    <w:rsid w:val="00FA0367"/>
    <w:rsid w:val="00FA73B5"/>
    <w:rsid w:val="00FB25F0"/>
    <w:rsid w:val="00FD09D6"/>
    <w:rsid w:val="45262818"/>
    <w:rsid w:val="685C762D"/>
    <w:rsid w:val="6A043024"/>
    <w:rsid w:val="7530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3"/>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semiHidden/>
    <w:uiPriority w:val="0"/>
    <w:pPr>
      <w:tabs>
        <w:tab w:val="left" w:pos="540"/>
        <w:tab w:val="left" w:pos="840"/>
        <w:tab w:val="right" w:leader="dot" w:pos="9360"/>
      </w:tabs>
      <w:ind w:left="200"/>
    </w:pPr>
    <w:rPr>
      <w:kern w:val="2"/>
      <w:szCs w:val="24"/>
      <w:lang w:val="en-US"/>
    </w:rPr>
  </w:style>
  <w:style w:type="table" w:styleId="19">
    <w:name w:val="Table Grid"/>
    <w:basedOn w:val="18"/>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uiPriority w:val="0"/>
  </w:style>
  <w:style w:type="character" w:styleId="22">
    <w:name w:val="Hyperlink"/>
    <w:qFormat/>
    <w:uiPriority w:val="0"/>
    <w:rPr>
      <w:color w:val="0000FF"/>
      <w:u w:val="single"/>
    </w:rPr>
  </w:style>
  <w:style w:type="character" w:customStyle="1" w:styleId="23">
    <w:name w:val="页脚 Char"/>
    <w:link w:val="14"/>
    <w:uiPriority w:val="99"/>
    <w:rPr>
      <w:sz w:val="21"/>
      <w:szCs w:val="18"/>
      <w:lang w:val="en-GB"/>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image" Target="media/image31.bmp"/><Relationship Id="rId44" Type="http://schemas.openxmlformats.org/officeDocument/2006/relationships/image" Target="media/image30.bmp"/><Relationship Id="rId43" Type="http://schemas.openxmlformats.org/officeDocument/2006/relationships/image" Target="media/image29.bmp"/><Relationship Id="rId42" Type="http://schemas.openxmlformats.org/officeDocument/2006/relationships/image" Target="media/image28.bmp"/><Relationship Id="rId41" Type="http://schemas.openxmlformats.org/officeDocument/2006/relationships/image" Target="media/image27.bmp"/><Relationship Id="rId40" Type="http://schemas.openxmlformats.org/officeDocument/2006/relationships/image" Target="media/image26.bmp"/><Relationship Id="rId4" Type="http://schemas.openxmlformats.org/officeDocument/2006/relationships/footer" Target="footer1.xml"/><Relationship Id="rId39" Type="http://schemas.openxmlformats.org/officeDocument/2006/relationships/image" Target="media/image25.bmp"/><Relationship Id="rId38" Type="http://schemas.openxmlformats.org/officeDocument/2006/relationships/image" Target="media/image24.bmp"/><Relationship Id="rId37" Type="http://schemas.openxmlformats.org/officeDocument/2006/relationships/image" Target="media/image23.bmp"/><Relationship Id="rId36" Type="http://schemas.openxmlformats.org/officeDocument/2006/relationships/image" Target="media/image22.bmp"/><Relationship Id="rId35" Type="http://schemas.openxmlformats.org/officeDocument/2006/relationships/image" Target="media/image21.bmp"/><Relationship Id="rId34" Type="http://schemas.openxmlformats.org/officeDocument/2006/relationships/image" Target="media/image20.bmp"/><Relationship Id="rId33" Type="http://schemas.openxmlformats.org/officeDocument/2006/relationships/image" Target="media/image19.bmp"/><Relationship Id="rId32" Type="http://schemas.openxmlformats.org/officeDocument/2006/relationships/image" Target="media/image18.bmp"/><Relationship Id="rId31" Type="http://schemas.openxmlformats.org/officeDocument/2006/relationships/image" Target="media/image17.bmp"/><Relationship Id="rId30" Type="http://schemas.openxmlformats.org/officeDocument/2006/relationships/image" Target="media/image16.bmp"/><Relationship Id="rId3" Type="http://schemas.openxmlformats.org/officeDocument/2006/relationships/header" Target="header1.xml"/><Relationship Id="rId29" Type="http://schemas.openxmlformats.org/officeDocument/2006/relationships/image" Target="media/image15.bmp"/><Relationship Id="rId28" Type="http://schemas.openxmlformats.org/officeDocument/2006/relationships/image" Target="media/image14.bmp"/><Relationship Id="rId27" Type="http://schemas.openxmlformats.org/officeDocument/2006/relationships/image" Target="media/image13.wmf"/><Relationship Id="rId26" Type="http://schemas.openxmlformats.org/officeDocument/2006/relationships/oleObject" Target="embeddings/oleObject7.bin"/><Relationship Id="rId25" Type="http://schemas.openxmlformats.org/officeDocument/2006/relationships/image" Target="media/image12.wmf"/><Relationship Id="rId24" Type="http://schemas.openxmlformats.org/officeDocument/2006/relationships/oleObject" Target="embeddings/oleObject6.bin"/><Relationship Id="rId23" Type="http://schemas.openxmlformats.org/officeDocument/2006/relationships/image" Target="media/image11.wmf"/><Relationship Id="rId22" Type="http://schemas.openxmlformats.org/officeDocument/2006/relationships/oleObject" Target="embeddings/oleObject5.bin"/><Relationship Id="rId21" Type="http://schemas.openxmlformats.org/officeDocument/2006/relationships/image" Target="media/image10.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3.bin"/><Relationship Id="rId17" Type="http://schemas.openxmlformats.org/officeDocument/2006/relationships/image" Target="media/image8.wmf"/><Relationship Id="rId16" Type="http://schemas.openxmlformats.org/officeDocument/2006/relationships/oleObject" Target="embeddings/oleObject2.bin"/><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bmp"/><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tmp10.dotx</Template>
  <Pages>14</Pages>
  <Words>3986</Words>
  <Characters>6505</Characters>
  <Lines>13</Lines>
  <Paragraphs>3</Paragraphs>
  <TotalTime>0</TotalTime>
  <ScaleCrop>false</ScaleCrop>
  <LinksUpToDate>false</LinksUpToDate>
  <CharactersWithSpaces>6607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2023-11-07T05:53:00Z</dcterms:created>
  <dc:creator>我是阿喜啊(๑• . •๑)</dc:creator>
  <cp:lastModifiedBy>我是阿喜啊(๑• . •๑)</cp:lastModifiedBy>
  <dcterms:modified xsi:type="dcterms:W3CDTF">2023-11-17T09:03:46Z</dcterms:modified>
  <dc:title>结露检查计算书</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E393F7616B874DD98D9F1F00E928CFB4_11</vt:lpwstr>
  </property>
  <property fmtid="{D5CDD505-2E9C-101B-9397-08002B2CF9AE}" pid="3" name="KSOProductBuildVer">
    <vt:lpwstr>2052-12.1.0.15712</vt:lpwstr>
  </property>
</Properties>
</file>