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 w:val="0"/>
        <w:adjustRightInd w:val="0"/>
        <w:snapToGrid w:val="0"/>
        <w:spacing w:before="156" w:beforeLines="50" w:beforeAutospacing="0" w:after="93" w:afterLines="30" w:afterAutospacing="0" w:line="384" w:lineRule="exact"/>
        <w:ind w:left="0"/>
        <w:rPr>
          <w:rFonts w:ascii="Times New Roman" w:hAnsi="Times New Roman"/>
          <w:spacing w:val="-2"/>
          <w:kern w:val="2"/>
          <w:sz w:val="18"/>
          <w:szCs w:val="18"/>
        </w:rPr>
      </w:pPr>
      <w:r>
        <w:rPr>
          <w:rFonts w:hAnsi="黑体"/>
          <w:spacing w:val="-2"/>
          <w:kern w:val="2"/>
          <w:sz w:val="18"/>
          <w:szCs w:val="18"/>
        </w:rPr>
        <w:t>广西公共建筑围护结构节能设计、审查表（建筑）（甲类）</w:t>
      </w:r>
    </w:p>
    <w:tbl>
      <w:tblPr>
        <w:tblStyle w:val="2"/>
        <w:tblW w:w="5000" w:type="pct"/>
        <w:jc w:val="center"/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72"/>
        <w:gridCol w:w="943"/>
        <w:gridCol w:w="2806"/>
        <w:gridCol w:w="3141"/>
      </w:tblGrid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项目名称：</w:t>
            </w:r>
            <w:r>
              <w:rPr>
                <w:rFonts w:ascii="宋体" w:hAnsi="宋体" w:eastAsia="宋体"/>
                <w:sz w:val="15"/>
                <w:szCs w:val="15"/>
              </w:rPr>
              <w:t>广西城市建设学校新校区建筑工匠学院实训大楼设计-施工-采购（EPC）工程总承包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1205" w:firstLineChars="800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项目编号：</w:t>
            </w:r>
            <w:bookmarkStart w:id="0" w:name="设计编号"/>
            <w:bookmarkEnd w:id="0"/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  <w:u w:val="single"/>
              </w:rPr>
            </w:pP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建设单位：</w:t>
            </w:r>
            <w:bookmarkStart w:id="1" w:name="建设单位"/>
            <w:bookmarkEnd w:id="1"/>
            <w:r>
              <w:rPr>
                <w:rFonts w:ascii="宋体" w:hAnsi="宋体" w:eastAsia="宋体"/>
                <w:sz w:val="15"/>
                <w:szCs w:val="15"/>
              </w:rPr>
              <w:t>广西城市建设学校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设计单位（盖章）：</w:t>
            </w:r>
            <w:bookmarkStart w:id="2" w:name="设计单位"/>
            <w:bookmarkEnd w:id="2"/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审图单位（加盖公章）：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4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层数：（地上）</w:t>
            </w:r>
            <w:bookmarkStart w:id="3" w:name="地上层数"/>
            <w:r>
              <w:rPr>
                <w:rFonts w:hint="eastAsia" w:ascii="宋体" w:hAnsi="宋体" w:eastAsia="宋体"/>
                <w:sz w:val="15"/>
                <w:szCs w:val="15"/>
              </w:rPr>
              <w:t>10</w:t>
            </w:r>
            <w:bookmarkEnd w:id="3"/>
          </w:p>
        </w:tc>
        <w:tc>
          <w:tcPr>
            <w:tcW w:w="16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（地下）</w:t>
            </w:r>
            <w:bookmarkStart w:id="4" w:name="地下层数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4"/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总建筑面积（m</w:t>
            </w:r>
            <w:r>
              <w:rPr>
                <w:rFonts w:ascii="宋体" w:hAnsi="宋体" w:eastAsia="宋体"/>
                <w:b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）：</w:t>
            </w:r>
            <w:bookmarkStart w:id="5" w:name="建筑面积"/>
            <w:r>
              <w:rPr>
                <w:rFonts w:hint="eastAsia" w:ascii="宋体" w:hAnsi="宋体" w:eastAsia="宋体"/>
                <w:sz w:val="15"/>
                <w:szCs w:val="15"/>
              </w:rPr>
              <w:t>9047.81</w:t>
            </w:r>
            <w:bookmarkEnd w:id="5"/>
          </w:p>
        </w:tc>
      </w:tr>
    </w:tbl>
    <w:p>
      <w:pPr>
        <w:widowControl/>
        <w:spacing w:line="240" w:lineRule="auto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2"/>
        <w:tblW w:w="5000" w:type="pct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00"/>
        <w:gridCol w:w="410"/>
        <w:gridCol w:w="579"/>
        <w:gridCol w:w="1181"/>
        <w:gridCol w:w="102"/>
        <w:gridCol w:w="383"/>
        <w:gridCol w:w="539"/>
        <w:gridCol w:w="1085"/>
        <w:gridCol w:w="1082"/>
        <w:gridCol w:w="334"/>
        <w:gridCol w:w="843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工程地址</w:t>
            </w:r>
          </w:p>
        </w:tc>
        <w:tc>
          <w:tcPr>
            <w:tcW w:w="415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6" w:name="地理位置"/>
            <w:r>
              <w:rPr>
                <w:rFonts w:hint="eastAsia" w:ascii="宋体" w:hAnsi="宋体" w:eastAsia="宋体"/>
                <w:sz w:val="15"/>
                <w:szCs w:val="15"/>
              </w:rPr>
              <w:t>广西-桂林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89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设计日期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7" w:name="报告日期"/>
            <w:r>
              <w:rPr>
                <w:rFonts w:hint="eastAsia" w:ascii="宋体" w:hAnsi="宋体" w:eastAsia="宋体"/>
                <w:sz w:val="15"/>
                <w:szCs w:val="15"/>
              </w:rPr>
              <w:t>2023年10月18日</w:t>
            </w:r>
            <w:bookmarkEnd w:id="7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气候区域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8" w:name="气候分区"/>
            <w:r>
              <w:rPr>
                <w:rFonts w:hint="eastAsia" w:ascii="宋体" w:hAnsi="宋体" w:eastAsia="宋体"/>
                <w:sz w:val="15"/>
                <w:szCs w:val="15"/>
              </w:rPr>
              <w:t>夏热冬冷B区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采用软件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9" w:name="软件全称"/>
            <w:r>
              <w:rPr>
                <w:rFonts w:hint="eastAsia" w:ascii="宋体" w:hAnsi="宋体" w:eastAsia="宋体"/>
                <w:sz w:val="15"/>
                <w:szCs w:val="15"/>
              </w:rPr>
              <w:t>斯维尔节能设计Becs2024</w:t>
            </w:r>
            <w:bookmarkEnd w:id="9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软件版本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0" w:name="版本信息"/>
            <w:r>
              <w:rPr>
                <w:rFonts w:hint="eastAsia" w:ascii="宋体" w:hAnsi="宋体" w:eastAsia="宋体"/>
                <w:sz w:val="15"/>
                <w:szCs w:val="15"/>
              </w:rPr>
              <w:t>20230303(广西)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建筑面积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1" w:name="建筑面积：1"/>
            <w:r>
              <w:rPr>
                <w:rFonts w:hint="eastAsia" w:ascii="宋体" w:hAnsi="宋体" w:eastAsia="宋体"/>
                <w:sz w:val="15"/>
                <w:szCs w:val="15"/>
              </w:rPr>
              <w:t>9047.81</w:t>
            </w:r>
            <w:bookmarkEnd w:id="11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建筑外表面积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宋体" w:hAnsi="宋体" w:eastAsia="宋体"/>
                <w:sz w:val="15"/>
                <w:szCs w:val="15"/>
              </w:rPr>
              <w:t>m</w:t>
            </w:r>
            <w:r>
              <w:rPr>
                <w:rFonts w:ascii="宋体" w:hAnsi="宋体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2" w:name="外表面积"/>
            <w:r>
              <w:rPr>
                <w:rFonts w:hint="eastAsia" w:ascii="宋体" w:hAnsi="宋体" w:eastAsia="宋体"/>
                <w:sz w:val="15"/>
                <w:szCs w:val="15"/>
              </w:rPr>
              <w:t>7816.28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建筑体积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3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3" w:name="建筑体积"/>
            <w:r>
              <w:rPr>
                <w:rFonts w:hint="eastAsia" w:ascii="宋体" w:hAnsi="宋体" w:eastAsia="宋体"/>
                <w:sz w:val="15"/>
                <w:szCs w:val="15"/>
              </w:rPr>
              <w:t>35995.27</w:t>
            </w:r>
            <w:bookmarkEnd w:id="13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建筑体形系数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4" w:name="体型系数"/>
            <w:r>
              <w:rPr>
                <w:rFonts w:hint="eastAsia" w:ascii="宋体" w:hAnsi="宋体" w:eastAsia="宋体"/>
                <w:sz w:val="15"/>
                <w:szCs w:val="15"/>
              </w:rPr>
              <w:t>0.22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25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设计建筑窗墙比</w:t>
            </w:r>
          </w:p>
        </w:tc>
        <w:tc>
          <w:tcPr>
            <w:tcW w:w="1296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屋顶透明部分与屋顶总面积之比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M</w:t>
            </w:r>
          </w:p>
        </w:tc>
        <w:tc>
          <w:tcPr>
            <w:tcW w:w="1197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M</w:t>
            </w:r>
            <w:r>
              <w:rPr>
                <w:rFonts w:ascii="宋体" w:hAnsi="宋体" w:eastAsia="宋体"/>
                <w:sz w:val="15"/>
                <w:szCs w:val="15"/>
              </w:rPr>
              <w:t>的限值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立面1-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东</w:t>
            </w:r>
          </w:p>
        </w:tc>
        <w:tc>
          <w:tcPr>
            <w:tcW w:w="5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立面2-南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立面3-西</w:t>
            </w:r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立面4-北</w:t>
            </w: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65" w:hRule="atLeast"/>
        </w:trPr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5" w:name="窗墙比－东向"/>
            <w:r>
              <w:rPr>
                <w:rFonts w:hint="eastAsia" w:ascii="宋体" w:hAnsi="宋体"/>
                <w:sz w:val="18"/>
                <w:szCs w:val="18"/>
              </w:rPr>
              <w:t>0.07</w:t>
            </w:r>
            <w:bookmarkEnd w:id="15"/>
          </w:p>
        </w:tc>
        <w:tc>
          <w:tcPr>
            <w:tcW w:w="5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6" w:name="窗墙比－南向"/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bookmarkEnd w:id="16"/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7" w:name="窗墙比－西向"/>
            <w:r>
              <w:rPr>
                <w:rFonts w:hint="eastAsia" w:ascii="宋体" w:hAnsi="宋体"/>
                <w:sz w:val="18"/>
                <w:szCs w:val="18"/>
              </w:rPr>
              <w:t>0.14</w:t>
            </w:r>
            <w:bookmarkEnd w:id="17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8" w:name="窗墙比－北向"/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bookmarkEnd w:id="18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9" w:name="天窗屋顶比"/>
            <w:r>
              <w:rPr>
                <w:rFonts w:hint="eastAsia"/>
              </w:rPr>
              <w:t>0.00</w:t>
            </w:r>
            <w:bookmarkEnd w:id="19"/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围护结构项目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</w:t>
            </w:r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标准限值</w:t>
            </w:r>
          </w:p>
        </w:tc>
        <w:tc>
          <w:tcPr>
            <w:tcW w:w="704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是否符合标准规定限值</w:t>
            </w:r>
          </w:p>
        </w:tc>
        <w:tc>
          <w:tcPr>
            <w:tcW w:w="49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传热系数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（㎡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pacing w:val="-8"/>
                <w:sz w:val="15"/>
                <w:szCs w:val="15"/>
              </w:rPr>
            </w:pPr>
            <w:r>
              <w:rPr>
                <w:rFonts w:ascii="宋体" w:hAnsi="宋体" w:eastAsia="宋体"/>
                <w:spacing w:val="-8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spacing w:val="-8"/>
                <w:sz w:val="15"/>
                <w:szCs w:val="15"/>
              </w:rPr>
              <w:t>S</w:t>
            </w:r>
            <w:r>
              <w:rPr>
                <w:rFonts w:ascii="Times New Roman" w:hAnsi="Times New Roman" w:eastAsia="宋体"/>
                <w:i/>
                <w:spacing w:val="-8"/>
                <w:sz w:val="15"/>
                <w:szCs w:val="15"/>
              </w:rPr>
              <w:t>HGC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i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传热系数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（㎡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pacing w:val="-8"/>
                <w:sz w:val="15"/>
                <w:szCs w:val="15"/>
              </w:rPr>
            </w:pPr>
            <w:r>
              <w:rPr>
                <w:rFonts w:ascii="宋体" w:hAnsi="宋体" w:eastAsia="宋体"/>
                <w:spacing w:val="-8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spacing w:val="-8"/>
                <w:sz w:val="15"/>
                <w:szCs w:val="15"/>
              </w:rPr>
              <w:t>S</w:t>
            </w:r>
            <w:r>
              <w:rPr>
                <w:rFonts w:ascii="Times New Roman" w:hAnsi="Times New Roman" w:eastAsia="宋体"/>
                <w:i/>
                <w:spacing w:val="-8"/>
                <w:sz w:val="15"/>
                <w:szCs w:val="15"/>
              </w:rPr>
              <w:t>HGC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屋顶透明部分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0" w:name="天窗K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20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1" w:name="天窗SHGC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21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宋体" w:hAnsi="宋体" w:eastAsia="宋体"/>
                <w:sz w:val="15"/>
                <w:szCs w:val="15"/>
              </w:rPr>
              <w:t>2.50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宋体" w:hAnsi="宋体" w:eastAsia="宋体"/>
                <w:sz w:val="15"/>
                <w:szCs w:val="15"/>
              </w:rPr>
              <w:t>0.25</w:t>
            </w: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1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2" w:name="外窗K－东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22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3" w:name="外窗SHGC－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0.23</w:t>
            </w:r>
            <w:bookmarkEnd w:id="23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4" w:name="限值－外窗K－东向"/>
            <w:r>
              <w:rPr>
                <w:rFonts w:hint="eastAsia" w:ascii="宋体" w:hAnsi="宋体" w:eastAsia="宋体"/>
                <w:sz w:val="15"/>
                <w:szCs w:val="15"/>
              </w:rPr>
              <w:t>3.00</w:t>
            </w:r>
            <w:bookmarkEnd w:id="24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5" w:name="限值－外窗SHGC－东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25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6" w:name="外窗K－南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26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7" w:name="外窗SHGC－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0.25</w:t>
            </w:r>
            <w:bookmarkEnd w:id="27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8" w:name="限值－外窗K－南向"/>
            <w:r>
              <w:rPr>
                <w:rFonts w:hint="eastAsia" w:ascii="宋体" w:hAnsi="宋体" w:eastAsia="宋体"/>
                <w:sz w:val="15"/>
                <w:szCs w:val="15"/>
              </w:rPr>
              <w:t>2.20</w:t>
            </w:r>
            <w:bookmarkEnd w:id="28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9" w:name="限值－外窗SHGC－南向"/>
            <w:r>
              <w:rPr>
                <w:rFonts w:hint="eastAsia" w:ascii="宋体" w:hAnsi="宋体" w:eastAsia="宋体"/>
                <w:sz w:val="15"/>
                <w:szCs w:val="15"/>
              </w:rPr>
              <w:t>0.35</w:t>
            </w:r>
            <w:bookmarkEnd w:id="29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不</w:t>
            </w: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3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0" w:name="外窗K－西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30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1" w:name="外窗SHGC－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0.24</w:t>
            </w:r>
            <w:bookmarkEnd w:id="31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2" w:name="限值－外窗K－西向"/>
            <w:r>
              <w:rPr>
                <w:rFonts w:hint="eastAsia" w:ascii="宋体" w:hAnsi="宋体" w:eastAsia="宋体"/>
                <w:sz w:val="15"/>
                <w:szCs w:val="15"/>
              </w:rPr>
              <w:t>3.00</w:t>
            </w:r>
            <w:bookmarkEnd w:id="32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3" w:name="限值－外窗SHGC－西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33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4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4" w:name="外窗K－北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34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5" w:name="外窗SHGC－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0.35</w:t>
            </w:r>
            <w:bookmarkEnd w:id="35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6" w:name="限值－外窗SHGC－北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36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屋面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7" w:name="屋顶K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37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bookmarkStart w:id="38" w:name="限值－屋顶K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38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外墙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（包括非透光幕墙）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9" w:name="外墙K"/>
            <w:r>
              <w:rPr>
                <w:sz w:val="18"/>
                <w:szCs w:val="18"/>
              </w:rPr>
              <w:t>0.79</w:t>
            </w:r>
            <w:bookmarkEnd w:id="39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bookmarkStart w:id="40" w:name="限值－外墙K"/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bookmarkEnd w:id="40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规定性指标判断结论</w:t>
            </w:r>
          </w:p>
        </w:tc>
        <w:tc>
          <w:tcPr>
            <w:tcW w:w="331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设计建筑的规定性指标符合</w:t>
            </w:r>
            <w:r>
              <w:rPr>
                <w:rFonts w:hint="eastAsia" w:ascii="Times New Roman" w:hAnsi="Times New Roman" w:eastAsia="宋体"/>
                <w:b/>
                <w:sz w:val="15"/>
                <w:szCs w:val="15"/>
                <w:lang w:eastAsia="zh-CN"/>
              </w:rPr>
              <w:t>□</w:t>
            </w:r>
            <w:r>
              <w:rPr>
                <w:rFonts w:ascii="Times New Roman" w:hAnsi="Times New Roman" w:eastAsia="宋体"/>
                <w:b/>
                <w:sz w:val="15"/>
                <w:szCs w:val="15"/>
              </w:rPr>
              <w:t>/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不符合</w:t>
            </w:r>
            <w:r>
              <w:rPr>
                <w:rFonts w:hint="eastAsia" w:ascii="Times New Roman" w:hAnsi="Times New Roman" w:eastAsia="宋体"/>
                <w:b/>
                <w:sz w:val="15"/>
                <w:szCs w:val="15"/>
                <w:lang w:eastAsia="zh-CN"/>
              </w:rPr>
              <w:t>☑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标准限值</w:t>
            </w:r>
          </w:p>
        </w:tc>
        <w:tc>
          <w:tcPr>
            <w:tcW w:w="49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权衡判断基本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要求判定</w:t>
            </w:r>
          </w:p>
        </w:tc>
        <w:tc>
          <w:tcPr>
            <w:tcW w:w="19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围护结构传热系数基础要求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［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）］</w:t>
            </w:r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设计建筑是否满足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基本要求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5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屋面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1" w:name="屋顶K：1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41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外墙（包括非透光幕墙）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2" w:name="外墙K：1"/>
            <w:r>
              <w:rPr>
                <w:rFonts w:hint="eastAsia" w:ascii="宋体" w:hAnsi="宋体"/>
                <w:sz w:val="18"/>
                <w:szCs w:val="18"/>
              </w:rPr>
              <w:t>0.79</w:t>
            </w:r>
            <w:bookmarkEnd w:id="42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外窗（包括透光幕墙）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3" w:name="外窗K：1"/>
            <w:r>
              <w:rPr>
                <w:rFonts w:hint="eastAsia"/>
              </w:rPr>
              <w:t>3.00</w:t>
            </w:r>
            <w:bookmarkEnd w:id="43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SHGC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4" w:name="外窗SHGC"/>
            <w:r>
              <w:rPr>
                <w:rFonts w:hint="eastAsia"/>
              </w:rPr>
              <w:t>0.28</w:t>
            </w:r>
            <w:bookmarkEnd w:id="44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围护结构是否满足基本要求</w:t>
            </w:r>
          </w:p>
        </w:tc>
        <w:tc>
          <w:tcPr>
            <w:tcW w:w="255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8" w:name="_GoBack"/>
            <w:bookmarkEnd w:id="48"/>
            <w:r>
              <w:rPr>
                <w:rFonts w:ascii="宋体" w:hAnsi="宋体" w:eastAsia="宋体"/>
                <w:sz w:val="15"/>
                <w:szCs w:val="15"/>
              </w:rPr>
              <w:t>是</w:t>
            </w:r>
            <w:r>
              <w:rPr>
                <w:rFonts w:hint="eastAsia" w:ascii="宋体" w:hAnsi="宋体" w:eastAsia="宋体"/>
                <w:sz w:val="15"/>
                <w:szCs w:val="15"/>
                <w:lang w:eastAsia="zh-CN"/>
              </w:rPr>
              <w:t>☑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/</w:t>
            </w:r>
            <w:r>
              <w:rPr>
                <w:rFonts w:ascii="宋体" w:hAnsi="宋体" w:eastAsia="宋体"/>
                <w:sz w:val="15"/>
                <w:szCs w:val="15"/>
              </w:rPr>
              <w:t>否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□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权衡计算结果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kWh/m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参照建筑（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kWh/m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全年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供冷</w:t>
            </w:r>
            <w:r>
              <w:rPr>
                <w:rFonts w:ascii="宋体" w:hAnsi="宋体" w:eastAsia="宋体"/>
                <w:sz w:val="15"/>
                <w:szCs w:val="15"/>
              </w:rPr>
              <w:t>总耗电量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5" w:name="供冷耗电量"/>
            <w:r>
              <w:rPr>
                <w:rFonts w:hint="eastAsia"/>
              </w:rPr>
              <w:t>16.37</w:t>
            </w:r>
            <w:bookmarkEnd w:id="45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6" w:name="参照建筑供冷耗电量"/>
            <w:r>
              <w:rPr>
                <w:rFonts w:hint="eastAsia"/>
              </w:rPr>
              <w:t>18.47</w:t>
            </w:r>
            <w:bookmarkEnd w:id="46"/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全年供暖和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供冷</w:t>
            </w:r>
            <w:r>
              <w:rPr>
                <w:rFonts w:ascii="宋体" w:hAnsi="宋体" w:eastAsia="宋体"/>
                <w:sz w:val="15"/>
                <w:szCs w:val="15"/>
              </w:rPr>
              <w:t>总耗电量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7" w:name="全年供暖和空调总耗电量"/>
            <w:r>
              <w:rPr>
                <w:rFonts w:hint="eastAsia"/>
              </w:rPr>
              <w:t>18.66</w:t>
            </w:r>
            <w:bookmarkEnd w:id="47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/>
              </w:rPr>
              <w:t>—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权衡判断结论</w:t>
            </w:r>
          </w:p>
        </w:tc>
        <w:tc>
          <w:tcPr>
            <w:tcW w:w="28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设计建筑的热工性能合格</w:t>
            </w:r>
            <w:r>
              <w:rPr>
                <w:rFonts w:hint="eastAsia" w:ascii="宋体" w:hAnsi="宋体" w:eastAsia="宋体"/>
                <w:b/>
                <w:sz w:val="15"/>
                <w:szCs w:val="15"/>
                <w:lang w:eastAsia="zh-CN"/>
              </w:rPr>
              <w:t>☑</w:t>
            </w:r>
            <w:r>
              <w:rPr>
                <w:rFonts w:ascii="Times New Roman" w:hAnsi="Times New Roman" w:eastAsia="宋体"/>
                <w:b/>
                <w:sz w:val="15"/>
                <w:szCs w:val="15"/>
              </w:rPr>
              <w:t>/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不合格</w:t>
            </w:r>
            <w:r>
              <w:rPr>
                <w:rFonts w:hint="eastAsia" w:ascii="宋体" w:hAnsi="宋体" w:eastAsia="宋体"/>
                <w:b/>
                <w:sz w:val="15"/>
                <w:szCs w:val="15"/>
              </w:rPr>
              <w:t>□</w:t>
            </w: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89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节能设计人</w:t>
            </w:r>
          </w:p>
        </w:tc>
        <w:tc>
          <w:tcPr>
            <w:tcW w:w="9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节能设计审核人</w:t>
            </w: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年</w:t>
            </w:r>
            <w:r>
              <w:rPr>
                <w:rFonts w:ascii="Times New Roman" w:hAnsi="Times New Roman" w:eastAsia="宋体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/>
                <w:sz w:val="15"/>
                <w:szCs w:val="15"/>
              </w:rPr>
              <w:t>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/>
                <w:sz w:val="15"/>
                <w:szCs w:val="15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节能审查结论</w:t>
            </w:r>
          </w:p>
        </w:tc>
        <w:tc>
          <w:tcPr>
            <w:tcW w:w="9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符合□/不符合□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审图单位审查人</w:t>
            </w: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建设主管部门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备案意见</w:t>
            </w:r>
          </w:p>
        </w:tc>
        <w:tc>
          <w:tcPr>
            <w:tcW w:w="381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</w:tbl>
    <w:p>
      <w:pPr>
        <w:pStyle w:val="4"/>
        <w:widowControl w:val="0"/>
        <w:adjustRightInd w:val="0"/>
        <w:snapToGrid w:val="0"/>
        <w:spacing w:before="156" w:beforeLines="50" w:beforeAutospacing="0" w:after="93" w:afterLines="30" w:afterAutospacing="0" w:line="384" w:lineRule="exact"/>
        <w:ind w:left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NWVmODhmZTRjNDNkNDg5NTBhOGNhMWE4MDE4OTIifQ=="/>
  </w:docVars>
  <w:rsids>
    <w:rsidRoot w:val="6D46211D"/>
    <w:rsid w:val="00274DE4"/>
    <w:rsid w:val="002E0899"/>
    <w:rsid w:val="003E4E71"/>
    <w:rsid w:val="003F4D95"/>
    <w:rsid w:val="00472237"/>
    <w:rsid w:val="00594331"/>
    <w:rsid w:val="00B76AEA"/>
    <w:rsid w:val="00C05835"/>
    <w:rsid w:val="00CC6303"/>
    <w:rsid w:val="00D207D9"/>
    <w:rsid w:val="2EE269D1"/>
    <w:rsid w:val="61993AB5"/>
    <w:rsid w:val="6D46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Calibri" w:hAnsi="Calibri" w:eastAsia="微软雅黑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表标题"/>
    <w:basedOn w:val="1"/>
    <w:next w:val="1"/>
    <w:uiPriority w:val="0"/>
    <w:pPr>
      <w:widowControl/>
      <w:spacing w:before="100" w:beforeAutospacing="1" w:after="100" w:afterAutospacing="1"/>
      <w:ind w:left="851"/>
      <w:jc w:val="center"/>
    </w:pPr>
    <w:rPr>
      <w:rFonts w:ascii="黑体" w:eastAsia="黑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Pages>2</Pages>
  <Words>644</Words>
  <Characters>833</Characters>
  <Lines>6</Lines>
  <Paragraphs>1</Paragraphs>
  <TotalTime>2</TotalTime>
  <ScaleCrop>false</ScaleCrop>
  <LinksUpToDate>false</LinksUpToDate>
  <CharactersWithSpaces>841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2023-10-18T10:01:00Z</dcterms:created>
  <dc:creator>我是阿喜啊(๑• . •๑)</dc:creator>
  <cp:lastModifiedBy>我是阿喜啊(๑• . •๑)</cp:lastModifiedBy>
  <dcterms:modified xsi:type="dcterms:W3CDTF">2023-10-27T02:35:58Z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4462BEE0CAF746B68518040E5F466541_13</vt:lpwstr>
  </property>
  <property fmtid="{D5CDD505-2E9C-101B-9397-08002B2CF9AE}" pid="3" name="KSOProductBuildVer">
    <vt:lpwstr>2052-12.1.0.15712</vt:lpwstr>
  </property>
</Properties>
</file>