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8C381">
      <w:pPr>
        <w:pStyle w:val="14"/>
        <w:ind w:firstLine="0"/>
        <w:jc w:val="center"/>
        <w:rPr>
          <w:color w:val="auto"/>
          <w:highlight w:val="none"/>
        </w:rPr>
      </w:pPr>
      <w:bookmarkStart w:id="86" w:name="_GoBack"/>
      <w:r>
        <w:rPr>
          <w:rFonts w:hint="eastAsia"/>
          <w:color w:val="auto"/>
          <w:highlight w:val="none"/>
        </w:rPr>
        <w:t>广西正海招标有限公司</w:t>
      </w:r>
    </w:p>
    <w:p w14:paraId="3E865EA9">
      <w:pPr>
        <w:jc w:val="center"/>
        <w:rPr>
          <w:color w:val="auto"/>
          <w:highlight w:val="none"/>
        </w:rPr>
      </w:pPr>
    </w:p>
    <w:p w14:paraId="370CE7E1">
      <w:pPr>
        <w:pStyle w:val="14"/>
        <w:ind w:firstLine="1040"/>
        <w:jc w:val="center"/>
        <w:rPr>
          <w:color w:val="auto"/>
          <w:highlight w:val="none"/>
        </w:rPr>
      </w:pPr>
    </w:p>
    <w:p w14:paraId="336C9C77">
      <w:pPr>
        <w:pStyle w:val="14"/>
        <w:ind w:firstLine="0"/>
        <w:jc w:val="center"/>
        <w:rPr>
          <w:color w:val="auto"/>
          <w:sz w:val="84"/>
          <w:szCs w:val="84"/>
          <w:highlight w:val="none"/>
        </w:rPr>
      </w:pPr>
      <w:r>
        <w:rPr>
          <w:rFonts w:hint="eastAsia"/>
          <w:color w:val="auto"/>
          <w:sz w:val="84"/>
          <w:szCs w:val="84"/>
          <w:highlight w:val="none"/>
        </w:rPr>
        <w:t>竞争性谈判文件</w:t>
      </w:r>
    </w:p>
    <w:p w14:paraId="73B887EF">
      <w:pPr>
        <w:rPr>
          <w:color w:val="auto"/>
          <w:highlight w:val="none"/>
        </w:rPr>
      </w:pPr>
    </w:p>
    <w:p w14:paraId="352C29BE">
      <w:pPr>
        <w:snapToGrid w:val="0"/>
        <w:spacing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（全流程电子化采购）</w:t>
      </w:r>
    </w:p>
    <w:p w14:paraId="6B715468">
      <w:pPr>
        <w:pStyle w:val="14"/>
        <w:ind w:firstLine="1040"/>
        <w:rPr>
          <w:color w:val="auto"/>
          <w:highlight w:val="none"/>
        </w:rPr>
      </w:pPr>
    </w:p>
    <w:p w14:paraId="6C695F25">
      <w:pPr>
        <w:pStyle w:val="17"/>
        <w:ind w:firstLine="360"/>
        <w:rPr>
          <w:color w:val="auto"/>
          <w:highlight w:val="none"/>
        </w:rPr>
      </w:pPr>
    </w:p>
    <w:p w14:paraId="73812C5D">
      <w:pPr>
        <w:pStyle w:val="14"/>
        <w:ind w:firstLine="640"/>
        <w:rPr>
          <w:color w:val="auto"/>
          <w:sz w:val="32"/>
          <w:szCs w:val="32"/>
          <w:highlight w:val="none"/>
        </w:rPr>
      </w:pPr>
    </w:p>
    <w:p w14:paraId="28A82302">
      <w:pPr>
        <w:pStyle w:val="14"/>
        <w:ind w:firstLine="0"/>
        <w:jc w:val="center"/>
        <w:rPr>
          <w:rFonts w:hint="eastAsia" w:eastAsia="宋体"/>
          <w:color w:val="auto"/>
          <w:sz w:val="32"/>
          <w:szCs w:val="32"/>
          <w:highlight w:val="none"/>
          <w:lang w:eastAsia="zh-CN"/>
        </w:rPr>
      </w:pPr>
      <w:r>
        <w:rPr>
          <w:rFonts w:hint="eastAsia"/>
          <w:color w:val="auto"/>
          <w:sz w:val="32"/>
          <w:szCs w:val="32"/>
          <w:highlight w:val="none"/>
        </w:rPr>
        <w:t>项目名称：</w:t>
      </w:r>
      <w:r>
        <w:rPr>
          <w:rFonts w:hint="eastAsia"/>
          <w:color w:val="auto"/>
          <w:sz w:val="32"/>
          <w:szCs w:val="32"/>
          <w:highlight w:val="none"/>
          <w:lang w:eastAsia="zh-CN"/>
        </w:rPr>
        <w:t>中医特色门诊设备采购项目</w:t>
      </w:r>
    </w:p>
    <w:p w14:paraId="265DDB4F">
      <w:pPr>
        <w:jc w:val="center"/>
        <w:rPr>
          <w:color w:val="auto"/>
          <w:sz w:val="32"/>
          <w:szCs w:val="32"/>
          <w:highlight w:val="none"/>
        </w:rPr>
      </w:pPr>
    </w:p>
    <w:p w14:paraId="692A2E6A">
      <w:pPr>
        <w:pStyle w:val="14"/>
        <w:ind w:firstLine="0"/>
        <w:jc w:val="center"/>
        <w:rPr>
          <w:rFonts w:hint="eastAsia" w:eastAsia="宋体"/>
          <w:color w:val="auto"/>
          <w:sz w:val="32"/>
          <w:szCs w:val="32"/>
          <w:highlight w:val="none"/>
          <w:lang w:eastAsia="zh-CN"/>
        </w:rPr>
      </w:pPr>
      <w:r>
        <w:rPr>
          <w:rFonts w:hint="eastAsia"/>
          <w:color w:val="auto"/>
          <w:sz w:val="32"/>
          <w:szCs w:val="32"/>
          <w:highlight w:val="none"/>
        </w:rPr>
        <w:t>项目编号：</w:t>
      </w:r>
      <w:r>
        <w:rPr>
          <w:rFonts w:hint="eastAsia"/>
          <w:color w:val="auto"/>
          <w:sz w:val="32"/>
          <w:szCs w:val="32"/>
          <w:highlight w:val="none"/>
          <w:lang w:eastAsia="zh-CN"/>
        </w:rPr>
        <w:t>GXZC2026-J1-000955-ZHZB</w:t>
      </w:r>
    </w:p>
    <w:p w14:paraId="1E67DB59">
      <w:pPr>
        <w:jc w:val="center"/>
        <w:rPr>
          <w:color w:val="auto"/>
          <w:sz w:val="32"/>
          <w:szCs w:val="32"/>
          <w:highlight w:val="none"/>
        </w:rPr>
      </w:pPr>
    </w:p>
    <w:p w14:paraId="04992954">
      <w:pPr>
        <w:pStyle w:val="14"/>
        <w:ind w:firstLine="0"/>
        <w:jc w:val="center"/>
        <w:rPr>
          <w:color w:val="auto"/>
          <w:sz w:val="32"/>
          <w:szCs w:val="32"/>
          <w:highlight w:val="none"/>
        </w:rPr>
      </w:pPr>
    </w:p>
    <w:p w14:paraId="57B896F0">
      <w:pPr>
        <w:jc w:val="center"/>
        <w:rPr>
          <w:color w:val="auto"/>
          <w:sz w:val="32"/>
          <w:szCs w:val="32"/>
          <w:highlight w:val="none"/>
        </w:rPr>
      </w:pPr>
    </w:p>
    <w:p w14:paraId="6F054CD6">
      <w:pPr>
        <w:pStyle w:val="25"/>
        <w:ind w:firstLine="210"/>
        <w:jc w:val="center"/>
        <w:rPr>
          <w:color w:val="auto"/>
          <w:highlight w:val="none"/>
        </w:rPr>
      </w:pPr>
    </w:p>
    <w:p w14:paraId="7CA4706B">
      <w:pPr>
        <w:jc w:val="center"/>
        <w:rPr>
          <w:rFonts w:ascii="宋体" w:hAnsi="宋体" w:cs="宋体"/>
          <w:color w:val="auto"/>
          <w:sz w:val="32"/>
          <w:szCs w:val="32"/>
          <w:highlight w:val="none"/>
        </w:rPr>
      </w:pPr>
    </w:p>
    <w:p w14:paraId="510445B7">
      <w:pPr>
        <w:pStyle w:val="14"/>
        <w:ind w:firstLine="0"/>
        <w:jc w:val="center"/>
        <w:rPr>
          <w:color w:val="auto"/>
          <w:sz w:val="32"/>
          <w:szCs w:val="32"/>
          <w:highlight w:val="none"/>
        </w:rPr>
      </w:pPr>
      <w:r>
        <w:rPr>
          <w:rFonts w:hint="eastAsia"/>
          <w:color w:val="auto"/>
          <w:sz w:val="32"/>
          <w:szCs w:val="32"/>
          <w:highlight w:val="none"/>
        </w:rPr>
        <w:t>采购人：广西壮族自治区女子强制隔离戒毒所</w:t>
      </w:r>
    </w:p>
    <w:p w14:paraId="4D1FD623">
      <w:pPr>
        <w:pStyle w:val="14"/>
        <w:ind w:firstLine="0"/>
        <w:jc w:val="center"/>
        <w:rPr>
          <w:color w:val="auto"/>
          <w:sz w:val="32"/>
          <w:szCs w:val="32"/>
          <w:highlight w:val="none"/>
        </w:rPr>
      </w:pPr>
    </w:p>
    <w:p w14:paraId="7A752706">
      <w:pPr>
        <w:pStyle w:val="14"/>
        <w:ind w:firstLine="0"/>
        <w:jc w:val="center"/>
        <w:rPr>
          <w:color w:val="auto"/>
          <w:sz w:val="32"/>
          <w:szCs w:val="32"/>
          <w:highlight w:val="none"/>
        </w:rPr>
      </w:pPr>
    </w:p>
    <w:p w14:paraId="0D252E7E">
      <w:pPr>
        <w:pStyle w:val="14"/>
        <w:ind w:firstLine="0"/>
        <w:jc w:val="center"/>
        <w:rPr>
          <w:color w:val="auto"/>
          <w:sz w:val="32"/>
          <w:szCs w:val="32"/>
          <w:highlight w:val="none"/>
        </w:rPr>
      </w:pPr>
      <w:r>
        <w:rPr>
          <w:rFonts w:hint="eastAsia"/>
          <w:color w:val="auto"/>
          <w:sz w:val="32"/>
          <w:szCs w:val="32"/>
          <w:highlight w:val="none"/>
        </w:rPr>
        <w:t>采购代理机构：广西正海招标有限公司</w:t>
      </w:r>
    </w:p>
    <w:p w14:paraId="5694346F">
      <w:pPr>
        <w:jc w:val="center"/>
        <w:rPr>
          <w:color w:val="auto"/>
          <w:sz w:val="32"/>
          <w:szCs w:val="32"/>
          <w:highlight w:val="none"/>
        </w:rPr>
      </w:pPr>
    </w:p>
    <w:p w14:paraId="5C3828EA">
      <w:pPr>
        <w:pStyle w:val="14"/>
        <w:ind w:firstLine="0"/>
        <w:jc w:val="center"/>
        <w:rPr>
          <w:color w:val="auto"/>
          <w:sz w:val="32"/>
          <w:szCs w:val="32"/>
          <w:highlight w:val="none"/>
        </w:rPr>
      </w:pPr>
      <w:r>
        <w:rPr>
          <w:rFonts w:hint="eastAsia"/>
          <w:color w:val="auto"/>
          <w:sz w:val="32"/>
          <w:szCs w:val="32"/>
          <w:highlight w:val="none"/>
        </w:rPr>
        <w:t>2026年4月</w:t>
      </w:r>
    </w:p>
    <w:p w14:paraId="7F169C5B">
      <w:pPr>
        <w:ind w:firstLine="613"/>
        <w:rPr>
          <w:rFonts w:ascii="宋体" w:hAnsi="宋体" w:cs="宋体"/>
          <w:b/>
          <w:bCs/>
          <w:color w:val="auto"/>
          <w:w w:val="95"/>
          <w:kern w:val="0"/>
          <w:sz w:val="32"/>
          <w:szCs w:val="32"/>
          <w:highlight w:val="none"/>
          <w:lang w:val="zh-CN"/>
        </w:rPr>
        <w:sectPr>
          <w:headerReference r:id="rId4" w:type="first"/>
          <w:footerReference r:id="rId5" w:type="default"/>
          <w:headerReference r:id="rId3" w:type="even"/>
          <w:pgSz w:w="11906" w:h="16838"/>
          <w:pgMar w:top="1701" w:right="1701" w:bottom="1701" w:left="1701" w:header="851" w:footer="992" w:gutter="0"/>
          <w:cols w:space="720" w:num="1"/>
          <w:docGrid w:type="lines" w:linePitch="312" w:charSpace="0"/>
        </w:sectPr>
      </w:pPr>
    </w:p>
    <w:p w14:paraId="6D2E0E8A">
      <w:pPr>
        <w:spacing w:line="360" w:lineRule="auto"/>
        <w:jc w:val="center"/>
        <w:rPr>
          <w:rFonts w:hint="eastAsia" w:ascii="宋体" w:hAnsi="宋体"/>
          <w:b/>
          <w:color w:val="auto"/>
          <w:sz w:val="44"/>
          <w:szCs w:val="44"/>
          <w:highlight w:val="none"/>
        </w:rPr>
      </w:pPr>
    </w:p>
    <w:p w14:paraId="00FB02C7">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CD467ED">
      <w:pPr>
        <w:spacing w:line="400" w:lineRule="exact"/>
        <w:jc w:val="both"/>
        <w:rPr>
          <w:rFonts w:ascii="宋体" w:hAnsi="宋体"/>
          <w:b/>
          <w:color w:val="auto"/>
          <w:sz w:val="44"/>
          <w:szCs w:val="44"/>
          <w:highlight w:val="none"/>
        </w:rPr>
      </w:pPr>
    </w:p>
    <w:p w14:paraId="1BC1C34B">
      <w:pPr>
        <w:pStyle w:val="19"/>
        <w:rPr>
          <w:rFonts w:asciiTheme="minorHAnsi" w:hAnsiTheme="minorHAnsi" w:eastAsiaTheme="minorEastAsia" w:cstheme="minorBidi"/>
          <w:color w:val="auto"/>
          <w:sz w:val="28"/>
          <w:szCs w:val="28"/>
          <w:highlight w:val="none"/>
        </w:rPr>
      </w:pPr>
      <w:r>
        <w:rPr>
          <w:rFonts w:ascii="宋体" w:hAnsi="宋体"/>
          <w:b/>
          <w:color w:val="auto"/>
          <w:highlight w:val="none"/>
        </w:rPr>
        <w:fldChar w:fldCharType="begin"/>
      </w:r>
      <w:r>
        <w:rPr>
          <w:rFonts w:ascii="宋体" w:hAnsi="宋体"/>
          <w:b/>
          <w:color w:val="auto"/>
          <w:highlight w:val="none"/>
        </w:rPr>
        <w:instrText xml:space="preserve"> </w:instrText>
      </w:r>
      <w:r>
        <w:rPr>
          <w:rFonts w:hint="eastAsia" w:ascii="宋体" w:hAnsi="宋体"/>
          <w:b/>
          <w:color w:val="auto"/>
          <w:highlight w:val="none"/>
        </w:rPr>
        <w:instrText xml:space="preserve">TOC \o "1-3" \h \z \u</w:instrText>
      </w:r>
      <w:r>
        <w:rPr>
          <w:rFonts w:ascii="宋体" w:hAnsi="宋体"/>
          <w:b/>
          <w:color w:val="auto"/>
          <w:highlight w:val="none"/>
        </w:rPr>
        <w:instrText xml:space="preserve"> </w:instrText>
      </w:r>
      <w:r>
        <w:rPr>
          <w:rFonts w:ascii="宋体" w:hAnsi="宋体"/>
          <w:b/>
          <w:color w:val="auto"/>
          <w:highlight w:val="none"/>
        </w:rPr>
        <w:fldChar w:fldCharType="separate"/>
      </w:r>
      <w:r>
        <w:rPr>
          <w:color w:val="auto"/>
          <w:highlight w:val="none"/>
        </w:rPr>
        <w:fldChar w:fldCharType="begin"/>
      </w:r>
      <w:r>
        <w:rPr>
          <w:color w:val="auto"/>
          <w:highlight w:val="none"/>
        </w:rPr>
        <w:instrText xml:space="preserve"> HYPERLINK \l "_Toc129703548" </w:instrText>
      </w:r>
      <w:r>
        <w:rPr>
          <w:color w:val="auto"/>
          <w:highlight w:val="none"/>
        </w:rPr>
        <w:fldChar w:fldCharType="separate"/>
      </w:r>
      <w:r>
        <w:rPr>
          <w:rStyle w:val="30"/>
          <w:rFonts w:hint="eastAsia"/>
          <w:color w:val="auto"/>
          <w:sz w:val="28"/>
          <w:szCs w:val="28"/>
          <w:highlight w:val="none"/>
        </w:rPr>
        <w:t>第一章</w:t>
      </w:r>
      <w:r>
        <w:rPr>
          <w:rStyle w:val="30"/>
          <w:color w:val="auto"/>
          <w:sz w:val="28"/>
          <w:szCs w:val="28"/>
          <w:highlight w:val="none"/>
        </w:rPr>
        <w:t xml:space="preserve"> </w:t>
      </w:r>
      <w:r>
        <w:rPr>
          <w:rStyle w:val="30"/>
          <w:rFonts w:hint="eastAsia"/>
          <w:color w:val="auto"/>
          <w:sz w:val="28"/>
          <w:szCs w:val="28"/>
          <w:highlight w:val="none"/>
        </w:rPr>
        <w:t>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_Toc129703548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2C0C9488">
      <w:pPr>
        <w:pStyle w:val="19"/>
        <w:rPr>
          <w:rFonts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"_Toc129703549" </w:instrText>
      </w:r>
      <w:r>
        <w:rPr>
          <w:color w:val="auto"/>
          <w:highlight w:val="none"/>
        </w:rPr>
        <w:fldChar w:fldCharType="separate"/>
      </w:r>
      <w:r>
        <w:rPr>
          <w:rStyle w:val="30"/>
          <w:rFonts w:hint="eastAsia"/>
          <w:color w:val="auto"/>
          <w:sz w:val="28"/>
          <w:szCs w:val="28"/>
          <w:highlight w:val="none"/>
        </w:rPr>
        <w:t>第二章</w:t>
      </w:r>
      <w:r>
        <w:rPr>
          <w:rStyle w:val="30"/>
          <w:color w:val="auto"/>
          <w:sz w:val="28"/>
          <w:szCs w:val="28"/>
          <w:highlight w:val="none"/>
        </w:rPr>
        <w:t xml:space="preserve"> </w:t>
      </w:r>
      <w:r>
        <w:rPr>
          <w:rStyle w:val="30"/>
          <w:rFonts w:hint="eastAsia"/>
          <w:color w:val="auto"/>
          <w:sz w:val="28"/>
          <w:szCs w:val="28"/>
          <w:highlight w:val="no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_Toc129703549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4FA3F41">
      <w:pPr>
        <w:pStyle w:val="19"/>
        <w:rPr>
          <w:rFonts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"_Toc129703550" </w:instrText>
      </w:r>
      <w:r>
        <w:rPr>
          <w:color w:val="auto"/>
          <w:highlight w:val="none"/>
        </w:rPr>
        <w:fldChar w:fldCharType="separate"/>
      </w:r>
      <w:r>
        <w:rPr>
          <w:rStyle w:val="30"/>
          <w:rFonts w:hint="eastAsia"/>
          <w:color w:val="auto"/>
          <w:sz w:val="28"/>
          <w:szCs w:val="28"/>
          <w:highlight w:val="none"/>
        </w:rPr>
        <w:t>第三章</w:t>
      </w:r>
      <w:r>
        <w:rPr>
          <w:rStyle w:val="30"/>
          <w:color w:val="auto"/>
          <w:sz w:val="28"/>
          <w:szCs w:val="28"/>
          <w:highlight w:val="none"/>
        </w:rPr>
        <w:t xml:space="preserve"> </w:t>
      </w:r>
      <w:r>
        <w:rPr>
          <w:rStyle w:val="30"/>
          <w:rFonts w:hint="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4FA457E">
      <w:pPr>
        <w:pStyle w:val="19"/>
        <w:rPr>
          <w:rFonts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"_Toc129703551" </w:instrText>
      </w:r>
      <w:r>
        <w:rPr>
          <w:color w:val="auto"/>
          <w:highlight w:val="none"/>
        </w:rPr>
        <w:fldChar w:fldCharType="separate"/>
      </w:r>
      <w:r>
        <w:rPr>
          <w:rStyle w:val="30"/>
          <w:rFonts w:hint="eastAsia" w:ascii="宋体" w:hAnsi="宋体" w:cs="宋体"/>
          <w:color w:val="auto"/>
          <w:sz w:val="28"/>
          <w:szCs w:val="28"/>
          <w:highlight w:val="none"/>
        </w:rPr>
        <w:t>第四章</w:t>
      </w:r>
      <w:r>
        <w:rPr>
          <w:rStyle w:val="30"/>
          <w:rFonts w:ascii="宋体" w:hAnsi="宋体" w:cs="宋体"/>
          <w:color w:val="auto"/>
          <w:sz w:val="28"/>
          <w:szCs w:val="28"/>
          <w:highlight w:val="none"/>
        </w:rPr>
        <w:t xml:space="preserve"> </w:t>
      </w:r>
      <w:r>
        <w:rPr>
          <w:rStyle w:val="30"/>
          <w:rFonts w:hint="eastAsia" w:ascii="宋体" w:hAnsi="宋体" w:cs="宋体"/>
          <w:color w:val="auto"/>
          <w:sz w:val="28"/>
          <w:szCs w:val="28"/>
          <w:highlight w:val="none"/>
        </w:rPr>
        <w:t>评审程序和评定成交的标准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_Toc129703551 \h </w:instrText>
      </w:r>
      <w:r>
        <w:rPr>
          <w:color w:val="auto"/>
          <w:sz w:val="28"/>
          <w:szCs w:val="28"/>
          <w:highlight w:val="none"/>
        </w:rPr>
        <w:fldChar w:fldCharType="separate"/>
      </w:r>
      <w:r>
        <w:rPr>
          <w:color w:val="auto"/>
          <w:sz w:val="28"/>
          <w:szCs w:val="28"/>
          <w:highlight w:val="none"/>
        </w:rPr>
        <w:t>45</w:t>
      </w:r>
      <w:r>
        <w:rPr>
          <w:color w:val="auto"/>
          <w:sz w:val="28"/>
          <w:szCs w:val="28"/>
          <w:highlight w:val="none"/>
        </w:rPr>
        <w:fldChar w:fldCharType="end"/>
      </w:r>
      <w:r>
        <w:rPr>
          <w:color w:val="auto"/>
          <w:sz w:val="28"/>
          <w:szCs w:val="28"/>
          <w:highlight w:val="none"/>
        </w:rPr>
        <w:fldChar w:fldCharType="end"/>
      </w:r>
    </w:p>
    <w:p w14:paraId="07A71839">
      <w:pPr>
        <w:pStyle w:val="19"/>
        <w:rPr>
          <w:rFonts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"_Toc129703552" </w:instrText>
      </w:r>
      <w:r>
        <w:rPr>
          <w:color w:val="auto"/>
          <w:highlight w:val="none"/>
        </w:rPr>
        <w:fldChar w:fldCharType="separate"/>
      </w:r>
      <w:r>
        <w:rPr>
          <w:rStyle w:val="30"/>
          <w:rFonts w:hint="eastAsia" w:ascii="宋体" w:hAnsi="宋体" w:cs="宋体"/>
          <w:color w:val="auto"/>
          <w:sz w:val="28"/>
          <w:szCs w:val="28"/>
          <w:highlight w:val="none"/>
        </w:rPr>
        <w:t>第五章</w:t>
      </w:r>
      <w:r>
        <w:rPr>
          <w:rStyle w:val="30"/>
          <w:rFonts w:ascii="宋体" w:hAnsi="宋体" w:cs="宋体"/>
          <w:color w:val="auto"/>
          <w:sz w:val="28"/>
          <w:szCs w:val="28"/>
          <w:highlight w:val="none"/>
        </w:rPr>
        <w:t xml:space="preserve"> </w:t>
      </w:r>
      <w:r>
        <w:rPr>
          <w:rStyle w:val="30"/>
          <w:rFonts w:hint="eastAsia" w:ascii="宋体" w:hAnsi="宋体" w:cs="宋体"/>
          <w:color w:val="auto"/>
          <w:sz w:val="28"/>
          <w:szCs w:val="28"/>
          <w:highlight w:val="none"/>
        </w:rPr>
        <w:t>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_Toc129703552 \h </w:instrText>
      </w:r>
      <w:r>
        <w:rPr>
          <w:color w:val="auto"/>
          <w:sz w:val="28"/>
          <w:szCs w:val="28"/>
          <w:highlight w:val="none"/>
        </w:rPr>
        <w:fldChar w:fldCharType="separate"/>
      </w:r>
      <w:r>
        <w:rPr>
          <w:color w:val="auto"/>
          <w:sz w:val="28"/>
          <w:szCs w:val="28"/>
          <w:highlight w:val="none"/>
        </w:rPr>
        <w:t>52</w:t>
      </w:r>
      <w:r>
        <w:rPr>
          <w:color w:val="auto"/>
          <w:sz w:val="28"/>
          <w:szCs w:val="28"/>
          <w:highlight w:val="none"/>
        </w:rPr>
        <w:fldChar w:fldCharType="end"/>
      </w:r>
      <w:r>
        <w:rPr>
          <w:color w:val="auto"/>
          <w:sz w:val="28"/>
          <w:szCs w:val="28"/>
          <w:highlight w:val="none"/>
        </w:rPr>
        <w:fldChar w:fldCharType="end"/>
      </w:r>
    </w:p>
    <w:p w14:paraId="2D445DD2">
      <w:pPr>
        <w:pStyle w:val="19"/>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"_Toc129703553" </w:instrText>
      </w:r>
      <w:r>
        <w:rPr>
          <w:color w:val="auto"/>
          <w:highlight w:val="none"/>
        </w:rPr>
        <w:fldChar w:fldCharType="separate"/>
      </w:r>
      <w:r>
        <w:rPr>
          <w:rStyle w:val="30"/>
          <w:rFonts w:hint="eastAsia" w:ascii="宋体" w:hAnsi="宋体" w:cs="宋体"/>
          <w:color w:val="auto"/>
          <w:sz w:val="28"/>
          <w:szCs w:val="28"/>
          <w:highlight w:val="none"/>
        </w:rPr>
        <w:t>第六章</w:t>
      </w:r>
      <w:r>
        <w:rPr>
          <w:rStyle w:val="30"/>
          <w:rFonts w:ascii="宋体" w:hAnsi="宋体" w:cs="宋体"/>
          <w:color w:val="auto"/>
          <w:sz w:val="28"/>
          <w:szCs w:val="28"/>
          <w:highlight w:val="none"/>
        </w:rPr>
        <w:t xml:space="preserve"> </w:t>
      </w:r>
      <w:r>
        <w:rPr>
          <w:rStyle w:val="30"/>
          <w:rFonts w:hint="eastAsia" w:ascii="宋体" w:hAnsi="宋体" w:cs="宋体"/>
          <w:color w:val="auto"/>
          <w:sz w:val="28"/>
          <w:szCs w:val="28"/>
          <w:highlight w:val="none"/>
        </w:rPr>
        <w:t>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_Toc129703553 \h </w:instrText>
      </w:r>
      <w:r>
        <w:rPr>
          <w:color w:val="auto"/>
          <w:sz w:val="28"/>
          <w:szCs w:val="28"/>
          <w:highlight w:val="none"/>
        </w:rPr>
        <w:fldChar w:fldCharType="separate"/>
      </w:r>
      <w:r>
        <w:rPr>
          <w:color w:val="auto"/>
          <w:sz w:val="28"/>
          <w:szCs w:val="28"/>
          <w:highlight w:val="none"/>
        </w:rPr>
        <w:t>78</w:t>
      </w:r>
      <w:r>
        <w:rPr>
          <w:color w:val="auto"/>
          <w:sz w:val="28"/>
          <w:szCs w:val="28"/>
          <w:highlight w:val="none"/>
        </w:rPr>
        <w:fldChar w:fldCharType="end"/>
      </w:r>
      <w:r>
        <w:rPr>
          <w:color w:val="auto"/>
          <w:sz w:val="28"/>
          <w:szCs w:val="28"/>
          <w:highlight w:val="none"/>
        </w:rPr>
        <w:fldChar w:fldCharType="end"/>
      </w:r>
    </w:p>
    <w:p w14:paraId="4A7DD208">
      <w:pPr>
        <w:pStyle w:val="20"/>
        <w:tabs>
          <w:tab w:val="right" w:leader="dot" w:pos="8931"/>
          <w:tab w:val="clear" w:pos="8296"/>
        </w:tabs>
        <w:snapToGrid w:val="0"/>
        <w:spacing w:line="500" w:lineRule="atLeast"/>
        <w:ind w:left="0" w:leftChars="0" w:firstLine="602"/>
        <w:rPr>
          <w:rFonts w:ascii="宋体" w:hAnsi="宋体"/>
          <w:b/>
          <w:color w:val="auto"/>
          <w:sz w:val="24"/>
          <w:highlight w:val="none"/>
        </w:rPr>
      </w:pPr>
      <w:r>
        <w:rPr>
          <w:rFonts w:ascii="宋体" w:hAnsi="宋体"/>
          <w:b/>
          <w:color w:val="auto"/>
          <w:sz w:val="30"/>
          <w:szCs w:val="30"/>
          <w:highlight w:val="none"/>
        </w:rPr>
        <w:fldChar w:fldCharType="end"/>
      </w:r>
    </w:p>
    <w:p w14:paraId="0335AC28">
      <w:pPr>
        <w:spacing w:line="400" w:lineRule="exact"/>
        <w:ind w:firstLine="643"/>
        <w:jc w:val="left"/>
        <w:rPr>
          <w:rFonts w:ascii="宋体" w:hAnsi="宋体"/>
          <w:b/>
          <w:color w:val="auto"/>
          <w:sz w:val="32"/>
          <w:szCs w:val="32"/>
          <w:highlight w:val="none"/>
        </w:rPr>
      </w:pPr>
    </w:p>
    <w:p w14:paraId="3F31295A">
      <w:pPr>
        <w:spacing w:line="400" w:lineRule="exact"/>
        <w:ind w:firstLine="643"/>
        <w:jc w:val="center"/>
        <w:rPr>
          <w:rFonts w:ascii="宋体" w:hAnsi="宋体"/>
          <w:b/>
          <w:color w:val="auto"/>
          <w:sz w:val="32"/>
          <w:szCs w:val="32"/>
          <w:highlight w:val="none"/>
        </w:rPr>
      </w:pPr>
    </w:p>
    <w:p w14:paraId="29BC65A9">
      <w:pPr>
        <w:spacing w:line="400" w:lineRule="exact"/>
        <w:ind w:firstLine="643"/>
        <w:jc w:val="center"/>
        <w:rPr>
          <w:rFonts w:ascii="宋体" w:hAnsi="宋体"/>
          <w:b/>
          <w:color w:val="auto"/>
          <w:sz w:val="32"/>
          <w:szCs w:val="32"/>
          <w:highlight w:val="none"/>
        </w:rPr>
      </w:pPr>
    </w:p>
    <w:p w14:paraId="186A7204">
      <w:pPr>
        <w:spacing w:line="400" w:lineRule="exact"/>
        <w:ind w:firstLine="643"/>
        <w:jc w:val="center"/>
        <w:rPr>
          <w:rFonts w:ascii="宋体" w:hAnsi="宋体"/>
          <w:b/>
          <w:color w:val="auto"/>
          <w:sz w:val="32"/>
          <w:szCs w:val="32"/>
          <w:highlight w:val="none"/>
        </w:rPr>
      </w:pPr>
    </w:p>
    <w:p w14:paraId="56D514FC">
      <w:pPr>
        <w:spacing w:line="400" w:lineRule="exact"/>
        <w:ind w:firstLine="643"/>
        <w:jc w:val="center"/>
        <w:rPr>
          <w:rFonts w:ascii="宋体" w:hAnsi="宋体"/>
          <w:b/>
          <w:color w:val="auto"/>
          <w:sz w:val="32"/>
          <w:szCs w:val="32"/>
          <w:highlight w:val="none"/>
        </w:rPr>
      </w:pPr>
    </w:p>
    <w:p w14:paraId="626CC85E">
      <w:pPr>
        <w:spacing w:line="400" w:lineRule="exact"/>
        <w:ind w:firstLine="643"/>
        <w:rPr>
          <w:rFonts w:ascii="宋体" w:hAnsi="宋体"/>
          <w:b/>
          <w:color w:val="auto"/>
          <w:sz w:val="32"/>
          <w:szCs w:val="32"/>
          <w:highlight w:val="none"/>
        </w:rPr>
        <w:sectPr>
          <w:headerReference r:id="rId6" w:type="default"/>
          <w:footerReference r:id="rId7" w:type="default"/>
          <w:pgSz w:w="11906" w:h="16838"/>
          <w:pgMar w:top="1440" w:right="1440" w:bottom="1440" w:left="1587" w:header="851" w:footer="992" w:gutter="0"/>
          <w:pgNumType w:start="0"/>
          <w:cols w:space="720" w:num="1"/>
          <w:titlePg/>
          <w:docGrid w:type="lines" w:linePitch="312" w:charSpace="0"/>
        </w:sectPr>
      </w:pPr>
    </w:p>
    <w:p w14:paraId="7629E2FE">
      <w:pPr>
        <w:pStyle w:val="2"/>
        <w:spacing w:before="165" w:after="100" w:line="480" w:lineRule="auto"/>
        <w:ind w:firstLine="883"/>
        <w:jc w:val="center"/>
        <w:rPr>
          <w:color w:val="auto"/>
          <w:highlight w:val="none"/>
        </w:rPr>
      </w:pPr>
      <w:bookmarkStart w:id="0" w:name="_Toc129703548"/>
      <w:r>
        <w:rPr>
          <w:rFonts w:hint="eastAsia"/>
          <w:color w:val="auto"/>
          <w:highlight w:val="none"/>
        </w:rPr>
        <w:t>第一章 竞争性谈判公告</w:t>
      </w:r>
      <w:bookmarkEnd w:id="0"/>
    </w:p>
    <w:p w14:paraId="48881645">
      <w:pPr>
        <w:spacing w:before="165" w:line="400" w:lineRule="exact"/>
        <w:ind w:firstLine="482"/>
        <w:jc w:val="center"/>
        <w:rPr>
          <w:rFonts w:hint="eastAsia" w:ascii="宋体" w:hAnsi="宋体"/>
          <w:b/>
          <w:bCs/>
          <w:color w:val="auto"/>
          <w:sz w:val="24"/>
          <w:highlight w:val="none"/>
          <w:lang w:eastAsia="zh-CN"/>
        </w:rPr>
      </w:pPr>
      <w:r>
        <w:rPr>
          <w:rFonts w:hint="eastAsia" w:ascii="宋体" w:hAnsi="宋体"/>
          <w:b/>
          <w:bCs/>
          <w:color w:val="auto"/>
          <w:sz w:val="24"/>
          <w:highlight w:val="none"/>
        </w:rPr>
        <w:t>广西正海招标有限公司关于</w:t>
      </w:r>
      <w:r>
        <w:rPr>
          <w:rFonts w:hint="eastAsia" w:ascii="宋体" w:hAnsi="宋体"/>
          <w:b/>
          <w:bCs/>
          <w:color w:val="auto"/>
          <w:sz w:val="24"/>
          <w:highlight w:val="none"/>
          <w:lang w:eastAsia="zh-CN"/>
        </w:rPr>
        <w:t>中医特色门诊设备采购项目</w:t>
      </w:r>
    </w:p>
    <w:p w14:paraId="0577CA5A">
      <w:pPr>
        <w:spacing w:before="165" w:line="400" w:lineRule="exact"/>
        <w:ind w:firstLine="482"/>
        <w:jc w:val="center"/>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b/>
          <w:bCs/>
          <w:color w:val="auto"/>
          <w:sz w:val="24"/>
          <w:highlight w:val="none"/>
          <w:lang w:eastAsia="zh-CN"/>
        </w:rPr>
        <w:t>项目编号：GXZC2026-J1-000955-ZHZB</w:t>
      </w:r>
      <w:r>
        <w:rPr>
          <w:rFonts w:hint="eastAsia" w:ascii="宋体" w:hAnsi="宋体"/>
          <w:b/>
          <w:bCs/>
          <w:color w:val="auto"/>
          <w:sz w:val="24"/>
          <w:highlight w:val="none"/>
        </w:rPr>
        <w:t>）的竞争性谈判公告</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550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noWrap w:val="0"/>
            <w:vAlign w:val="top"/>
          </w:tcPr>
          <w:p w14:paraId="1EEE0AF2">
            <w:pPr>
              <w:spacing w:line="440" w:lineRule="exact"/>
              <w:outlineLvl w:val="1"/>
              <w:rPr>
                <w:rFonts w:hint="eastAsia"/>
                <w:color w:val="auto"/>
                <w:szCs w:val="21"/>
                <w:highlight w:val="none"/>
              </w:rPr>
            </w:pPr>
            <w:bookmarkStart w:id="1" w:name="_Toc28359089"/>
            <w:bookmarkStart w:id="2" w:name="_Toc35393629"/>
            <w:bookmarkStart w:id="3" w:name="_Toc35393798"/>
            <w:bookmarkStart w:id="4" w:name="_Toc28359012"/>
            <w:bookmarkStart w:id="5" w:name="_Toc71366040"/>
            <w:bookmarkStart w:id="6" w:name="_Toc71365362"/>
            <w:bookmarkStart w:id="7" w:name="_Hlk37430271"/>
            <w:r>
              <w:rPr>
                <w:color w:val="auto"/>
                <w:szCs w:val="21"/>
                <w:highlight w:val="none"/>
              </w:rPr>
              <w:t>项目概况</w:t>
            </w:r>
            <w:r>
              <w:rPr>
                <w:rFonts w:hint="eastAsia"/>
                <w:color w:val="auto"/>
                <w:szCs w:val="21"/>
                <w:highlight w:val="none"/>
              </w:rPr>
              <w:t>：</w:t>
            </w:r>
          </w:p>
          <w:p w14:paraId="3CB106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outlineLvl w:val="1"/>
              <w:rPr>
                <w:rFonts w:hint="eastAsia"/>
                <w:color w:val="auto"/>
                <w:szCs w:val="21"/>
                <w:highlight w:val="none"/>
              </w:rPr>
            </w:pPr>
            <w:r>
              <w:rPr>
                <w:rFonts w:hint="eastAsia"/>
                <w:b w:val="0"/>
                <w:bCs/>
                <w:color w:val="auto"/>
                <w:szCs w:val="21"/>
                <w:highlight w:val="none"/>
                <w:lang w:eastAsia="zh-CN"/>
              </w:rPr>
              <w:t>中医特色门诊设备采购项目</w:t>
            </w:r>
            <w:r>
              <w:rPr>
                <w:rFonts w:hint="eastAsia"/>
                <w:b w:val="0"/>
                <w:bCs/>
                <w:color w:val="auto"/>
                <w:szCs w:val="21"/>
                <w:highlight w:val="none"/>
              </w:rPr>
              <w:t>的潜在供应商应在广西政府采购云平台（https://www.gcy.zfcg.gxzf.gov.cn/）获取（下载）竞争性谈判文件，并于2026年4月</w:t>
            </w:r>
            <w:r>
              <w:rPr>
                <w:rFonts w:hint="eastAsia"/>
                <w:b w:val="0"/>
                <w:bCs/>
                <w:color w:val="auto"/>
                <w:szCs w:val="21"/>
                <w:highlight w:val="none"/>
                <w:lang w:val="en-US" w:eastAsia="zh-CN"/>
              </w:rPr>
              <w:t>29</w:t>
            </w:r>
            <w:r>
              <w:rPr>
                <w:rFonts w:hint="eastAsia"/>
                <w:b w:val="0"/>
                <w:bCs/>
                <w:color w:val="auto"/>
                <w:szCs w:val="21"/>
                <w:highlight w:val="none"/>
              </w:rPr>
              <w:t>日</w:t>
            </w:r>
            <w:r>
              <w:rPr>
                <w:rFonts w:hint="eastAsia"/>
                <w:b w:val="0"/>
                <w:bCs/>
                <w:color w:val="auto"/>
                <w:szCs w:val="21"/>
                <w:highlight w:val="none"/>
                <w:lang w:val="en-US" w:eastAsia="zh-CN"/>
              </w:rPr>
              <w:t>15</w:t>
            </w:r>
            <w:r>
              <w:rPr>
                <w:rFonts w:hint="eastAsia"/>
                <w:b w:val="0"/>
                <w:bCs/>
                <w:color w:val="auto"/>
                <w:szCs w:val="21"/>
                <w:highlight w:val="none"/>
              </w:rPr>
              <w:t>时</w:t>
            </w:r>
            <w:r>
              <w:rPr>
                <w:rFonts w:hint="eastAsia"/>
                <w:b w:val="0"/>
                <w:bCs/>
                <w:color w:val="auto"/>
                <w:szCs w:val="21"/>
                <w:highlight w:val="none"/>
                <w:lang w:val="en-US" w:eastAsia="zh-CN"/>
              </w:rPr>
              <w:t>00</w:t>
            </w:r>
            <w:r>
              <w:rPr>
                <w:rFonts w:hint="eastAsia"/>
                <w:b w:val="0"/>
                <w:bCs/>
                <w:color w:val="auto"/>
                <w:szCs w:val="21"/>
                <w:highlight w:val="none"/>
              </w:rPr>
              <w:t>分（北京时间）前提交（上传）响应文件。</w:t>
            </w:r>
          </w:p>
        </w:tc>
      </w:tr>
    </w:tbl>
    <w:p w14:paraId="0D29343D">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color w:val="auto"/>
          <w:sz w:val="24"/>
          <w:highlight w:val="none"/>
        </w:rPr>
      </w:pPr>
      <w:r>
        <w:rPr>
          <w:rFonts w:hint="eastAsia" w:ascii="黑体" w:hAnsi="黑体" w:eastAsia="黑体"/>
          <w:color w:val="auto"/>
          <w:sz w:val="24"/>
          <w:highlight w:val="none"/>
        </w:rPr>
        <w:t>一、项目基本情况</w:t>
      </w:r>
      <w:bookmarkEnd w:id="1"/>
      <w:bookmarkEnd w:id="2"/>
      <w:bookmarkEnd w:id="3"/>
      <w:bookmarkEnd w:id="4"/>
      <w:bookmarkEnd w:id="5"/>
      <w:bookmarkEnd w:id="6"/>
    </w:p>
    <w:p w14:paraId="5B9C2DFE">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项目编号：</w:t>
      </w:r>
      <w:bookmarkStart w:id="8" w:name="OLE_LINK3"/>
      <w:r>
        <w:rPr>
          <w:rFonts w:hint="eastAsia" w:ascii="宋体" w:hAnsi="宋体"/>
          <w:color w:val="auto"/>
          <w:szCs w:val="21"/>
          <w:highlight w:val="none"/>
          <w:lang w:eastAsia="zh-CN"/>
        </w:rPr>
        <w:t>GXZC2026-J1-000955-ZHZB</w:t>
      </w:r>
    </w:p>
    <w:bookmarkEnd w:id="8"/>
    <w:p w14:paraId="728E2A7D">
      <w:pPr>
        <w:keepNext w:val="0"/>
        <w:pageBreakBefore w:val="0"/>
        <w:kinsoku/>
        <w:overflowPunct/>
        <w:topLinePunct w:val="0"/>
        <w:autoSpaceDE/>
        <w:autoSpaceDN/>
        <w:bidi w:val="0"/>
        <w:adjustRightInd/>
        <w:snapToGrid/>
        <w:spacing w:line="360" w:lineRule="auto"/>
        <w:ind w:left="0"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中医特色门诊设备采购项目</w:t>
      </w:r>
    </w:p>
    <w:p w14:paraId="61BA0B33">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采购方式：竞争性谈判</w:t>
      </w:r>
    </w:p>
    <w:p w14:paraId="70240406">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（人民币）</w:t>
      </w:r>
      <w:r>
        <w:rPr>
          <w:rFonts w:hint="eastAsia" w:ascii="宋体" w:hAnsi="宋体"/>
          <w:color w:val="auto"/>
          <w:szCs w:val="21"/>
          <w:highlight w:val="none"/>
        </w:rPr>
        <w:t>：</w:t>
      </w:r>
      <w:r>
        <w:rPr>
          <w:rFonts w:hint="eastAsia" w:ascii="宋体" w:hAnsi="宋体"/>
          <w:iCs/>
          <w:color w:val="auto"/>
          <w:szCs w:val="21"/>
          <w:highlight w:val="none"/>
        </w:rPr>
        <w:t>163.85万元。</w:t>
      </w:r>
    </w:p>
    <w:p w14:paraId="27116E4E">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（人民币）</w:t>
      </w:r>
      <w:r>
        <w:rPr>
          <w:rFonts w:hint="eastAsia" w:ascii="宋体" w:hAnsi="宋体"/>
          <w:color w:val="auto"/>
          <w:szCs w:val="21"/>
          <w:highlight w:val="none"/>
        </w:rPr>
        <w:t>：163.85</w:t>
      </w:r>
      <w:r>
        <w:rPr>
          <w:rFonts w:hint="eastAsia" w:ascii="宋体" w:hAnsi="宋体"/>
          <w:iCs/>
          <w:color w:val="auto"/>
          <w:szCs w:val="21"/>
          <w:highlight w:val="none"/>
        </w:rPr>
        <w:t>万元</w:t>
      </w:r>
      <w:r>
        <w:rPr>
          <w:rFonts w:hint="eastAsia" w:ascii="宋体" w:hAnsi="宋体" w:cs="宋体"/>
          <w:color w:val="auto"/>
          <w:szCs w:val="21"/>
          <w:highlight w:val="none"/>
        </w:rPr>
        <w:t>。</w:t>
      </w:r>
    </w:p>
    <w:p w14:paraId="3F8CD89E">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采购AI理疗机器人、艾灸机器人（医疗版）、常压煎药包装机、医用红外热像仪、虚拟现实毒瘾评估与康复训练系统、智能戒毒医疗终端、子午流注中频电疗仪，</w:t>
      </w:r>
      <w:r>
        <w:rPr>
          <w:rFonts w:hint="eastAsia" w:ascii="宋体" w:hAnsi="宋体"/>
          <w:b w:val="0"/>
          <w:bCs/>
          <w:color w:val="auto"/>
          <w:szCs w:val="21"/>
          <w:highlight w:val="none"/>
        </w:rPr>
        <w:t>详见第三章采购需求。</w:t>
      </w:r>
    </w:p>
    <w:p w14:paraId="05149211">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合同履行期限：</w:t>
      </w:r>
      <w:r>
        <w:rPr>
          <w:color w:val="auto"/>
          <w:szCs w:val="21"/>
          <w:highlight w:val="none"/>
        </w:rPr>
        <w:t>自签订合同之日起</w:t>
      </w:r>
      <w:r>
        <w:rPr>
          <w:rFonts w:hint="eastAsia"/>
          <w:color w:val="auto"/>
          <w:szCs w:val="21"/>
          <w:highlight w:val="none"/>
        </w:rPr>
        <w:t>20个工作</w:t>
      </w:r>
      <w:r>
        <w:rPr>
          <w:color w:val="auto"/>
          <w:szCs w:val="21"/>
          <w:highlight w:val="none"/>
        </w:rPr>
        <w:t>日内完成供货、安装调试完毕并通过验收。</w:t>
      </w:r>
    </w:p>
    <w:p w14:paraId="7754BCA6">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本项目不接受联合体竞标。</w:t>
      </w:r>
    </w:p>
    <w:p w14:paraId="38B22198">
      <w:pPr>
        <w:keepNext w:val="0"/>
        <w:pageBreakBefore w:val="0"/>
        <w:kinsoku/>
        <w:overflowPunct/>
        <w:topLinePunct w:val="0"/>
        <w:autoSpaceDE/>
        <w:autoSpaceDN/>
        <w:bidi w:val="0"/>
        <w:adjustRightInd/>
        <w:snapToGrid/>
        <w:spacing w:line="360" w:lineRule="auto"/>
        <w:ind w:left="0" w:firstLine="480" w:firstLineChars="200"/>
        <w:textAlignment w:val="auto"/>
        <w:rPr>
          <w:rFonts w:ascii="黑体" w:hAnsi="黑体" w:eastAsia="黑体"/>
          <w:color w:val="auto"/>
          <w:sz w:val="24"/>
          <w:highlight w:val="none"/>
        </w:rPr>
      </w:pPr>
      <w:bookmarkStart w:id="9" w:name="_Toc35393799"/>
      <w:bookmarkStart w:id="10" w:name="_Toc35393630"/>
      <w:bookmarkStart w:id="11" w:name="_Toc28359013"/>
      <w:bookmarkStart w:id="12" w:name="_Toc71366041"/>
      <w:bookmarkStart w:id="13" w:name="_Toc71365363"/>
      <w:bookmarkStart w:id="14" w:name="_Toc28359090"/>
      <w:r>
        <w:rPr>
          <w:rFonts w:hint="eastAsia" w:ascii="黑体" w:hAnsi="黑体" w:eastAsia="黑体"/>
          <w:color w:val="auto"/>
          <w:sz w:val="24"/>
          <w:highlight w:val="none"/>
        </w:rPr>
        <w:t>二、供应商的资格条件：</w:t>
      </w:r>
      <w:bookmarkEnd w:id="9"/>
      <w:bookmarkEnd w:id="10"/>
      <w:bookmarkEnd w:id="11"/>
      <w:bookmarkEnd w:id="12"/>
      <w:bookmarkEnd w:id="13"/>
      <w:bookmarkEnd w:id="14"/>
    </w:p>
    <w:p w14:paraId="4F4F9D4C">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bookmarkStart w:id="15" w:name="_Toc28359091"/>
      <w:bookmarkStart w:id="16" w:name="_Toc28359014"/>
      <w:r>
        <w:rPr>
          <w:rFonts w:hint="eastAsia" w:ascii="宋体" w:hAnsi="宋体"/>
          <w:color w:val="auto"/>
          <w:szCs w:val="21"/>
          <w:highlight w:val="none"/>
        </w:rPr>
        <w:t>1.满足《中华人民共和国政府采购法》第二十二条规定；</w:t>
      </w:r>
    </w:p>
    <w:p w14:paraId="3AC6C8EE">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color w:val="auto"/>
          <w:szCs w:val="21"/>
          <w:highlight w:val="none"/>
        </w:rPr>
        <w:t>无</w:t>
      </w:r>
      <w:r>
        <w:rPr>
          <w:rFonts w:hint="eastAsia" w:ascii="宋体" w:hAnsi="宋体" w:cs="宋体"/>
          <w:color w:val="auto"/>
          <w:highlight w:val="none"/>
        </w:rPr>
        <w:t>；</w:t>
      </w:r>
    </w:p>
    <w:p w14:paraId="46EDB9E0">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3.本项目的特定资格要求：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21CAFDA8">
      <w:pPr>
        <w:keepNext w:val="0"/>
        <w:pageBreakBefore w:val="0"/>
        <w:kinsoku/>
        <w:overflowPunct/>
        <w:topLinePunct w:val="0"/>
        <w:autoSpaceDE/>
        <w:autoSpaceDN/>
        <w:bidi w:val="0"/>
        <w:adjustRightInd/>
        <w:snapToGrid/>
        <w:spacing w:line="360" w:lineRule="auto"/>
        <w:ind w:left="0" w:firstLine="480" w:firstLineChars="200"/>
        <w:textAlignment w:val="auto"/>
        <w:rPr>
          <w:rFonts w:ascii="黑体" w:hAnsi="黑体" w:eastAsia="黑体"/>
          <w:color w:val="auto"/>
          <w:sz w:val="24"/>
          <w:highlight w:val="none"/>
        </w:rPr>
      </w:pPr>
      <w:bookmarkStart w:id="17" w:name="_Toc71366042"/>
      <w:bookmarkStart w:id="18" w:name="_Toc35393631"/>
      <w:bookmarkStart w:id="19" w:name="_Toc35393800"/>
      <w:bookmarkStart w:id="20" w:name="_Toc71365364"/>
      <w:r>
        <w:rPr>
          <w:rFonts w:hint="eastAsia" w:ascii="黑体" w:hAnsi="黑体" w:eastAsia="黑体"/>
          <w:color w:val="auto"/>
          <w:sz w:val="24"/>
          <w:highlight w:val="none"/>
        </w:rPr>
        <w:t>三、获取竞争性谈判文件</w:t>
      </w:r>
      <w:bookmarkEnd w:id="15"/>
      <w:bookmarkEnd w:id="16"/>
      <w:bookmarkEnd w:id="17"/>
      <w:bookmarkEnd w:id="18"/>
      <w:bookmarkEnd w:id="19"/>
      <w:bookmarkEnd w:id="20"/>
    </w:p>
    <w:p w14:paraId="7725AB0B">
      <w:pPr>
        <w:keepNext w:val="0"/>
        <w:pageBreakBefore w:val="0"/>
        <w:widowControl/>
        <w:kinsoku/>
        <w:overflowPunct/>
        <w:topLinePunct w:val="0"/>
        <w:autoSpaceDE/>
        <w:autoSpaceDN/>
        <w:bidi w:val="0"/>
        <w:adjustRightInd/>
        <w:snapToGrid/>
        <w:spacing w:line="360" w:lineRule="auto"/>
        <w:ind w:left="0" w:firstLine="420" w:firstLineChars="200"/>
        <w:jc w:val="left"/>
        <w:textAlignment w:val="auto"/>
        <w:rPr>
          <w:rFonts w:ascii="宋体" w:hAnsi="宋体" w:cs="宋体"/>
          <w:color w:val="auto"/>
          <w:szCs w:val="21"/>
          <w:highlight w:val="none"/>
        </w:rPr>
      </w:pPr>
      <w:bookmarkStart w:id="21" w:name="_Toc71366043"/>
      <w:bookmarkStart w:id="22" w:name="_Toc28359015"/>
      <w:bookmarkStart w:id="23" w:name="_Toc71365365"/>
      <w:bookmarkStart w:id="24" w:name="_Toc35393801"/>
      <w:bookmarkStart w:id="25" w:name="_Toc28359092"/>
      <w:bookmarkStart w:id="26" w:name="_Toc35393632"/>
      <w:r>
        <w:rPr>
          <w:rFonts w:hint="eastAsia" w:ascii="宋体" w:hAnsi="宋体" w:cs="宋体"/>
          <w:color w:val="auto"/>
          <w:szCs w:val="21"/>
          <w:highlight w:val="none"/>
        </w:rPr>
        <w:t>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日至2026年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r>
        <w:rPr>
          <w:rFonts w:asciiTheme="minorEastAsia" w:hAnsiTheme="minorEastAsia" w:eastAsiaTheme="minorEastAsia"/>
          <w:color w:val="auto"/>
          <w:highlight w:val="none"/>
        </w:rPr>
        <w:t>每天00:00至11:59，12:00至23:59（北京时间）</w:t>
      </w:r>
    </w:p>
    <w:p w14:paraId="739AE62A">
      <w:pPr>
        <w:keepNext w:val="0"/>
        <w:pageBreakBefore w:val="0"/>
        <w:widowControl/>
        <w:kinsoku/>
        <w:overflowPunct/>
        <w:topLinePunct w:val="0"/>
        <w:autoSpaceDE/>
        <w:autoSpaceDN/>
        <w:bidi w:val="0"/>
        <w:adjustRightInd/>
        <w:snapToGrid/>
        <w:spacing w:line="360" w:lineRule="auto"/>
        <w:ind w:left="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4CDB598C">
      <w:pPr>
        <w:keepNext w:val="0"/>
        <w:pageBreakBefore w:val="0"/>
        <w:widowControl/>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方式：网上下载。本项目不提供纸质文件，潜在供应商需在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3BF88D4D">
      <w:pPr>
        <w:keepNext w:val="0"/>
        <w:pageBreakBefore w:val="0"/>
        <w:widowControl/>
        <w:kinsoku/>
        <w:overflowPunct/>
        <w:topLinePunct w:val="0"/>
        <w:autoSpaceDE/>
        <w:autoSpaceDN/>
        <w:bidi w:val="0"/>
        <w:adjustRightInd/>
        <w:snapToGrid/>
        <w:spacing w:line="360" w:lineRule="auto"/>
        <w:ind w:left="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售价：0元</w:t>
      </w:r>
    </w:p>
    <w:p w14:paraId="240A8C46">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color w:val="auto"/>
          <w:sz w:val="24"/>
          <w:highlight w:val="none"/>
        </w:rPr>
      </w:pPr>
      <w:r>
        <w:rPr>
          <w:rFonts w:hint="eastAsia" w:ascii="黑体" w:hAnsi="黑体" w:eastAsia="黑体"/>
          <w:color w:val="auto"/>
          <w:sz w:val="24"/>
          <w:highlight w:val="none"/>
        </w:rPr>
        <w:t>四、响应文件提交</w:t>
      </w:r>
      <w:bookmarkEnd w:id="21"/>
      <w:bookmarkEnd w:id="22"/>
      <w:bookmarkEnd w:id="23"/>
      <w:bookmarkEnd w:id="24"/>
      <w:bookmarkEnd w:id="25"/>
      <w:bookmarkEnd w:id="26"/>
    </w:p>
    <w:p w14:paraId="7BAA25EE">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bCs/>
          <w:color w:val="auto"/>
          <w:szCs w:val="21"/>
          <w:highlight w:val="none"/>
        </w:rPr>
        <w:t>（北京时间）</w:t>
      </w:r>
    </w:p>
    <w:p w14:paraId="0A838CF4">
      <w:pPr>
        <w:keepNext w:val="0"/>
        <w:pageBreakBefore w:val="0"/>
        <w:tabs>
          <w:tab w:val="left" w:pos="0"/>
        </w:tabs>
        <w:kinsoku/>
        <w:overflowPunct/>
        <w:topLinePunct w:val="0"/>
        <w:autoSpaceDE/>
        <w:autoSpaceDN/>
        <w:bidi w:val="0"/>
        <w:adjustRightInd/>
        <w:snapToGrid/>
        <w:spacing w:line="360" w:lineRule="auto"/>
        <w:ind w:left="0"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26D212F7">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color w:val="auto"/>
          <w:sz w:val="24"/>
          <w:highlight w:val="none"/>
        </w:rPr>
      </w:pPr>
      <w:bookmarkStart w:id="27" w:name="_Toc28359016"/>
      <w:bookmarkStart w:id="28" w:name="_Toc35393802"/>
      <w:bookmarkStart w:id="29" w:name="_Toc71366044"/>
      <w:bookmarkStart w:id="30" w:name="_Toc71365366"/>
      <w:bookmarkStart w:id="31" w:name="_Toc28359093"/>
      <w:bookmarkStart w:id="32" w:name="_Toc35393633"/>
      <w:r>
        <w:rPr>
          <w:rFonts w:hint="eastAsia" w:ascii="黑体" w:hAnsi="黑体" w:eastAsia="黑体"/>
          <w:color w:val="auto"/>
          <w:sz w:val="24"/>
          <w:highlight w:val="none"/>
        </w:rPr>
        <w:t>五、开启</w:t>
      </w:r>
      <w:bookmarkEnd w:id="27"/>
      <w:bookmarkEnd w:id="28"/>
      <w:bookmarkEnd w:id="29"/>
      <w:bookmarkEnd w:id="30"/>
      <w:bookmarkEnd w:id="31"/>
      <w:bookmarkEnd w:id="32"/>
    </w:p>
    <w:p w14:paraId="18CA97B4">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bCs/>
          <w:color w:val="auto"/>
          <w:szCs w:val="21"/>
          <w:highlight w:val="none"/>
          <w:u w:val="single"/>
        </w:rPr>
        <w:t>（北京时间）</w:t>
      </w:r>
    </w:p>
    <w:p w14:paraId="4EF97CD5">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90B68AD">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color w:val="auto"/>
          <w:sz w:val="24"/>
          <w:highlight w:val="none"/>
        </w:rPr>
      </w:pPr>
      <w:bookmarkStart w:id="33" w:name="_Toc71365367"/>
      <w:bookmarkStart w:id="34" w:name="_Toc35393803"/>
      <w:bookmarkStart w:id="35" w:name="_Toc35393634"/>
      <w:bookmarkStart w:id="36" w:name="_Toc71366045"/>
      <w:bookmarkStart w:id="37" w:name="_Toc28359017"/>
      <w:bookmarkStart w:id="38" w:name="_Toc28359094"/>
      <w:r>
        <w:rPr>
          <w:rFonts w:hint="eastAsia" w:ascii="黑体" w:hAnsi="黑体" w:eastAsia="黑体"/>
          <w:color w:val="auto"/>
          <w:sz w:val="24"/>
          <w:highlight w:val="none"/>
        </w:rPr>
        <w:t>六、公告期限</w:t>
      </w:r>
      <w:bookmarkEnd w:id="33"/>
      <w:bookmarkEnd w:id="34"/>
      <w:bookmarkEnd w:id="35"/>
      <w:bookmarkEnd w:id="36"/>
      <w:bookmarkEnd w:id="37"/>
      <w:bookmarkEnd w:id="38"/>
    </w:p>
    <w:p w14:paraId="4F2C37C9">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46EEC86B">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color w:val="auto"/>
          <w:sz w:val="24"/>
          <w:highlight w:val="none"/>
        </w:rPr>
      </w:pPr>
      <w:bookmarkStart w:id="39" w:name="_Toc71366046"/>
      <w:bookmarkStart w:id="40" w:name="_Toc35393804"/>
      <w:bookmarkStart w:id="41" w:name="_Toc71365368"/>
      <w:bookmarkStart w:id="42" w:name="_Toc35393635"/>
      <w:r>
        <w:rPr>
          <w:rFonts w:hint="eastAsia" w:ascii="黑体" w:hAnsi="黑体" w:eastAsia="黑体"/>
          <w:color w:val="auto"/>
          <w:sz w:val="24"/>
          <w:highlight w:val="none"/>
        </w:rPr>
        <w:t>七、其他补充事宜</w:t>
      </w:r>
      <w:bookmarkEnd w:id="39"/>
      <w:bookmarkEnd w:id="40"/>
      <w:bookmarkEnd w:id="41"/>
      <w:bookmarkEnd w:id="42"/>
    </w:p>
    <w:p w14:paraId="196A3FF8">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中国政府采购网（http://www.ccgp.gov.cn）、广西政府采购网（http://www.ccgp-guangxi.gov.cn）</w:t>
      </w:r>
      <w:r>
        <w:rPr>
          <w:rFonts w:hint="eastAsia" w:ascii="宋体" w:hAnsi="宋体" w:cs="宋体"/>
          <w:color w:val="auto"/>
          <w:kern w:val="0"/>
          <w:szCs w:val="21"/>
          <w:highlight w:val="none"/>
          <w:lang w:eastAsia="zh-CN"/>
        </w:rPr>
        <w:t>。</w:t>
      </w:r>
    </w:p>
    <w:p w14:paraId="0CC7BFCF">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bookmarkStart w:id="43" w:name="_Hlk37429674"/>
      <w:bookmarkStart w:id="44" w:name="_Toc28359018"/>
      <w:bookmarkStart w:id="45" w:name="_Toc28359095"/>
      <w:bookmarkStart w:id="46" w:name="_Toc71365369"/>
      <w:bookmarkStart w:id="47" w:name="_Toc71366047"/>
      <w:bookmarkStart w:id="48" w:name="_Toc35393805"/>
      <w:bookmarkStart w:id="49" w:name="_Toc35393636"/>
      <w:r>
        <w:rPr>
          <w:rFonts w:hint="eastAsia" w:ascii="宋体" w:hAnsi="宋体" w:cs="宋体"/>
          <w:bCs/>
          <w:color w:val="auto"/>
          <w:szCs w:val="21"/>
          <w:highlight w:val="none"/>
        </w:rPr>
        <w:t>2.本项目需要落实的政府采购政策</w:t>
      </w:r>
    </w:p>
    <w:p w14:paraId="5F660268">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（1）政府采购促进中小企业发展。</w:t>
      </w:r>
    </w:p>
    <w:p w14:paraId="238F76A1">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（2）政府采购支持采用本国产品的政策。</w:t>
      </w:r>
    </w:p>
    <w:p w14:paraId="0A726E7E">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（3）强制采购节能产品；优先采购节能产品、环境标志产品。</w:t>
      </w:r>
    </w:p>
    <w:p w14:paraId="331F0C10">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（4）政府采购促进残疾人就业政策。</w:t>
      </w:r>
    </w:p>
    <w:p w14:paraId="2A9F3A0B">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（5）政府采购支持监狱企业发展。</w:t>
      </w:r>
    </w:p>
    <w:bookmarkEnd w:id="43"/>
    <w:p w14:paraId="286490FD">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3.供应商竞标注意事项</w:t>
      </w:r>
    </w:p>
    <w:p w14:paraId="49740684">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（1）本项目为全流程电子化采购项目，通过广西政府采购云平台（https://www.gcy.zfcg.gxzf.gov.cn/）实行在线电子竞标，供应商应按照本项目竞争性谈判文件和广西政府采购云平台 的要求编制、加密后在提交响应文件截止时间前通过网络上传至 广西政府采购云平台 （加密的电子响应文件是指后缀名为“jmbs”的文件），供应商在广西政府采购云平台 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60D7EA1">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14:paraId="545FD308">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（3）CA证书在线解密：首次响应文件开启时，需携带制作响应文件时用来加密的有效数字证书（CA认证）登录广西政府采购云平台 电子开标大厅现场按规定时间对加密的响应文件进行解密，否则后果自负。</w:t>
      </w:r>
    </w:p>
    <w:p w14:paraId="3A00846C">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D0C447A">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（4）供应商需要在具备有摄像头及语音功能且互联网网络状况良好的电脑登录广西政府采购云平台 远程开标大厅参与本次谈判，否则后果自负。</w:t>
      </w:r>
    </w:p>
    <w:p w14:paraId="668FB26A">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4"/>
      <w:bookmarkEnd w:id="45"/>
      <w:bookmarkEnd w:id="46"/>
      <w:bookmarkEnd w:id="47"/>
      <w:bookmarkEnd w:id="48"/>
      <w:bookmarkEnd w:id="49"/>
    </w:p>
    <w:p w14:paraId="65697B28">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s="宋体"/>
          <w:color w:val="auto"/>
          <w:kern w:val="0"/>
          <w:szCs w:val="21"/>
          <w:highlight w:val="none"/>
        </w:rPr>
      </w:pPr>
      <w:bookmarkStart w:id="50" w:name="_Toc28359019"/>
      <w:bookmarkStart w:id="51" w:name="_Toc28359096"/>
      <w:bookmarkStart w:id="52" w:name="_Toc35393637"/>
      <w:bookmarkStart w:id="53" w:name="_Toc35393806"/>
      <w:r>
        <w:rPr>
          <w:rFonts w:hint="eastAsia" w:ascii="宋体" w:hAnsi="宋体" w:cs="宋体"/>
          <w:color w:val="auto"/>
          <w:kern w:val="0"/>
          <w:szCs w:val="21"/>
          <w:highlight w:val="none"/>
        </w:rPr>
        <w:t>1.采购人信息</w:t>
      </w:r>
      <w:bookmarkEnd w:id="50"/>
      <w:bookmarkEnd w:id="51"/>
      <w:bookmarkEnd w:id="52"/>
      <w:bookmarkEnd w:id="53"/>
      <w:r>
        <w:rPr>
          <w:rFonts w:hint="eastAsia" w:ascii="宋体" w:hAnsi="宋体" w:cs="宋体"/>
          <w:color w:val="auto"/>
          <w:kern w:val="0"/>
          <w:szCs w:val="21"/>
          <w:highlight w:val="none"/>
        </w:rPr>
        <w:t xml:space="preserve">    </w:t>
      </w:r>
    </w:p>
    <w:p w14:paraId="24BB0A0C">
      <w:pPr>
        <w:keepNext w:val="0"/>
        <w:pageBreakBefore w:val="0"/>
        <w:kinsoku/>
        <w:overflowPunct/>
        <w:topLinePunct w:val="0"/>
        <w:autoSpaceDE/>
        <w:autoSpaceDN/>
        <w:bidi w:val="0"/>
        <w:adjustRightInd/>
        <w:snapToGrid/>
        <w:spacing w:line="360" w:lineRule="auto"/>
        <w:ind w:left="0" w:firstLine="420" w:firstLineChars="200"/>
        <w:jc w:val="left"/>
        <w:textAlignment w:val="auto"/>
        <w:rPr>
          <w:rFonts w:hint="eastAsia" w:ascii="宋体" w:hAnsi="宋体"/>
          <w:color w:val="auto"/>
          <w:szCs w:val="21"/>
          <w:highlight w:val="none"/>
        </w:rPr>
      </w:pPr>
      <w:bookmarkStart w:id="54" w:name="_Toc28359020"/>
      <w:bookmarkStart w:id="55" w:name="_Toc35393807"/>
      <w:bookmarkStart w:id="56" w:name="_Toc35393638"/>
      <w:bookmarkStart w:id="57" w:name="_Toc28359097"/>
      <w:r>
        <w:rPr>
          <w:rFonts w:hint="eastAsia" w:ascii="宋体" w:hAnsi="宋体"/>
          <w:color w:val="auto"/>
          <w:szCs w:val="21"/>
          <w:highlight w:val="none"/>
        </w:rPr>
        <w:t>名称：广西壮族自治区女子强制隔离戒毒所</w:t>
      </w:r>
    </w:p>
    <w:p w14:paraId="23FEFD8A">
      <w:pPr>
        <w:keepNext w:val="0"/>
        <w:pageBreakBefore w:val="0"/>
        <w:kinsoku/>
        <w:overflowPunct/>
        <w:topLinePunct w:val="0"/>
        <w:autoSpaceDE/>
        <w:autoSpaceDN/>
        <w:bidi w:val="0"/>
        <w:adjustRightInd/>
        <w:snapToGrid/>
        <w:spacing w:line="360" w:lineRule="auto"/>
        <w:ind w:left="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地址：南宁市良庆区玉洞大道10号  </w:t>
      </w:r>
    </w:p>
    <w:p w14:paraId="2A0E19CE">
      <w:pPr>
        <w:keepNext w:val="0"/>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项目联系人：甘警官    联系电话：0771-6499806</w:t>
      </w:r>
    </w:p>
    <w:p w14:paraId="24C2D155">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2.采购代理机构信息</w:t>
      </w:r>
      <w:bookmarkEnd w:id="54"/>
      <w:bookmarkEnd w:id="55"/>
      <w:bookmarkEnd w:id="56"/>
      <w:bookmarkEnd w:id="57"/>
    </w:p>
    <w:bookmarkEnd w:id="7"/>
    <w:p w14:paraId="7B9B9A3A">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名称：广西正海招标有限公司　　　　　　　　　　　　</w:t>
      </w:r>
    </w:p>
    <w:p w14:paraId="1EA8A5F6">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地址：南宁市青秀区茅桥路2号习艺基地A栋1号电梯3楼　　　　　　　　　　　　</w:t>
      </w:r>
    </w:p>
    <w:p w14:paraId="59022674">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联系方式：0771-2865989　　　　　　　　　　</w:t>
      </w:r>
    </w:p>
    <w:p w14:paraId="5AF43A5C">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3.项目联系方式</w:t>
      </w:r>
    </w:p>
    <w:p w14:paraId="07A3FF4B">
      <w:pPr>
        <w:keepNext w:val="0"/>
        <w:pageBreakBefore w:val="0"/>
        <w:kinsoku/>
        <w:overflowPunct/>
        <w:topLinePunct w:val="0"/>
        <w:autoSpaceDE/>
        <w:autoSpaceDN/>
        <w:bidi w:val="0"/>
        <w:adjustRightInd/>
        <w:snapToGrid/>
        <w:spacing w:line="360" w:lineRule="auto"/>
        <w:ind w:left="0" w:firstLine="420" w:firstLineChars="200"/>
        <w:textAlignment w:val="auto"/>
        <w:rPr>
          <w:color w:val="auto"/>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覃相健</w:t>
      </w:r>
      <w:r>
        <w:rPr>
          <w:rFonts w:hint="eastAsia" w:ascii="宋体" w:hAnsi="宋体"/>
          <w:color w:val="auto"/>
          <w:szCs w:val="21"/>
          <w:highlight w:val="none"/>
        </w:rPr>
        <w:t xml:space="preserve">   联系电话：0771-2865989</w:t>
      </w:r>
      <w:r>
        <w:rPr>
          <w:rFonts w:ascii="方正小标宋简体" w:hAnsi="方正小标宋简体" w:eastAsia="方正小标宋简体" w:cs="方正小标宋简体"/>
          <w:bCs/>
          <w:color w:val="auto"/>
          <w:sz w:val="44"/>
          <w:szCs w:val="44"/>
          <w:highlight w:val="none"/>
        </w:rPr>
        <w:br w:type="page"/>
      </w:r>
    </w:p>
    <w:p w14:paraId="68EBAC86">
      <w:pPr>
        <w:pStyle w:val="2"/>
        <w:spacing w:before="165"/>
        <w:ind w:firstLine="883"/>
        <w:jc w:val="center"/>
        <w:rPr>
          <w:color w:val="auto"/>
          <w:highlight w:val="none"/>
        </w:rPr>
      </w:pPr>
      <w:bookmarkStart w:id="58" w:name="_Toc129703549"/>
      <w:r>
        <w:rPr>
          <w:rFonts w:hint="eastAsia"/>
          <w:color w:val="auto"/>
          <w:highlight w:val="none"/>
        </w:rPr>
        <w:t>第二章 供应商须知</w:t>
      </w:r>
      <w:bookmarkEnd w:id="58"/>
    </w:p>
    <w:p w14:paraId="23DF6BE9">
      <w:pPr>
        <w:spacing w:before="165" w:line="400" w:lineRule="exact"/>
        <w:ind w:firstLine="643"/>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26"/>
        <w:tblW w:w="9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153"/>
      </w:tblGrid>
      <w:tr w14:paraId="12152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70A70FA">
            <w:pPr>
              <w:spacing w:before="165"/>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153" w:type="dxa"/>
          </w:tcPr>
          <w:p w14:paraId="5235F969">
            <w:pPr>
              <w:keepNext w:val="0"/>
              <w:keepLines w:val="0"/>
              <w:pageBreakBefore w:val="0"/>
              <w:widowControl w:val="0"/>
              <w:kinsoku/>
              <w:wordWrap/>
              <w:overflowPunct/>
              <w:topLinePunct w:val="0"/>
              <w:bidi w:val="0"/>
              <w:adjustRightInd/>
              <w:spacing w:line="360" w:lineRule="auto"/>
              <w:ind w:left="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BF9C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87A216">
            <w:pPr>
              <w:spacing w:before="165"/>
              <w:jc w:val="center"/>
              <w:rPr>
                <w:rFonts w:ascii="宋体" w:hAnsi="宋体" w:cs="宋体"/>
                <w:color w:val="auto"/>
                <w:szCs w:val="21"/>
                <w:highlight w:val="none"/>
              </w:rPr>
            </w:pPr>
            <w:r>
              <w:rPr>
                <w:rFonts w:hint="eastAsia" w:ascii="宋体" w:hAnsi="宋体" w:cs="宋体"/>
                <w:color w:val="auto"/>
                <w:szCs w:val="21"/>
                <w:highlight w:val="none"/>
              </w:rPr>
              <w:t>3</w:t>
            </w:r>
          </w:p>
        </w:tc>
        <w:tc>
          <w:tcPr>
            <w:tcW w:w="8153" w:type="dxa"/>
            <w:vAlign w:val="center"/>
          </w:tcPr>
          <w:p w14:paraId="432D4DAE">
            <w:pPr>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65EAC556">
            <w:pPr>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AE0F27D">
            <w:pPr>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8A56BB">
            <w:pPr>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BF50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B386DA">
            <w:pPr>
              <w:spacing w:before="165"/>
              <w:jc w:val="center"/>
              <w:rPr>
                <w:rFonts w:ascii="宋体" w:hAnsi="宋体" w:cs="宋体"/>
                <w:color w:val="auto"/>
                <w:szCs w:val="21"/>
                <w:highlight w:val="none"/>
              </w:rPr>
            </w:pPr>
            <w:r>
              <w:rPr>
                <w:rFonts w:hint="eastAsia" w:ascii="宋体" w:hAnsi="宋体" w:cs="宋体"/>
                <w:color w:val="auto"/>
                <w:szCs w:val="21"/>
                <w:highlight w:val="none"/>
              </w:rPr>
              <w:t>5.1</w:t>
            </w:r>
          </w:p>
        </w:tc>
        <w:tc>
          <w:tcPr>
            <w:tcW w:w="8153" w:type="dxa"/>
            <w:vAlign w:val="center"/>
          </w:tcPr>
          <w:p w14:paraId="195528C0">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是否接受联合体竞标:否</w:t>
            </w:r>
          </w:p>
        </w:tc>
      </w:tr>
      <w:tr w14:paraId="665C6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E516C3">
            <w:pPr>
              <w:spacing w:before="165"/>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8153" w:type="dxa"/>
            <w:vAlign w:val="center"/>
          </w:tcPr>
          <w:p w14:paraId="2F4825BE">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1734DC13">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06061BDE">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79B1A588">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0F32F92F">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28AE64D7">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7136616B">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3FEB0A59">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1C30B179">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79D9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15E922">
            <w:pPr>
              <w:spacing w:before="165"/>
              <w:jc w:val="center"/>
              <w:rPr>
                <w:rFonts w:ascii="宋体" w:hAnsi="宋体" w:cs="宋体"/>
                <w:color w:val="auto"/>
                <w:szCs w:val="21"/>
                <w:highlight w:val="none"/>
              </w:rPr>
            </w:pPr>
            <w:r>
              <w:rPr>
                <w:rFonts w:hint="eastAsia" w:ascii="宋体" w:hAnsi="宋体" w:cs="宋体"/>
                <w:color w:val="auto"/>
                <w:szCs w:val="21"/>
                <w:highlight w:val="none"/>
              </w:rPr>
              <w:t>6.2</w:t>
            </w:r>
          </w:p>
        </w:tc>
        <w:tc>
          <w:tcPr>
            <w:tcW w:w="8153" w:type="dxa"/>
            <w:vAlign w:val="center"/>
          </w:tcPr>
          <w:p w14:paraId="23150A6B">
            <w:pPr>
              <w:pStyle w:val="9"/>
              <w:keepNext w:val="0"/>
              <w:keepLines w:val="0"/>
              <w:pageBreakBefore w:val="0"/>
              <w:widowControl w:val="0"/>
              <w:kinsoku/>
              <w:wordWrap/>
              <w:overflowPunct/>
              <w:topLinePunct w:val="0"/>
              <w:bidi w:val="0"/>
              <w:adjustRightInd/>
              <w:spacing w:line="360" w:lineRule="auto"/>
              <w:ind w:left="0" w:firstLine="0" w:firstLineChars="0"/>
              <w:rPr>
                <w:color w:val="auto"/>
                <w:highlight w:val="none"/>
              </w:rPr>
            </w:pPr>
            <w:r>
              <w:rPr>
                <w:rFonts w:hint="eastAsia" w:ascii="MS Mincho" w:hAnsi="MS Mincho" w:eastAsia="MS Mincho" w:cs="MS Mincho"/>
                <w:color w:val="auto"/>
                <w:highlight w:val="none"/>
              </w:rPr>
              <w:t>☑</w:t>
            </w:r>
            <w:r>
              <w:rPr>
                <w:rFonts w:hint="eastAsia"/>
                <w:color w:val="auto"/>
                <w:highlight w:val="none"/>
              </w:rPr>
              <w:t>不允许分包</w:t>
            </w:r>
          </w:p>
          <w:p w14:paraId="5B0FB430">
            <w:pPr>
              <w:pStyle w:val="9"/>
              <w:keepNext w:val="0"/>
              <w:keepLines w:val="0"/>
              <w:pageBreakBefore w:val="0"/>
              <w:widowControl w:val="0"/>
              <w:kinsoku/>
              <w:wordWrap/>
              <w:overflowPunct/>
              <w:topLinePunct w:val="0"/>
              <w:bidi w:val="0"/>
              <w:adjustRightInd/>
              <w:spacing w:line="360" w:lineRule="auto"/>
              <w:ind w:left="0" w:firstLine="0" w:firstLineChars="0"/>
              <w:rPr>
                <w:color w:val="auto"/>
                <w:highlight w:val="none"/>
              </w:rPr>
            </w:pPr>
            <w:r>
              <w:rPr>
                <w:rFonts w:hint="eastAsia"/>
                <w:color w:val="auto"/>
                <w:highlight w:val="none"/>
              </w:rPr>
              <w:t>□允许分包</w:t>
            </w:r>
          </w:p>
          <w:p w14:paraId="4978D710">
            <w:pPr>
              <w:pStyle w:val="9"/>
              <w:keepNext w:val="0"/>
              <w:keepLines w:val="0"/>
              <w:pageBreakBefore w:val="0"/>
              <w:widowControl w:val="0"/>
              <w:kinsoku/>
              <w:wordWrap/>
              <w:overflowPunct/>
              <w:topLinePunct w:val="0"/>
              <w:bidi w:val="0"/>
              <w:adjustRightInd/>
              <w:spacing w:line="360" w:lineRule="auto"/>
              <w:ind w:left="0" w:firstLine="0" w:firstLineChars="0"/>
              <w:rPr>
                <w:color w:val="auto"/>
                <w:highlight w:val="none"/>
                <w:u w:val="single"/>
              </w:rPr>
            </w:pPr>
            <w:r>
              <w:rPr>
                <w:rFonts w:hint="eastAsia"/>
                <w:color w:val="auto"/>
                <w:highlight w:val="none"/>
              </w:rPr>
              <w:t>分包内容：</w:t>
            </w:r>
            <w:r>
              <w:rPr>
                <w:rFonts w:hint="eastAsia"/>
                <w:color w:val="auto"/>
                <w:highlight w:val="none"/>
                <w:u w:val="single"/>
              </w:rPr>
              <w:t xml:space="preserve">            /                         。</w:t>
            </w:r>
          </w:p>
          <w:p w14:paraId="4CE46ED5">
            <w:pPr>
              <w:pStyle w:val="9"/>
              <w:keepNext w:val="0"/>
              <w:keepLines w:val="0"/>
              <w:pageBreakBefore w:val="0"/>
              <w:widowControl w:val="0"/>
              <w:kinsoku/>
              <w:wordWrap/>
              <w:overflowPunct/>
              <w:topLinePunct w:val="0"/>
              <w:bidi w:val="0"/>
              <w:adjustRightInd/>
              <w:spacing w:line="360" w:lineRule="auto"/>
              <w:ind w:left="0" w:firstLine="0" w:firstLineChars="0"/>
              <w:rPr>
                <w:color w:val="auto"/>
                <w:highlight w:val="none"/>
                <w:u w:val="single"/>
              </w:rPr>
            </w:pPr>
            <w:r>
              <w:rPr>
                <w:rFonts w:hint="eastAsia"/>
                <w:color w:val="auto"/>
                <w:highlight w:val="none"/>
              </w:rPr>
              <w:t>分包金额或者比例：</w:t>
            </w:r>
            <w:r>
              <w:rPr>
                <w:rFonts w:hint="eastAsia"/>
                <w:color w:val="auto"/>
                <w:highlight w:val="none"/>
                <w:u w:val="single"/>
              </w:rPr>
              <w:t xml:space="preserve">      /                       。</w:t>
            </w:r>
          </w:p>
          <w:p w14:paraId="6CF32883">
            <w:pPr>
              <w:pStyle w:val="9"/>
              <w:keepNext w:val="0"/>
              <w:keepLines w:val="0"/>
              <w:pageBreakBefore w:val="0"/>
              <w:widowControl w:val="0"/>
              <w:kinsoku/>
              <w:wordWrap/>
              <w:overflowPunct/>
              <w:topLinePunct w:val="0"/>
              <w:bidi w:val="0"/>
              <w:adjustRightInd/>
              <w:spacing w:line="360" w:lineRule="auto"/>
              <w:ind w:left="0" w:firstLine="0" w:firstLineChars="0"/>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p>
        </w:tc>
      </w:tr>
      <w:tr w14:paraId="7BCA4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7F222C">
            <w:pPr>
              <w:spacing w:before="165"/>
              <w:jc w:val="center"/>
              <w:rPr>
                <w:rFonts w:ascii="宋体" w:hAnsi="宋体" w:cs="宋体"/>
                <w:color w:val="auto"/>
                <w:szCs w:val="21"/>
                <w:highlight w:val="none"/>
              </w:rPr>
            </w:pPr>
            <w:r>
              <w:rPr>
                <w:rFonts w:ascii="宋体" w:hAnsi="宋体" w:cs="宋体"/>
                <w:color w:val="auto"/>
                <w:szCs w:val="21"/>
                <w:highlight w:val="none"/>
              </w:rPr>
              <w:t>7.1</w:t>
            </w:r>
          </w:p>
        </w:tc>
        <w:tc>
          <w:tcPr>
            <w:tcW w:w="8153" w:type="dxa"/>
            <w:vAlign w:val="center"/>
          </w:tcPr>
          <w:p w14:paraId="551E4417">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提供相同品牌产品（非单一产品采购项目的，指核心产品）的不同供应商最后报价相同时，按照下列方式确定一个供应商获得成交人推荐资格：</w:t>
            </w:r>
          </w:p>
          <w:p w14:paraId="09079F9B">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宋体" w:hAnsi="宋体"/>
                <w:color w:val="auto"/>
                <w:szCs w:val="21"/>
                <w:highlight w:val="none"/>
              </w:rPr>
              <w:t>□随机抽取；</w:t>
            </w:r>
          </w:p>
          <w:p w14:paraId="2A2FF57E">
            <w:pPr>
              <w:pStyle w:val="9"/>
              <w:keepNext w:val="0"/>
              <w:keepLines w:val="0"/>
              <w:pageBreakBefore w:val="0"/>
              <w:widowControl w:val="0"/>
              <w:kinsoku/>
              <w:wordWrap/>
              <w:overflowPunct/>
              <w:topLinePunct w:val="0"/>
              <w:bidi w:val="0"/>
              <w:adjustRightInd/>
              <w:spacing w:line="360" w:lineRule="auto"/>
              <w:ind w:left="0" w:firstLine="0" w:firstLineChars="0"/>
              <w:rPr>
                <w:rFonts w:ascii="MS Mincho" w:hAnsi="MS Mincho" w:eastAsia="MS Mincho" w:cs="MS Mincho"/>
                <w:color w:val="auto"/>
                <w:highlight w:val="none"/>
              </w:rPr>
            </w:pPr>
            <w:r>
              <w:rPr>
                <w:rFonts w:hint="eastAsia" w:ascii="MS Mincho" w:hAnsi="MS Mincho" w:eastAsia="MS Mincho" w:cs="MS Mincho"/>
                <w:color w:val="auto"/>
                <w:highlight w:val="none"/>
              </w:rPr>
              <w:t>☑</w:t>
            </w:r>
            <w:r>
              <w:rPr>
                <w:rFonts w:hint="eastAsia" w:ascii="宋体" w:hAnsi="宋体" w:cs="宋体"/>
                <w:color w:val="auto"/>
                <w:szCs w:val="21"/>
                <w:highlight w:val="none"/>
              </w:rPr>
              <w:t>由采购人自主选择确定一家供应商参加评审，其他竞标无效</w:t>
            </w:r>
            <w:r>
              <w:rPr>
                <w:rFonts w:hint="eastAsia" w:ascii="宋体" w:hAnsi="宋体"/>
                <w:color w:val="auto"/>
                <w:szCs w:val="21"/>
                <w:highlight w:val="none"/>
              </w:rPr>
              <w:t>。</w:t>
            </w:r>
          </w:p>
        </w:tc>
      </w:tr>
      <w:tr w14:paraId="37D08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FBFEB2">
            <w:pPr>
              <w:spacing w:before="165"/>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8153" w:type="dxa"/>
            <w:vAlign w:val="center"/>
          </w:tcPr>
          <w:p w14:paraId="65EC6204">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7FB895B1">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7443CCE">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2025年1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月至2026年4月任意1个</w:t>
            </w:r>
            <w:r>
              <w:rPr>
                <w:rFonts w:hint="eastAsia" w:ascii="宋体" w:hAnsi="宋体" w:cs="宋体"/>
                <w:color w:val="auto"/>
                <w:szCs w:val="21"/>
                <w:highlight w:val="none"/>
              </w:rPr>
              <w:t>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E42910">
            <w:pPr>
              <w:keepNext w:val="0"/>
              <w:keepLines w:val="0"/>
              <w:pageBreakBefore w:val="0"/>
              <w:widowControl w:val="0"/>
              <w:tabs>
                <w:tab w:val="left" w:pos="525"/>
              </w:tabs>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2025年1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月至2026年4月任意1个</w:t>
            </w:r>
            <w:r>
              <w:rPr>
                <w:rFonts w:hint="eastAsia" w:ascii="宋体" w:hAnsi="宋体" w:cs="宋体"/>
                <w:color w:val="auto"/>
                <w:szCs w:val="21"/>
                <w:highlight w:val="none"/>
              </w:rPr>
              <w:t>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b/>
                <w:bCs/>
                <w:color w:val="auto"/>
                <w:szCs w:val="21"/>
                <w:highlight w:val="none"/>
              </w:rPr>
              <w:t>；</w:t>
            </w:r>
          </w:p>
          <w:p w14:paraId="528432D3">
            <w:pPr>
              <w:keepNext w:val="0"/>
              <w:keepLines w:val="0"/>
              <w:pageBreakBefore w:val="0"/>
              <w:widowControl w:val="0"/>
              <w:kinsoku/>
              <w:wordWrap/>
              <w:overflowPunct/>
              <w:topLinePunct w:val="0"/>
              <w:bidi w:val="0"/>
              <w:adjustRightInd/>
              <w:spacing w:line="360" w:lineRule="auto"/>
              <w:ind w:left="0" w:firstLine="0" w:firstLineChars="0"/>
              <w:contextualSpacing/>
              <w:jc w:val="left"/>
              <w:rPr>
                <w:rFonts w:ascii="宋体" w:hAnsi="宋体" w:cs="宋体"/>
                <w:b/>
                <w:color w:val="auto"/>
                <w:szCs w:val="21"/>
                <w:highlight w:val="none"/>
              </w:rPr>
            </w:pPr>
            <w:r>
              <w:rPr>
                <w:rFonts w:hint="eastAsia" w:ascii="宋体" w:hAnsi="宋体" w:cs="宋体"/>
                <w:color w:val="auto"/>
                <w:szCs w:val="21"/>
                <w:highlight w:val="none"/>
              </w:rPr>
              <w:t>4.供应商2024或2025年度的财务报表或经第三方审计的财务审计报告（至少包含资产负债表、利润表）复印件（2026年新成立的公司提供公司成立日之后次月起到响应文件递交截止前一个月的财务报表复印件）或供应商提交响应文件截止之日前半年内其基本开户银行出具的银行资信证明（仅提供银行出具的存款证明不能作为其银行资信证明）复印件；</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157228F1">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0EDB7A2">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2AD545F">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7.</w:t>
            </w:r>
            <w:r>
              <w:rPr>
                <w:rFonts w:ascii="仿宋" w:hAnsi="仿宋"/>
                <w:color w:val="auto"/>
                <w:szCs w:val="21"/>
                <w:highlight w:val="none"/>
              </w:rPr>
              <w:t>供应商具有有效的医疗器械生产或经营相关证明</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6CF5E37E">
            <w:pPr>
              <w:keepNext w:val="0"/>
              <w:keepLines w:val="0"/>
              <w:pageBreakBefore w:val="0"/>
              <w:widowControl w:val="0"/>
              <w:kinsoku/>
              <w:wordWrap/>
              <w:overflowPunct/>
              <w:topLinePunct w:val="0"/>
              <w:bidi w:val="0"/>
              <w:adjustRightInd/>
              <w:spacing w:line="360" w:lineRule="auto"/>
              <w:ind w:left="0" w:firstLine="0" w:firstLineChars="0"/>
              <w:contextualSpacing/>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eastAsia="zh-CN"/>
              </w:rPr>
              <w:t>联合</w:t>
            </w:r>
            <w:r>
              <w:rPr>
                <w:rFonts w:hint="eastAsia" w:ascii="宋体" w:hAnsi="宋体"/>
                <w:color w:val="auto"/>
                <w:szCs w:val="21"/>
                <w:highlight w:val="none"/>
              </w:rPr>
              <w:t>体竞标协议书（格式后附）；（联合体竞标时必须提供，否则响应文件按无效处理）</w:t>
            </w:r>
          </w:p>
          <w:p w14:paraId="257F1D08">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hint="eastAsia" w:ascii="宋体" w:hAnsi="宋体" w:eastAsia="宋体"/>
                <w:i/>
                <w:color w:val="auto"/>
                <w:szCs w:val="21"/>
                <w:highlight w:val="none"/>
                <w:lang w:eastAsia="zh-CN"/>
              </w:rPr>
            </w:pPr>
            <w:r>
              <w:rPr>
                <w:rFonts w:hint="eastAsia" w:ascii="宋体" w:hAnsi="宋体" w:cs="宋体"/>
                <w:color w:val="auto"/>
                <w:szCs w:val="21"/>
                <w:highlight w:val="none"/>
              </w:rPr>
              <w:t>9.文件规定必须提供以外，供应商认为需要提供的其他证明材料</w:t>
            </w:r>
            <w:r>
              <w:rPr>
                <w:rFonts w:hint="eastAsia" w:ascii="宋体" w:hAnsi="宋体" w:cs="宋体"/>
                <w:color w:val="auto"/>
                <w:szCs w:val="21"/>
                <w:highlight w:val="none"/>
                <w:lang w:eastAsia="zh-CN"/>
              </w:rPr>
              <w:t>。</w:t>
            </w:r>
          </w:p>
          <w:p w14:paraId="5927F45E">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b/>
                <w:color w:val="auto"/>
                <w:szCs w:val="21"/>
                <w:highlight w:val="none"/>
              </w:rPr>
            </w:pPr>
            <w:r>
              <w:rPr>
                <w:rFonts w:hint="eastAsia" w:ascii="宋体" w:hAnsi="宋体" w:cs="宋体"/>
                <w:b/>
                <w:color w:val="auto"/>
                <w:szCs w:val="21"/>
                <w:highlight w:val="none"/>
              </w:rPr>
              <w:t>注：</w:t>
            </w:r>
          </w:p>
          <w:p w14:paraId="667D3C99">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3D201FE0">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14:paraId="7C49A985">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b/>
                <w:color w:val="auto"/>
                <w:szCs w:val="21"/>
                <w:highlight w:val="none"/>
              </w:rPr>
            </w:pPr>
            <w:r>
              <w:rPr>
                <w:rFonts w:hint="eastAsia" w:ascii="宋体" w:hAnsi="宋体"/>
                <w:b/>
                <w:bCs/>
                <w:color w:val="auto"/>
                <w:szCs w:val="21"/>
                <w:highlight w:val="none"/>
              </w:rPr>
              <w:t>3.分公司参加竞标的，应当取得总公司授权。</w:t>
            </w:r>
          </w:p>
        </w:tc>
      </w:tr>
      <w:tr w14:paraId="5340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99D646">
            <w:pPr>
              <w:spacing w:before="165"/>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153" w:type="dxa"/>
            <w:vAlign w:val="center"/>
          </w:tcPr>
          <w:p w14:paraId="312ECB7B">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报价文件</w:t>
            </w:r>
          </w:p>
          <w:p w14:paraId="238F5915">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bCs/>
                <w:color w:val="auto"/>
                <w:szCs w:val="21"/>
                <w:highlight w:val="none"/>
              </w:rPr>
              <w:t>（必须提供，否则响应文件按无效处理）</w:t>
            </w:r>
          </w:p>
          <w:p w14:paraId="0A0C119C">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54A2F74D">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b/>
                <w:color w:val="auto"/>
                <w:szCs w:val="21"/>
                <w:highlight w:val="none"/>
              </w:rPr>
              <w:t>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15E5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E6F8EB">
            <w:pPr>
              <w:spacing w:before="165"/>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8153" w:type="dxa"/>
            <w:vAlign w:val="center"/>
          </w:tcPr>
          <w:p w14:paraId="12613975">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商务技术文件</w:t>
            </w:r>
          </w:p>
          <w:p w14:paraId="2BA3E20C">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F312097">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7A1C884">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C19C1E7">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371A3EA0">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D642CF8">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5EB681C">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7.货物配置清单（均不含报价）（格式后附）；（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C94F353">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8905567">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2F26E888">
            <w:pPr>
              <w:keepNext w:val="0"/>
              <w:keepLines w:val="0"/>
              <w:pageBreakBefore w:val="0"/>
              <w:widowControl w:val="0"/>
              <w:kinsoku/>
              <w:wordWrap/>
              <w:overflowPunct/>
              <w:topLinePunct w:val="0"/>
              <w:bidi w:val="0"/>
              <w:adjustRightInd/>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49F3E3C0">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，否则响应文件按无效处理。</w:t>
            </w:r>
          </w:p>
        </w:tc>
      </w:tr>
      <w:tr w14:paraId="3402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8E1594">
            <w:pPr>
              <w:spacing w:before="165"/>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153" w:type="dxa"/>
            <w:vAlign w:val="center"/>
          </w:tcPr>
          <w:p w14:paraId="7245C55F">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竞标报价包含竞标货物（包括备品备件、专用工具等）的价格（包括已在中国</w:t>
            </w:r>
            <w:r>
              <w:rPr>
                <w:rFonts w:hint="eastAsia"/>
                <w:color w:val="auto"/>
                <w:highlight w:val="none"/>
              </w:rPr>
              <w:t>境内</w:t>
            </w:r>
            <w:r>
              <w:rPr>
                <w:rFonts w:hint="eastAsia" w:ascii="宋体" w:hAnsi="宋体" w:cs="宋体"/>
                <w:color w:val="auto"/>
                <w:szCs w:val="21"/>
                <w:highlight w:val="none"/>
              </w:rPr>
              <w:t>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54E2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CECEF8">
            <w:pPr>
              <w:spacing w:before="165"/>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8153" w:type="dxa"/>
            <w:vAlign w:val="center"/>
          </w:tcPr>
          <w:p w14:paraId="7B3D779D">
            <w:pPr>
              <w:pStyle w:val="8"/>
              <w:keepNext w:val="0"/>
              <w:keepLines w:val="0"/>
              <w:pageBreakBefore w:val="0"/>
              <w:widowControl w:val="0"/>
              <w:tabs>
                <w:tab w:val="clear" w:pos="454"/>
              </w:tabs>
              <w:kinsoku/>
              <w:wordWrap/>
              <w:overflowPunct/>
              <w:topLinePunct w:val="0"/>
              <w:bidi w:val="0"/>
              <w:adjustRightInd/>
              <w:snapToGrid w:val="0"/>
              <w:spacing w:afterLines="0" w:line="360" w:lineRule="auto"/>
              <w:ind w:left="0" w:firstLine="0" w:firstLineChars="0"/>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120</w:t>
            </w:r>
            <w:r>
              <w:rPr>
                <w:rFonts w:hint="eastAsia" w:ascii="宋体" w:hAnsi="宋体" w:cs="宋体"/>
                <w:color w:val="auto"/>
                <w:kern w:val="2"/>
                <w:sz w:val="21"/>
                <w:szCs w:val="21"/>
                <w:highlight w:val="none"/>
              </w:rPr>
              <w:t>日。</w:t>
            </w:r>
          </w:p>
        </w:tc>
      </w:tr>
      <w:tr w14:paraId="0ABA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160C3D">
            <w:pPr>
              <w:spacing w:before="165"/>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153" w:type="dxa"/>
            <w:vAlign w:val="center"/>
          </w:tcPr>
          <w:p w14:paraId="73F457DD">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7DFEFF8A">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216A4CD7">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竞标保证金人民币：1.5万元。</w:t>
            </w:r>
          </w:p>
          <w:p w14:paraId="736E4230">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竞标保证金的交纳方式：银行转账、支票、汇票、本票或者银行、保险机构出具的保函（含电子保函），禁止采用现钞方式。采用银行转账方式的，在响应文件提交截止时间前交至指定账户并且到账[</w:t>
            </w:r>
            <w:r>
              <w:rPr>
                <w:rFonts w:hint="eastAsia" w:ascii="宋体" w:hAnsi="宋体" w:cs="宋体"/>
                <w:b/>
                <w:bCs/>
                <w:color w:val="auto"/>
                <w:szCs w:val="21"/>
                <w:highlight w:val="none"/>
              </w:rPr>
              <w:t>开户名称：广西正海招标有限公司，开户银行：广西北部湾银行南宁市兴宁支行，银行账号：800105504300012</w:t>
            </w:r>
            <w:r>
              <w:rPr>
                <w:rFonts w:hint="eastAsia" w:ascii="宋体" w:hAnsi="宋体" w:cs="宋体"/>
                <w:color w:val="auto"/>
                <w:kern w:val="0"/>
                <w:szCs w:val="21"/>
                <w:highlight w:val="none"/>
              </w:rPr>
              <w:t>]；采用支票、汇票、本票或者保函（含电子保函）等方式的，在响应文件提交截止时间前，供应商必须提交单独密封的支票、汇票、本票或者保函（含电子保函）原件。否则视为无效竞标保证金。</w:t>
            </w:r>
          </w:p>
          <w:p w14:paraId="1FF67F61">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相关要求：</w:t>
            </w:r>
          </w:p>
          <w:p w14:paraId="5D26EC9B">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1.竞标保证金采用银行转账交纳方式的，在响应文件递交截止时间前交至指定账户并且到账，供应商应将银行转账底单的复印件作为竞标保证金提交凭证，放置于商务文件中，否则响应文件无效。</w:t>
            </w:r>
          </w:p>
          <w:p w14:paraId="6768AE60">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2.竞标保证金采用支票、汇票、本票或者银行、保险机构出具的保函</w:t>
            </w:r>
            <w:r>
              <w:rPr>
                <w:rFonts w:hint="eastAsia" w:ascii="宋体" w:hAnsi="宋体" w:cs="宋体"/>
                <w:color w:val="auto"/>
                <w:kern w:val="0"/>
                <w:szCs w:val="21"/>
                <w:highlight w:val="none"/>
              </w:rPr>
              <w:t>（含电子保函）</w:t>
            </w:r>
            <w:r>
              <w:rPr>
                <w:rFonts w:hint="eastAsia" w:ascii="宋体" w:hAnsi="宋体" w:cs="宋体"/>
                <w:color w:val="auto"/>
                <w:szCs w:val="21"/>
                <w:highlight w:val="none"/>
              </w:rPr>
              <w:t>交纳方式的，供应商应在响应文件递交截止时间前采用现场或邮寄方式（现场提交地址：广西正海招标有限公司（南宁市青秀区茅桥路2号习艺基地A栋1号电梯3楼）；邮寄地址：广西正海招标有限公司（南宁市青秀区茅桥路2号习艺基地A栋1号电梯3楼，收件人：</w:t>
            </w:r>
            <w:r>
              <w:rPr>
                <w:rFonts w:hint="eastAsia" w:ascii="宋体" w:hAnsi="宋体" w:cs="宋体"/>
                <w:color w:val="auto"/>
                <w:szCs w:val="21"/>
                <w:highlight w:val="none"/>
                <w:lang w:eastAsia="zh-CN"/>
              </w:rPr>
              <w:t>覃相健</w:t>
            </w:r>
            <w:r>
              <w:rPr>
                <w:rFonts w:hint="eastAsia" w:ascii="宋体" w:hAnsi="宋体" w:cs="宋体"/>
                <w:color w:val="auto"/>
                <w:szCs w:val="21"/>
                <w:highlight w:val="none"/>
              </w:rPr>
              <w:t>，联系方式：0771-2865989）将单独密封的支票、汇票、本票或者银行、保险机构出具的保函</w:t>
            </w:r>
            <w:r>
              <w:rPr>
                <w:rFonts w:hint="eastAsia" w:ascii="宋体" w:hAnsi="宋体" w:cs="宋体"/>
                <w:color w:val="auto"/>
                <w:kern w:val="0"/>
                <w:szCs w:val="21"/>
                <w:highlight w:val="none"/>
              </w:rPr>
              <w:t>（含电子保函）</w:t>
            </w:r>
            <w:r>
              <w:rPr>
                <w:rFonts w:hint="eastAsia" w:ascii="宋体" w:hAnsi="宋体" w:cs="宋体"/>
                <w:color w:val="auto"/>
                <w:szCs w:val="21"/>
                <w:highlight w:val="none"/>
              </w:rPr>
              <w:t>原件提交给采购人或者采购代理机构，并妥善保管。</w:t>
            </w:r>
          </w:p>
          <w:p w14:paraId="72DFEF5A">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46E98852">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41C11EBE">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0394A09F">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7955B1A2">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79A679B7">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b/>
                <w:color w:val="auto"/>
                <w:szCs w:val="21"/>
                <w:highlight w:val="none"/>
              </w:rPr>
            </w:pPr>
            <w:r>
              <w:rPr>
                <w:rFonts w:hint="eastAsia" w:ascii="宋体" w:hAnsi="宋体" w:cs="宋体"/>
                <w:b/>
                <w:color w:val="auto"/>
                <w:szCs w:val="21"/>
                <w:highlight w:val="none"/>
              </w:rPr>
              <w:t>4.保函</w:t>
            </w:r>
            <w:r>
              <w:rPr>
                <w:rFonts w:hint="eastAsia" w:ascii="宋体" w:hAnsi="宋体" w:cs="宋体"/>
                <w:b/>
                <w:color w:val="auto"/>
                <w:kern w:val="0"/>
                <w:szCs w:val="21"/>
                <w:highlight w:val="none"/>
              </w:rPr>
              <w:t>（含电子保函）</w:t>
            </w:r>
            <w:r>
              <w:rPr>
                <w:rFonts w:hint="eastAsia" w:ascii="宋体" w:hAnsi="宋体" w:cs="宋体"/>
                <w:b/>
                <w:color w:val="auto"/>
                <w:szCs w:val="21"/>
                <w:highlight w:val="none"/>
              </w:rPr>
              <w:t>有效期低于竞标有效期的，视为无效竞标保证金。</w:t>
            </w:r>
          </w:p>
          <w:p w14:paraId="7947BDBF">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b/>
                <w:color w:val="auto"/>
                <w:szCs w:val="21"/>
                <w:highlight w:val="none"/>
              </w:rPr>
              <w:t>5.竞标保证金采用银行、保险机构出具的保函</w:t>
            </w:r>
            <w:r>
              <w:rPr>
                <w:rFonts w:hint="eastAsia" w:ascii="宋体" w:hAnsi="宋体" w:cs="宋体"/>
                <w:b/>
                <w:color w:val="auto"/>
                <w:kern w:val="0"/>
                <w:szCs w:val="21"/>
                <w:highlight w:val="none"/>
              </w:rPr>
              <w:t>（含电子保函）</w:t>
            </w:r>
            <w:r>
              <w:rPr>
                <w:rFonts w:hint="eastAsia" w:ascii="宋体" w:hAnsi="宋体" w:cs="宋体"/>
                <w:b/>
                <w:color w:val="auto"/>
                <w:szCs w:val="21"/>
                <w:highlight w:val="none"/>
              </w:rPr>
              <w:t>为有条件保函的，视为无效竞标保证金。</w:t>
            </w:r>
          </w:p>
        </w:tc>
      </w:tr>
      <w:tr w14:paraId="4EEC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98684C">
            <w:pPr>
              <w:spacing w:before="165"/>
              <w:jc w:val="center"/>
              <w:rPr>
                <w:rFonts w:ascii="宋体" w:hAnsi="宋体" w:cs="宋体"/>
                <w:color w:val="auto"/>
                <w:szCs w:val="21"/>
                <w:highlight w:val="none"/>
              </w:rPr>
            </w:pPr>
            <w:r>
              <w:rPr>
                <w:rFonts w:hint="eastAsia" w:ascii="宋体" w:hAnsi="宋体" w:cs="宋体"/>
                <w:color w:val="auto"/>
                <w:szCs w:val="21"/>
                <w:highlight w:val="none"/>
              </w:rPr>
              <w:t>19</w:t>
            </w:r>
          </w:p>
        </w:tc>
        <w:tc>
          <w:tcPr>
            <w:tcW w:w="8153" w:type="dxa"/>
            <w:vAlign w:val="center"/>
          </w:tcPr>
          <w:p w14:paraId="1591ABDA">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046D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3476E1">
            <w:pPr>
              <w:spacing w:before="165"/>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153" w:type="dxa"/>
            <w:vAlign w:val="center"/>
          </w:tcPr>
          <w:p w14:paraId="48E13CCB">
            <w:pPr>
              <w:keepNext w:val="0"/>
              <w:keepLines w:val="0"/>
              <w:pageBreakBefore w:val="0"/>
              <w:widowControl w:val="0"/>
              <w:kinsoku/>
              <w:wordWrap/>
              <w:overflowPunct/>
              <w:topLinePunct w:val="0"/>
              <w:bidi w:val="0"/>
              <w:adjustRightInd/>
              <w:spacing w:line="360" w:lineRule="auto"/>
              <w:ind w:left="0" w:firstLine="0" w:firstLineChars="0"/>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响应文件提交截止时间：详见竞争性谈判公告或者竞标邀请函。</w:t>
            </w:r>
          </w:p>
          <w:p w14:paraId="3E680FD3">
            <w:pPr>
              <w:keepNext w:val="0"/>
              <w:keepLines w:val="0"/>
              <w:pageBreakBefore w:val="0"/>
              <w:widowControl w:val="0"/>
              <w:kinsoku/>
              <w:wordWrap/>
              <w:overflowPunct/>
              <w:topLinePunct w:val="0"/>
              <w:bidi w:val="0"/>
              <w:adjustRightInd/>
              <w:spacing w:line="360" w:lineRule="auto"/>
              <w:ind w:left="0" w:firstLine="0" w:firstLineChars="0"/>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响应文件提交地点：详见竞争性谈判公告或者竞标邀请函。</w:t>
            </w:r>
          </w:p>
        </w:tc>
      </w:tr>
      <w:tr w14:paraId="4830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33CEC4">
            <w:pPr>
              <w:spacing w:before="165"/>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153" w:type="dxa"/>
            <w:vAlign w:val="center"/>
          </w:tcPr>
          <w:p w14:paraId="09792132">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474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B55A96">
            <w:pPr>
              <w:spacing w:before="165"/>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8153" w:type="dxa"/>
            <w:vAlign w:val="center"/>
          </w:tcPr>
          <w:p w14:paraId="19F863B8">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首次响应文件开启时间详见“竞争性谈判公告”或者“竞标邀请函”</w:t>
            </w:r>
          </w:p>
          <w:p w14:paraId="3F65485C">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196F1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47EEA14E">
            <w:pPr>
              <w:spacing w:before="165"/>
              <w:jc w:val="center"/>
              <w:rPr>
                <w:rFonts w:ascii="宋体" w:hAnsi="宋体" w:cs="宋体"/>
                <w:color w:val="auto"/>
                <w:szCs w:val="21"/>
                <w:highlight w:val="none"/>
              </w:rPr>
            </w:pPr>
            <w:r>
              <w:rPr>
                <w:rFonts w:ascii="宋体" w:hAnsi="宋体" w:cs="宋体"/>
                <w:color w:val="auto"/>
                <w:szCs w:val="21"/>
                <w:highlight w:val="none"/>
              </w:rPr>
              <w:t>26</w:t>
            </w:r>
          </w:p>
        </w:tc>
        <w:tc>
          <w:tcPr>
            <w:tcW w:w="8153" w:type="dxa"/>
            <w:vAlign w:val="center"/>
          </w:tcPr>
          <w:p w14:paraId="65D8C138">
            <w:pPr>
              <w:keepNext w:val="0"/>
              <w:keepLines w:val="0"/>
              <w:pageBreakBefore w:val="0"/>
              <w:widowControl w:val="0"/>
              <w:kinsoku/>
              <w:wordWrap/>
              <w:overflowPunct/>
              <w:topLinePunct w:val="0"/>
              <w:bidi w:val="0"/>
              <w:adjustRightInd/>
              <w:spacing w:line="360" w:lineRule="auto"/>
              <w:ind w:left="0" w:firstLine="0" w:firstLineChars="0"/>
              <w:contextualSpacing/>
              <w:rPr>
                <w:rFonts w:ascii="宋体" w:hAnsi="宋体" w:cs="宋体"/>
                <w:color w:val="auto"/>
                <w:szCs w:val="21"/>
                <w:highlight w:val="none"/>
              </w:rPr>
            </w:pPr>
            <w:r>
              <w:rPr>
                <w:rFonts w:hint="eastAsia" w:ascii="宋体" w:hAnsi="宋体" w:cs="宋体"/>
                <w:color w:val="auto"/>
                <w:szCs w:val="21"/>
                <w:highlight w:val="none"/>
              </w:rPr>
              <w:t xml:space="preserve">评审价相同时，按照最后报价由低到高顺序依次推荐；最后报价相同时，按节能、环保产品累计金额由高到低顺序依次推荐；节能、环保产品累计金额也相同时，按以下原则确定成交候选人的顺序： </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带“▲”的实质性要求正偏离项数多的优先、均无正偏离或者正偏离项数一致时负偏离项数少的优先、保修期长优先、交货期短优先、故障响应时间短优先的顺序推荐。</w:t>
            </w:r>
          </w:p>
          <w:p w14:paraId="2DD240A2">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0A67F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738D104">
            <w:pPr>
              <w:spacing w:before="165"/>
              <w:ind w:firstLine="420"/>
              <w:jc w:val="center"/>
              <w:rPr>
                <w:rFonts w:ascii="宋体" w:hAnsi="宋体" w:cs="宋体"/>
                <w:color w:val="auto"/>
                <w:szCs w:val="21"/>
                <w:highlight w:val="none"/>
              </w:rPr>
            </w:pPr>
          </w:p>
        </w:tc>
        <w:tc>
          <w:tcPr>
            <w:tcW w:w="8153" w:type="dxa"/>
            <w:vAlign w:val="center"/>
          </w:tcPr>
          <w:p w14:paraId="325C770B">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F071353">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项。</w:t>
            </w:r>
          </w:p>
        </w:tc>
      </w:tr>
      <w:tr w14:paraId="1C02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533EC0">
            <w:pPr>
              <w:spacing w:before="165"/>
              <w:jc w:val="center"/>
              <w:rPr>
                <w:rFonts w:ascii="宋体" w:hAnsi="宋体" w:cs="宋体"/>
                <w:color w:val="auto"/>
                <w:szCs w:val="21"/>
                <w:highlight w:val="none"/>
              </w:rPr>
            </w:pPr>
            <w:r>
              <w:rPr>
                <w:rFonts w:ascii="宋体" w:hAnsi="宋体" w:cs="宋体"/>
                <w:color w:val="auto"/>
                <w:szCs w:val="21"/>
                <w:highlight w:val="none"/>
              </w:rPr>
              <w:t>28.1</w:t>
            </w:r>
          </w:p>
        </w:tc>
        <w:tc>
          <w:tcPr>
            <w:tcW w:w="8153" w:type="dxa"/>
            <w:vAlign w:val="center"/>
          </w:tcPr>
          <w:p w14:paraId="0158F6C3">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Segoe UI Symbol" w:hAnsi="Segoe UI Symbol" w:cs="Segoe UI Symbol"/>
                <w:b/>
                <w:bCs/>
                <w:color w:val="auto"/>
                <w:szCs w:val="21"/>
                <w:highlight w:val="none"/>
              </w:rPr>
              <w:t>□</w:t>
            </w:r>
            <w:r>
              <w:rPr>
                <w:rFonts w:hint="eastAsia" w:ascii="宋体" w:hAnsi="宋体"/>
                <w:color w:val="auto"/>
                <w:szCs w:val="21"/>
                <w:highlight w:val="none"/>
              </w:rPr>
              <w:t>本项目不收取履约保证金。</w:t>
            </w:r>
          </w:p>
          <w:p w14:paraId="506EF5DF">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宋体" w:hAnsi="宋体"/>
                <w:color w:val="auto"/>
                <w:szCs w:val="21"/>
                <w:highlight w:val="none"/>
              </w:rPr>
              <w:t>☑</w:t>
            </w:r>
            <w:r>
              <w:rPr>
                <w:rFonts w:hint="eastAsia" w:ascii="宋体" w:hAnsi="宋体"/>
                <w:bCs/>
                <w:color w:val="auto"/>
                <w:szCs w:val="21"/>
                <w:highlight w:val="none"/>
              </w:rPr>
              <w:t>本项目收取履约保证金</w:t>
            </w:r>
            <w:r>
              <w:rPr>
                <w:rFonts w:hint="eastAsia" w:ascii="宋体" w:hAnsi="宋体"/>
                <w:color w:val="auto"/>
                <w:szCs w:val="21"/>
                <w:highlight w:val="none"/>
              </w:rPr>
              <w:t>，具体规定如下：</w:t>
            </w:r>
          </w:p>
          <w:p w14:paraId="159C0200">
            <w:pPr>
              <w:pStyle w:val="9"/>
              <w:keepNext w:val="0"/>
              <w:keepLines w:val="0"/>
              <w:pageBreakBefore w:val="0"/>
              <w:widowControl w:val="0"/>
              <w:kinsoku/>
              <w:wordWrap/>
              <w:overflowPunct/>
              <w:topLinePunct w:val="0"/>
              <w:bidi w:val="0"/>
              <w:adjustRightInd/>
              <w:spacing w:line="360" w:lineRule="auto"/>
              <w:ind w:left="0" w:firstLine="0" w:firstLineChars="0"/>
              <w:textAlignment w:val="auto"/>
              <w:rPr>
                <w:rFonts w:ascii="宋体" w:hAnsi="宋体"/>
                <w:color w:val="auto"/>
                <w:szCs w:val="21"/>
                <w:highlight w:val="none"/>
              </w:rPr>
            </w:pPr>
            <w:r>
              <w:rPr>
                <w:rFonts w:hint="eastAsia" w:ascii="宋体" w:hAnsi="宋体"/>
                <w:color w:val="auto"/>
                <w:szCs w:val="21"/>
                <w:highlight w:val="none"/>
              </w:rPr>
              <w:t>履约保证金金额：成交金额的2%。</w:t>
            </w:r>
          </w:p>
          <w:p w14:paraId="0CBC176C">
            <w:pPr>
              <w:pStyle w:val="9"/>
              <w:keepNext w:val="0"/>
              <w:keepLines w:val="0"/>
              <w:pageBreakBefore w:val="0"/>
              <w:widowControl w:val="0"/>
              <w:kinsoku/>
              <w:wordWrap/>
              <w:overflowPunct/>
              <w:topLinePunct w:val="0"/>
              <w:bidi w:val="0"/>
              <w:adjustRightInd/>
              <w:spacing w:line="360" w:lineRule="auto"/>
              <w:ind w:left="0" w:firstLine="0" w:firstLineChars="0"/>
              <w:textAlignment w:val="auto"/>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成交人与采购人签订采购合同前，成交人必须按采购文件约定的金额向采购人提交履约保证金，成交人若不能完全履行合同，履约保证金不予退还；成交人若完全履行合同，货物验收合格并履行完质保服务后，成交人凭提供《广西壮族自治区政府采购项目合同验收书》（详见附件1）及《政府采购项目履约保证金退付意见书》（详见附件2）到采购人财务部门办理无息退还手续。</w:t>
            </w:r>
          </w:p>
          <w:p w14:paraId="54764691">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履约保证金递交方式：银行转账、支票、汇票、本票或者银行、保险机构出具的保函等非现金方式（参照竞标保证金）。</w:t>
            </w:r>
          </w:p>
          <w:p w14:paraId="65779C89">
            <w:pPr>
              <w:keepNext w:val="0"/>
              <w:keepLines w:val="0"/>
              <w:pageBreakBefore w:val="0"/>
              <w:widowControl w:val="0"/>
              <w:kinsoku/>
              <w:wordWrap/>
              <w:overflowPunct/>
              <w:topLinePunct w:val="0"/>
              <w:bidi w:val="0"/>
              <w:adjustRightInd/>
              <w:spacing w:line="360" w:lineRule="auto"/>
              <w:ind w:firstLine="0" w:firstLineChars="0"/>
              <w:rPr>
                <w:rFonts w:hint="eastAsia"/>
                <w:b/>
                <w:color w:val="auto"/>
                <w:szCs w:val="21"/>
                <w:highlight w:val="none"/>
              </w:rPr>
            </w:pPr>
            <w:r>
              <w:rPr>
                <w:rFonts w:hint="eastAsia"/>
                <w:b/>
                <w:color w:val="auto"/>
                <w:szCs w:val="21"/>
                <w:highlight w:val="none"/>
              </w:rPr>
              <w:t>履约保证金指定账户：</w:t>
            </w:r>
          </w:p>
          <w:p w14:paraId="7419840A">
            <w:pPr>
              <w:keepNext w:val="0"/>
              <w:keepLines w:val="0"/>
              <w:pageBreakBefore w:val="0"/>
              <w:widowControl w:val="0"/>
              <w:kinsoku/>
              <w:wordWrap/>
              <w:overflowPunct/>
              <w:topLinePunct w:val="0"/>
              <w:bidi w:val="0"/>
              <w:adjustRightInd/>
              <w:spacing w:line="360" w:lineRule="auto"/>
              <w:ind w:firstLine="0" w:firstLineChars="0"/>
              <w:rPr>
                <w:rFonts w:hint="eastAsia"/>
                <w:b/>
                <w:color w:val="auto"/>
                <w:szCs w:val="21"/>
                <w:highlight w:val="none"/>
              </w:rPr>
            </w:pPr>
            <w:r>
              <w:rPr>
                <w:rFonts w:hint="eastAsia"/>
                <w:b/>
                <w:color w:val="auto"/>
                <w:szCs w:val="21"/>
                <w:highlight w:val="none"/>
              </w:rPr>
              <w:t>开户名称：</w:t>
            </w:r>
            <w:r>
              <w:rPr>
                <w:rFonts w:hint="eastAsia"/>
                <w:b/>
                <w:color w:val="auto"/>
                <w:szCs w:val="21"/>
                <w:highlight w:val="none"/>
                <w:lang w:eastAsia="zh-CN"/>
              </w:rPr>
              <w:t>广西壮族自治区女子强制隔离戒毒所</w:t>
            </w:r>
          </w:p>
          <w:p w14:paraId="7D7B03F8">
            <w:pPr>
              <w:keepNext w:val="0"/>
              <w:keepLines w:val="0"/>
              <w:pageBreakBefore w:val="0"/>
              <w:widowControl w:val="0"/>
              <w:kinsoku/>
              <w:wordWrap/>
              <w:overflowPunct/>
              <w:topLinePunct w:val="0"/>
              <w:bidi w:val="0"/>
              <w:adjustRightInd/>
              <w:spacing w:line="360" w:lineRule="auto"/>
              <w:ind w:firstLine="0" w:firstLineChars="0"/>
              <w:rPr>
                <w:rFonts w:hint="eastAsia"/>
                <w:b/>
                <w:color w:val="auto"/>
                <w:szCs w:val="21"/>
                <w:highlight w:val="none"/>
                <w:lang w:eastAsia="zh-CN"/>
              </w:rPr>
            </w:pPr>
            <w:r>
              <w:rPr>
                <w:rFonts w:hint="eastAsia"/>
                <w:b/>
                <w:color w:val="auto"/>
                <w:szCs w:val="21"/>
                <w:highlight w:val="none"/>
              </w:rPr>
              <w:t>开户行：</w:t>
            </w:r>
            <w:r>
              <w:rPr>
                <w:rFonts w:hint="eastAsia"/>
                <w:b/>
                <w:color w:val="auto"/>
                <w:szCs w:val="21"/>
                <w:highlight w:val="none"/>
                <w:lang w:val="en-US" w:eastAsia="zh-CN"/>
              </w:rPr>
              <w:t>农行南宁民族支行营业室</w:t>
            </w:r>
          </w:p>
          <w:p w14:paraId="0D27A7DE">
            <w:pPr>
              <w:keepNext w:val="0"/>
              <w:keepLines w:val="0"/>
              <w:pageBreakBefore w:val="0"/>
              <w:widowControl w:val="0"/>
              <w:kinsoku/>
              <w:wordWrap/>
              <w:overflowPunct/>
              <w:topLinePunct w:val="0"/>
              <w:bidi w:val="0"/>
              <w:adjustRightInd/>
              <w:spacing w:line="360" w:lineRule="auto"/>
              <w:ind w:firstLine="0" w:firstLineChars="0"/>
              <w:rPr>
                <w:rFonts w:hint="eastAsia" w:ascii="宋体" w:hAnsi="宋体"/>
                <w:color w:val="auto"/>
                <w:szCs w:val="21"/>
                <w:highlight w:val="none"/>
              </w:rPr>
            </w:pPr>
            <w:r>
              <w:rPr>
                <w:rFonts w:hint="eastAsia"/>
                <w:b/>
                <w:color w:val="auto"/>
                <w:szCs w:val="21"/>
                <w:highlight w:val="none"/>
              </w:rPr>
              <w:t>账号：</w:t>
            </w:r>
            <w:r>
              <w:rPr>
                <w:rFonts w:hint="eastAsia"/>
                <w:b/>
                <w:color w:val="auto"/>
                <w:szCs w:val="21"/>
                <w:highlight w:val="none"/>
                <w:lang w:val="en-US" w:eastAsia="zh-CN"/>
              </w:rPr>
              <w:t>2000 5101 0400 87703</w:t>
            </w:r>
          </w:p>
          <w:p w14:paraId="19F4FD20">
            <w:pPr>
              <w:keepNext w:val="0"/>
              <w:keepLines w:val="0"/>
              <w:pageBreakBefore w:val="0"/>
              <w:widowControl w:val="0"/>
              <w:kinsoku/>
              <w:wordWrap/>
              <w:overflowPunct/>
              <w:topLinePunct w:val="0"/>
              <w:bidi w:val="0"/>
              <w:adjustRightInd/>
              <w:spacing w:line="360" w:lineRule="auto"/>
              <w:ind w:left="0" w:firstLine="0" w:firstLineChars="0"/>
              <w:contextualSpacing/>
              <w:textAlignment w:val="auto"/>
              <w:rPr>
                <w:rFonts w:ascii="宋体" w:hAnsi="宋体" w:cs="宋体"/>
                <w:color w:val="auto"/>
                <w:szCs w:val="21"/>
                <w:highlight w:val="none"/>
              </w:rPr>
            </w:pPr>
            <w:r>
              <w:rPr>
                <w:rFonts w:hint="eastAsia" w:ascii="宋体" w:hAnsi="宋体" w:cs="宋体"/>
                <w:color w:val="auto"/>
                <w:szCs w:val="21"/>
                <w:highlight w:val="none"/>
              </w:rPr>
              <w:t>备注：</w:t>
            </w:r>
          </w:p>
          <w:p w14:paraId="1494D18E">
            <w:pPr>
              <w:keepNext w:val="0"/>
              <w:keepLines w:val="0"/>
              <w:pageBreakBefore w:val="0"/>
              <w:widowControl w:val="0"/>
              <w:kinsoku/>
              <w:wordWrap/>
              <w:overflowPunct/>
              <w:topLinePunct w:val="0"/>
              <w:bidi w:val="0"/>
              <w:adjustRightInd/>
              <w:spacing w:line="360" w:lineRule="auto"/>
              <w:ind w:left="0" w:firstLine="0" w:firstLineChars="0"/>
              <w:contextualSpacing/>
              <w:textAlignment w:val="auto"/>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0381F131">
            <w:pPr>
              <w:keepNext w:val="0"/>
              <w:keepLines w:val="0"/>
              <w:pageBreakBefore w:val="0"/>
              <w:widowControl w:val="0"/>
              <w:kinsoku/>
              <w:wordWrap/>
              <w:overflowPunct/>
              <w:topLinePunct w:val="0"/>
              <w:bidi w:val="0"/>
              <w:adjustRightInd/>
              <w:spacing w:line="360" w:lineRule="auto"/>
              <w:ind w:left="0" w:firstLine="0" w:firstLineChars="0"/>
              <w:contextualSpacing/>
              <w:textAlignment w:val="auto"/>
              <w:rPr>
                <w:rFonts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采用银行、保险机构出具的保函的，必须为无条件保函，否则不予签订合同。</w:t>
            </w:r>
          </w:p>
          <w:p w14:paraId="053DB1DF">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w:t>
            </w:r>
            <w:r>
              <w:rPr>
                <w:rFonts w:hint="eastAsia" w:ascii="宋体" w:hAnsi="宋体" w:cs="宋体"/>
                <w:b/>
                <w:color w:val="auto"/>
                <w:szCs w:val="21"/>
                <w:highlight w:val="none"/>
              </w:rPr>
              <w:t>供应商为联合体的，由联合体任意一方按规定提交的履约保证金，视为有效履约保证金。</w:t>
            </w:r>
          </w:p>
        </w:tc>
      </w:tr>
      <w:tr w14:paraId="5A65B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89BC72">
            <w:pPr>
              <w:spacing w:before="165"/>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153" w:type="dxa"/>
            <w:vAlign w:val="center"/>
          </w:tcPr>
          <w:p w14:paraId="76D5678B">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27F345A3">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B2409DC">
            <w:pPr>
              <w:keepNext w:val="0"/>
              <w:keepLines w:val="0"/>
              <w:pageBreakBefore w:val="0"/>
              <w:widowControl w:val="0"/>
              <w:kinsoku/>
              <w:wordWrap/>
              <w:overflowPunct/>
              <w:topLinePunct w:val="0"/>
              <w:bidi w:val="0"/>
              <w:adjustRightInd/>
              <w:snapToGrid w:val="0"/>
              <w:spacing w:line="360" w:lineRule="auto"/>
              <w:ind w:left="0" w:firstLine="0" w:firstLineChars="0"/>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CA81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1EDA1A">
            <w:pPr>
              <w:spacing w:before="165"/>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153" w:type="dxa"/>
            <w:vAlign w:val="center"/>
          </w:tcPr>
          <w:p w14:paraId="2620C05C">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4E7C3742">
            <w:pPr>
              <w:keepNext w:val="0"/>
              <w:keepLines w:val="0"/>
              <w:pageBreakBefore w:val="0"/>
              <w:widowControl w:val="0"/>
              <w:kinsoku/>
              <w:wordWrap/>
              <w:overflowPunct/>
              <w:topLinePunct w:val="0"/>
              <w:bidi w:val="0"/>
              <w:adjustRightInd/>
              <w:snapToGrid w:val="0"/>
              <w:spacing w:line="360" w:lineRule="auto"/>
              <w:ind w:left="0" w:firstLine="0" w:firstLineChars="0"/>
              <w:jc w:val="left"/>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广西正海招标有限公司</w:t>
            </w:r>
            <w:r>
              <w:rPr>
                <w:rFonts w:hint="eastAsia" w:ascii="宋体" w:hAnsi="宋体"/>
                <w:color w:val="auto"/>
                <w:szCs w:val="21"/>
                <w:highlight w:val="none"/>
              </w:rPr>
              <w:t>，联系电话：</w:t>
            </w:r>
            <w:r>
              <w:rPr>
                <w:rFonts w:hint="eastAsia" w:ascii="宋体" w:hAnsi="宋体"/>
                <w:color w:val="auto"/>
                <w:szCs w:val="21"/>
                <w:highlight w:val="none"/>
                <w:u w:val="single"/>
              </w:rPr>
              <w:t>0771-2865989</w:t>
            </w: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仿宋"/>
                <w:color w:val="auto"/>
                <w:szCs w:val="21"/>
                <w:highlight w:val="none"/>
                <w:u w:val="single"/>
              </w:rPr>
              <w:t>广西正海招标有限公司（南宁市青秀区茅桥路2号习艺基地A栋1号电梯3楼）</w:t>
            </w:r>
          </w:p>
          <w:p w14:paraId="613D141D">
            <w:pPr>
              <w:pStyle w:val="14"/>
              <w:keepNext w:val="0"/>
              <w:keepLines w:val="0"/>
              <w:pageBreakBefore w:val="0"/>
              <w:widowControl w:val="0"/>
              <w:kinsoku/>
              <w:wordWrap/>
              <w:overflowPunct/>
              <w:topLinePunct w:val="0"/>
              <w:bidi w:val="0"/>
              <w:adjustRightInd/>
              <w:spacing w:line="360" w:lineRule="auto"/>
              <w:ind w:left="0" w:firstLine="0" w:firstLineChars="0"/>
              <w:rPr>
                <w:rFonts w:cs="宋体"/>
                <w:color w:val="auto"/>
                <w:kern w:val="2"/>
                <w:sz w:val="21"/>
                <w:szCs w:val="21"/>
                <w:highlight w:val="none"/>
              </w:rPr>
            </w:pPr>
            <w:r>
              <w:rPr>
                <w:rFonts w:hint="eastAsia"/>
                <w:color w:val="auto"/>
                <w:kern w:val="2"/>
                <w:sz w:val="21"/>
                <w:szCs w:val="21"/>
                <w:highlight w:val="none"/>
              </w:rPr>
              <w:t>业务时间：工作日每天上午8时00分到12时00分，下午3时00分到6时00分。</w:t>
            </w:r>
          </w:p>
        </w:tc>
      </w:tr>
      <w:tr w14:paraId="4878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FB3621">
            <w:pPr>
              <w:spacing w:before="165"/>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8153" w:type="dxa"/>
            <w:vAlign w:val="center"/>
          </w:tcPr>
          <w:p w14:paraId="0EE93766">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1.采购代理服务费支付方式：</w:t>
            </w:r>
          </w:p>
          <w:p w14:paraId="3AF46976">
            <w:pPr>
              <w:keepNext w:val="0"/>
              <w:keepLines w:val="0"/>
              <w:pageBreakBefore w:val="0"/>
              <w:widowControl w:val="0"/>
              <w:kinsoku/>
              <w:wordWrap/>
              <w:overflowPunct/>
              <w:topLinePunct w:val="0"/>
              <w:bidi w:val="0"/>
              <w:adjustRightInd/>
              <w:spacing w:line="360" w:lineRule="auto"/>
              <w:ind w:left="0" w:firstLine="0" w:firstLineChars="0"/>
              <w:rPr>
                <w:color w:val="auto"/>
                <w:highlight w:val="none"/>
              </w:rPr>
            </w:pPr>
            <w:r>
              <w:rPr>
                <w:rFonts w:hint="eastAsia" w:ascii="宋体" w:hAnsi="宋体"/>
                <w:color w:val="auto"/>
                <w:kern w:val="0"/>
                <w:sz w:val="20"/>
                <w:szCs w:val="21"/>
                <w:highlight w:val="none"/>
                <w:bdr w:val="single" w:color="auto" w:sz="4" w:space="0"/>
              </w:rPr>
              <w:t>√</w:t>
            </w:r>
            <w:r>
              <w:rPr>
                <w:rFonts w:hint="eastAsia" w:ascii="宋体" w:hAnsi="宋体" w:cs="宋体"/>
                <w:color w:val="auto"/>
                <w:kern w:val="0"/>
                <w:szCs w:val="21"/>
                <w:highlight w:val="none"/>
              </w:rPr>
              <w:t>以分标（</w:t>
            </w:r>
            <w:r>
              <w:rPr>
                <w:rFonts w:hint="eastAsia" w:ascii="宋体" w:hAnsi="宋体"/>
                <w:color w:val="auto"/>
                <w:kern w:val="0"/>
                <w:sz w:val="20"/>
                <w:szCs w:val="21"/>
                <w:highlight w:val="none"/>
                <w:bdr w:val="single" w:color="auto" w:sz="4" w:space="0"/>
              </w:rPr>
              <w:t>√</w:t>
            </w:r>
            <w:r>
              <w:rPr>
                <w:rFonts w:hint="eastAsia" w:ascii="宋体" w:hAnsi="宋体" w:cs="宋体"/>
                <w:color w:val="auto"/>
                <w:kern w:val="0"/>
                <w:szCs w:val="21"/>
                <w:highlight w:val="none"/>
              </w:rPr>
              <w:t>中标金额/□采购预算/□暂定中标金额/□其他</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）为计费额，按本须知正文第</w:t>
            </w:r>
            <w:r>
              <w:rPr>
                <w:rFonts w:ascii="宋体" w:hAnsi="宋体" w:cs="宋体"/>
                <w:color w:val="auto"/>
                <w:kern w:val="0"/>
                <w:szCs w:val="21"/>
                <w:highlight w:val="none"/>
              </w:rPr>
              <w:t>39</w:t>
            </w: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条规定的收费计算标准（</w:t>
            </w:r>
            <w:r>
              <w:rPr>
                <w:rFonts w:hint="eastAsia" w:ascii="宋体" w:hAnsi="宋体"/>
                <w:color w:val="auto"/>
                <w:kern w:val="0"/>
                <w:sz w:val="20"/>
                <w:szCs w:val="21"/>
                <w:highlight w:val="none"/>
                <w:bdr w:val="single" w:color="auto" w:sz="4" w:space="0"/>
              </w:rPr>
              <w:t>√</w:t>
            </w:r>
            <w:r>
              <w:rPr>
                <w:rFonts w:hint="eastAsia" w:ascii="宋体" w:hAnsi="宋体" w:cs="宋体"/>
                <w:color w:val="auto"/>
                <w:kern w:val="0"/>
                <w:szCs w:val="21"/>
                <w:highlight w:val="none"/>
              </w:rPr>
              <w:t>货物招标/□服务招标/□工程招标）采用差额定率累进法计算出收费基准价格，采购代理收费以（</w:t>
            </w:r>
            <w:r>
              <w:rPr>
                <w:rFonts w:hint="eastAsia" w:ascii="宋体" w:hAnsi="宋体"/>
                <w:color w:val="auto"/>
                <w:kern w:val="0"/>
                <w:sz w:val="20"/>
                <w:szCs w:val="21"/>
                <w:highlight w:val="none"/>
                <w:bdr w:val="single" w:color="auto" w:sz="4" w:space="0"/>
              </w:rPr>
              <w:t>√</w:t>
            </w:r>
            <w:r>
              <w:rPr>
                <w:rFonts w:hint="eastAsia" w:ascii="宋体" w:hAnsi="宋体" w:cs="宋体"/>
                <w:color w:val="auto"/>
                <w:kern w:val="0"/>
                <w:szCs w:val="21"/>
                <w:highlight w:val="none"/>
              </w:rPr>
              <w:t>收费基准价格/</w:t>
            </w:r>
            <w:r>
              <w:rPr>
                <w:rFonts w:hint="eastAsia" w:ascii="宋体" w:hAnsi="宋体"/>
                <w:color w:val="auto"/>
                <w:kern w:val="0"/>
                <w:sz w:val="20"/>
                <w:szCs w:val="21"/>
                <w:highlight w:val="none"/>
              </w:rPr>
              <w:t>□</w:t>
            </w:r>
            <w:r>
              <w:rPr>
                <w:rFonts w:hint="eastAsia" w:ascii="宋体" w:hAnsi="宋体" w:cs="宋体"/>
                <w:color w:val="auto"/>
                <w:kern w:val="0"/>
                <w:szCs w:val="21"/>
                <w:highlight w:val="none"/>
              </w:rPr>
              <w:t>收费基准价格下浮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rPr>
              <w:t>/</w:t>
            </w:r>
            <w:r>
              <w:rPr>
                <w:rFonts w:hint="eastAsia" w:ascii="宋体" w:hAnsi="宋体"/>
                <w:color w:val="auto"/>
                <w:kern w:val="0"/>
                <w:sz w:val="20"/>
                <w:szCs w:val="21"/>
                <w:highlight w:val="none"/>
              </w:rPr>
              <w:t>□</w:t>
            </w:r>
            <w:r>
              <w:rPr>
                <w:rFonts w:hint="eastAsia" w:ascii="宋体" w:hAnsi="宋体" w:cs="宋体"/>
                <w:color w:val="auto"/>
                <w:kern w:val="0"/>
                <w:szCs w:val="21"/>
                <w:highlight w:val="none"/>
              </w:rPr>
              <w:t>收费基准价格上浮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）收取。</w:t>
            </w:r>
            <w:r>
              <w:rPr>
                <w:rFonts w:hint="eastAsia"/>
                <w:color w:val="auto"/>
                <w:szCs w:val="21"/>
                <w:highlight w:val="none"/>
              </w:rPr>
              <w:t>采购代理服务费</w:t>
            </w:r>
            <w:r>
              <w:rPr>
                <w:rFonts w:hint="eastAsia"/>
                <w:color w:val="auto"/>
                <w:highlight w:val="none"/>
              </w:rPr>
              <w:t>由成交供应商支付，</w:t>
            </w:r>
            <w:r>
              <w:rPr>
                <w:rFonts w:hint="eastAsia" w:ascii="宋体" w:hAnsi="宋体" w:cs="宋体"/>
                <w:color w:val="auto"/>
                <w:kern w:val="0"/>
                <w:szCs w:val="21"/>
                <w:highlight w:val="none"/>
              </w:rPr>
              <w:t>成交供应商在领取成交通知书前，一次性向采购代理机构支付。</w:t>
            </w:r>
          </w:p>
          <w:p w14:paraId="158D804C">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2.采购代理机构收取采购代理服务费的银行账户：</w:t>
            </w:r>
          </w:p>
          <w:p w14:paraId="191C7265">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户名：广西正海招标有限公司</w:t>
            </w:r>
          </w:p>
          <w:p w14:paraId="1D73584A">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账号：7908 0188 0000 35937</w:t>
            </w:r>
          </w:p>
          <w:p w14:paraId="5FEB9533">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开户行：中国光大银行股份有限公司南宁长湖支行</w:t>
            </w:r>
          </w:p>
        </w:tc>
      </w:tr>
      <w:tr w14:paraId="212B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B7655D">
            <w:pPr>
              <w:spacing w:before="165"/>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153" w:type="dxa"/>
            <w:vAlign w:val="center"/>
          </w:tcPr>
          <w:p w14:paraId="50C6C87C">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解释：</w:t>
            </w:r>
            <w:r>
              <w:rPr>
                <w:color w:val="auto"/>
                <w:sz w:val="21"/>
                <w:szCs w:val="21"/>
                <w:highlight w:val="none"/>
              </w:rPr>
              <w:t>构成本</w:t>
            </w:r>
            <w:r>
              <w:rPr>
                <w:rFonts w:hint="eastAsia"/>
                <w:color w:val="auto"/>
                <w:sz w:val="21"/>
                <w:szCs w:val="21"/>
                <w:highlight w:val="none"/>
              </w:rPr>
              <w:t>谈判文件</w:t>
            </w:r>
            <w:r>
              <w:rPr>
                <w:color w:val="auto"/>
                <w:sz w:val="21"/>
                <w:szCs w:val="21"/>
                <w:highlight w:val="none"/>
              </w:rPr>
              <w:t>的各个组成文件应互为解释，互为说明；除</w:t>
            </w:r>
            <w:r>
              <w:rPr>
                <w:rFonts w:hint="eastAsia"/>
                <w:color w:val="auto"/>
                <w:sz w:val="21"/>
                <w:szCs w:val="21"/>
                <w:highlight w:val="none"/>
              </w:rPr>
              <w:t>谈判文件</w:t>
            </w:r>
            <w:r>
              <w:rPr>
                <w:color w:val="auto"/>
                <w:sz w:val="21"/>
                <w:szCs w:val="21"/>
                <w:highlight w:val="none"/>
              </w:rPr>
              <w:t>中有特别规定外，仅适用于</w:t>
            </w:r>
            <w:r>
              <w:rPr>
                <w:rFonts w:hint="eastAsia"/>
                <w:color w:val="auto"/>
                <w:sz w:val="21"/>
                <w:szCs w:val="21"/>
                <w:highlight w:val="none"/>
              </w:rPr>
              <w:t>竞标</w:t>
            </w:r>
            <w:r>
              <w:rPr>
                <w:color w:val="auto"/>
                <w:sz w:val="21"/>
                <w:szCs w:val="21"/>
                <w:highlight w:val="none"/>
              </w:rPr>
              <w:t>阶段的规定，按</w:t>
            </w:r>
            <w:r>
              <w:rPr>
                <w:rFonts w:hint="eastAsia"/>
                <w:color w:val="auto"/>
                <w:sz w:val="21"/>
                <w:szCs w:val="21"/>
                <w:highlight w:val="none"/>
              </w:rPr>
              <w:t>更正公告（澄清公告）</w:t>
            </w:r>
            <w:r>
              <w:rPr>
                <w:color w:val="auto"/>
                <w:sz w:val="21"/>
                <w:szCs w:val="21"/>
                <w:highlight w:val="none"/>
              </w:rPr>
              <w:t>、</w:t>
            </w:r>
            <w:r>
              <w:rPr>
                <w:rFonts w:hint="eastAsia"/>
                <w:color w:val="auto"/>
                <w:sz w:val="21"/>
                <w:szCs w:val="21"/>
                <w:highlight w:val="none"/>
              </w:rPr>
              <w:t>竞争性谈判</w:t>
            </w:r>
            <w:r>
              <w:rPr>
                <w:color w:val="auto"/>
                <w:sz w:val="21"/>
                <w:szCs w:val="21"/>
                <w:highlight w:val="none"/>
              </w:rPr>
              <w:t>公告、</w:t>
            </w:r>
            <w:r>
              <w:rPr>
                <w:rFonts w:hint="eastAsia"/>
                <w:color w:val="auto"/>
                <w:sz w:val="21"/>
                <w:szCs w:val="21"/>
                <w:highlight w:val="none"/>
              </w:rPr>
              <w:t>供应商</w:t>
            </w:r>
            <w:r>
              <w:rPr>
                <w:color w:val="auto"/>
                <w:sz w:val="21"/>
                <w:szCs w:val="21"/>
                <w:highlight w:val="none"/>
              </w:rPr>
              <w:t>须知</w:t>
            </w:r>
            <w:r>
              <w:rPr>
                <w:rFonts w:hint="eastAsia"/>
                <w:color w:val="auto"/>
                <w:sz w:val="21"/>
                <w:szCs w:val="21"/>
                <w:highlight w:val="none"/>
              </w:rPr>
              <w:t>、采购需求</w:t>
            </w:r>
            <w:r>
              <w:rPr>
                <w:color w:val="auto"/>
                <w:sz w:val="21"/>
                <w:szCs w:val="21"/>
                <w:highlight w:val="none"/>
              </w:rPr>
              <w:t>、</w:t>
            </w:r>
            <w:r>
              <w:rPr>
                <w:rFonts w:hint="eastAsia"/>
                <w:color w:val="auto"/>
                <w:sz w:val="21"/>
                <w:szCs w:val="21"/>
                <w:highlight w:val="none"/>
              </w:rPr>
              <w:t>评审程序和评定成交的标准</w:t>
            </w:r>
            <w:r>
              <w:rPr>
                <w:color w:val="auto"/>
                <w:sz w:val="21"/>
                <w:szCs w:val="21"/>
                <w:highlight w:val="none"/>
              </w:rPr>
              <w:t>、</w:t>
            </w:r>
            <w:r>
              <w:rPr>
                <w:rFonts w:hint="eastAsia"/>
                <w:color w:val="auto"/>
                <w:sz w:val="21"/>
                <w:szCs w:val="21"/>
                <w:highlight w:val="none"/>
              </w:rPr>
              <w:t>响应</w:t>
            </w:r>
            <w:r>
              <w:rPr>
                <w:color w:val="auto"/>
                <w:sz w:val="21"/>
                <w:szCs w:val="21"/>
                <w:highlight w:val="none"/>
              </w:rPr>
              <w:t>文件格式</w:t>
            </w:r>
            <w:r>
              <w:rPr>
                <w:rFonts w:hint="eastAsia"/>
                <w:color w:val="auto"/>
                <w:sz w:val="21"/>
                <w:szCs w:val="21"/>
                <w:highlight w:val="none"/>
              </w:rPr>
              <w:t>、合同文本</w:t>
            </w:r>
            <w:r>
              <w:rPr>
                <w:color w:val="auto"/>
                <w:sz w:val="21"/>
                <w:szCs w:val="21"/>
                <w:highlight w:val="none"/>
              </w:rPr>
              <w:t>的先后顺序解释；同一组成文件中就同一事项的规定或约定不一致的，以编排顺序在后者为准；同一组成文件不同版本之间有不一致的，以形成时间在后者为准；</w:t>
            </w:r>
            <w:r>
              <w:rPr>
                <w:rFonts w:hint="eastAsia"/>
                <w:color w:val="auto"/>
                <w:sz w:val="21"/>
                <w:szCs w:val="21"/>
                <w:highlight w:val="none"/>
              </w:rPr>
              <w:t>更正公告（澄清公告）</w:t>
            </w:r>
            <w:r>
              <w:rPr>
                <w:color w:val="auto"/>
                <w:sz w:val="21"/>
                <w:szCs w:val="21"/>
                <w:highlight w:val="none"/>
              </w:rPr>
              <w:t>与同步更新的</w:t>
            </w:r>
            <w:r>
              <w:rPr>
                <w:rFonts w:hint="eastAsia"/>
                <w:color w:val="auto"/>
                <w:sz w:val="21"/>
                <w:szCs w:val="21"/>
                <w:highlight w:val="none"/>
              </w:rPr>
              <w:t>谈判文件</w:t>
            </w:r>
            <w:r>
              <w:rPr>
                <w:color w:val="auto"/>
                <w:sz w:val="21"/>
                <w:szCs w:val="21"/>
                <w:highlight w:val="none"/>
              </w:rPr>
              <w:t>不一致时以</w:t>
            </w:r>
            <w:r>
              <w:rPr>
                <w:rFonts w:hint="eastAsia"/>
                <w:color w:val="auto"/>
                <w:sz w:val="21"/>
                <w:szCs w:val="21"/>
                <w:highlight w:val="none"/>
              </w:rPr>
              <w:t>更正公告（澄清公告）</w:t>
            </w:r>
            <w:r>
              <w:rPr>
                <w:color w:val="auto"/>
                <w:sz w:val="21"/>
                <w:szCs w:val="21"/>
                <w:highlight w:val="none"/>
              </w:rPr>
              <w:t>为准。按本款前述规定仍不能形成结论的，由</w:t>
            </w:r>
            <w:r>
              <w:rPr>
                <w:rFonts w:hint="eastAsia"/>
                <w:color w:val="auto"/>
                <w:sz w:val="21"/>
                <w:szCs w:val="21"/>
                <w:highlight w:val="none"/>
              </w:rPr>
              <w:t>采购</w:t>
            </w:r>
            <w:r>
              <w:rPr>
                <w:color w:val="auto"/>
                <w:sz w:val="21"/>
                <w:szCs w:val="21"/>
                <w:highlight w:val="none"/>
              </w:rPr>
              <w:t>人</w:t>
            </w:r>
            <w:r>
              <w:rPr>
                <w:rFonts w:hint="eastAsia"/>
                <w:color w:val="auto"/>
                <w:sz w:val="21"/>
                <w:szCs w:val="21"/>
                <w:highlight w:val="none"/>
              </w:rPr>
              <w:t>或者采购代理机构</w:t>
            </w:r>
            <w:r>
              <w:rPr>
                <w:color w:val="auto"/>
                <w:sz w:val="21"/>
                <w:szCs w:val="21"/>
                <w:highlight w:val="none"/>
              </w:rPr>
              <w:t>负责解释。</w:t>
            </w:r>
          </w:p>
        </w:tc>
      </w:tr>
      <w:tr w14:paraId="3F37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AA50FE">
            <w:pPr>
              <w:spacing w:before="165"/>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153" w:type="dxa"/>
            <w:vAlign w:val="center"/>
          </w:tcPr>
          <w:p w14:paraId="3DCC7AD9">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5D31E41F">
            <w:pPr>
              <w:pStyle w:val="14"/>
              <w:keepNext w:val="0"/>
              <w:keepLines w:val="0"/>
              <w:pageBreakBefore w:val="0"/>
              <w:widowControl w:val="0"/>
              <w:kinsoku/>
              <w:wordWrap/>
              <w:overflowPunct/>
              <w:topLinePunct w:val="0"/>
              <w:bidi w:val="0"/>
              <w:adjustRightInd/>
              <w:spacing w:line="360" w:lineRule="auto"/>
              <w:ind w:left="0" w:firstLine="0" w:firstLineChars="0"/>
              <w:rPr>
                <w:rFonts w:cs="宋体"/>
                <w:bCs/>
                <w:color w:val="auto"/>
                <w:sz w:val="21"/>
                <w:szCs w:val="21"/>
                <w:highlight w:val="none"/>
              </w:rPr>
            </w:pPr>
            <w:r>
              <w:rPr>
                <w:rFonts w:hint="eastAsia" w:cs="宋体"/>
                <w:bCs/>
                <w:color w:val="auto"/>
                <w:sz w:val="21"/>
                <w:szCs w:val="21"/>
                <w:highlight w:val="none"/>
              </w:rPr>
              <w:t>2.本谈判文件所称的“</w:t>
            </w:r>
            <w:r>
              <w:rPr>
                <w:rFonts w:hint="eastAsia"/>
                <w:color w:val="auto"/>
                <w:sz w:val="21"/>
                <w:szCs w:val="21"/>
                <w:highlight w:val="none"/>
              </w:rPr>
              <w:t>电子签章</w:t>
            </w:r>
            <w:r>
              <w:rPr>
                <w:rFonts w:hint="eastAsia" w:cs="宋体"/>
                <w:bCs/>
                <w:color w:val="auto"/>
                <w:sz w:val="21"/>
                <w:szCs w:val="21"/>
                <w:highlight w:val="none"/>
              </w:rPr>
              <w:t>”、“电子签名”</w:t>
            </w:r>
            <w:r>
              <w:rPr>
                <w:rFonts w:hint="eastAsia"/>
                <w:color w:val="auto"/>
                <w:sz w:val="21"/>
                <w:szCs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14111A4B">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3.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7C9D2B60">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rFonts w:hint="eastAsia"/>
                <w:color w:val="auto"/>
                <w:sz w:val="21"/>
                <w:szCs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7A3DBD8C">
            <w:pPr>
              <w:pStyle w:val="14"/>
              <w:keepNext w:val="0"/>
              <w:keepLines w:val="0"/>
              <w:pageBreakBefore w:val="0"/>
              <w:widowControl w:val="0"/>
              <w:kinsoku/>
              <w:wordWrap/>
              <w:overflowPunct/>
              <w:topLinePunct w:val="0"/>
              <w:bidi w:val="0"/>
              <w:adjustRightInd/>
              <w:spacing w:line="360" w:lineRule="auto"/>
              <w:ind w:left="0" w:firstLine="0" w:firstLineChars="0"/>
              <w:rPr>
                <w:color w:val="auto"/>
                <w:sz w:val="21"/>
                <w:szCs w:val="21"/>
                <w:highlight w:val="none"/>
              </w:rPr>
            </w:pPr>
            <w:r>
              <w:rPr>
                <w:color w:val="auto"/>
                <w:sz w:val="21"/>
                <w:szCs w:val="21"/>
                <w:highlight w:val="none"/>
              </w:rPr>
              <w:t>5.</w:t>
            </w:r>
            <w:r>
              <w:rPr>
                <w:rFonts w:hint="eastAsia"/>
                <w:color w:val="auto"/>
                <w:sz w:val="21"/>
                <w:szCs w:val="21"/>
                <w:highlight w:val="none"/>
              </w:rPr>
              <w:t>本谈判文件所称的“以上”“以下”“以内”“届满”，包括本数；所称的“不满”“超过”“以外”，不包括本数。</w:t>
            </w:r>
          </w:p>
        </w:tc>
      </w:tr>
    </w:tbl>
    <w:p w14:paraId="17348148">
      <w:pPr>
        <w:spacing w:before="165" w:line="400" w:lineRule="exact"/>
        <w:jc w:val="center"/>
        <w:rPr>
          <w:rFonts w:ascii="宋体" w:hAnsi="宋体" w:cs="宋体"/>
          <w:b/>
          <w:color w:val="auto"/>
          <w:sz w:val="32"/>
          <w:szCs w:val="32"/>
          <w:highlight w:val="none"/>
        </w:rPr>
      </w:pPr>
      <w:r>
        <w:rPr>
          <w:rFonts w:ascii="宋体" w:hAnsi="宋体"/>
          <w:b/>
          <w:color w:val="auto"/>
          <w:sz w:val="32"/>
          <w:szCs w:val="32"/>
          <w:highlight w:val="none"/>
        </w:rPr>
        <w:br w:type="page"/>
      </w:r>
      <w:r>
        <w:rPr>
          <w:rFonts w:hint="eastAsia" w:ascii="宋体" w:hAnsi="宋体" w:cs="宋体"/>
          <w:b/>
          <w:color w:val="auto"/>
          <w:sz w:val="32"/>
          <w:szCs w:val="32"/>
          <w:highlight w:val="none"/>
        </w:rPr>
        <w:t>供应商须知正文</w:t>
      </w:r>
    </w:p>
    <w:p w14:paraId="4F4C8573">
      <w:pPr>
        <w:spacing w:before="165" w:line="400" w:lineRule="exact"/>
        <w:jc w:val="center"/>
        <w:rPr>
          <w:rFonts w:ascii="宋体" w:hAnsi="宋体" w:cs="宋体"/>
          <w:color w:val="auto"/>
          <w:szCs w:val="21"/>
          <w:highlight w:val="none"/>
        </w:rPr>
      </w:pPr>
      <w:r>
        <w:rPr>
          <w:rFonts w:hint="eastAsia" w:ascii="宋体" w:hAnsi="宋体" w:cs="宋体"/>
          <w:b/>
          <w:color w:val="auto"/>
          <w:sz w:val="32"/>
          <w:szCs w:val="32"/>
          <w:highlight w:val="none"/>
        </w:rPr>
        <w:t>一、总则</w:t>
      </w:r>
    </w:p>
    <w:p w14:paraId="15DDDE47">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适用范围</w:t>
      </w:r>
    </w:p>
    <w:p w14:paraId="5BF0F475">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D763F88">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7129F325">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定义</w:t>
      </w:r>
    </w:p>
    <w:p w14:paraId="3BA01E27">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2E8C281E">
      <w:pPr>
        <w:spacing w:before="165" w:line="42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color w:val="auto"/>
          <w:szCs w:val="21"/>
          <w:highlight w:val="none"/>
        </w:rPr>
        <w:t>是指政府采购集中采购机构和集中采购机构以外的采购代理机构。</w:t>
      </w:r>
    </w:p>
    <w:p w14:paraId="5428DD0B">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0A2610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2BC4502A">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2FECCED8">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2408A2D8">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653BA1B0">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69649802">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w:t>
      </w:r>
      <w:r>
        <w:rPr>
          <w:rFonts w:hint="eastAsia" w:ascii="宋体" w:hAnsi="宋体" w:cs="宋体"/>
          <w:b/>
          <w:bCs/>
          <w:color w:val="auto"/>
          <w:kern w:val="0"/>
          <w:szCs w:val="21"/>
          <w:highlight w:val="none"/>
        </w:rPr>
        <w:t>▲</w:t>
      </w:r>
      <w:r>
        <w:rPr>
          <w:rFonts w:hint="eastAsia" w:ascii="宋体" w:hAnsi="宋体" w:cs="宋体"/>
          <w:color w:val="auto"/>
          <w:szCs w:val="21"/>
          <w:highlight w:val="none"/>
        </w:rPr>
        <w:t>”的条款或者不能负偏离的条款或者已经指明不满足按响应文件按无效处理的条款。</w:t>
      </w:r>
    </w:p>
    <w:p w14:paraId="0DE450DA">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6ACCC877">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5910EF26">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23D85EE5">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13B6A460">
      <w:pPr>
        <w:spacing w:before="165" w:line="420" w:lineRule="exact"/>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 供应商的资格条件</w:t>
      </w:r>
    </w:p>
    <w:p w14:paraId="1BE0A091">
      <w:pPr>
        <w:spacing w:before="165"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2511118">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 竞标费用</w:t>
      </w:r>
    </w:p>
    <w:p w14:paraId="19488887">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2E153770">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347FD40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053AE68">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2700AE7F">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2020〕46号）及《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具体详见《评审程序和评定成交的标准》。</w:t>
      </w:r>
      <w:bookmarkEnd w:id="59"/>
    </w:p>
    <w:p w14:paraId="292B5AD1">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636852B8">
      <w:pPr>
        <w:spacing w:before="165" w:line="420" w:lineRule="exact"/>
        <w:ind w:firstLine="420" w:firstLineChars="200"/>
        <w:rPr>
          <w:rFonts w:ascii="宋体" w:hAnsi="宋体" w:cs="宋体"/>
          <w:color w:val="auto"/>
          <w:szCs w:val="21"/>
          <w:highlight w:val="none"/>
        </w:rPr>
      </w:pPr>
      <w:bookmarkStart w:id="60" w:name="_Toc254970673"/>
      <w:bookmarkStart w:id="61" w:name="_Toc254970532"/>
      <w:r>
        <w:rPr>
          <w:rFonts w:hint="eastAsia" w:ascii="宋体" w:hAnsi="宋体" w:cs="宋体"/>
          <w:color w:val="auto"/>
          <w:szCs w:val="21"/>
          <w:highlight w:val="none"/>
        </w:rPr>
        <w:t>6.1本项目不允许转包。</w:t>
      </w:r>
    </w:p>
    <w:p w14:paraId="676E874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8304C7D">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46694092">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60"/>
      <w:bookmarkEnd w:id="61"/>
    </w:p>
    <w:p w14:paraId="442D9DD8">
      <w:pPr>
        <w:spacing w:line="420" w:lineRule="exact"/>
        <w:ind w:firstLine="420" w:firstLineChars="200"/>
        <w:rPr>
          <w:rFonts w:ascii="宋体" w:hAnsi="宋体" w:cs="宋体"/>
          <w:color w:val="auto"/>
          <w:szCs w:val="21"/>
          <w:highlight w:val="none"/>
        </w:rPr>
      </w:pPr>
      <w:bookmarkStart w:id="62" w:name="_8.1提供相同品牌产品且通过资格审查、符合性审查的不同投标人参加同一合"/>
      <w:bookmarkEnd w:id="62"/>
      <w:r>
        <w:rPr>
          <w:rFonts w:hint="eastAsia"/>
          <w:color w:val="auto"/>
          <w:highlight w:val="none"/>
        </w:rPr>
        <w:fldChar w:fldCharType="begin"/>
      </w:r>
      <w:r>
        <w:rPr>
          <w:color w:val="auto"/>
          <w:highlight w:val="none"/>
        </w:rPr>
        <w:instrText xml:space="preserve"> HYPERLINK \l "_8.1" </w:instrText>
      </w:r>
      <w:r>
        <w:rPr>
          <w:rFonts w:hint="eastAsia"/>
          <w:color w:val="auto"/>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675BC43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222FE52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5795DA2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2635577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2160A81C">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750CED5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E288DA2">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7B14092">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D9C920E">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AFB82AF">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EF32D0A">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E4615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0E4BF517">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7885DDB5">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61E206D">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D0F3CDA">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D512DE0">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A809610">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0E7DF9E9">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3" w:name="_Hlk54682620"/>
      <w:r>
        <w:rPr>
          <w:rFonts w:hint="eastAsia" w:ascii="宋体" w:hAnsi="宋体" w:cs="宋体"/>
          <w:color w:val="auto"/>
          <w:szCs w:val="21"/>
          <w:highlight w:val="none"/>
        </w:rPr>
        <w:t>，将报同级监督管理部门</w:t>
      </w:r>
      <w:bookmarkEnd w:id="63"/>
      <w:r>
        <w:rPr>
          <w:rFonts w:hint="eastAsia" w:ascii="宋体" w:hAnsi="宋体" w:cs="宋体"/>
          <w:color w:val="auto"/>
          <w:szCs w:val="21"/>
          <w:highlight w:val="none"/>
        </w:rPr>
        <w:t>：</w:t>
      </w:r>
    </w:p>
    <w:p w14:paraId="1F009276">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72E29FF">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714F047">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B32A94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E969271">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B189F70">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8292377">
      <w:pPr>
        <w:spacing w:before="165"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F18E65C">
      <w:pPr>
        <w:pStyle w:val="7"/>
        <w:spacing w:line="360" w:lineRule="auto"/>
        <w:rPr>
          <w:rFonts w:ascii="宋体" w:hAnsi="宋体"/>
        </w:rPr>
      </w:pPr>
      <w:r>
        <w:rPr>
          <w:rFonts w:ascii="宋体" w:hAnsi="宋体"/>
        </w:rPr>
        <w:t>7.8</w:t>
      </w:r>
      <w:r>
        <w:rPr>
          <w:rFonts w:hint="eastAsia" w:ascii="宋体" w:hAnsi="宋体"/>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8C7149">
      <w:pPr>
        <w:pStyle w:val="7"/>
        <w:spacing w:line="360" w:lineRule="auto"/>
        <w:rPr>
          <w:rFonts w:ascii="宋体" w:hAnsi="宋体"/>
        </w:rPr>
      </w:pPr>
      <w:r>
        <w:rPr>
          <w:rFonts w:hint="eastAsia" w:ascii="宋体" w:hAnsi="宋体"/>
        </w:rPr>
        <w:t>产品在中国境内生产的组件成本占比应当达到规定比例，计算公式为：</w:t>
      </w:r>
    </w:p>
    <w:p w14:paraId="12615C7D">
      <w:pPr>
        <w:widowControl/>
        <w:shd w:val="clear" w:color="auto" w:fill="FFFFFF"/>
        <w:spacing w:before="30" w:after="30" w:line="360" w:lineRule="auto"/>
        <w:jc w:val="center"/>
        <w:rPr>
          <w:rFonts w:hint="eastAsia"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"https://www.gov.cn/zhengce/content/202509/W020250930645245947614.png"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4827905" cy="762635"/>
            <wp:effectExtent l="0" t="0" r="1079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r:link="rId11"/>
                    <a:stretch>
                      <a:fillRect/>
                    </a:stretch>
                  </pic:blipFill>
                  <pic:spPr>
                    <a:xfrm>
                      <a:off x="0" y="0"/>
                      <a:ext cx="4827905" cy="762635"/>
                    </a:xfrm>
                    <a:prstGeom prst="rect">
                      <a:avLst/>
                    </a:prstGeom>
                    <a:noFill/>
                    <a:ln>
                      <a:noFill/>
                    </a:ln>
                  </pic:spPr>
                </pic:pic>
              </a:graphicData>
            </a:graphic>
          </wp:inline>
        </w:drawing>
      </w:r>
      <w:r>
        <w:rPr>
          <w:rFonts w:ascii="宋体" w:hAnsi="宋体" w:cs="宋体"/>
          <w:kern w:val="0"/>
          <w:sz w:val="24"/>
        </w:rPr>
        <w:fldChar w:fldCharType="end"/>
      </w:r>
    </w:p>
    <w:p w14:paraId="5CCF80F2">
      <w:pPr>
        <w:pStyle w:val="7"/>
        <w:spacing w:line="360" w:lineRule="auto"/>
        <w:rPr>
          <w:rFonts w:hint="eastAsia" w:ascii="宋体" w:hAnsi="宋体"/>
        </w:rPr>
      </w:pPr>
      <w:r>
        <w:rPr>
          <w:rFonts w:hint="eastAsia" w:ascii="宋体" w:hAnsi="宋体"/>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3C2B050">
      <w:pPr>
        <w:pStyle w:val="7"/>
        <w:spacing w:line="360" w:lineRule="auto"/>
        <w:rPr>
          <w:rFonts w:ascii="宋体" w:hAnsi="宋体"/>
        </w:rPr>
      </w:pPr>
      <w:r>
        <w:rPr>
          <w:rFonts w:hint="eastAsia" w:ascii="宋体" w:hAnsi="宋体"/>
        </w:rPr>
        <w:t>政府采购活动中既有本国产品又有非本国产品参与竞争的，依法对本国产品给予价格评审优惠，对本国产品的报价给予20%的价格扣除，用扣除后的价格参与评审。</w:t>
      </w:r>
    </w:p>
    <w:p w14:paraId="1D119A8E">
      <w:pPr>
        <w:pStyle w:val="7"/>
        <w:spacing w:line="360" w:lineRule="auto"/>
        <w:rPr>
          <w:rFonts w:hint="eastAsia" w:ascii="宋体" w:hAnsi="宋体" w:cs="宋体"/>
          <w:szCs w:val="21"/>
        </w:rPr>
      </w:pPr>
      <w:r>
        <w:rPr>
          <w:rFonts w:hint="eastAsia" w:ascii="宋体" w:hAnsi="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FBCA57">
      <w:pPr>
        <w:spacing w:before="165" w:line="420" w:lineRule="exact"/>
        <w:ind w:firstLine="643"/>
        <w:jc w:val="center"/>
        <w:rPr>
          <w:rFonts w:ascii="宋体" w:hAnsi="宋体" w:cs="宋体"/>
          <w:b/>
          <w:color w:val="auto"/>
          <w:sz w:val="32"/>
          <w:szCs w:val="32"/>
          <w:highlight w:val="none"/>
        </w:rPr>
      </w:pPr>
      <w:bookmarkStart w:id="64" w:name="_Toc254970675"/>
      <w:bookmarkStart w:id="65" w:name="_Toc254970534"/>
      <w:r>
        <w:rPr>
          <w:rFonts w:hint="eastAsia" w:ascii="宋体" w:hAnsi="宋体" w:cs="宋体"/>
          <w:b/>
          <w:color w:val="auto"/>
          <w:sz w:val="32"/>
          <w:szCs w:val="32"/>
          <w:highlight w:val="none"/>
        </w:rPr>
        <w:t>二、谈判文件</w:t>
      </w:r>
      <w:bookmarkEnd w:id="64"/>
      <w:bookmarkEnd w:id="65"/>
    </w:p>
    <w:p w14:paraId="268C9F7A">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05E9EF5B">
      <w:pPr>
        <w:spacing w:before="165"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（1）竞争性谈判公告/竞标邀请函；</w:t>
      </w:r>
    </w:p>
    <w:p w14:paraId="10E52ADD">
      <w:pPr>
        <w:spacing w:before="165"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404F0418">
      <w:pPr>
        <w:spacing w:before="165"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7A065F4B">
      <w:pPr>
        <w:spacing w:before="165"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（4）响应文件格式</w:t>
      </w:r>
    </w:p>
    <w:p w14:paraId="18409B40">
      <w:pPr>
        <w:spacing w:before="165"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（5）合同文本；</w:t>
      </w:r>
    </w:p>
    <w:p w14:paraId="70E90D13">
      <w:pPr>
        <w:spacing w:before="165"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（6）评审程序和评定成交的标准；</w:t>
      </w:r>
    </w:p>
    <w:p w14:paraId="55A1D759">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83EED8E">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2F65CFC5">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12804757">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DC10B6F">
      <w:pPr>
        <w:spacing w:before="165" w:line="420" w:lineRule="exact"/>
        <w:ind w:firstLine="420"/>
        <w:rPr>
          <w:rFonts w:ascii="宋体" w:hAnsi="宋体" w:cs="宋体"/>
          <w:color w:val="auto"/>
          <w:szCs w:val="21"/>
          <w:highlight w:val="none"/>
        </w:rPr>
      </w:pPr>
    </w:p>
    <w:p w14:paraId="23F7B063">
      <w:pPr>
        <w:spacing w:before="165" w:line="420" w:lineRule="exact"/>
        <w:ind w:firstLine="643"/>
        <w:jc w:val="center"/>
        <w:rPr>
          <w:rFonts w:ascii="宋体" w:hAnsi="宋体" w:cs="宋体"/>
          <w:b/>
          <w:color w:val="auto"/>
          <w:szCs w:val="21"/>
          <w:highlight w:val="none"/>
        </w:rPr>
      </w:pPr>
      <w:r>
        <w:rPr>
          <w:rFonts w:hint="eastAsia" w:ascii="宋体" w:hAnsi="宋体" w:cs="宋体"/>
          <w:b/>
          <w:color w:val="auto"/>
          <w:sz w:val="32"/>
          <w:szCs w:val="32"/>
          <w:highlight w:val="none"/>
        </w:rPr>
        <w:t>三、响应文件的编制</w:t>
      </w:r>
    </w:p>
    <w:p w14:paraId="0A2BD583">
      <w:pPr>
        <w:spacing w:before="165" w:line="420" w:lineRule="exact"/>
        <w:ind w:firstLine="420"/>
        <w:rPr>
          <w:rFonts w:ascii="宋体" w:hAnsi="宋体" w:cs="宋体"/>
          <w:color w:val="auto"/>
          <w:szCs w:val="21"/>
          <w:highlight w:val="none"/>
        </w:rPr>
      </w:pPr>
    </w:p>
    <w:p w14:paraId="7BC76394">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2A48868C">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24B3D10C">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4BBC0C9">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3306AFEA">
      <w:pPr>
        <w:spacing w:before="165" w:line="42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FD5918B">
      <w:pPr>
        <w:spacing w:before="165" w:line="42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E3B03DA">
      <w:pPr>
        <w:spacing w:before="165" w:line="42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996AB1C">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B6E4A">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329FBA7C">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1248DC4">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1551F593">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5C28B7C6">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55BC899C">
      <w:pPr>
        <w:tabs>
          <w:tab w:val="left" w:pos="2492"/>
        </w:tabs>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4A81C23B">
      <w:pPr>
        <w:spacing w:before="165" w:line="420" w:lineRule="exact"/>
        <w:ind w:firstLine="420"/>
        <w:rPr>
          <w:rFonts w:ascii="宋体" w:hAnsi="宋体" w:cs="宋体"/>
          <w:color w:val="auto"/>
          <w:szCs w:val="21"/>
          <w:highlight w:val="none"/>
        </w:rPr>
      </w:pPr>
      <w:r>
        <w:rPr>
          <w:rFonts w:hint="eastAsia" w:ascii="宋体" w:hAnsi="宋体" w:cs="宋体"/>
          <w:color w:val="auto"/>
          <w:szCs w:val="21"/>
          <w:highlight w:val="none"/>
        </w:rPr>
        <w:t>15.3竞标报价要求</w:t>
      </w:r>
    </w:p>
    <w:p w14:paraId="7A4392C4">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68E19268">
      <w:pPr>
        <w:spacing w:before="165" w:line="420" w:lineRule="exact"/>
        <w:ind w:firstLine="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CE3D0B8">
      <w:pPr>
        <w:spacing w:before="165" w:line="420" w:lineRule="exact"/>
        <w:ind w:firstLine="420"/>
        <w:rPr>
          <w:rFonts w:ascii="宋体" w:hAnsi="宋体" w:cs="宋体"/>
          <w:color w:val="auto"/>
          <w:szCs w:val="21"/>
          <w:highlight w:val="none"/>
        </w:rPr>
      </w:pPr>
      <w:r>
        <w:rPr>
          <w:rFonts w:hint="eastAsia" w:ascii="宋体" w:hAnsi="宋体" w:cs="宋体"/>
          <w:color w:val="auto"/>
          <w:szCs w:val="21"/>
          <w:highlight w:val="none"/>
        </w:rPr>
        <w:t>不得存在漏项报价；</w:t>
      </w:r>
    </w:p>
    <w:p w14:paraId="5797A8AF">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28357220">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730E9A3A">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15.3.3竞标报价（包含首次报价、最后报价）超过分项采购预算金额或者最高限价的，其响应文件将按无效处理。</w:t>
      </w:r>
    </w:p>
    <w:p w14:paraId="7D0A2BFC">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15.3.4异常低价响应审查</w:t>
      </w:r>
    </w:p>
    <w:p w14:paraId="03F41C84">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（1）谈判小组在评审中发现下列情形之一的，应当启动异常低价响应审查程序：</w:t>
      </w:r>
    </w:p>
    <w:p w14:paraId="73A62444">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①响应报价低于全部通过符合性审查供应商响应报价平均值 50%的，即响应报价＜全部通过符合性审查供应商响应报价平均值×50%；</w:t>
      </w:r>
    </w:p>
    <w:p w14:paraId="7E176E88">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②响应报价低于通过符合性审查的次低报价供应商响应报价 50%的，即响应报价＜通过符合性审查的次低报价供应商响应报价×50%；</w:t>
      </w:r>
    </w:p>
    <w:p w14:paraId="38669909">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③响应报价低于采购项目最高限价 45% 的，即响应报价＜采购项目最高限价× 45%；</w:t>
      </w:r>
    </w:p>
    <w:p w14:paraId="750F52FD">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④谈判小组基于专业判断，认为供应商报价过低，有可能影响产品质量或者不能诚信履约的其他情形。</w:t>
      </w:r>
    </w:p>
    <w:p w14:paraId="3C7A6082">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（2）谈判小组启动异常低价响应审查后，属于前述第 1 项至第 4 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7798ADE">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14:paraId="555D0120">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2BF2D026">
      <w:pPr>
        <w:spacing w:before="165"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28DFF7DD">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7F8E1B19">
      <w:pPr>
        <w:spacing w:before="165"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CB18ED3">
      <w:pPr>
        <w:spacing w:before="165"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5AF0F55">
      <w:pPr>
        <w:spacing w:before="165"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08DCEEA">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17.竞标保证金</w:t>
      </w:r>
    </w:p>
    <w:p w14:paraId="34B86F8A">
      <w:pPr>
        <w:spacing w:before="165" w:line="420" w:lineRule="exact"/>
        <w:ind w:firstLine="42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1942ABA8">
      <w:pPr>
        <w:spacing w:before="165" w:line="420" w:lineRule="exact"/>
        <w:ind w:firstLine="42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3FE3D392">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 xml:space="preserve">；成交供应商的竞标保证金自签订合同之日起5个工作日内退还。 </w:t>
      </w:r>
    </w:p>
    <w:p w14:paraId="133E25CF">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2BED6AD0">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67018E71">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A0F11BD">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31C0CB5F">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0EC1DE4">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682915E0">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2532E8D">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0738ADB5">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 响应文件编制的要求</w:t>
      </w:r>
    </w:p>
    <w:p w14:paraId="59A356D2">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政采云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5125885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7B436BE">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2810C76">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4F2DB133">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EE415CB">
      <w:pPr>
        <w:spacing w:before="165" w:line="4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5CB43385">
      <w:pPr>
        <w:spacing w:before="165" w:line="420" w:lineRule="exact"/>
        <w:ind w:firstLine="420" w:firstLineChars="200"/>
        <w:rPr>
          <w:rFonts w:ascii="宋体" w:hAnsi="宋体" w:cs="宋体"/>
          <w:color w:val="auto"/>
          <w:sz w:val="24"/>
          <w:highlight w:val="none"/>
        </w:rPr>
      </w:pPr>
      <w:r>
        <w:rPr>
          <w:rFonts w:hint="eastAsia" w:ascii="宋体" w:hAnsi="宋体" w:cs="宋体"/>
          <w:color w:val="auto"/>
          <w:highlight w:val="none"/>
        </w:rPr>
        <w:t>电子备份响应文件是指通过“政采云电子投标客户端”在线编制生成且后缀名为“bfbs”的文件，是否接受电子备份响应文件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5D533FD5">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76F723C">
      <w:pPr>
        <w:spacing w:before="165" w:line="420" w:lineRule="exact"/>
        <w:ind w:firstLine="420" w:firstLineChars="200"/>
        <w:rPr>
          <w:rFonts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7C043D3D">
      <w:pPr>
        <w:spacing w:before="165" w:line="420" w:lineRule="exact"/>
        <w:ind w:firstLine="422" w:firstLineChars="200"/>
        <w:rPr>
          <w:rFonts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20.2未在规定时间内提交或者未按照谈判文件要求加密的电子响应文件，广西政府采购云平台将拒收。</w:t>
      </w:r>
    </w:p>
    <w:p w14:paraId="4F685F21">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47B8F6BA">
      <w:pPr>
        <w:snapToGrid w:val="0"/>
        <w:spacing w:before="165" w:line="420" w:lineRule="exact"/>
        <w:ind w:firstLine="420"/>
        <w:jc w:val="left"/>
        <w:rPr>
          <w:rFonts w:ascii="宋体" w:hAnsi="宋体" w:cs="宋体"/>
          <w:color w:val="auto"/>
          <w:szCs w:val="21"/>
          <w:highlight w:val="none"/>
        </w:rPr>
      </w:pPr>
      <w:bookmarkStart w:id="66" w:name="_Toc254970684"/>
      <w:bookmarkStart w:id="67"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（补充、修改或者撤回方式可登陆</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 “电子投标文件制作与投送教程”）</w:t>
      </w:r>
    </w:p>
    <w:bookmarkEnd w:id="66"/>
    <w:bookmarkEnd w:id="67"/>
    <w:p w14:paraId="18C74B86">
      <w:pPr>
        <w:adjustRightInd w:val="0"/>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21.2在提交响应文件截止时间前，除供应商补充、修改或者撤回响应文件外，任何单位和个人不得解密或提取响应文件。</w:t>
      </w:r>
    </w:p>
    <w:p w14:paraId="6000BF4D">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22.响应文件的退回</w:t>
      </w:r>
    </w:p>
    <w:p w14:paraId="247887F7">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B8722C9">
      <w:pPr>
        <w:spacing w:before="165"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784B8DF6">
      <w:pPr>
        <w:spacing w:before="165"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23450A20">
      <w:pPr>
        <w:spacing w:before="165"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43B27680">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6877E64F">
      <w:pPr>
        <w:spacing w:before="165"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3525E0C">
      <w:pPr>
        <w:spacing w:before="165"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AB6F02F">
      <w:pPr>
        <w:spacing w:before="165"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094846B9">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0356DD1C">
      <w:pPr>
        <w:spacing w:before="165" w:line="360" w:lineRule="auto"/>
        <w:ind w:firstLine="420"/>
        <w:rPr>
          <w:rFonts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105AC6C9">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26.评审程序和评定成交的标准</w:t>
      </w:r>
    </w:p>
    <w:p w14:paraId="291FE6C9">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40C2F2A8">
      <w:pPr>
        <w:spacing w:before="165"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33A5755F">
      <w:pPr>
        <w:spacing w:before="165"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FED975C">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4049B208">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64365DC3">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7F375C69">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52F7A7F">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31A43B5">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6928833">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CAE20DC">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B4FF0F3">
      <w:pPr>
        <w:spacing w:before="165"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719447DC">
      <w:pPr>
        <w:spacing w:before="165"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68DE479C">
      <w:pPr>
        <w:spacing w:before="165"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27.3出现下列情形之一的，采购人或者采购代理机构应当终止竞争性谈判采购活动，发布项目终止公告并说明原因，重新开展采购活动：</w:t>
      </w:r>
    </w:p>
    <w:p w14:paraId="13FFD292">
      <w:pPr>
        <w:spacing w:before="165"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5BBB4862">
      <w:pPr>
        <w:spacing w:before="165"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350818FB">
      <w:pPr>
        <w:spacing w:before="165"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67F351E8">
      <w:pPr>
        <w:spacing w:before="165"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7AB67A2F">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14A7DB8A">
      <w:pPr>
        <w:spacing w:before="165"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025D5F38">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28.2在履约保证金退还日期前，若成交供应商的开户名称、开户银行、帐号有变动的，请以书面形式通知履约保证金收取单位，否则由此产生的后果由成交供应商自负。</w:t>
      </w:r>
    </w:p>
    <w:p w14:paraId="7D719B8F">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CD8114F">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92D044F">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016B392">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DC66677">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4EFAF39">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394FD1">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229F0191">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800AE80">
      <w:pPr>
        <w:spacing w:before="165"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F4E9AB6">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543146E">
      <w:pPr>
        <w:spacing w:before="165"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DCC7EE2">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59167ECF">
      <w:pPr>
        <w:spacing w:before="165" w:after="120" w:line="360" w:lineRule="auto"/>
        <w:ind w:firstLine="420"/>
        <w:rPr>
          <w:rFonts w:ascii="宋体" w:hAnsi="宋体" w:cs="宋体"/>
          <w:color w:val="auto"/>
          <w:szCs w:val="21"/>
          <w:highlight w:val="none"/>
        </w:rPr>
      </w:pPr>
      <w:r>
        <w:rPr>
          <w:rFonts w:hint="eastAsia" w:ascii="宋体" w:hAnsi="宋体" w:cs="宋体"/>
          <w:color w:val="auto"/>
          <w:szCs w:val="20"/>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78B12ACA">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2A422374">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1CD6491E">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7C3C19A">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B6A5F0F">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C3F66E2">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1C7AF2C">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9D722C1">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EEC164E">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0A61A39C">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BEF54C3">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8235346">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2B5C20">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139BEA2">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B3EC46">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39CF6D4">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ADA2F12">
      <w:pPr>
        <w:spacing w:before="165"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F6FEFF8">
      <w:pPr>
        <w:spacing w:before="165" w:line="360" w:lineRule="auto"/>
        <w:ind w:firstLine="420" w:firstLineChars="200"/>
        <w:rPr>
          <w:rFonts w:ascii="宋体" w:hAnsi="宋体" w:cs="宋体"/>
          <w:b/>
          <w:bCs/>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A03031">
      <w:pPr>
        <w:spacing w:before="165"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5E18F917">
      <w:pPr>
        <w:tabs>
          <w:tab w:val="left" w:pos="2835"/>
        </w:tabs>
        <w:spacing w:before="165"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32.1代理服务收取标准详见“供应商须知前附表”，供应商为联合体的，可以由联合体中的一方或者多方共同交纳代理服务费：</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8"/>
        <w:gridCol w:w="1991"/>
        <w:gridCol w:w="1839"/>
        <w:gridCol w:w="1856"/>
      </w:tblGrid>
      <w:tr w14:paraId="31CB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Borders>
              <w:tl2br w:val="single" w:color="auto" w:sz="4" w:space="0"/>
            </w:tcBorders>
          </w:tcPr>
          <w:p w14:paraId="069FE048">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2776F20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金额</w:t>
            </w:r>
          </w:p>
        </w:tc>
        <w:tc>
          <w:tcPr>
            <w:tcW w:w="1991" w:type="dxa"/>
            <w:vAlign w:val="center"/>
          </w:tcPr>
          <w:p w14:paraId="73386521">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ascii="宋体" w:hAnsi="宋体" w:cs="宋体"/>
                <w:color w:val="auto"/>
                <w:szCs w:val="21"/>
                <w:highlight w:val="none"/>
              </w:rPr>
            </w:pPr>
            <w:r>
              <w:rPr>
                <w:rFonts w:hint="eastAsia" w:ascii="宋体" w:hAnsi="宋体" w:cs="宋体"/>
                <w:color w:val="auto"/>
                <w:szCs w:val="21"/>
                <w:highlight w:val="none"/>
              </w:rPr>
              <w:t>货物类</w:t>
            </w:r>
          </w:p>
        </w:tc>
        <w:tc>
          <w:tcPr>
            <w:tcW w:w="1839" w:type="dxa"/>
            <w:vAlign w:val="center"/>
          </w:tcPr>
          <w:p w14:paraId="75CDF95E">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服务类</w:t>
            </w:r>
          </w:p>
        </w:tc>
        <w:tc>
          <w:tcPr>
            <w:tcW w:w="1856" w:type="dxa"/>
            <w:vAlign w:val="center"/>
          </w:tcPr>
          <w:p w14:paraId="480F562D">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工程类</w:t>
            </w:r>
          </w:p>
        </w:tc>
      </w:tr>
      <w:tr w14:paraId="7BBD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168" w:type="dxa"/>
          </w:tcPr>
          <w:p w14:paraId="6733FFD1">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991" w:type="dxa"/>
          </w:tcPr>
          <w:p w14:paraId="4A178367">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1.5%</w:t>
            </w:r>
          </w:p>
        </w:tc>
        <w:tc>
          <w:tcPr>
            <w:tcW w:w="1839" w:type="dxa"/>
          </w:tcPr>
          <w:p w14:paraId="7066910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1.5%</w:t>
            </w:r>
          </w:p>
        </w:tc>
        <w:tc>
          <w:tcPr>
            <w:tcW w:w="1856" w:type="dxa"/>
          </w:tcPr>
          <w:p w14:paraId="3F19225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1.0%</w:t>
            </w:r>
          </w:p>
        </w:tc>
      </w:tr>
      <w:tr w14:paraId="0C3D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8" w:type="dxa"/>
          </w:tcPr>
          <w:p w14:paraId="41BE8839">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100～500万元</w:t>
            </w:r>
          </w:p>
        </w:tc>
        <w:tc>
          <w:tcPr>
            <w:tcW w:w="1991" w:type="dxa"/>
          </w:tcPr>
          <w:p w14:paraId="7857BDC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1.1%</w:t>
            </w:r>
          </w:p>
        </w:tc>
        <w:tc>
          <w:tcPr>
            <w:tcW w:w="1839" w:type="dxa"/>
          </w:tcPr>
          <w:p w14:paraId="6674B7A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0.8%</w:t>
            </w:r>
          </w:p>
        </w:tc>
        <w:tc>
          <w:tcPr>
            <w:tcW w:w="1856" w:type="dxa"/>
          </w:tcPr>
          <w:p w14:paraId="749DE96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0.7%</w:t>
            </w:r>
          </w:p>
        </w:tc>
      </w:tr>
      <w:tr w14:paraId="6FE4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00A0FA43">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500～1000万元</w:t>
            </w:r>
          </w:p>
        </w:tc>
        <w:tc>
          <w:tcPr>
            <w:tcW w:w="1991" w:type="dxa"/>
          </w:tcPr>
          <w:p w14:paraId="3D38C873">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0.8%</w:t>
            </w:r>
          </w:p>
        </w:tc>
        <w:tc>
          <w:tcPr>
            <w:tcW w:w="1839" w:type="dxa"/>
          </w:tcPr>
          <w:p w14:paraId="08D58D5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0.45%</w:t>
            </w:r>
          </w:p>
        </w:tc>
        <w:tc>
          <w:tcPr>
            <w:tcW w:w="1856" w:type="dxa"/>
          </w:tcPr>
          <w:p w14:paraId="53F0342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0.55%</w:t>
            </w:r>
          </w:p>
        </w:tc>
      </w:tr>
      <w:tr w14:paraId="1E1D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1A8B76A1">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991" w:type="dxa"/>
          </w:tcPr>
          <w:p w14:paraId="582702C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0.5%</w:t>
            </w:r>
          </w:p>
        </w:tc>
        <w:tc>
          <w:tcPr>
            <w:tcW w:w="1839" w:type="dxa"/>
          </w:tcPr>
          <w:p w14:paraId="37CE46C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0.25%</w:t>
            </w:r>
          </w:p>
        </w:tc>
        <w:tc>
          <w:tcPr>
            <w:tcW w:w="1856" w:type="dxa"/>
          </w:tcPr>
          <w:p w14:paraId="04E2EBF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0.35%</w:t>
            </w:r>
          </w:p>
        </w:tc>
      </w:tr>
      <w:tr w14:paraId="565D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1A51F43A">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991" w:type="dxa"/>
          </w:tcPr>
          <w:p w14:paraId="30490B4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0.25%</w:t>
            </w:r>
          </w:p>
        </w:tc>
        <w:tc>
          <w:tcPr>
            <w:tcW w:w="1839" w:type="dxa"/>
          </w:tcPr>
          <w:p w14:paraId="4DA2421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0.1%</w:t>
            </w:r>
          </w:p>
        </w:tc>
        <w:tc>
          <w:tcPr>
            <w:tcW w:w="1856" w:type="dxa"/>
          </w:tcPr>
          <w:p w14:paraId="68F1861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0.2%</w:t>
            </w:r>
          </w:p>
        </w:tc>
      </w:tr>
      <w:tr w14:paraId="7820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7E021696">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1～5亿元</w:t>
            </w:r>
          </w:p>
        </w:tc>
        <w:tc>
          <w:tcPr>
            <w:tcW w:w="1991" w:type="dxa"/>
          </w:tcPr>
          <w:p w14:paraId="4FD7C30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szCs w:val="21"/>
                <w:highlight w:val="none"/>
              </w:rPr>
              <w:t>0.05%</w:t>
            </w:r>
          </w:p>
        </w:tc>
        <w:tc>
          <w:tcPr>
            <w:tcW w:w="1839" w:type="dxa"/>
          </w:tcPr>
          <w:p w14:paraId="1C712413">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0.05%</w:t>
            </w:r>
          </w:p>
        </w:tc>
        <w:tc>
          <w:tcPr>
            <w:tcW w:w="1856" w:type="dxa"/>
          </w:tcPr>
          <w:p w14:paraId="038D9E1F">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0.05%</w:t>
            </w:r>
          </w:p>
        </w:tc>
      </w:tr>
      <w:tr w14:paraId="4234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50C5A36E">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5～10亿元</w:t>
            </w:r>
          </w:p>
        </w:tc>
        <w:tc>
          <w:tcPr>
            <w:tcW w:w="1991" w:type="dxa"/>
          </w:tcPr>
          <w:p w14:paraId="5A7E94B8">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ascii="宋体" w:hAnsi="宋体" w:cs="宋体"/>
                <w:color w:val="auto"/>
                <w:szCs w:val="21"/>
                <w:highlight w:val="none"/>
              </w:rPr>
            </w:pPr>
            <w:r>
              <w:rPr>
                <w:rFonts w:hint="eastAsia" w:ascii="宋体" w:hAnsi="宋体" w:cs="宋体"/>
                <w:color w:val="auto"/>
                <w:szCs w:val="21"/>
                <w:highlight w:val="none"/>
              </w:rPr>
              <w:t>0.035%</w:t>
            </w:r>
          </w:p>
        </w:tc>
        <w:tc>
          <w:tcPr>
            <w:tcW w:w="1839" w:type="dxa"/>
          </w:tcPr>
          <w:p w14:paraId="6A3FC9CB">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0.035%</w:t>
            </w:r>
          </w:p>
        </w:tc>
        <w:tc>
          <w:tcPr>
            <w:tcW w:w="1856" w:type="dxa"/>
          </w:tcPr>
          <w:p w14:paraId="49317B7F">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ascii="宋体" w:hAnsi="宋体" w:cs="宋体"/>
                <w:color w:val="auto"/>
                <w:szCs w:val="21"/>
                <w:highlight w:val="none"/>
              </w:rPr>
            </w:pPr>
            <w:r>
              <w:rPr>
                <w:rFonts w:hint="eastAsia" w:ascii="宋体" w:hAnsi="宋体" w:cs="宋体"/>
                <w:color w:val="auto"/>
                <w:szCs w:val="21"/>
                <w:highlight w:val="none"/>
              </w:rPr>
              <w:t>0.035%</w:t>
            </w:r>
          </w:p>
        </w:tc>
      </w:tr>
      <w:tr w14:paraId="2D86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11B2F4F3">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10～50亿元</w:t>
            </w:r>
          </w:p>
        </w:tc>
        <w:tc>
          <w:tcPr>
            <w:tcW w:w="1991" w:type="dxa"/>
          </w:tcPr>
          <w:p w14:paraId="02A95458">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ascii="宋体" w:hAnsi="宋体" w:cs="宋体"/>
                <w:color w:val="auto"/>
                <w:szCs w:val="21"/>
                <w:highlight w:val="none"/>
              </w:rPr>
            </w:pPr>
            <w:r>
              <w:rPr>
                <w:rFonts w:hint="eastAsia" w:ascii="宋体" w:hAnsi="宋体" w:cs="宋体"/>
                <w:color w:val="auto"/>
                <w:szCs w:val="21"/>
                <w:highlight w:val="none"/>
              </w:rPr>
              <w:t>0.008%</w:t>
            </w:r>
          </w:p>
        </w:tc>
        <w:tc>
          <w:tcPr>
            <w:tcW w:w="1839" w:type="dxa"/>
          </w:tcPr>
          <w:p w14:paraId="4EBFC3C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szCs w:val="21"/>
                <w:highlight w:val="none"/>
              </w:rPr>
              <w:t>0.008%</w:t>
            </w:r>
          </w:p>
        </w:tc>
        <w:tc>
          <w:tcPr>
            <w:tcW w:w="1856" w:type="dxa"/>
          </w:tcPr>
          <w:p w14:paraId="004F4A1D">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ascii="宋体" w:hAnsi="宋体" w:cs="宋体"/>
                <w:color w:val="auto"/>
                <w:szCs w:val="21"/>
                <w:highlight w:val="none"/>
              </w:rPr>
            </w:pPr>
            <w:r>
              <w:rPr>
                <w:rFonts w:hint="eastAsia" w:ascii="宋体" w:hAnsi="宋体" w:cs="宋体"/>
                <w:color w:val="auto"/>
                <w:szCs w:val="21"/>
                <w:highlight w:val="none"/>
              </w:rPr>
              <w:t>0.008%</w:t>
            </w:r>
          </w:p>
        </w:tc>
      </w:tr>
      <w:tr w14:paraId="6671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4762A352">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50～100亿元</w:t>
            </w:r>
          </w:p>
        </w:tc>
        <w:tc>
          <w:tcPr>
            <w:tcW w:w="1991" w:type="dxa"/>
          </w:tcPr>
          <w:p w14:paraId="44A745AD">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0.006%</w:t>
            </w:r>
          </w:p>
        </w:tc>
        <w:tc>
          <w:tcPr>
            <w:tcW w:w="1839" w:type="dxa"/>
          </w:tcPr>
          <w:p w14:paraId="5EF60C2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szCs w:val="21"/>
                <w:highlight w:val="none"/>
              </w:rPr>
              <w:t>0.006%</w:t>
            </w:r>
          </w:p>
        </w:tc>
        <w:tc>
          <w:tcPr>
            <w:tcW w:w="1856" w:type="dxa"/>
          </w:tcPr>
          <w:p w14:paraId="391E0616">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ascii="宋体" w:hAnsi="宋体" w:cs="宋体"/>
                <w:color w:val="auto"/>
                <w:szCs w:val="21"/>
                <w:highlight w:val="none"/>
              </w:rPr>
            </w:pPr>
            <w:r>
              <w:rPr>
                <w:rFonts w:hint="eastAsia" w:ascii="宋体" w:hAnsi="宋体" w:cs="宋体"/>
                <w:color w:val="auto"/>
                <w:szCs w:val="21"/>
                <w:highlight w:val="none"/>
              </w:rPr>
              <w:t>0.006%</w:t>
            </w:r>
          </w:p>
        </w:tc>
      </w:tr>
      <w:tr w14:paraId="76CE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5C30D1A1">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100亿以上</w:t>
            </w:r>
          </w:p>
        </w:tc>
        <w:tc>
          <w:tcPr>
            <w:tcW w:w="1991" w:type="dxa"/>
          </w:tcPr>
          <w:p w14:paraId="17765606">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ascii="宋体" w:hAnsi="宋体" w:cs="宋体"/>
                <w:color w:val="auto"/>
                <w:szCs w:val="21"/>
                <w:highlight w:val="none"/>
              </w:rPr>
            </w:pPr>
            <w:r>
              <w:rPr>
                <w:rFonts w:hint="eastAsia" w:ascii="宋体" w:hAnsi="宋体" w:cs="宋体"/>
                <w:color w:val="auto"/>
                <w:szCs w:val="21"/>
                <w:highlight w:val="none"/>
              </w:rPr>
              <w:t>0.004%</w:t>
            </w:r>
          </w:p>
        </w:tc>
        <w:tc>
          <w:tcPr>
            <w:tcW w:w="1839" w:type="dxa"/>
          </w:tcPr>
          <w:p w14:paraId="16D42A3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cs="宋体"/>
                <w:color w:val="auto"/>
                <w:szCs w:val="21"/>
                <w:highlight w:val="none"/>
              </w:rPr>
            </w:pPr>
            <w:r>
              <w:rPr>
                <w:rFonts w:hint="eastAsia" w:ascii="宋体" w:hAnsi="宋体" w:cs="宋体"/>
                <w:color w:val="auto"/>
                <w:szCs w:val="21"/>
                <w:highlight w:val="none"/>
              </w:rPr>
              <w:t>0.004%</w:t>
            </w:r>
          </w:p>
        </w:tc>
        <w:tc>
          <w:tcPr>
            <w:tcW w:w="1856" w:type="dxa"/>
          </w:tcPr>
          <w:p w14:paraId="534BCC04">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ascii="宋体" w:hAnsi="宋体" w:cs="宋体"/>
                <w:color w:val="auto"/>
                <w:szCs w:val="21"/>
                <w:highlight w:val="none"/>
              </w:rPr>
            </w:pPr>
            <w:r>
              <w:rPr>
                <w:rFonts w:hint="eastAsia" w:ascii="宋体" w:hAnsi="宋体" w:cs="宋体"/>
                <w:color w:val="auto"/>
                <w:szCs w:val="21"/>
                <w:highlight w:val="none"/>
              </w:rPr>
              <w:t>0.004%</w:t>
            </w:r>
          </w:p>
        </w:tc>
      </w:tr>
    </w:tbl>
    <w:p w14:paraId="171D181F">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 xml:space="preserve">注： </w:t>
      </w:r>
    </w:p>
    <w:p w14:paraId="5C1C8061">
      <w:pPr>
        <w:spacing w:before="165"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202DB858">
      <w:pPr>
        <w:spacing w:before="165"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（2）采购代理收费按差额定率累进法计算。</w:t>
      </w:r>
    </w:p>
    <w:p w14:paraId="1BB7BC9B">
      <w:pPr>
        <w:spacing w:before="165"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例如：某货物采购代理业务成交金额或者暂定价为150万元，计算采购代理收费额如下：</w:t>
      </w:r>
    </w:p>
    <w:p w14:paraId="28C6D07C">
      <w:pPr>
        <w:spacing w:before="165"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100 万元 ×l.5 %＝ 1.5 万元</w:t>
      </w:r>
    </w:p>
    <w:p w14:paraId="741A28F7">
      <w:pPr>
        <w:spacing w:before="165"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 150 － 100 ）万元 ×1.1%＝ 0.55 万元</w:t>
      </w:r>
    </w:p>
    <w:p w14:paraId="06C380F6">
      <w:pPr>
        <w:spacing w:before="165"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合计收费＝ 1.5 ＋ 0.55＝ 2.05 （万元）</w:t>
      </w:r>
    </w:p>
    <w:p w14:paraId="19259CB3">
      <w:pPr>
        <w:spacing w:before="165"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62926FA1">
      <w:pPr>
        <w:spacing w:before="165"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33.1本谈判文件解释规则详见“供应商须知前附表”。</w:t>
      </w:r>
    </w:p>
    <w:p w14:paraId="74637A55">
      <w:pPr>
        <w:spacing w:before="165" w:line="360" w:lineRule="auto"/>
        <w:ind w:firstLine="420" w:firstLineChars="200"/>
        <w:contextualSpacing/>
        <w:rPr>
          <w:rFonts w:ascii="宋体" w:hAnsi="宋体" w:cs="宋体"/>
          <w:color w:val="auto"/>
          <w:highlight w:val="none"/>
        </w:rPr>
      </w:pPr>
      <w:r>
        <w:rPr>
          <w:rFonts w:hint="eastAsia" w:ascii="宋体" w:hAnsi="宋体" w:cs="宋体"/>
          <w:color w:val="auto"/>
          <w:kern w:val="0"/>
          <w:szCs w:val="21"/>
          <w:highlight w:val="none"/>
        </w:rPr>
        <w:t>33.2 其他事</w:t>
      </w:r>
      <w:r>
        <w:rPr>
          <w:rFonts w:hint="eastAsia" w:ascii="宋体" w:hAnsi="宋体" w:cs="宋体"/>
          <w:color w:val="auto"/>
          <w:highlight w:val="none"/>
        </w:rPr>
        <w:t>项详见“供应商须知前附表”。</w:t>
      </w:r>
    </w:p>
    <w:p w14:paraId="24444269">
      <w:pPr>
        <w:spacing w:before="165" w:line="360" w:lineRule="auto"/>
        <w:ind w:firstLine="400" w:firstLineChars="200"/>
        <w:contextualSpacing/>
        <w:rPr>
          <w:rFonts w:ascii="宋体" w:hAnsi="宋体" w:cs="宋体"/>
          <w:color w:val="auto"/>
          <w:kern w:val="0"/>
          <w:szCs w:val="21"/>
          <w:highlight w:val="none"/>
        </w:rPr>
      </w:pPr>
      <w:r>
        <w:rPr>
          <w:rFonts w:hint="eastAsia" w:ascii="宋体" w:hAnsi="宋体" w:cs="宋体"/>
          <w:color w:val="auto"/>
          <w:kern w:val="0"/>
          <w:sz w:val="20"/>
          <w:szCs w:val="21"/>
          <w:highlight w:val="none"/>
        </w:rPr>
        <w:t>33.3</w:t>
      </w:r>
      <w:bookmarkStart w:id="68" w:name="_Hlk65857140"/>
      <w:r>
        <w:rPr>
          <w:rFonts w:hint="eastAsia" w:ascii="宋体" w:hAnsi="宋体" w:cs="宋体"/>
          <w:color w:val="auto"/>
          <w:kern w:val="0"/>
          <w:szCs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F45BD10">
      <w:pPr>
        <w:spacing w:before="165"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4CE06E72">
      <w:pPr>
        <w:spacing w:before="165" w:line="400" w:lineRule="exact"/>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（2）在工程采购项目中，工程由中小企业承建，即工程施工单位为中小企业，不对其中涉及的货物的制造商和服务的承接商作出要求；</w:t>
      </w:r>
    </w:p>
    <w:p w14:paraId="50175B31">
      <w:pPr>
        <w:spacing w:before="165"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39A93BC">
      <w:pPr>
        <w:spacing w:before="165"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F070BEC">
      <w:pPr>
        <w:spacing w:before="165" w:line="360" w:lineRule="auto"/>
        <w:ind w:firstLine="420" w:firstLineChars="200"/>
        <w:contextualSpacing/>
        <w:rPr>
          <w:rFonts w:hint="eastAsia" w:ascii="宋体" w:hAnsi="宋体" w:eastAsia="宋体" w:cs="宋体"/>
          <w:color w:val="auto"/>
          <w:kern w:val="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kern w:val="0"/>
          <w:szCs w:val="21"/>
          <w:highlight w:val="none"/>
        </w:rPr>
        <w:t>依据本谈判文件规定享受扶持政策获得政府采购合同的，小微企业不得将合同分包给大中型企业，中型企业不得将合同分包给大型企业。</w:t>
      </w:r>
      <w:bookmarkEnd w:id="68"/>
    </w:p>
    <w:p w14:paraId="60138B4C">
      <w:pPr>
        <w:snapToGrid w:val="0"/>
        <w:spacing w:before="165"/>
        <w:ind w:firstLine="560"/>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w:t>
      </w:r>
    </w:p>
    <w:p w14:paraId="32FCF557">
      <w:pPr>
        <w:widowControl/>
        <w:shd w:val="clear" w:color="auto" w:fill="FFFFFF"/>
        <w:spacing w:before="165" w:line="480" w:lineRule="atLeast"/>
        <w:ind w:firstLine="562"/>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采购项目合同验收书（格式）</w:t>
      </w:r>
    </w:p>
    <w:p w14:paraId="42FCEE63">
      <w:pPr>
        <w:widowControl/>
        <w:shd w:val="clear" w:color="auto" w:fill="FFFFFF"/>
        <w:snapToGrid w:val="0"/>
        <w:spacing w:before="165"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根据采购项目（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26"/>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0FEB923D">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35077F8F">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383" w:type="dxa"/>
            <w:gridSpan w:val="5"/>
            <w:tcBorders>
              <w:top w:val="single" w:color="auto" w:sz="8" w:space="0"/>
              <w:left w:val="nil"/>
              <w:bottom w:val="single" w:color="auto" w:sz="8" w:space="0"/>
              <w:right w:val="single" w:color="auto" w:sz="8" w:space="0"/>
            </w:tcBorders>
            <w:vAlign w:val="center"/>
          </w:tcPr>
          <w:p w14:paraId="532D9911">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53E9D1B0">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4545FF89">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681" w:type="dxa"/>
            <w:tcBorders>
              <w:top w:val="nil"/>
              <w:left w:val="nil"/>
              <w:bottom w:val="single" w:color="auto" w:sz="8" w:space="0"/>
              <w:right w:val="single" w:color="auto" w:sz="8" w:space="0"/>
            </w:tcBorders>
            <w:vAlign w:val="center"/>
          </w:tcPr>
          <w:p w14:paraId="63D5E16F">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681" w:type="dxa"/>
            <w:gridSpan w:val="2"/>
            <w:tcBorders>
              <w:top w:val="nil"/>
              <w:left w:val="nil"/>
              <w:bottom w:val="single" w:color="auto" w:sz="8" w:space="0"/>
              <w:right w:val="single" w:color="auto" w:sz="8" w:space="0"/>
            </w:tcBorders>
            <w:vAlign w:val="center"/>
          </w:tcPr>
          <w:p w14:paraId="4EB7AA77">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6951A767">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796" w:type="dxa"/>
            <w:tcBorders>
              <w:top w:val="nil"/>
              <w:left w:val="nil"/>
              <w:bottom w:val="single" w:color="auto" w:sz="8" w:space="0"/>
              <w:right w:val="single" w:color="auto" w:sz="8" w:space="0"/>
            </w:tcBorders>
            <w:vAlign w:val="center"/>
          </w:tcPr>
          <w:p w14:paraId="26E40A05">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C6E6D34">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5CD78FCF">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736EE6DD">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7F876856">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79397BD6">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5C6D1FB5">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4B2FA06">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39F60599">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2DB3E419">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04EBED72">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03F76042">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5C028769">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10AB0F7">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2CD0F294">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1C47796C">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2DE6983C">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3EA402AE">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D256D6D">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134B775">
        <w:tblPrEx>
          <w:tblCellMar>
            <w:top w:w="0" w:type="dxa"/>
            <w:left w:w="0" w:type="dxa"/>
            <w:bottom w:w="0" w:type="dxa"/>
            <w:right w:w="0" w:type="dxa"/>
          </w:tblCellMar>
        </w:tblPrEx>
        <w:trPr>
          <w:trHeight w:val="487" w:hRule="atLeast"/>
          <w:jc w:val="center"/>
        </w:trPr>
        <w:tc>
          <w:tcPr>
            <w:tcW w:w="5940" w:type="dxa"/>
            <w:gridSpan w:val="4"/>
            <w:tcBorders>
              <w:top w:val="nil"/>
              <w:left w:val="single" w:color="auto" w:sz="8" w:space="0"/>
              <w:bottom w:val="single" w:color="auto" w:sz="8" w:space="0"/>
              <w:right w:val="single" w:color="auto" w:sz="8" w:space="0"/>
            </w:tcBorders>
            <w:vAlign w:val="center"/>
          </w:tcPr>
          <w:p w14:paraId="60003271">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906" w:type="dxa"/>
            <w:gridSpan w:val="2"/>
            <w:tcBorders>
              <w:top w:val="nil"/>
              <w:left w:val="nil"/>
              <w:bottom w:val="single" w:color="auto" w:sz="8" w:space="0"/>
              <w:right w:val="single" w:color="auto" w:sz="8" w:space="0"/>
            </w:tcBorders>
            <w:vAlign w:val="center"/>
          </w:tcPr>
          <w:p w14:paraId="492F4F2A">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41B02D1E">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4AB77F0">
        <w:tblPrEx>
          <w:tblCellMar>
            <w:top w:w="0" w:type="dxa"/>
            <w:left w:w="0" w:type="dxa"/>
            <w:bottom w:w="0" w:type="dxa"/>
            <w:right w:w="0" w:type="dxa"/>
          </w:tblCellMar>
        </w:tblPrEx>
        <w:trPr>
          <w:trHeight w:val="641" w:hRule="atLeast"/>
          <w:jc w:val="center"/>
        </w:trPr>
        <w:tc>
          <w:tcPr>
            <w:tcW w:w="8642" w:type="dxa"/>
            <w:gridSpan w:val="7"/>
            <w:tcBorders>
              <w:top w:val="nil"/>
              <w:left w:val="single" w:color="auto" w:sz="8" w:space="0"/>
              <w:bottom w:val="single" w:color="auto" w:sz="8" w:space="0"/>
              <w:right w:val="single" w:color="auto" w:sz="8" w:space="0"/>
            </w:tcBorders>
            <w:vAlign w:val="center"/>
          </w:tcPr>
          <w:p w14:paraId="13ADD2F2">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30326B2D">
        <w:tblPrEx>
          <w:tblCellMar>
            <w:top w:w="0" w:type="dxa"/>
            <w:left w:w="0" w:type="dxa"/>
            <w:bottom w:w="0" w:type="dxa"/>
            <w:right w:w="0" w:type="dxa"/>
          </w:tblCellMar>
        </w:tblPrEx>
        <w:trPr>
          <w:trHeight w:val="641" w:hRule="atLeast"/>
          <w:jc w:val="center"/>
        </w:trPr>
        <w:tc>
          <w:tcPr>
            <w:tcW w:w="1578" w:type="dxa"/>
            <w:tcBorders>
              <w:top w:val="nil"/>
              <w:left w:val="single" w:color="auto" w:sz="8" w:space="0"/>
              <w:bottom w:val="single" w:color="auto" w:sz="8" w:space="0"/>
              <w:right w:val="single" w:color="auto" w:sz="8" w:space="0"/>
            </w:tcBorders>
            <w:vAlign w:val="center"/>
          </w:tcPr>
          <w:p w14:paraId="23EB9919">
            <w:pPr>
              <w:widowControl/>
              <w:snapToGrid w:val="0"/>
              <w:spacing w:before="165"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345" w:type="dxa"/>
            <w:gridSpan w:val="2"/>
            <w:tcBorders>
              <w:top w:val="nil"/>
              <w:left w:val="nil"/>
              <w:bottom w:val="single" w:color="auto" w:sz="8" w:space="0"/>
              <w:right w:val="single" w:color="auto" w:sz="8" w:space="0"/>
            </w:tcBorders>
            <w:vAlign w:val="center"/>
          </w:tcPr>
          <w:p w14:paraId="25366353">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7A67974B">
            <w:pPr>
              <w:widowControl/>
              <w:snapToGrid w:val="0"/>
              <w:spacing w:before="165" w:beforeAutospacing="1" w:after="100" w:afterAutospacing="1" w:line="32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516" w:type="dxa"/>
            <w:gridSpan w:val="2"/>
            <w:tcBorders>
              <w:top w:val="nil"/>
              <w:left w:val="nil"/>
              <w:bottom w:val="single" w:color="auto" w:sz="8" w:space="0"/>
              <w:right w:val="single" w:color="auto" w:sz="8" w:space="0"/>
            </w:tcBorders>
            <w:vAlign w:val="center"/>
          </w:tcPr>
          <w:p w14:paraId="325511F3">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2D9E1D0">
        <w:tblPrEx>
          <w:tblCellMar>
            <w:top w:w="0" w:type="dxa"/>
            <w:left w:w="0" w:type="dxa"/>
            <w:bottom w:w="0" w:type="dxa"/>
            <w:right w:w="0" w:type="dxa"/>
          </w:tblCellMar>
        </w:tblPrEx>
        <w:trPr>
          <w:trHeight w:val="394" w:hRule="atLeast"/>
          <w:jc w:val="center"/>
        </w:trPr>
        <w:tc>
          <w:tcPr>
            <w:tcW w:w="1578" w:type="dxa"/>
            <w:tcBorders>
              <w:top w:val="nil"/>
              <w:left w:val="single" w:color="auto" w:sz="8" w:space="0"/>
              <w:bottom w:val="single" w:color="auto" w:sz="8" w:space="0"/>
              <w:right w:val="single" w:color="auto" w:sz="8" w:space="0"/>
            </w:tcBorders>
            <w:vAlign w:val="center"/>
          </w:tcPr>
          <w:p w14:paraId="1CDBDDAC">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345" w:type="dxa"/>
            <w:gridSpan w:val="2"/>
            <w:tcBorders>
              <w:top w:val="nil"/>
              <w:left w:val="nil"/>
              <w:bottom w:val="single" w:color="auto" w:sz="8" w:space="0"/>
              <w:right w:val="single" w:color="auto" w:sz="8" w:space="0"/>
            </w:tcBorders>
            <w:vAlign w:val="center"/>
          </w:tcPr>
          <w:p w14:paraId="74856F6B">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27999BA5">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516" w:type="dxa"/>
            <w:gridSpan w:val="2"/>
            <w:tcBorders>
              <w:top w:val="nil"/>
              <w:left w:val="nil"/>
              <w:bottom w:val="single" w:color="auto" w:sz="8" w:space="0"/>
              <w:right w:val="single" w:color="auto" w:sz="8" w:space="0"/>
            </w:tcBorders>
            <w:vAlign w:val="center"/>
          </w:tcPr>
          <w:p w14:paraId="5669A6BC">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5279755">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60D7F7">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4024E2D5">
            <w:pPr>
              <w:widowControl/>
              <w:snapToGrid w:val="0"/>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7E166AB0">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687C06">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064" w:type="dxa"/>
            <w:gridSpan w:val="6"/>
            <w:tcBorders>
              <w:top w:val="nil"/>
              <w:left w:val="nil"/>
              <w:bottom w:val="single" w:color="auto" w:sz="8" w:space="0"/>
              <w:right w:val="single" w:color="auto" w:sz="8" w:space="0"/>
            </w:tcBorders>
            <w:vAlign w:val="center"/>
          </w:tcPr>
          <w:p w14:paraId="62285A8B">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281B0A7D">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520C3C9">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023633A8">
            <w:pPr>
              <w:widowControl/>
              <w:spacing w:before="165"/>
              <w:ind w:firstLine="420"/>
              <w:jc w:val="left"/>
              <w:rPr>
                <w:rFonts w:ascii="宋体" w:hAnsi="宋体" w:cs="宋体"/>
                <w:color w:val="auto"/>
                <w:kern w:val="0"/>
                <w:szCs w:val="21"/>
                <w:highlight w:val="none"/>
              </w:rPr>
            </w:pPr>
          </w:p>
        </w:tc>
        <w:tc>
          <w:tcPr>
            <w:tcW w:w="7064" w:type="dxa"/>
            <w:gridSpan w:val="6"/>
            <w:tcBorders>
              <w:top w:val="nil"/>
              <w:left w:val="nil"/>
              <w:bottom w:val="single" w:color="auto" w:sz="8" w:space="0"/>
              <w:right w:val="single" w:color="auto" w:sz="8" w:space="0"/>
            </w:tcBorders>
            <w:vAlign w:val="center"/>
          </w:tcPr>
          <w:p w14:paraId="26165DEC">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6D438D9D">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5FF7BA31">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76B5F7">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6117294">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85A271">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7A756CAE">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412DBF39">
        <w:tblPrEx>
          <w:tblCellMar>
            <w:top w:w="0" w:type="dxa"/>
            <w:left w:w="0" w:type="dxa"/>
            <w:bottom w:w="0" w:type="dxa"/>
            <w:right w:w="0" w:type="dxa"/>
          </w:tblCellMar>
        </w:tblPrEx>
        <w:trPr>
          <w:trHeight w:val="758" w:hRule="atLeast"/>
          <w:jc w:val="center"/>
        </w:trPr>
        <w:tc>
          <w:tcPr>
            <w:tcW w:w="3923" w:type="dxa"/>
            <w:gridSpan w:val="3"/>
            <w:tcBorders>
              <w:top w:val="nil"/>
              <w:left w:val="single" w:color="auto" w:sz="8" w:space="0"/>
              <w:bottom w:val="single" w:color="auto" w:sz="8" w:space="0"/>
              <w:right w:val="nil"/>
            </w:tcBorders>
            <w:tcMar>
              <w:top w:w="0" w:type="dxa"/>
              <w:left w:w="108" w:type="dxa"/>
              <w:bottom w:w="0" w:type="dxa"/>
              <w:right w:w="108" w:type="dxa"/>
            </w:tcMar>
            <w:vAlign w:val="center"/>
          </w:tcPr>
          <w:p w14:paraId="791A8A20">
            <w:pPr>
              <w:widowControl/>
              <w:spacing w:before="165" w:beforeAutospacing="1" w:after="100" w:afterAutospacing="1" w:line="320" w:lineRule="atLeast"/>
              <w:ind w:right="-222" w:rightChars="-106"/>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5A925247">
            <w:pPr>
              <w:widowControl/>
              <w:spacing w:before="165"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719" w:type="dxa"/>
            <w:gridSpan w:val="4"/>
            <w:tcBorders>
              <w:top w:val="nil"/>
              <w:left w:val="nil"/>
              <w:bottom w:val="single" w:color="auto" w:sz="8" w:space="0"/>
              <w:right w:val="single" w:color="auto" w:sz="8" w:space="0"/>
            </w:tcBorders>
            <w:vAlign w:val="center"/>
          </w:tcPr>
          <w:p w14:paraId="14799BDD">
            <w:pPr>
              <w:widowControl/>
              <w:spacing w:before="165" w:beforeAutospacing="1" w:after="100" w:afterAutospacing="1" w:line="320" w:lineRule="atLeas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采购人或受托机构的意见（盖章）：</w:t>
            </w:r>
          </w:p>
          <w:p w14:paraId="0D999422">
            <w:pPr>
              <w:widowControl/>
              <w:spacing w:before="165" w:beforeAutospacing="1" w:after="100" w:afterAutospacing="1" w:line="320" w:lineRule="atLeast"/>
              <w:ind w:left="399" w:leftChars="190"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CC3E9D8">
      <w:pPr>
        <w:snapToGrid w:val="0"/>
        <w:spacing w:before="165"/>
        <w:ind w:firstLine="560"/>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附件2：</w:t>
      </w:r>
    </w:p>
    <w:p w14:paraId="4B21B252">
      <w:pPr>
        <w:spacing w:before="165"/>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采购项目履约保证金退付意见书</w:t>
      </w:r>
    </w:p>
    <w:tbl>
      <w:tblPr>
        <w:tblStyle w:val="26"/>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881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ECDB99C">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供</w:t>
            </w:r>
          </w:p>
          <w:p w14:paraId="3CF502DE">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应</w:t>
            </w:r>
          </w:p>
          <w:p w14:paraId="73CADEC6">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商</w:t>
            </w:r>
          </w:p>
          <w:p w14:paraId="08C99DB8">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申</w:t>
            </w:r>
          </w:p>
          <w:p w14:paraId="6B1916AE">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请</w:t>
            </w:r>
          </w:p>
        </w:tc>
        <w:tc>
          <w:tcPr>
            <w:tcW w:w="8009" w:type="dxa"/>
            <w:vAlign w:val="center"/>
          </w:tcPr>
          <w:p w14:paraId="3E70C59C">
            <w:pPr>
              <w:spacing w:before="165"/>
              <w:ind w:firstLine="420"/>
              <w:rPr>
                <w:rFonts w:ascii="宋体" w:hAnsi="宋体" w:cs="宋体"/>
                <w:color w:val="auto"/>
                <w:szCs w:val="21"/>
                <w:highlight w:val="none"/>
              </w:rPr>
            </w:pPr>
            <w:r>
              <w:rPr>
                <w:rFonts w:hint="eastAsia" w:ascii="宋体" w:hAnsi="宋体" w:cs="宋体"/>
                <w:color w:val="auto"/>
                <w:szCs w:val="21"/>
                <w:highlight w:val="none"/>
              </w:rPr>
              <w:t>项目编号：</w:t>
            </w:r>
          </w:p>
        </w:tc>
      </w:tr>
      <w:tr w14:paraId="0AC4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4647D72B">
            <w:pPr>
              <w:spacing w:before="165"/>
              <w:ind w:firstLine="420"/>
              <w:rPr>
                <w:rFonts w:ascii="宋体" w:hAnsi="宋体" w:cs="宋体"/>
                <w:color w:val="auto"/>
                <w:szCs w:val="21"/>
                <w:highlight w:val="none"/>
              </w:rPr>
            </w:pPr>
          </w:p>
        </w:tc>
        <w:tc>
          <w:tcPr>
            <w:tcW w:w="8009" w:type="dxa"/>
            <w:vAlign w:val="center"/>
          </w:tcPr>
          <w:p w14:paraId="40AD0D0F">
            <w:pPr>
              <w:spacing w:before="165"/>
              <w:ind w:firstLine="420"/>
              <w:rPr>
                <w:rFonts w:ascii="宋体" w:hAnsi="宋体" w:cs="宋体"/>
                <w:color w:val="auto"/>
                <w:szCs w:val="21"/>
                <w:highlight w:val="none"/>
              </w:rPr>
            </w:pPr>
            <w:r>
              <w:rPr>
                <w:rFonts w:hint="eastAsia" w:ascii="宋体" w:hAnsi="宋体" w:cs="宋体"/>
                <w:color w:val="auto"/>
                <w:szCs w:val="21"/>
                <w:highlight w:val="none"/>
              </w:rPr>
              <w:t>项目名称：</w:t>
            </w:r>
          </w:p>
        </w:tc>
      </w:tr>
      <w:tr w14:paraId="0E19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0AEAE3A">
            <w:pPr>
              <w:spacing w:before="165"/>
              <w:ind w:firstLine="420"/>
              <w:rPr>
                <w:rFonts w:ascii="宋体" w:hAnsi="宋体" w:cs="宋体"/>
                <w:color w:val="auto"/>
                <w:szCs w:val="21"/>
                <w:highlight w:val="none"/>
              </w:rPr>
            </w:pPr>
          </w:p>
        </w:tc>
        <w:tc>
          <w:tcPr>
            <w:tcW w:w="8009" w:type="dxa"/>
          </w:tcPr>
          <w:p w14:paraId="626AE44A">
            <w:pPr>
              <w:spacing w:before="165"/>
              <w:ind w:firstLine="420"/>
              <w:rPr>
                <w:rFonts w:ascii="宋体" w:hAnsi="宋体" w:cs="宋体"/>
                <w:color w:val="auto"/>
                <w:szCs w:val="21"/>
                <w:highlight w:val="none"/>
              </w:rPr>
            </w:pPr>
            <w:r>
              <w:rPr>
                <w:rFonts w:hint="eastAsia" w:ascii="宋体" w:hAnsi="宋体" w:cs="宋体"/>
                <w:color w:val="auto"/>
                <w:szCs w:val="21"/>
                <w:highlight w:val="none"/>
              </w:rPr>
              <w:t xml:space="preserve">  </w:t>
            </w:r>
          </w:p>
          <w:p w14:paraId="51C65625">
            <w:pPr>
              <w:spacing w:before="165"/>
              <w:ind w:firstLine="420" w:firstLineChars="200"/>
              <w:rPr>
                <w:rFonts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3D92E6B1">
            <w:pPr>
              <w:spacing w:before="165"/>
              <w:ind w:firstLine="42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（小写）退付到达以下帐户。</w:t>
            </w:r>
          </w:p>
          <w:p w14:paraId="095F071B">
            <w:pPr>
              <w:spacing w:before="165"/>
              <w:ind w:firstLine="420"/>
              <w:rPr>
                <w:rFonts w:ascii="宋体" w:hAnsi="宋体" w:cs="宋体"/>
                <w:color w:val="auto"/>
                <w:szCs w:val="21"/>
                <w:highlight w:val="none"/>
              </w:rPr>
            </w:pPr>
            <w:r>
              <w:rPr>
                <w:rFonts w:hint="eastAsia" w:ascii="宋体" w:hAnsi="宋体" w:cs="宋体"/>
                <w:color w:val="auto"/>
                <w:szCs w:val="21"/>
                <w:highlight w:val="none"/>
              </w:rPr>
              <w:t>单位名称：</w:t>
            </w:r>
          </w:p>
          <w:p w14:paraId="5ED19432">
            <w:pPr>
              <w:spacing w:before="165"/>
              <w:ind w:firstLine="420"/>
              <w:rPr>
                <w:rFonts w:ascii="宋体" w:hAnsi="宋体" w:cs="宋体"/>
                <w:color w:val="auto"/>
                <w:szCs w:val="21"/>
                <w:highlight w:val="none"/>
              </w:rPr>
            </w:pPr>
            <w:r>
              <w:rPr>
                <w:rFonts w:hint="eastAsia" w:ascii="宋体" w:hAnsi="宋体" w:cs="宋体"/>
                <w:color w:val="auto"/>
                <w:szCs w:val="21"/>
                <w:highlight w:val="none"/>
              </w:rPr>
              <w:t>开户银行：</w:t>
            </w:r>
          </w:p>
          <w:p w14:paraId="07178760">
            <w:pPr>
              <w:spacing w:before="165"/>
              <w:ind w:firstLine="420"/>
              <w:rPr>
                <w:rFonts w:ascii="宋体" w:hAnsi="宋体" w:cs="宋体"/>
                <w:color w:val="auto"/>
                <w:szCs w:val="21"/>
                <w:highlight w:val="none"/>
              </w:rPr>
            </w:pPr>
            <w:r>
              <w:rPr>
                <w:rFonts w:hint="eastAsia" w:ascii="宋体" w:hAnsi="宋体" w:cs="宋体"/>
                <w:color w:val="auto"/>
                <w:szCs w:val="21"/>
                <w:highlight w:val="none"/>
              </w:rPr>
              <w:t>帐    号：</w:t>
            </w:r>
          </w:p>
          <w:p w14:paraId="3808CB5A">
            <w:pPr>
              <w:spacing w:before="165"/>
              <w:ind w:firstLine="420"/>
              <w:rPr>
                <w:rFonts w:ascii="宋体" w:hAnsi="宋体" w:cs="宋体"/>
                <w:color w:val="auto"/>
                <w:szCs w:val="21"/>
                <w:highlight w:val="none"/>
              </w:rPr>
            </w:pPr>
            <w:r>
              <w:rPr>
                <w:rFonts w:hint="eastAsia" w:ascii="宋体" w:hAnsi="宋体" w:cs="宋体"/>
                <w:color w:val="auto"/>
                <w:szCs w:val="21"/>
                <w:highlight w:val="none"/>
              </w:rPr>
              <w:t>联系人及电话：</w:t>
            </w:r>
          </w:p>
          <w:p w14:paraId="33BC3A10">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 xml:space="preserve">                           供应商签章：</w:t>
            </w:r>
          </w:p>
          <w:p w14:paraId="2834BDE1">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230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38A21079">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采</w:t>
            </w:r>
          </w:p>
          <w:p w14:paraId="3712ECD0">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购</w:t>
            </w:r>
          </w:p>
          <w:p w14:paraId="44419C71">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单</w:t>
            </w:r>
          </w:p>
          <w:p w14:paraId="249A0F93">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位</w:t>
            </w:r>
          </w:p>
          <w:p w14:paraId="75093FF9">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意</w:t>
            </w:r>
          </w:p>
          <w:p w14:paraId="105F4DD1">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见</w:t>
            </w:r>
          </w:p>
        </w:tc>
        <w:tc>
          <w:tcPr>
            <w:tcW w:w="8009" w:type="dxa"/>
          </w:tcPr>
          <w:p w14:paraId="2E7C7F98">
            <w:pPr>
              <w:spacing w:before="165"/>
              <w:ind w:firstLine="420"/>
              <w:rPr>
                <w:rFonts w:ascii="宋体" w:hAnsi="宋体" w:cs="宋体"/>
                <w:color w:val="auto"/>
                <w:szCs w:val="21"/>
                <w:highlight w:val="none"/>
              </w:rPr>
            </w:pPr>
          </w:p>
          <w:p w14:paraId="15B0679C">
            <w:pPr>
              <w:spacing w:before="165"/>
              <w:ind w:firstLine="420"/>
              <w:rPr>
                <w:rFonts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4B152C43">
            <w:pPr>
              <w:spacing w:before="165"/>
              <w:ind w:firstLine="420"/>
              <w:rPr>
                <w:rFonts w:ascii="宋体" w:hAnsi="宋体" w:cs="宋体"/>
                <w:color w:val="auto"/>
                <w:szCs w:val="21"/>
                <w:highlight w:val="none"/>
              </w:rPr>
            </w:pPr>
          </w:p>
          <w:p w14:paraId="5FE40832">
            <w:pPr>
              <w:spacing w:before="165"/>
              <w:ind w:firstLine="420"/>
              <w:rPr>
                <w:rFonts w:ascii="宋体" w:hAnsi="宋体" w:cs="宋体"/>
                <w:color w:val="auto"/>
                <w:szCs w:val="21"/>
                <w:highlight w:val="none"/>
              </w:rPr>
            </w:pPr>
            <w:r>
              <w:rPr>
                <w:rFonts w:hint="eastAsia" w:ascii="宋体" w:hAnsi="宋体" w:cs="宋体"/>
                <w:color w:val="auto"/>
                <w:szCs w:val="21"/>
                <w:highlight w:val="none"/>
              </w:rPr>
              <w:t xml:space="preserve">联系人及电话：                                </w:t>
            </w:r>
          </w:p>
          <w:p w14:paraId="7CEDEDEB">
            <w:pPr>
              <w:spacing w:before="165"/>
              <w:ind w:firstLine="420"/>
              <w:rPr>
                <w:rFonts w:ascii="宋体" w:hAnsi="宋体" w:cs="宋体"/>
                <w:color w:val="auto"/>
                <w:szCs w:val="21"/>
                <w:highlight w:val="none"/>
              </w:rPr>
            </w:pPr>
          </w:p>
          <w:p w14:paraId="575296CA">
            <w:pPr>
              <w:spacing w:before="165"/>
              <w:ind w:firstLine="3990" w:firstLineChars="1900"/>
              <w:rPr>
                <w:rFonts w:ascii="宋体" w:hAnsi="宋体" w:cs="宋体"/>
                <w:color w:val="auto"/>
                <w:szCs w:val="21"/>
                <w:highlight w:val="none"/>
              </w:rPr>
            </w:pPr>
            <w:r>
              <w:rPr>
                <w:rFonts w:hint="eastAsia" w:ascii="宋体" w:hAnsi="宋体" w:cs="宋体"/>
                <w:color w:val="auto"/>
                <w:szCs w:val="21"/>
                <w:highlight w:val="none"/>
              </w:rPr>
              <w:t xml:space="preserve"> 采购人签章：</w:t>
            </w:r>
          </w:p>
          <w:p w14:paraId="6223B5C2">
            <w:pPr>
              <w:spacing w:before="165"/>
              <w:ind w:firstLine="420"/>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132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817" w:type="dxa"/>
            <w:vAlign w:val="center"/>
          </w:tcPr>
          <w:p w14:paraId="18782568">
            <w:pPr>
              <w:spacing w:before="165"/>
              <w:rPr>
                <w:rFonts w:ascii="宋体" w:hAnsi="宋体" w:cs="宋体"/>
                <w:color w:val="auto"/>
                <w:szCs w:val="21"/>
                <w:highlight w:val="none"/>
              </w:rPr>
            </w:pPr>
            <w:r>
              <w:rPr>
                <w:rFonts w:hint="eastAsia" w:ascii="宋体" w:hAnsi="宋体" w:cs="宋体"/>
                <w:color w:val="auto"/>
                <w:szCs w:val="21"/>
                <w:highlight w:val="none"/>
              </w:rPr>
              <w:t>备注</w:t>
            </w:r>
          </w:p>
        </w:tc>
        <w:tc>
          <w:tcPr>
            <w:tcW w:w="8009" w:type="dxa"/>
          </w:tcPr>
          <w:p w14:paraId="285808CD">
            <w:pPr>
              <w:spacing w:before="165"/>
              <w:ind w:firstLine="420"/>
              <w:rPr>
                <w:rFonts w:ascii="宋体" w:hAnsi="宋体" w:cs="宋体"/>
                <w:color w:val="auto"/>
                <w:szCs w:val="21"/>
                <w:highlight w:val="none"/>
              </w:rPr>
            </w:pPr>
          </w:p>
        </w:tc>
      </w:tr>
    </w:tbl>
    <w:p w14:paraId="15330E1D">
      <w:pPr>
        <w:spacing w:before="165" w:after="120"/>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14:paraId="04C62B2E">
      <w:pPr>
        <w:spacing w:before="165" w:line="400" w:lineRule="exact"/>
        <w:ind w:firstLine="640"/>
        <w:jc w:val="center"/>
        <w:rPr>
          <w:rFonts w:ascii="黑体" w:hAnsi="黑体" w:eastAsia="黑体" w:cs="黑体"/>
          <w:bCs/>
          <w:color w:val="auto"/>
          <w:sz w:val="32"/>
          <w:szCs w:val="32"/>
          <w:highlight w:val="none"/>
        </w:rPr>
      </w:pPr>
      <w:r>
        <w:rPr>
          <w:rFonts w:ascii="黑体" w:hAnsi="黑体" w:eastAsia="黑体" w:cs="黑体"/>
          <w:bCs/>
          <w:color w:val="auto"/>
          <w:sz w:val="32"/>
          <w:szCs w:val="32"/>
          <w:highlight w:val="none"/>
        </w:rPr>
        <w:t xml:space="preserve"> </w:t>
      </w:r>
    </w:p>
    <w:p w14:paraId="159491F0">
      <w:pPr>
        <w:spacing w:before="165" w:line="360" w:lineRule="auto"/>
        <w:ind w:firstLine="640" w:firstLineChars="200"/>
        <w:contextualSpacing/>
        <w:rPr>
          <w:rFonts w:ascii="宋体"/>
          <w:b/>
          <w:bCs/>
          <w:color w:val="auto"/>
          <w:sz w:val="18"/>
          <w:szCs w:val="18"/>
          <w:highlight w:val="none"/>
        </w:rPr>
      </w:pPr>
      <w:r>
        <w:rPr>
          <w:rFonts w:ascii="黑体" w:hAnsi="黑体" w:eastAsia="黑体" w:cs="黑体"/>
          <w:bCs/>
          <w:color w:val="auto"/>
          <w:sz w:val="32"/>
          <w:szCs w:val="32"/>
          <w:highlight w:val="none"/>
        </w:rPr>
        <w:br w:type="page"/>
      </w:r>
    </w:p>
    <w:p w14:paraId="2ED16CF3">
      <w:pPr>
        <w:pStyle w:val="2"/>
        <w:spacing w:before="165"/>
        <w:jc w:val="center"/>
        <w:rPr>
          <w:color w:val="auto"/>
          <w:highlight w:val="none"/>
        </w:rPr>
      </w:pPr>
      <w:bookmarkStart w:id="69" w:name="_Toc129703550"/>
      <w:r>
        <w:rPr>
          <w:rFonts w:hint="eastAsia"/>
          <w:color w:val="auto"/>
          <w:highlight w:val="none"/>
        </w:rPr>
        <w:t>第三章 采购需求</w:t>
      </w:r>
      <w:bookmarkEnd w:id="69"/>
    </w:p>
    <w:p w14:paraId="39C3DA53">
      <w:pPr>
        <w:spacing w:before="165"/>
        <w:ind w:firstLine="420"/>
        <w:jc w:val="left"/>
        <w:rPr>
          <w:rFonts w:ascii="宋体" w:hAnsi="宋体" w:cs="宋体"/>
          <w:color w:val="auto"/>
          <w:highlight w:val="none"/>
        </w:rPr>
      </w:pPr>
      <w:r>
        <w:rPr>
          <w:rFonts w:hint="eastAsia" w:ascii="宋体" w:hAnsi="宋体" w:cs="宋体"/>
          <w:color w:val="auto"/>
          <w:highlight w:val="none"/>
        </w:rPr>
        <w:t>说明：</w:t>
      </w:r>
    </w:p>
    <w:p w14:paraId="4623F3BB">
      <w:pPr>
        <w:spacing w:before="165"/>
        <w:ind w:firstLine="420" w:firstLineChars="200"/>
        <w:jc w:val="left"/>
        <w:rPr>
          <w:rFonts w:ascii="宋体" w:hAnsi="宋体" w:cs="宋体"/>
          <w:color w:val="auto"/>
          <w:highlight w:val="none"/>
        </w:rPr>
      </w:pPr>
      <w:r>
        <w:rPr>
          <w:rFonts w:hint="eastAsia"/>
          <w:color w:val="auto"/>
          <w:highlight w:val="none"/>
        </w:rPr>
        <w:t>1.为落实政府采购政策需满足的要求（根据项目实际情况填写内容）</w:t>
      </w:r>
    </w:p>
    <w:p w14:paraId="55A2C648">
      <w:pPr>
        <w:spacing w:before="165"/>
        <w:ind w:firstLine="420" w:firstLineChars="200"/>
        <w:jc w:val="left"/>
        <w:rPr>
          <w:rFonts w:ascii="宋体" w:hAnsi="宋体" w:cs="宋体"/>
          <w:color w:val="auto"/>
          <w:highlight w:val="none"/>
        </w:rPr>
      </w:pPr>
      <w:r>
        <w:rPr>
          <w:rFonts w:hint="eastAsia" w:ascii="宋体" w:hAnsi="宋体" w:cs="宋体"/>
          <w:color w:val="auto"/>
          <w:highlight w:val="none"/>
        </w:rPr>
        <w:t>（1）本竞争性谈判采购文件所称中小企业必须符合《政府采购促进中小企业发展管理办法》（财库〔2020〕46号）的规定。</w:t>
      </w:r>
    </w:p>
    <w:p w14:paraId="38085390">
      <w:pPr>
        <w:spacing w:before="165"/>
        <w:ind w:firstLine="420" w:firstLineChars="200"/>
        <w:jc w:val="left"/>
        <w:rPr>
          <w:rFonts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82D5CED">
      <w:pPr>
        <w:spacing w:before="165"/>
        <w:ind w:firstLine="420" w:firstLineChars="200"/>
        <w:jc w:val="left"/>
        <w:rPr>
          <w:rFonts w:ascii="宋体" w:hAnsi="宋体" w:cs="宋体"/>
          <w:bCs/>
          <w:color w:val="auto"/>
          <w:highlight w:val="none"/>
        </w:rPr>
      </w:pPr>
      <w:r>
        <w:rPr>
          <w:rFonts w:hint="eastAsia" w:ascii="宋体" w:hAnsi="宋体" w:cs="宋体"/>
          <w:bCs/>
          <w:color w:val="auto"/>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响应处理。如属于《网络关键设备和网络安全专用产品目录》中“二、网络安全专用产品”内“产品类别”中的所描述的产品，但不属于所列“产品描述”情形的，应提供相应的说明及证明材料。</w:t>
      </w:r>
    </w:p>
    <w:p w14:paraId="7842B730">
      <w:pPr>
        <w:spacing w:before="165"/>
        <w:ind w:firstLine="426" w:firstLineChars="202"/>
        <w:jc w:val="left"/>
        <w:rPr>
          <w:rFonts w:ascii="宋体" w:hAnsi="宋体" w:cs="宋体"/>
          <w:b/>
          <w:bCs/>
          <w:color w:val="auto"/>
          <w:highlight w:val="none"/>
        </w:rPr>
      </w:pPr>
      <w:r>
        <w:rPr>
          <w:rFonts w:hint="eastAsia" w:ascii="宋体" w:hAnsi="宋体" w:cs="宋体"/>
          <w:b/>
          <w:color w:val="auto"/>
          <w:highlight w:val="none"/>
        </w:rPr>
        <w:t>2.</w:t>
      </w:r>
      <w:r>
        <w:rPr>
          <w:rFonts w:hint="eastAsia" w:ascii="宋体" w:hAnsi="宋体" w:cs="宋体"/>
          <w:b/>
          <w:bCs/>
          <w:color w:val="auto"/>
          <w:highlight w:val="none"/>
        </w:rPr>
        <w:t>“实质性要求”是指采购需求中带“▲”的条款或者不能负偏离的条款或者已经指明不满足按响应文件作无效处理的条款。</w:t>
      </w:r>
    </w:p>
    <w:p w14:paraId="050DE313">
      <w:pPr>
        <w:ind w:firstLine="426" w:firstLineChars="202"/>
        <w:jc w:val="left"/>
        <w:rPr>
          <w:rFonts w:ascii="宋体" w:hAnsi="宋体" w:cs="宋体"/>
          <w:b/>
          <w:bCs/>
          <w:color w:val="auto"/>
          <w:szCs w:val="21"/>
          <w:highlight w:val="none"/>
        </w:rPr>
      </w:pPr>
      <w:r>
        <w:rPr>
          <w:rFonts w:hint="eastAsia" w:ascii="宋体" w:hAnsi="宋体" w:cs="宋体"/>
          <w:b/>
          <w:bCs/>
          <w:color w:val="auto"/>
          <w:highlight w:val="none"/>
        </w:rPr>
        <w:t>3.</w:t>
      </w:r>
      <w:r>
        <w:rPr>
          <w:rFonts w:hint="eastAsia" w:ascii="宋体" w:hAnsi="宋体" w:cs="宋体"/>
          <w:b/>
          <w:bCs/>
          <w:color w:val="auto"/>
          <w:szCs w:val="21"/>
          <w:highlight w:val="none"/>
        </w:rPr>
        <w:t>“技术需求”中未标注“</w:t>
      </w:r>
      <w:bookmarkStart w:id="70" w:name="OLE_LINK13"/>
      <w:r>
        <w:rPr>
          <w:rFonts w:hint="eastAsia" w:ascii="宋体" w:hAnsi="宋体" w:cs="宋体"/>
          <w:b/>
          <w:bCs/>
          <w:color w:val="auto"/>
          <w:szCs w:val="21"/>
          <w:highlight w:val="none"/>
        </w:rPr>
        <w:t>▲</w:t>
      </w:r>
      <w:bookmarkEnd w:id="70"/>
      <w:r>
        <w:rPr>
          <w:rFonts w:hint="eastAsia" w:ascii="宋体" w:hAnsi="宋体" w:cs="宋体"/>
          <w:b/>
          <w:bCs/>
          <w:color w:val="auto"/>
          <w:szCs w:val="21"/>
          <w:highlight w:val="none"/>
        </w:rPr>
        <w:t>”的条款或技术要求有负偏离（或未作响应）</w:t>
      </w:r>
      <w:r>
        <w:rPr>
          <w:rFonts w:hint="eastAsia" w:ascii="宋体" w:hAnsi="宋体" w:cs="宋体"/>
          <w:b/>
          <w:bCs/>
          <w:color w:val="auto"/>
          <w:szCs w:val="21"/>
          <w:highlight w:val="none"/>
          <w:u w:val="single"/>
        </w:rPr>
        <w:t>达3项（含）数以上的竞标无效</w:t>
      </w:r>
      <w:r>
        <w:rPr>
          <w:rFonts w:hint="eastAsia" w:ascii="宋体" w:hAnsi="宋体" w:cs="宋体"/>
          <w:b/>
          <w:bCs/>
          <w:color w:val="auto"/>
          <w:szCs w:val="21"/>
          <w:highlight w:val="none"/>
        </w:rPr>
        <w:t>。</w:t>
      </w:r>
    </w:p>
    <w:p w14:paraId="405C7275">
      <w:pPr>
        <w:spacing w:before="165"/>
        <w:ind w:firstLine="426" w:firstLineChars="202"/>
        <w:jc w:val="left"/>
        <w:rPr>
          <w:rFonts w:ascii="宋体" w:hAnsi="宋体" w:cs="宋体"/>
          <w:b/>
          <w:bCs/>
          <w:color w:val="auto"/>
          <w:highlight w:val="none"/>
        </w:rPr>
      </w:pPr>
      <w:r>
        <w:rPr>
          <w:rFonts w:hint="eastAsia" w:ascii="宋体" w:hAnsi="宋体" w:cs="宋体"/>
          <w:b/>
          <w:color w:val="auto"/>
          <w:highlight w:val="none"/>
        </w:rPr>
        <w:t>4.</w:t>
      </w:r>
      <w:r>
        <w:rPr>
          <w:rFonts w:hint="eastAsia" w:ascii="宋体" w:hAnsi="宋体" w:cs="宋体"/>
          <w:b/>
          <w:bCs/>
          <w:color w:val="auto"/>
          <w:highlight w:val="none"/>
        </w:rPr>
        <w:t>供应商应根据自身实际情况如实响应竞争性谈判文件，否则将作无效响应处理。对于重要技术条款或技术参数应当在响应文件中提供技术支持资料，技术支持资料以竞争性谈判文件中规定的形式为准，否则将视为无效技术支持资料。</w:t>
      </w:r>
    </w:p>
    <w:p w14:paraId="72C955C7">
      <w:pPr>
        <w:spacing w:before="165"/>
        <w:ind w:firstLine="424" w:firstLineChars="202"/>
        <w:rPr>
          <w:rFonts w:ascii="宋体" w:hAnsi="宋体" w:cs="宋体"/>
          <w:color w:val="auto"/>
          <w:highlight w:val="none"/>
        </w:rPr>
      </w:pPr>
      <w:r>
        <w:rPr>
          <w:rFonts w:hint="eastAsia" w:ascii="宋体" w:hAnsi="宋体" w:cs="宋体"/>
          <w:color w:val="auto"/>
          <w:highlight w:val="none"/>
        </w:rPr>
        <w:t>5.供应商必须自行为其应标产品侵犯他人的知识产权或者专利成果的行为承担相应法律责任。</w:t>
      </w:r>
    </w:p>
    <w:p w14:paraId="127AAABE">
      <w:pPr>
        <w:spacing w:before="165"/>
        <w:ind w:firstLine="424" w:firstLineChars="202"/>
        <w:rPr>
          <w:rFonts w:ascii="宋体" w:hAnsi="宋体" w:cs="宋体"/>
          <w:color w:val="auto"/>
          <w:szCs w:val="21"/>
          <w:highlight w:val="none"/>
        </w:rPr>
      </w:pPr>
      <w:r>
        <w:rPr>
          <w:rFonts w:hint="eastAsia" w:ascii="宋体" w:hAnsi="宋体" w:cs="宋体"/>
          <w:color w:val="auto"/>
          <w:highlight w:val="none"/>
        </w:rPr>
        <w:t>6.所属行业：</w:t>
      </w:r>
      <w:r>
        <w:rPr>
          <w:rFonts w:hint="eastAsia" w:ascii="宋体" w:hAnsi="宋体" w:cs="宋体"/>
          <w:color w:val="auto"/>
          <w:szCs w:val="21"/>
          <w:highlight w:val="none"/>
        </w:rPr>
        <w:t>工业。</w:t>
      </w:r>
    </w:p>
    <w:tbl>
      <w:tblPr>
        <w:tblStyle w:val="26"/>
        <w:tblW w:w="10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6"/>
        <w:gridCol w:w="923"/>
        <w:gridCol w:w="474"/>
        <w:gridCol w:w="709"/>
        <w:gridCol w:w="6684"/>
        <w:gridCol w:w="1217"/>
      </w:tblGrid>
      <w:tr w14:paraId="46E3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102385A8">
            <w:pPr>
              <w:keepNext w:val="0"/>
              <w:keepLines w:val="0"/>
              <w:pageBreakBefore w:val="0"/>
              <w:widowControl/>
              <w:kinsoku/>
              <w:wordWrap/>
              <w:overflowPunct/>
              <w:topLinePunct w:val="0"/>
              <w:bidi w:val="0"/>
              <w:spacing w:line="240" w:lineRule="auto"/>
              <w:ind w:left="0" w:right="0" w:firstLine="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397" w:type="dxa"/>
            <w:gridSpan w:val="2"/>
            <w:shd w:val="clear" w:color="auto" w:fill="FFFFFF"/>
            <w:vAlign w:val="center"/>
          </w:tcPr>
          <w:p w14:paraId="444E4224">
            <w:pPr>
              <w:keepNext w:val="0"/>
              <w:keepLines w:val="0"/>
              <w:pageBreakBefore w:val="0"/>
              <w:kinsoku/>
              <w:wordWrap/>
              <w:overflowPunct/>
              <w:topLinePunct w:val="0"/>
              <w:bidi w:val="0"/>
              <w:spacing w:line="240" w:lineRule="auto"/>
              <w:ind w:left="0" w:right="0" w:firstLine="0"/>
              <w:rPr>
                <w:rFonts w:ascii="宋体" w:hAnsi="宋体" w:cs="宋体"/>
                <w:color w:val="auto"/>
                <w:szCs w:val="21"/>
                <w:highlight w:val="none"/>
              </w:rPr>
            </w:pPr>
            <w:r>
              <w:rPr>
                <w:rFonts w:hint="eastAsia" w:ascii="宋体" w:hAnsi="宋体" w:cs="宋体"/>
                <w:color w:val="auto"/>
                <w:szCs w:val="21"/>
                <w:highlight w:val="none"/>
              </w:rPr>
              <w:t>货物名称</w:t>
            </w:r>
          </w:p>
        </w:tc>
        <w:tc>
          <w:tcPr>
            <w:tcW w:w="709" w:type="dxa"/>
            <w:shd w:val="clear" w:color="auto" w:fill="FFFFFF"/>
            <w:vAlign w:val="center"/>
          </w:tcPr>
          <w:p w14:paraId="6AD173C8">
            <w:pPr>
              <w:keepNext w:val="0"/>
              <w:keepLines w:val="0"/>
              <w:pageBreakBefore w:val="0"/>
              <w:kinsoku/>
              <w:wordWrap/>
              <w:overflowPunct/>
              <w:topLinePunct w:val="0"/>
              <w:bidi w:val="0"/>
              <w:spacing w:line="240" w:lineRule="auto"/>
              <w:ind w:left="0" w:right="0" w:firstLine="0"/>
              <w:jc w:val="center"/>
              <w:rPr>
                <w:rFonts w:ascii="宋体" w:hAnsi="宋体" w:cs="宋体"/>
                <w:color w:val="auto"/>
                <w:szCs w:val="21"/>
                <w:highlight w:val="none"/>
              </w:rPr>
            </w:pPr>
            <w:r>
              <w:rPr>
                <w:rFonts w:hint="eastAsia" w:ascii="宋体" w:hAnsi="宋体" w:cs="宋体"/>
                <w:color w:val="auto"/>
                <w:szCs w:val="21"/>
                <w:highlight w:val="none"/>
              </w:rPr>
              <w:t>数量单位</w:t>
            </w:r>
          </w:p>
        </w:tc>
        <w:tc>
          <w:tcPr>
            <w:tcW w:w="6684" w:type="dxa"/>
            <w:shd w:val="clear" w:color="auto" w:fill="FFFFFF"/>
            <w:vAlign w:val="center"/>
          </w:tcPr>
          <w:p w14:paraId="4AB1F28B">
            <w:pPr>
              <w:keepNext w:val="0"/>
              <w:keepLines w:val="0"/>
              <w:pageBreakBefore w:val="0"/>
              <w:kinsoku/>
              <w:wordWrap/>
              <w:overflowPunct/>
              <w:topLinePunct w:val="0"/>
              <w:bidi w:val="0"/>
              <w:spacing w:line="240" w:lineRule="auto"/>
              <w:ind w:left="0" w:right="0" w:firstLine="0"/>
              <w:jc w:val="center"/>
              <w:rPr>
                <w:rFonts w:ascii="宋体" w:hAnsi="宋体" w:cs="宋体"/>
                <w:color w:val="auto"/>
                <w:szCs w:val="21"/>
                <w:highlight w:val="none"/>
              </w:rPr>
            </w:pPr>
            <w:r>
              <w:rPr>
                <w:rFonts w:hint="eastAsia" w:ascii="Calibri" w:hAnsi="Calibri"/>
                <w:color w:val="auto"/>
                <w:szCs w:val="22"/>
                <w:highlight w:val="none"/>
              </w:rPr>
              <w:t>技术参数及性能（配置）要求</w:t>
            </w:r>
          </w:p>
        </w:tc>
        <w:tc>
          <w:tcPr>
            <w:tcW w:w="1217" w:type="dxa"/>
            <w:shd w:val="clear" w:color="auto" w:fill="FFFFFF"/>
            <w:vAlign w:val="center"/>
          </w:tcPr>
          <w:p w14:paraId="4A8B9C78">
            <w:pPr>
              <w:keepNext w:val="0"/>
              <w:keepLines w:val="0"/>
              <w:pageBreakBefore w:val="0"/>
              <w:kinsoku/>
              <w:wordWrap/>
              <w:overflowPunct/>
              <w:topLinePunct w:val="0"/>
              <w:bidi w:val="0"/>
              <w:spacing w:line="240" w:lineRule="auto"/>
              <w:ind w:left="0" w:right="0" w:firstLine="0"/>
              <w:jc w:val="center"/>
              <w:rPr>
                <w:rFonts w:hint="eastAsia" w:ascii="Calibri" w:hAnsi="Calibri"/>
                <w:color w:val="auto"/>
                <w:szCs w:val="22"/>
                <w:highlight w:val="none"/>
                <w:lang w:eastAsia="zh-CN"/>
              </w:rPr>
            </w:pPr>
            <w:r>
              <w:rPr>
                <w:rFonts w:hint="eastAsia" w:ascii="Calibri" w:hAnsi="Calibri"/>
                <w:color w:val="auto"/>
                <w:szCs w:val="22"/>
                <w:highlight w:val="none"/>
                <w:lang w:eastAsia="zh-CN"/>
              </w:rPr>
              <w:t>最高限价</w:t>
            </w:r>
          </w:p>
          <w:p w14:paraId="4D1FD658">
            <w:pPr>
              <w:keepNext w:val="0"/>
              <w:keepLines w:val="0"/>
              <w:pageBreakBefore w:val="0"/>
              <w:kinsoku/>
              <w:wordWrap/>
              <w:overflowPunct/>
              <w:topLinePunct w:val="0"/>
              <w:bidi w:val="0"/>
              <w:spacing w:line="240" w:lineRule="auto"/>
              <w:ind w:left="0" w:right="0" w:firstLine="0"/>
              <w:jc w:val="center"/>
              <w:rPr>
                <w:rFonts w:hint="eastAsia" w:ascii="Calibri" w:hAnsi="Calibri"/>
                <w:color w:val="auto"/>
                <w:szCs w:val="22"/>
                <w:highlight w:val="none"/>
                <w:lang w:eastAsia="zh-CN"/>
              </w:rPr>
            </w:pPr>
            <w:r>
              <w:rPr>
                <w:rFonts w:hint="eastAsia" w:ascii="Calibri" w:hAnsi="Calibri"/>
                <w:color w:val="auto"/>
                <w:szCs w:val="22"/>
                <w:highlight w:val="none"/>
                <w:lang w:eastAsia="zh-CN"/>
              </w:rPr>
              <w:t>（人民币）</w:t>
            </w:r>
          </w:p>
        </w:tc>
      </w:tr>
      <w:tr w14:paraId="070F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0E51DA38">
            <w:pPr>
              <w:keepNext w:val="0"/>
              <w:keepLines w:val="0"/>
              <w:pageBreakBefore w:val="0"/>
              <w:kinsoku/>
              <w:wordWrap/>
              <w:overflowPunct/>
              <w:topLinePunct w:val="0"/>
              <w:bidi w:val="0"/>
              <w:spacing w:line="240" w:lineRule="auto"/>
              <w:ind w:left="0" w:right="0" w:firstLine="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97" w:type="dxa"/>
            <w:gridSpan w:val="2"/>
            <w:shd w:val="clear" w:color="auto" w:fill="FFFFFF"/>
            <w:vAlign w:val="center"/>
          </w:tcPr>
          <w:p w14:paraId="59D8A2A8">
            <w:pPr>
              <w:keepNext w:val="0"/>
              <w:keepLines w:val="0"/>
              <w:pageBreakBefore w:val="0"/>
              <w:kinsoku/>
              <w:wordWrap/>
              <w:overflowPunct/>
              <w:topLinePunct w:val="0"/>
              <w:bidi w:val="0"/>
              <w:spacing w:line="240" w:lineRule="auto"/>
              <w:ind w:left="0" w:right="0" w:firstLine="0"/>
              <w:jc w:val="center"/>
              <w:rPr>
                <w:rFonts w:ascii="宋体" w:hAnsi="宋体" w:cs="宋体"/>
                <w:color w:val="auto"/>
                <w:szCs w:val="21"/>
                <w:highlight w:val="none"/>
              </w:rPr>
            </w:pPr>
            <w:r>
              <w:rPr>
                <w:rFonts w:hint="eastAsia" w:ascii="宋体" w:hAnsi="宋体" w:cs="黑体"/>
                <w:color w:val="auto"/>
                <w:szCs w:val="21"/>
                <w:highlight w:val="none"/>
              </w:rPr>
              <w:t>AI理疗机器人</w:t>
            </w:r>
          </w:p>
        </w:tc>
        <w:tc>
          <w:tcPr>
            <w:tcW w:w="709" w:type="dxa"/>
            <w:shd w:val="clear" w:color="auto" w:fill="FFFFFF"/>
            <w:vAlign w:val="center"/>
          </w:tcPr>
          <w:p w14:paraId="47EA835B">
            <w:pPr>
              <w:keepNext w:val="0"/>
              <w:keepLines w:val="0"/>
              <w:pageBreakBefore w:val="0"/>
              <w:kinsoku/>
              <w:wordWrap/>
              <w:overflowPunct/>
              <w:topLinePunct w:val="0"/>
              <w:bidi w:val="0"/>
              <w:spacing w:line="240" w:lineRule="auto"/>
              <w:ind w:left="0" w:right="0" w:firstLine="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2台</w:t>
            </w:r>
          </w:p>
        </w:tc>
        <w:tc>
          <w:tcPr>
            <w:tcW w:w="6684" w:type="dxa"/>
            <w:shd w:val="clear" w:color="auto" w:fill="FFFFFF"/>
            <w:vAlign w:val="center"/>
          </w:tcPr>
          <w:p w14:paraId="736D0F6F">
            <w:pPr>
              <w:keepNext w:val="0"/>
              <w:keepLines w:val="0"/>
              <w:pageBreakBefore w:val="0"/>
              <w:kinsoku/>
              <w:wordWrap/>
              <w:overflowPunct/>
              <w:topLinePunct w:val="0"/>
              <w:bidi w:val="0"/>
              <w:spacing w:line="240" w:lineRule="auto"/>
              <w:ind w:left="0" w:right="0" w:firstLine="0"/>
              <w:jc w:val="left"/>
              <w:rPr>
                <w:rFonts w:hint="eastAsia" w:ascii="宋体" w:hAnsi="宋体" w:cs="黑体"/>
                <w:b/>
                <w:bCs/>
                <w:color w:val="auto"/>
                <w:szCs w:val="21"/>
                <w:highlight w:val="none"/>
                <w:lang w:eastAsia="zh-CN"/>
              </w:rPr>
            </w:pPr>
            <w:r>
              <w:rPr>
                <w:rFonts w:hint="eastAsia" w:ascii="宋体" w:hAnsi="宋体" w:cs="黑体"/>
                <w:b/>
                <w:bCs/>
                <w:color w:val="auto"/>
                <w:szCs w:val="21"/>
                <w:highlight w:val="none"/>
                <w:lang w:eastAsia="zh-CN"/>
              </w:rPr>
              <w:t>一、基本要求：</w:t>
            </w:r>
          </w:p>
          <w:p w14:paraId="36674B2D">
            <w:pPr>
              <w:keepNext w:val="0"/>
              <w:keepLines w:val="0"/>
              <w:pageBreakBefore w:val="0"/>
              <w:kinsoku/>
              <w:wordWrap/>
              <w:overflowPunct/>
              <w:topLinePunct w:val="0"/>
              <w:bidi w:val="0"/>
              <w:spacing w:line="240" w:lineRule="auto"/>
              <w:ind w:left="0" w:right="0" w:firstLine="0"/>
              <w:jc w:val="left"/>
              <w:rPr>
                <w:rFonts w:ascii="宋体" w:hAnsi="宋体" w:cs="黑体"/>
                <w:color w:val="auto"/>
                <w:szCs w:val="21"/>
                <w:highlight w:val="none"/>
              </w:rPr>
            </w:pPr>
            <w:r>
              <w:rPr>
                <w:rFonts w:hint="eastAsia" w:ascii="宋体" w:hAnsi="宋体" w:cs="黑体"/>
                <w:color w:val="auto"/>
                <w:szCs w:val="21"/>
                <w:highlight w:val="none"/>
              </w:rPr>
              <w:t>AI理疗机器人，以AI技术为核心，融合大数据、3D视觉算法、六维力控算法、深度学习算法、末端物理医学级原理及高精度协作机械臂等AI前沿科技，打造智能理疗新标杆。核心功效：强健免疫力、激活肠动力、排寒祛湿气、深层渗透力、舒畅经络、调和脾胃、缓解疼痛、治疗痛症、运动恢复、紧致塑形。</w:t>
            </w:r>
          </w:p>
          <w:p w14:paraId="3275904C">
            <w:pPr>
              <w:keepNext w:val="0"/>
              <w:keepLines w:val="0"/>
              <w:pageBreakBefore w:val="0"/>
              <w:kinsoku/>
              <w:wordWrap/>
              <w:overflowPunct/>
              <w:topLinePunct w:val="0"/>
              <w:bidi w:val="0"/>
              <w:spacing w:line="240" w:lineRule="auto"/>
              <w:ind w:left="0" w:right="0" w:firstLine="0"/>
              <w:rPr>
                <w:rFonts w:ascii="宋体" w:hAnsi="宋体" w:cs="黑体"/>
                <w:b/>
                <w:bCs/>
                <w:color w:val="auto"/>
                <w:szCs w:val="21"/>
                <w:highlight w:val="none"/>
              </w:rPr>
            </w:pPr>
            <w:r>
              <w:rPr>
                <w:rFonts w:hint="eastAsia" w:ascii="宋体" w:hAnsi="宋体" w:cs="黑体"/>
                <w:b/>
                <w:bCs/>
                <w:color w:val="auto"/>
                <w:szCs w:val="21"/>
                <w:highlight w:val="none"/>
                <w:lang w:eastAsia="zh-CN"/>
              </w:rPr>
              <w:t>二、</w:t>
            </w:r>
            <w:r>
              <w:rPr>
                <w:rFonts w:hint="eastAsia" w:ascii="宋体" w:hAnsi="宋体" w:cs="黑体"/>
                <w:b/>
                <w:bCs/>
                <w:color w:val="auto"/>
                <w:szCs w:val="21"/>
                <w:highlight w:val="none"/>
              </w:rPr>
              <w:t xml:space="preserve">技术参数 </w:t>
            </w:r>
          </w:p>
          <w:p w14:paraId="76825ACC">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1.触摸屏:</w:t>
            </w:r>
            <w:r>
              <w:rPr>
                <w:rFonts w:hint="default" w:ascii="Arial" w:hAnsi="Arial" w:cs="Arial"/>
                <w:color w:val="auto"/>
                <w:szCs w:val="21"/>
                <w:highlight w:val="none"/>
              </w:rPr>
              <w:t>≥</w:t>
            </w:r>
            <w:r>
              <w:rPr>
                <w:rFonts w:hint="eastAsia" w:ascii="宋体" w:hAnsi="宋体" w:cs="黑体"/>
                <w:color w:val="auto"/>
                <w:szCs w:val="21"/>
                <w:highlight w:val="none"/>
              </w:rPr>
              <w:t>10.1英寸</w:t>
            </w:r>
            <w:r>
              <w:rPr>
                <w:rFonts w:hint="eastAsia" w:ascii="宋体" w:hAnsi="宋体" w:cs="黑体"/>
                <w:color w:val="auto"/>
                <w:szCs w:val="21"/>
                <w:highlight w:val="none"/>
                <w:lang w:eastAsia="zh-CN"/>
              </w:rPr>
              <w:t>；</w:t>
            </w:r>
          </w:p>
          <w:p w14:paraId="59D65FFD">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2.支持系统:</w:t>
            </w:r>
            <w:r>
              <w:rPr>
                <w:rFonts w:hint="eastAsia" w:ascii="宋体" w:hAnsi="宋体" w:cs="黑体"/>
                <w:color w:val="auto"/>
                <w:szCs w:val="21"/>
                <w:highlight w:val="none"/>
                <w:lang w:eastAsia="zh-CN"/>
              </w:rPr>
              <w:t>国产；</w:t>
            </w:r>
          </w:p>
          <w:p w14:paraId="357A72B4">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3.支持语言:中文、英语</w:t>
            </w:r>
            <w:r>
              <w:rPr>
                <w:rFonts w:hint="eastAsia" w:ascii="宋体" w:hAnsi="宋体" w:cs="黑体"/>
                <w:color w:val="auto"/>
                <w:szCs w:val="21"/>
                <w:highlight w:val="none"/>
                <w:lang w:eastAsia="zh-CN"/>
              </w:rPr>
              <w:t>；</w:t>
            </w:r>
          </w:p>
          <w:p w14:paraId="14110990">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4.机械臂:6轴协作机械臂</w:t>
            </w:r>
            <w:r>
              <w:rPr>
                <w:rFonts w:hint="eastAsia" w:ascii="宋体" w:hAnsi="宋体" w:cs="黑体"/>
                <w:color w:val="auto"/>
                <w:szCs w:val="21"/>
                <w:highlight w:val="none"/>
                <w:lang w:eastAsia="zh-CN"/>
              </w:rPr>
              <w:t>；</w:t>
            </w:r>
          </w:p>
          <w:p w14:paraId="3AA3F451">
            <w:pPr>
              <w:keepNext w:val="0"/>
              <w:keepLines w:val="0"/>
              <w:pageBreakBefore w:val="0"/>
              <w:kinsoku/>
              <w:wordWrap/>
              <w:overflowPunct/>
              <w:topLinePunct w:val="0"/>
              <w:bidi w:val="0"/>
              <w:spacing w:line="240" w:lineRule="auto"/>
              <w:ind w:left="0" w:right="0" w:firstLine="0"/>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5.臂展：≥950mm</w:t>
            </w:r>
            <w:r>
              <w:rPr>
                <w:rFonts w:hint="eastAsia" w:ascii="宋体" w:hAnsi="宋体" w:cs="黑体"/>
                <w:color w:val="auto"/>
                <w:szCs w:val="21"/>
                <w:highlight w:val="none"/>
                <w:lang w:eastAsia="zh-CN"/>
              </w:rPr>
              <w:t>；</w:t>
            </w:r>
          </w:p>
          <w:p w14:paraId="4213EAFC">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6.摄像头:3D视觉</w:t>
            </w:r>
            <w:r>
              <w:rPr>
                <w:rFonts w:hint="eastAsia" w:ascii="宋体" w:hAnsi="宋体" w:cs="黑体"/>
                <w:color w:val="auto"/>
                <w:szCs w:val="21"/>
                <w:highlight w:val="none"/>
                <w:lang w:eastAsia="zh-CN"/>
              </w:rPr>
              <w:t>；</w:t>
            </w:r>
          </w:p>
          <w:p w14:paraId="2687A42F">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s="黑体"/>
                <w:color w:val="auto"/>
                <w:szCs w:val="21"/>
                <w:highlight w:val="none"/>
              </w:rPr>
              <w:t>7.红外热成像:温度监测</w:t>
            </w:r>
            <w:r>
              <w:rPr>
                <w:rFonts w:hint="eastAsia" w:ascii="宋体" w:hAnsi="宋体" w:cs="黑体"/>
                <w:color w:val="auto"/>
                <w:szCs w:val="21"/>
                <w:highlight w:val="none"/>
                <w:lang w:eastAsia="zh-CN"/>
              </w:rPr>
              <w:t>；</w:t>
            </w:r>
          </w:p>
          <w:p w14:paraId="7410F558">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s="黑体"/>
                <w:color w:val="auto"/>
                <w:szCs w:val="21"/>
                <w:highlight w:val="none"/>
              </w:rPr>
              <w:t>8.识别系统:AI穴位识别系统</w:t>
            </w:r>
            <w:r>
              <w:rPr>
                <w:rFonts w:hint="eastAsia" w:ascii="宋体" w:hAnsi="宋体" w:cs="黑体"/>
                <w:color w:val="auto"/>
                <w:szCs w:val="21"/>
                <w:highlight w:val="none"/>
                <w:lang w:eastAsia="zh-CN"/>
              </w:rPr>
              <w:t>；</w:t>
            </w:r>
          </w:p>
          <w:p w14:paraId="3EF4EDE7">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s="黑体"/>
                <w:color w:val="auto"/>
                <w:szCs w:val="21"/>
                <w:highlight w:val="none"/>
              </w:rPr>
              <w:t>9.力-控:高精度六维力控传感器</w:t>
            </w:r>
            <w:r>
              <w:rPr>
                <w:rFonts w:hint="eastAsia" w:ascii="宋体" w:hAnsi="宋体" w:cs="黑体"/>
                <w:color w:val="auto"/>
                <w:szCs w:val="21"/>
                <w:highlight w:val="none"/>
                <w:lang w:eastAsia="zh-CN"/>
              </w:rPr>
              <w:t>；</w:t>
            </w:r>
          </w:p>
          <w:p w14:paraId="5CEAF04D">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s="黑体"/>
                <w:color w:val="auto"/>
                <w:szCs w:val="21"/>
                <w:highlight w:val="none"/>
              </w:rPr>
              <w:t>10.二维码扫码器:准确扫产品识别码</w:t>
            </w:r>
            <w:r>
              <w:rPr>
                <w:rFonts w:hint="eastAsia" w:ascii="宋体" w:hAnsi="宋体" w:cs="黑体"/>
                <w:color w:val="auto"/>
                <w:szCs w:val="21"/>
                <w:highlight w:val="none"/>
                <w:lang w:eastAsia="zh-CN"/>
              </w:rPr>
              <w:t>；</w:t>
            </w:r>
          </w:p>
          <w:p w14:paraId="5B344FFC">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s="黑体"/>
                <w:color w:val="auto"/>
                <w:szCs w:val="21"/>
                <w:highlight w:val="none"/>
              </w:rPr>
              <w:t>11.电源:220V,50/60HZ</w:t>
            </w:r>
            <w:r>
              <w:rPr>
                <w:rFonts w:hint="eastAsia" w:ascii="宋体" w:hAnsi="宋体" w:cs="黑体"/>
                <w:color w:val="auto"/>
                <w:szCs w:val="21"/>
                <w:highlight w:val="none"/>
                <w:lang w:eastAsia="zh-CN"/>
              </w:rPr>
              <w:t>；</w:t>
            </w:r>
          </w:p>
          <w:p w14:paraId="737AEE31">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s="黑体"/>
                <w:color w:val="auto"/>
                <w:szCs w:val="21"/>
                <w:highlight w:val="none"/>
              </w:rPr>
              <w:t>12.输入功率:150VA</w:t>
            </w:r>
            <w:r>
              <w:rPr>
                <w:rFonts w:hint="eastAsia" w:ascii="宋体" w:hAnsi="宋体" w:cs="黑体"/>
                <w:color w:val="auto"/>
                <w:szCs w:val="21"/>
                <w:highlight w:val="none"/>
                <w:lang w:eastAsia="zh-CN"/>
              </w:rPr>
              <w:t>；</w:t>
            </w:r>
          </w:p>
          <w:p w14:paraId="054E4436">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13.外形尺寸:638</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hint="eastAsia" w:ascii="宋体" w:hAnsi="宋体" w:cs="黑体"/>
                <w:color w:val="auto"/>
                <w:szCs w:val="21"/>
                <w:highlight w:val="none"/>
              </w:rPr>
              <w:t>x520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hint="eastAsia" w:ascii="宋体" w:hAnsi="宋体" w:cs="黑体"/>
                <w:color w:val="auto"/>
                <w:szCs w:val="21"/>
                <w:highlight w:val="none"/>
              </w:rPr>
              <w:t>x1250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hint="eastAsia" w:ascii="宋体" w:hAnsi="宋体" w:cs="黑体"/>
                <w:color w:val="auto"/>
                <w:szCs w:val="21"/>
                <w:highlight w:val="none"/>
              </w:rPr>
              <w:t>mm （长宽高）</w:t>
            </w:r>
            <w:r>
              <w:rPr>
                <w:rFonts w:hint="eastAsia" w:ascii="宋体" w:hAnsi="宋体" w:cs="黑体"/>
                <w:color w:val="auto"/>
                <w:szCs w:val="21"/>
                <w:highlight w:val="none"/>
                <w:lang w:eastAsia="zh-CN"/>
              </w:rPr>
              <w:t>；</w:t>
            </w:r>
          </w:p>
          <w:p w14:paraId="5ED3EE74">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14.重量:</w:t>
            </w:r>
            <w:r>
              <w:rPr>
                <w:rFonts w:hint="default" w:ascii="Arial" w:hAnsi="Arial" w:cs="Arial"/>
                <w:color w:val="auto"/>
                <w:szCs w:val="21"/>
                <w:highlight w:val="none"/>
              </w:rPr>
              <w:t>≥</w:t>
            </w:r>
            <w:r>
              <w:rPr>
                <w:rFonts w:hint="eastAsia" w:ascii="宋体" w:hAnsi="宋体" w:cs="黑体"/>
                <w:color w:val="auto"/>
                <w:szCs w:val="21"/>
                <w:highlight w:val="none"/>
              </w:rPr>
              <w:t>100KG</w:t>
            </w:r>
            <w:r>
              <w:rPr>
                <w:rFonts w:hint="eastAsia" w:ascii="宋体" w:hAnsi="宋体" w:cs="黑体"/>
                <w:color w:val="auto"/>
                <w:szCs w:val="21"/>
                <w:highlight w:val="none"/>
                <w:lang w:eastAsia="zh-CN"/>
              </w:rPr>
              <w:t>；</w:t>
            </w:r>
          </w:p>
          <w:p w14:paraId="7636E21B">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15.安全类型:I类</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68702F60">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16.环境温度:5-45°C</w:t>
            </w:r>
            <w:r>
              <w:rPr>
                <w:rFonts w:hint="eastAsia" w:ascii="宋体" w:hAnsi="宋体" w:cs="黑体"/>
                <w:color w:val="auto"/>
                <w:szCs w:val="21"/>
                <w:highlight w:val="none"/>
                <w:lang w:eastAsia="zh-CN"/>
              </w:rPr>
              <w:t>；</w:t>
            </w:r>
          </w:p>
          <w:p w14:paraId="1B44BD5D">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17.相对湿度:30%-83%</w:t>
            </w:r>
            <w:r>
              <w:rPr>
                <w:rFonts w:hint="eastAsia" w:ascii="宋体" w:hAnsi="宋体" w:cs="黑体"/>
                <w:color w:val="auto"/>
                <w:szCs w:val="21"/>
                <w:highlight w:val="none"/>
                <w:lang w:eastAsia="zh-CN"/>
              </w:rPr>
              <w:t>；</w:t>
            </w:r>
          </w:p>
          <w:p w14:paraId="3E6AFE9C">
            <w:pPr>
              <w:keepNext w:val="0"/>
              <w:keepLines w:val="0"/>
              <w:pageBreakBefore w:val="0"/>
              <w:kinsoku/>
              <w:wordWrap/>
              <w:overflowPunct/>
              <w:topLinePunct w:val="0"/>
              <w:bidi w:val="0"/>
              <w:spacing w:line="240" w:lineRule="auto"/>
              <w:ind w:left="0" w:right="0" w:firstLine="0"/>
              <w:rPr>
                <w:rFonts w:hint="eastAsia" w:ascii="宋体" w:hAnsi="宋体" w:cs="黑体"/>
                <w:color w:val="auto"/>
                <w:szCs w:val="21"/>
                <w:highlight w:val="none"/>
              </w:rPr>
            </w:pPr>
            <w:r>
              <w:rPr>
                <w:rFonts w:hint="eastAsia" w:ascii="宋体" w:hAnsi="宋体" w:cs="黑体"/>
                <w:color w:val="auto"/>
                <w:szCs w:val="21"/>
                <w:highlight w:val="none"/>
              </w:rPr>
              <w:t>18.网络接入:RJ45 接口、物联卡、WIFI</w:t>
            </w:r>
            <w:r>
              <w:rPr>
                <w:rFonts w:hint="eastAsia" w:ascii="宋体" w:hAnsi="宋体" w:cs="黑体"/>
                <w:color w:val="auto"/>
                <w:szCs w:val="21"/>
                <w:highlight w:val="none"/>
                <w:lang w:eastAsia="zh-CN"/>
              </w:rPr>
              <w:t>；</w:t>
            </w:r>
          </w:p>
          <w:p w14:paraId="42C7FC55">
            <w:pPr>
              <w:keepNext w:val="0"/>
              <w:keepLines w:val="0"/>
              <w:pageBreakBefore w:val="0"/>
              <w:kinsoku/>
              <w:wordWrap/>
              <w:overflowPunct/>
              <w:topLinePunct w:val="0"/>
              <w:bidi w:val="0"/>
              <w:spacing w:line="240" w:lineRule="auto"/>
              <w:ind w:left="0" w:right="0" w:firstLine="0"/>
              <w:rPr>
                <w:rFonts w:hint="eastAsia" w:ascii="宋体" w:hAnsi="宋体" w:eastAsia="宋体" w:cs="黑体"/>
                <w:color w:val="auto"/>
                <w:szCs w:val="21"/>
                <w:highlight w:val="none"/>
                <w:lang w:val="en-US" w:eastAsia="zh-CN"/>
              </w:rPr>
            </w:pPr>
            <w:r>
              <w:rPr>
                <w:rFonts w:hint="eastAsia" w:ascii="宋体" w:hAnsi="宋体" w:cs="黑体"/>
                <w:color w:val="auto"/>
                <w:szCs w:val="21"/>
                <w:highlight w:val="none"/>
                <w:lang w:val="en-US" w:eastAsia="zh-CN"/>
              </w:rPr>
              <w:t>19.</w:t>
            </w:r>
            <w:r>
              <w:rPr>
                <w:rFonts w:hint="eastAsia" w:ascii="宋体" w:hAnsi="宋体" w:cs="宋体"/>
                <w:color w:val="auto"/>
                <w:szCs w:val="21"/>
                <w:highlight w:val="none"/>
              </w:rPr>
              <w:t>▲机器配置有能联入</w:t>
            </w:r>
            <w:r>
              <w:rPr>
                <w:rFonts w:hint="eastAsia" w:ascii="宋体" w:hAnsi="宋体" w:cs="宋体"/>
                <w:color w:val="auto"/>
                <w:szCs w:val="21"/>
                <w:highlight w:val="none"/>
                <w:lang w:val="en-US" w:eastAsia="zh-CN"/>
              </w:rPr>
              <w:t>中医综合</w:t>
            </w:r>
            <w:r>
              <w:rPr>
                <w:rFonts w:hint="eastAsia" w:ascii="宋体" w:hAnsi="宋体" w:cs="宋体"/>
                <w:color w:val="auto"/>
                <w:szCs w:val="21"/>
                <w:highlight w:val="none"/>
              </w:rPr>
              <w:t>医疗系统的端口</w:t>
            </w:r>
            <w:r>
              <w:rPr>
                <w:rFonts w:hint="eastAsia" w:ascii="宋体" w:hAnsi="宋体" w:cs="宋体"/>
                <w:color w:val="auto"/>
                <w:szCs w:val="21"/>
                <w:highlight w:val="none"/>
                <w:lang w:eastAsia="zh-CN"/>
              </w:rPr>
              <w:t>。</w:t>
            </w:r>
          </w:p>
          <w:p w14:paraId="7BF211BD">
            <w:pPr>
              <w:keepNext w:val="0"/>
              <w:keepLines w:val="0"/>
              <w:pageBreakBefore w:val="0"/>
              <w:kinsoku/>
              <w:wordWrap/>
              <w:overflowPunct/>
              <w:topLinePunct w:val="0"/>
              <w:bidi w:val="0"/>
              <w:spacing w:line="240" w:lineRule="auto"/>
              <w:ind w:left="0" w:right="0" w:firstLine="0"/>
              <w:rPr>
                <w:rFonts w:ascii="宋体" w:hAnsi="宋体" w:cs="黑体"/>
                <w:b/>
                <w:bCs/>
                <w:color w:val="auto"/>
                <w:szCs w:val="21"/>
                <w:highlight w:val="none"/>
              </w:rPr>
            </w:pPr>
            <w:r>
              <w:rPr>
                <w:rFonts w:hint="eastAsia" w:ascii="宋体" w:hAnsi="宋体" w:cs="黑体"/>
                <w:b/>
                <w:bCs/>
                <w:color w:val="auto"/>
                <w:szCs w:val="21"/>
                <w:highlight w:val="none"/>
                <w:lang w:eastAsia="zh-CN"/>
              </w:rPr>
              <w:t>三、</w:t>
            </w:r>
            <w:r>
              <w:rPr>
                <w:rFonts w:hint="eastAsia" w:ascii="宋体" w:hAnsi="宋体" w:cs="黑体"/>
                <w:b/>
                <w:bCs/>
                <w:color w:val="auto"/>
                <w:szCs w:val="21"/>
                <w:highlight w:val="none"/>
              </w:rPr>
              <w:t xml:space="preserve">功能参数： </w:t>
            </w:r>
          </w:p>
          <w:p w14:paraId="61B13C08">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1.5大经典按摩手法设计：满足背部、腹部、腰臀、大小腿等部位放松理疗</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6570DDC0">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2.定制模式：根据需要定制理疗轨迹，加强理疗效果，特殊部位支持如小腿按摩</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0ABA8F67">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3.砭石+EMS组合理疗：砭石发热叠加EMS微电流，提供基础体温的同时，让肌肉被动运动</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0A0979A1">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4.RF+EMS+红光组合理疗：射频/微电流/红光技术，射频能量使胶原蛋白收缩，刺激皮肤的损伤愈合反应，会触发新的胶原蛋白形成。而微电流/红光正好是能帮助愈合伤口和修复的，能刺激ATP的合成，促进合成更优质的新胶原蛋白。</w:t>
            </w:r>
          </w:p>
          <w:p w14:paraId="62B3ADA4">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 xml:space="preserve">5.▲多按摩头兼容：支持八极射频、四极射频、砭石、负压、点穴、刮痧、手持式射频等不同功 能按摩头、无限解耦，一机多效。 </w:t>
            </w:r>
          </w:p>
          <w:p w14:paraId="6B42C4DF">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6.▲按摩头缓冲设计：按摩头电极可伸缩，碰到骨头等部分，伸缩效果可缓冲间距，保持按摩电 极在人体上的良好姿态和接触</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2F17D0AC">
            <w:pPr>
              <w:keepNext w:val="0"/>
              <w:keepLines w:val="0"/>
              <w:pageBreakBefore w:val="0"/>
              <w:kinsoku/>
              <w:wordWrap/>
              <w:overflowPunct/>
              <w:topLinePunct w:val="0"/>
              <w:bidi w:val="0"/>
              <w:spacing w:line="240" w:lineRule="auto"/>
              <w:ind w:left="0" w:right="0" w:firstLine="0"/>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7.人体识别算法：通过3D视觉相机数据直接识别人体部位，无需增加特殊标记</w:t>
            </w:r>
            <w:r>
              <w:rPr>
                <w:rFonts w:hint="eastAsia" w:ascii="宋体" w:hAnsi="宋体" w:cs="黑体"/>
                <w:color w:val="auto"/>
                <w:szCs w:val="21"/>
                <w:highlight w:val="none"/>
                <w:lang w:eastAsia="zh-CN"/>
              </w:rPr>
              <w:t>。</w:t>
            </w:r>
          </w:p>
          <w:p w14:paraId="660E88A5">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8.手动遥控：通过手持遥控器可遥控机器人调整力度、速度等参数</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4DFC22AB">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9.遥控呼叫：可通过遥控器呼叫前台，处理紧急问题</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4F6804B3">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10.语音提示：机器人系统针对自身运行状态具备智能语音提提示能</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5F54BB4C">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11.温度报告：理疗前后红外相机、RGB 相机采集数据，对比前后体温状况</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4B10AEF3">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12.急停功能：遇到特殊情况可以按下急停，防止二次伤害</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5341A20C">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13.扫码功能：可以针对客户需求的物料进行扫码，确认扫码后可以使用</w:t>
            </w:r>
            <w:r>
              <w:rPr>
                <w:rFonts w:hint="eastAsia" w:ascii="宋体" w:hAnsi="宋体" w:cs="黑体"/>
                <w:color w:val="auto"/>
                <w:szCs w:val="21"/>
                <w:highlight w:val="none"/>
                <w:lang w:eastAsia="zh-CN"/>
              </w:rPr>
              <w:t>。</w:t>
            </w:r>
          </w:p>
          <w:p w14:paraId="56F833AE">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14.视力组合算法：根据力控和3D相机组合识别，实现对骨头的越障功能</w:t>
            </w:r>
            <w:r>
              <w:rPr>
                <w:rFonts w:hint="eastAsia" w:ascii="宋体" w:hAnsi="宋体" w:cs="黑体"/>
                <w:color w:val="auto"/>
                <w:szCs w:val="21"/>
                <w:highlight w:val="none"/>
                <w:lang w:eastAsia="zh-CN"/>
              </w:rPr>
              <w:t>。</w:t>
            </w:r>
          </w:p>
          <w:p w14:paraId="40B5043E">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15.双屏操作支持：支持机器人上屏幕触屏设置，同步手持PAD客户自操作</w:t>
            </w:r>
            <w:r>
              <w:rPr>
                <w:rFonts w:hint="eastAsia" w:ascii="宋体" w:hAnsi="宋体" w:cs="黑体"/>
                <w:color w:val="auto"/>
                <w:szCs w:val="21"/>
                <w:highlight w:val="none"/>
                <w:lang w:eastAsia="zh-CN"/>
              </w:rPr>
              <w:t>。</w:t>
            </w:r>
          </w:p>
          <w:p w14:paraId="0D8EA55D">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16.远程升级：支持OTA远程升级</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5A9F159D">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17.多网络支持：支持4G网络、WIFI 和有线网络</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0F032B04">
            <w:pPr>
              <w:keepNext w:val="0"/>
              <w:keepLines w:val="0"/>
              <w:pageBreakBefore w:val="0"/>
              <w:kinsoku/>
              <w:wordWrap/>
              <w:overflowPunct/>
              <w:topLinePunct w:val="0"/>
              <w:bidi w:val="0"/>
              <w:spacing w:line="240" w:lineRule="auto"/>
              <w:ind w:left="0" w:right="0" w:firstLine="0"/>
              <w:rPr>
                <w:rFonts w:hint="eastAsia" w:ascii="宋体" w:hAnsi="宋体" w:eastAsia="宋体" w:cs="黑体"/>
                <w:color w:val="auto"/>
                <w:szCs w:val="21"/>
                <w:highlight w:val="none"/>
                <w:lang w:eastAsia="zh-CN"/>
              </w:rPr>
            </w:pPr>
            <w:r>
              <w:rPr>
                <w:rFonts w:hint="eastAsia" w:ascii="宋体" w:hAnsi="宋体" w:cs="黑体"/>
                <w:color w:val="auto"/>
                <w:szCs w:val="21"/>
                <w:highlight w:val="none"/>
              </w:rPr>
              <w:t>18.后台支持：云管端，通过后台可远程管理机器人</w:t>
            </w:r>
            <w:r>
              <w:rPr>
                <w:rFonts w:hint="eastAsia" w:ascii="宋体" w:hAnsi="宋体" w:cs="黑体"/>
                <w:color w:val="auto"/>
                <w:szCs w:val="21"/>
                <w:highlight w:val="none"/>
                <w:lang w:eastAsia="zh-CN"/>
              </w:rPr>
              <w:t>。</w:t>
            </w:r>
          </w:p>
          <w:p w14:paraId="298A26E2">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19.小程序支持：通过小程序可实现客户推广、预约和买单等功能</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06EED648">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20.大数据支持：可提供机器人使用相关大数据统计</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20B961FF">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21.▲边缘计算：所有视觉算法均在本地运行，避免隐私泄露</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7FDFFE4E">
            <w:pPr>
              <w:keepNext w:val="0"/>
              <w:keepLines w:val="0"/>
              <w:pageBreakBefore w:val="0"/>
              <w:kinsoku/>
              <w:wordWrap/>
              <w:overflowPunct/>
              <w:topLinePunct w:val="0"/>
              <w:bidi w:val="0"/>
              <w:spacing w:line="240" w:lineRule="auto"/>
              <w:ind w:left="0" w:right="0" w:firstLine="0"/>
              <w:rPr>
                <w:rFonts w:ascii="宋体" w:hAnsi="宋体" w:cs="黑体"/>
                <w:color w:val="auto"/>
                <w:szCs w:val="21"/>
                <w:highlight w:val="none"/>
              </w:rPr>
            </w:pPr>
            <w:r>
              <w:rPr>
                <w:rFonts w:hint="eastAsia" w:ascii="宋体" w:hAnsi="宋体" w:cs="黑体"/>
                <w:color w:val="auto"/>
                <w:szCs w:val="21"/>
                <w:highlight w:val="none"/>
              </w:rPr>
              <w:t>22.抱闸保护：突然掉电，机器人立即抱闸保护，防止二次伤害</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p w14:paraId="349150D5">
            <w:pPr>
              <w:keepNext w:val="0"/>
              <w:keepLines w:val="0"/>
              <w:pageBreakBefore w:val="0"/>
              <w:kinsoku/>
              <w:wordWrap/>
              <w:overflowPunct/>
              <w:topLinePunct w:val="0"/>
              <w:bidi w:val="0"/>
              <w:spacing w:line="240" w:lineRule="auto"/>
              <w:ind w:left="0" w:right="0" w:firstLine="0"/>
              <w:rPr>
                <w:rFonts w:ascii="宋体" w:hAnsi="宋体" w:cs="宋体"/>
                <w:color w:val="auto"/>
                <w:szCs w:val="21"/>
                <w:highlight w:val="none"/>
              </w:rPr>
            </w:pPr>
            <w:r>
              <w:rPr>
                <w:rFonts w:hint="eastAsia" w:ascii="宋体" w:hAnsi="宋体" w:cs="黑体"/>
                <w:color w:val="auto"/>
                <w:szCs w:val="21"/>
                <w:highlight w:val="none"/>
              </w:rPr>
              <w:t>23.音乐播放：支持音乐播放，客户可自行导入音乐</w:t>
            </w:r>
            <w:r>
              <w:rPr>
                <w:rFonts w:hint="eastAsia" w:ascii="宋体" w:hAnsi="宋体" w:cs="黑体"/>
                <w:color w:val="auto"/>
                <w:szCs w:val="21"/>
                <w:highlight w:val="none"/>
                <w:lang w:eastAsia="zh-CN"/>
              </w:rPr>
              <w:t>。</w:t>
            </w:r>
            <w:r>
              <w:rPr>
                <w:rFonts w:hint="eastAsia" w:ascii="宋体" w:hAnsi="宋体" w:cs="黑体"/>
                <w:color w:val="auto"/>
                <w:szCs w:val="21"/>
                <w:highlight w:val="none"/>
              </w:rPr>
              <w:t xml:space="preserve">  </w:t>
            </w:r>
          </w:p>
        </w:tc>
        <w:tc>
          <w:tcPr>
            <w:tcW w:w="1217" w:type="dxa"/>
            <w:shd w:val="clear" w:color="auto" w:fill="FFFFFF"/>
            <w:vAlign w:val="center"/>
          </w:tcPr>
          <w:p w14:paraId="02E016D7">
            <w:pPr>
              <w:keepNext w:val="0"/>
              <w:keepLines w:val="0"/>
              <w:pageBreakBefore w:val="0"/>
              <w:kinsoku/>
              <w:wordWrap/>
              <w:overflowPunct/>
              <w:topLinePunct w:val="0"/>
              <w:bidi w:val="0"/>
              <w:spacing w:line="240" w:lineRule="auto"/>
              <w:ind w:left="0" w:right="0" w:firstLine="0"/>
              <w:jc w:val="center"/>
              <w:rPr>
                <w:rFonts w:hint="default" w:ascii="宋体" w:hAnsi="宋体" w:eastAsia="宋体" w:cs="黑体"/>
                <w:color w:val="auto"/>
                <w:szCs w:val="21"/>
                <w:highlight w:val="none"/>
                <w:lang w:val="en-US" w:eastAsia="zh-CN"/>
              </w:rPr>
            </w:pPr>
            <w:r>
              <w:rPr>
                <w:rFonts w:hint="eastAsia" w:ascii="宋体" w:hAnsi="宋体" w:cs="黑体"/>
                <w:color w:val="auto"/>
                <w:szCs w:val="21"/>
                <w:highlight w:val="none"/>
                <w:lang w:val="en-US" w:eastAsia="zh-CN"/>
              </w:rPr>
              <w:t>24万元</w:t>
            </w:r>
          </w:p>
        </w:tc>
      </w:tr>
      <w:tr w14:paraId="76C1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73AEF582">
            <w:pPr>
              <w:keepNext w:val="0"/>
              <w:keepLines w:val="0"/>
              <w:pageBreakBefore w:val="0"/>
              <w:widowControl/>
              <w:kinsoku/>
              <w:wordWrap/>
              <w:overflowPunct/>
              <w:topLinePunct w:val="0"/>
              <w:bidi w:val="0"/>
              <w:spacing w:line="240" w:lineRule="auto"/>
              <w:ind w:left="0" w:right="0" w:firstLine="0"/>
              <w:jc w:val="center"/>
              <w:rPr>
                <w:color w:val="auto"/>
                <w:kern w:val="0"/>
                <w:szCs w:val="21"/>
                <w:highlight w:val="none"/>
              </w:rPr>
            </w:pPr>
            <w:r>
              <w:rPr>
                <w:rFonts w:hint="eastAsia"/>
                <w:color w:val="auto"/>
                <w:kern w:val="0"/>
                <w:szCs w:val="21"/>
                <w:highlight w:val="none"/>
              </w:rPr>
              <w:t>2</w:t>
            </w:r>
          </w:p>
        </w:tc>
        <w:tc>
          <w:tcPr>
            <w:tcW w:w="1397" w:type="dxa"/>
            <w:gridSpan w:val="2"/>
            <w:shd w:val="clear" w:color="auto" w:fill="FFFFFF"/>
            <w:vAlign w:val="center"/>
          </w:tcPr>
          <w:p w14:paraId="34C272E3">
            <w:pPr>
              <w:keepNext w:val="0"/>
              <w:keepLines w:val="0"/>
              <w:pageBreakBefore w:val="0"/>
              <w:kinsoku/>
              <w:wordWrap/>
              <w:overflowPunct/>
              <w:topLinePunct w:val="0"/>
              <w:bidi w:val="0"/>
              <w:spacing w:line="240" w:lineRule="auto"/>
              <w:ind w:left="0" w:right="0" w:firstLine="0"/>
              <w:jc w:val="center"/>
              <w:rPr>
                <w:color w:val="auto"/>
                <w:szCs w:val="21"/>
                <w:highlight w:val="none"/>
              </w:rPr>
            </w:pPr>
            <w:r>
              <w:rPr>
                <w:rFonts w:hint="eastAsia"/>
                <w:color w:val="auto"/>
                <w:szCs w:val="21"/>
                <w:highlight w:val="none"/>
              </w:rPr>
              <w:t>艾灸机器人（医疗版）</w:t>
            </w:r>
          </w:p>
        </w:tc>
        <w:tc>
          <w:tcPr>
            <w:tcW w:w="709" w:type="dxa"/>
            <w:shd w:val="clear" w:color="auto" w:fill="FFFFFF"/>
            <w:vAlign w:val="center"/>
          </w:tcPr>
          <w:p w14:paraId="4138C89A">
            <w:pPr>
              <w:keepNext w:val="0"/>
              <w:keepLines w:val="0"/>
              <w:pageBreakBefore w:val="0"/>
              <w:kinsoku/>
              <w:wordWrap/>
              <w:overflowPunct/>
              <w:topLinePunct w:val="0"/>
              <w:bidi w:val="0"/>
              <w:spacing w:line="240" w:lineRule="auto"/>
              <w:ind w:left="0" w:right="0" w:firstLine="0"/>
              <w:jc w:val="center"/>
              <w:rPr>
                <w:rFonts w:hint="eastAsia" w:eastAsia="宋体"/>
                <w:color w:val="auto"/>
                <w:szCs w:val="21"/>
                <w:highlight w:val="none"/>
                <w:lang w:val="en-US" w:eastAsia="zh-CN"/>
              </w:rPr>
            </w:pPr>
            <w:r>
              <w:rPr>
                <w:rFonts w:hint="eastAsia"/>
                <w:color w:val="auto"/>
                <w:szCs w:val="21"/>
                <w:highlight w:val="none"/>
                <w:lang w:val="en-US" w:eastAsia="zh-CN"/>
              </w:rPr>
              <w:t>2台</w:t>
            </w:r>
          </w:p>
        </w:tc>
        <w:tc>
          <w:tcPr>
            <w:tcW w:w="6684" w:type="dxa"/>
            <w:shd w:val="clear" w:color="auto" w:fill="FFFFFF"/>
            <w:vAlign w:val="center"/>
          </w:tcPr>
          <w:p w14:paraId="5E20C2F5">
            <w:pPr>
              <w:keepNext w:val="0"/>
              <w:keepLines w:val="0"/>
              <w:pageBreakBefore w:val="0"/>
              <w:widowControl/>
              <w:tabs>
                <w:tab w:val="left" w:pos="312"/>
              </w:tabs>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b/>
                <w:bCs/>
                <w:snapToGrid w:val="0"/>
                <w:color w:val="auto"/>
                <w:spacing w:val="-4"/>
                <w:kern w:val="0"/>
                <w:szCs w:val="21"/>
                <w:highlight w:val="none"/>
              </w:rPr>
            </w:pPr>
            <w:r>
              <w:rPr>
                <w:rFonts w:hint="eastAsia" w:ascii="宋体" w:hAnsi="宋体" w:cs="宋体"/>
                <w:b/>
                <w:bCs/>
                <w:snapToGrid w:val="0"/>
                <w:color w:val="auto"/>
                <w:spacing w:val="-4"/>
                <w:kern w:val="0"/>
                <w:szCs w:val="21"/>
                <w:highlight w:val="none"/>
              </w:rPr>
              <w:t>一、</w:t>
            </w:r>
            <w:r>
              <w:rPr>
                <w:rFonts w:ascii="宋体" w:hAnsi="宋体" w:cs="宋体"/>
                <w:b/>
                <w:bCs/>
                <w:snapToGrid w:val="0"/>
                <w:color w:val="auto"/>
                <w:spacing w:val="-4"/>
                <w:kern w:val="0"/>
                <w:szCs w:val="21"/>
                <w:highlight w:val="none"/>
                <w:lang w:eastAsia="en-US"/>
              </w:rPr>
              <w:t>规格参数</w:t>
            </w:r>
            <w:r>
              <w:rPr>
                <w:rFonts w:hint="eastAsia" w:ascii="宋体" w:hAnsi="宋体" w:cs="宋体"/>
                <w:b/>
                <w:bCs/>
                <w:snapToGrid w:val="0"/>
                <w:color w:val="auto"/>
                <w:spacing w:val="-4"/>
                <w:kern w:val="0"/>
                <w:szCs w:val="21"/>
                <w:highlight w:val="none"/>
              </w:rPr>
              <w:t>：</w:t>
            </w:r>
          </w:p>
          <w:p w14:paraId="6B6C4428">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5"/>
                <w:kern w:val="0"/>
                <w:szCs w:val="21"/>
                <w:highlight w:val="none"/>
                <w:lang w:eastAsia="en-US"/>
              </w:rPr>
              <w:t>触摸屏：</w:t>
            </w:r>
            <w:r>
              <w:rPr>
                <w:rFonts w:hint="default" w:ascii="Arial" w:hAnsi="Arial" w:cs="Arial"/>
                <w:snapToGrid w:val="0"/>
                <w:color w:val="auto"/>
                <w:spacing w:val="27"/>
                <w:kern w:val="0"/>
                <w:szCs w:val="21"/>
                <w:highlight w:val="none"/>
                <w:lang w:eastAsia="en-US"/>
              </w:rPr>
              <w:t>≥</w:t>
            </w:r>
            <w:r>
              <w:rPr>
                <w:rFonts w:ascii="宋体" w:hAnsi="宋体" w:cs="宋体"/>
                <w:snapToGrid w:val="0"/>
                <w:color w:val="auto"/>
                <w:spacing w:val="-5"/>
                <w:kern w:val="0"/>
                <w:szCs w:val="21"/>
                <w:highlight w:val="none"/>
                <w:lang w:eastAsia="en-US"/>
              </w:rPr>
              <w:t>10.1</w:t>
            </w:r>
            <w:r>
              <w:rPr>
                <w:rFonts w:hint="eastAsia" w:ascii="宋体" w:hAnsi="宋体" w:cs="宋体"/>
                <w:snapToGrid w:val="0"/>
                <w:color w:val="auto"/>
                <w:spacing w:val="-5"/>
                <w:kern w:val="0"/>
                <w:szCs w:val="21"/>
                <w:highlight w:val="none"/>
              </w:rPr>
              <w:t>英</w:t>
            </w:r>
            <w:r>
              <w:rPr>
                <w:rFonts w:ascii="宋体" w:hAnsi="宋体" w:cs="宋体"/>
                <w:snapToGrid w:val="0"/>
                <w:color w:val="auto"/>
                <w:spacing w:val="-5"/>
                <w:kern w:val="0"/>
                <w:szCs w:val="21"/>
                <w:highlight w:val="none"/>
                <w:lang w:eastAsia="en-US"/>
              </w:rPr>
              <w:t>寸</w:t>
            </w:r>
            <w:r>
              <w:rPr>
                <w:rFonts w:hint="eastAsia" w:ascii="宋体" w:hAnsi="宋体" w:cs="宋体"/>
                <w:snapToGrid w:val="0"/>
                <w:color w:val="auto"/>
                <w:spacing w:val="-5"/>
                <w:kern w:val="0"/>
                <w:szCs w:val="21"/>
                <w:highlight w:val="none"/>
                <w:lang w:eastAsia="zh-CN"/>
              </w:rPr>
              <w:t>。</w:t>
            </w:r>
          </w:p>
          <w:p w14:paraId="1696B369">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2"/>
                <w:kern w:val="0"/>
                <w:szCs w:val="21"/>
                <w:highlight w:val="none"/>
                <w:lang w:eastAsia="en-US"/>
              </w:rPr>
              <w:t>支持系统：</w:t>
            </w:r>
            <w:r>
              <w:rPr>
                <w:rFonts w:hint="eastAsia" w:ascii="宋体" w:hAnsi="宋体" w:cs="宋体"/>
                <w:snapToGrid w:val="0"/>
                <w:color w:val="auto"/>
                <w:spacing w:val="-2"/>
                <w:kern w:val="0"/>
                <w:szCs w:val="21"/>
                <w:highlight w:val="none"/>
                <w:lang w:eastAsia="zh-CN"/>
              </w:rPr>
              <w:t>国产。</w:t>
            </w:r>
          </w:p>
          <w:p w14:paraId="6C681FC0">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5"/>
                <w:kern w:val="0"/>
                <w:szCs w:val="21"/>
                <w:highlight w:val="none"/>
                <w:lang w:eastAsia="en-US"/>
              </w:rPr>
              <w:t>支持语言：中文、英语</w:t>
            </w:r>
            <w:r>
              <w:rPr>
                <w:rFonts w:hint="eastAsia" w:ascii="宋体" w:hAnsi="宋体" w:cs="宋体"/>
                <w:snapToGrid w:val="0"/>
                <w:color w:val="auto"/>
                <w:spacing w:val="-5"/>
                <w:kern w:val="0"/>
                <w:szCs w:val="21"/>
                <w:highlight w:val="none"/>
                <w:lang w:eastAsia="zh-CN"/>
              </w:rPr>
              <w:t>。</w:t>
            </w:r>
          </w:p>
          <w:p w14:paraId="0363A595">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2"/>
                <w:kern w:val="0"/>
                <w:szCs w:val="21"/>
                <w:highlight w:val="none"/>
                <w:lang w:eastAsia="en-US"/>
              </w:rPr>
              <w:t>摄像头：3D视觉+红外摄像</w:t>
            </w:r>
            <w:r>
              <w:rPr>
                <w:rFonts w:hint="eastAsia" w:ascii="宋体" w:hAnsi="宋体" w:cs="宋体"/>
                <w:snapToGrid w:val="0"/>
                <w:color w:val="auto"/>
                <w:spacing w:val="-2"/>
                <w:kern w:val="0"/>
                <w:szCs w:val="21"/>
                <w:highlight w:val="none"/>
                <w:lang w:eastAsia="zh-CN"/>
              </w:rPr>
              <w:t>。</w:t>
            </w:r>
          </w:p>
          <w:p w14:paraId="557E9577">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2"/>
                <w:kern w:val="0"/>
                <w:szCs w:val="21"/>
                <w:highlight w:val="none"/>
                <w:lang w:eastAsia="en-US"/>
              </w:rPr>
              <w:t>红外热成像：温度监测、实时温控</w:t>
            </w:r>
            <w:r>
              <w:rPr>
                <w:rFonts w:hint="eastAsia" w:ascii="宋体" w:hAnsi="宋体" w:cs="宋体"/>
                <w:snapToGrid w:val="0"/>
                <w:color w:val="auto"/>
                <w:spacing w:val="-2"/>
                <w:kern w:val="0"/>
                <w:szCs w:val="21"/>
                <w:highlight w:val="none"/>
                <w:lang w:eastAsia="zh-CN"/>
              </w:rPr>
              <w:t>。</w:t>
            </w:r>
          </w:p>
          <w:p w14:paraId="487C3EE0">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1"/>
                <w:kern w:val="0"/>
                <w:szCs w:val="21"/>
                <w:highlight w:val="none"/>
                <w:lang w:eastAsia="en-US"/>
              </w:rPr>
              <w:t>识别系统：AI穴位识别系统</w:t>
            </w:r>
            <w:r>
              <w:rPr>
                <w:rFonts w:hint="eastAsia" w:ascii="宋体" w:hAnsi="宋体" w:cs="宋体"/>
                <w:snapToGrid w:val="0"/>
                <w:color w:val="auto"/>
                <w:spacing w:val="-1"/>
                <w:kern w:val="0"/>
                <w:szCs w:val="21"/>
                <w:highlight w:val="none"/>
                <w:lang w:eastAsia="en-US"/>
              </w:rPr>
              <w:t>，机器配置有能联入</w:t>
            </w:r>
            <w:r>
              <w:rPr>
                <w:rFonts w:hint="eastAsia" w:ascii="宋体" w:hAnsi="宋体" w:cs="宋体"/>
                <w:snapToGrid w:val="0"/>
                <w:color w:val="auto"/>
                <w:spacing w:val="-1"/>
                <w:kern w:val="0"/>
                <w:szCs w:val="21"/>
                <w:highlight w:val="none"/>
                <w:lang w:val="en-US" w:eastAsia="en-US"/>
              </w:rPr>
              <w:t>中医综合</w:t>
            </w:r>
            <w:r>
              <w:rPr>
                <w:rFonts w:hint="eastAsia" w:ascii="宋体" w:hAnsi="宋体" w:cs="宋体"/>
                <w:snapToGrid w:val="0"/>
                <w:color w:val="auto"/>
                <w:spacing w:val="-1"/>
                <w:kern w:val="0"/>
                <w:szCs w:val="21"/>
                <w:highlight w:val="none"/>
                <w:lang w:eastAsia="en-US"/>
              </w:rPr>
              <w:t>医疗系统的端口</w:t>
            </w:r>
            <w:r>
              <w:rPr>
                <w:rFonts w:hint="eastAsia" w:ascii="宋体" w:hAnsi="宋体" w:cs="宋体"/>
                <w:snapToGrid w:val="0"/>
                <w:color w:val="auto"/>
                <w:spacing w:val="-1"/>
                <w:kern w:val="0"/>
                <w:szCs w:val="21"/>
                <w:highlight w:val="none"/>
                <w:lang w:eastAsia="zh-CN"/>
              </w:rPr>
              <w:t>。</w:t>
            </w:r>
          </w:p>
          <w:p w14:paraId="23E87DAE">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1"/>
                <w:kern w:val="0"/>
                <w:szCs w:val="21"/>
                <w:highlight w:val="none"/>
                <w:lang w:eastAsia="en-US"/>
              </w:rPr>
              <w:t>二维码扫码器：准确扫产品（艾柱）识别</w:t>
            </w:r>
            <w:r>
              <w:rPr>
                <w:rFonts w:ascii="宋体" w:hAnsi="宋体" w:cs="宋体"/>
                <w:snapToGrid w:val="0"/>
                <w:color w:val="auto"/>
                <w:kern w:val="0"/>
                <w:szCs w:val="21"/>
                <w:highlight w:val="none"/>
                <w:lang w:eastAsia="en-US"/>
              </w:rPr>
              <w:t>码</w:t>
            </w:r>
            <w:r>
              <w:rPr>
                <w:rFonts w:hint="eastAsia" w:ascii="宋体" w:hAnsi="宋体" w:cs="宋体"/>
                <w:snapToGrid w:val="0"/>
                <w:color w:val="auto"/>
                <w:kern w:val="0"/>
                <w:szCs w:val="21"/>
                <w:highlight w:val="none"/>
                <w:lang w:eastAsia="zh-CN"/>
              </w:rPr>
              <w:t>。</w:t>
            </w:r>
          </w:p>
          <w:p w14:paraId="6BF8D122">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1"/>
                <w:kern w:val="0"/>
                <w:szCs w:val="21"/>
                <w:highlight w:val="none"/>
                <w:lang w:eastAsia="en-US"/>
              </w:rPr>
              <w:t>环境温度：5-40℃</w:t>
            </w:r>
            <w:r>
              <w:rPr>
                <w:rFonts w:hint="eastAsia" w:ascii="宋体" w:hAnsi="宋体" w:cs="宋体"/>
                <w:snapToGrid w:val="0"/>
                <w:color w:val="auto"/>
                <w:spacing w:val="-1"/>
                <w:kern w:val="0"/>
                <w:szCs w:val="21"/>
                <w:highlight w:val="none"/>
                <w:lang w:eastAsia="zh-CN"/>
              </w:rPr>
              <w:t>。</w:t>
            </w:r>
          </w:p>
          <w:p w14:paraId="2412E38E">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1"/>
                <w:kern w:val="0"/>
                <w:szCs w:val="21"/>
                <w:highlight w:val="none"/>
                <w:lang w:eastAsia="en-US"/>
              </w:rPr>
              <w:t>相对湿度：30%～83%</w:t>
            </w:r>
            <w:r>
              <w:rPr>
                <w:rFonts w:hint="eastAsia" w:ascii="宋体" w:hAnsi="宋体" w:cs="宋体"/>
                <w:snapToGrid w:val="0"/>
                <w:color w:val="auto"/>
                <w:spacing w:val="-1"/>
                <w:kern w:val="0"/>
                <w:szCs w:val="21"/>
                <w:highlight w:val="none"/>
                <w:lang w:eastAsia="zh-CN"/>
              </w:rPr>
              <w:t>。</w:t>
            </w:r>
          </w:p>
          <w:p w14:paraId="2D2ABF4D">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2"/>
                <w:kern w:val="0"/>
                <w:szCs w:val="21"/>
                <w:highlight w:val="none"/>
                <w:lang w:eastAsia="en-US"/>
              </w:rPr>
              <w:t>网络接入：RJ45接口、物联卡、wifi</w:t>
            </w:r>
            <w:r>
              <w:rPr>
                <w:rFonts w:hint="eastAsia" w:ascii="宋体" w:hAnsi="宋体" w:cs="宋体"/>
                <w:snapToGrid w:val="0"/>
                <w:color w:val="auto"/>
                <w:spacing w:val="-2"/>
                <w:kern w:val="0"/>
                <w:szCs w:val="21"/>
                <w:highlight w:val="none"/>
                <w:lang w:eastAsia="zh-CN"/>
              </w:rPr>
              <w:t>。</w:t>
            </w:r>
          </w:p>
          <w:p w14:paraId="183E4816">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2"/>
                <w:kern w:val="0"/>
                <w:szCs w:val="21"/>
                <w:highlight w:val="none"/>
                <w:lang w:eastAsia="en-US"/>
              </w:rPr>
              <w:t>电 源：220+10V，50/60Hz</w:t>
            </w:r>
            <w:r>
              <w:rPr>
                <w:rFonts w:hint="eastAsia" w:ascii="宋体" w:hAnsi="宋体" w:cs="宋体"/>
                <w:snapToGrid w:val="0"/>
                <w:color w:val="auto"/>
                <w:spacing w:val="-2"/>
                <w:kern w:val="0"/>
                <w:szCs w:val="21"/>
                <w:highlight w:val="none"/>
                <w:lang w:eastAsia="zh-CN"/>
              </w:rPr>
              <w:t>。</w:t>
            </w:r>
          </w:p>
          <w:p w14:paraId="30C22666">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4"/>
                <w:kern w:val="0"/>
                <w:szCs w:val="21"/>
                <w:highlight w:val="none"/>
                <w:lang w:eastAsia="en-US"/>
              </w:rPr>
              <w:t>输入功率：1000VA</w:t>
            </w:r>
            <w:r>
              <w:rPr>
                <w:rFonts w:hint="eastAsia" w:ascii="宋体" w:hAnsi="宋体" w:cs="宋体"/>
                <w:snapToGrid w:val="0"/>
                <w:color w:val="auto"/>
                <w:spacing w:val="-4"/>
                <w:kern w:val="0"/>
                <w:szCs w:val="21"/>
                <w:highlight w:val="none"/>
                <w:lang w:eastAsia="zh-CN"/>
              </w:rPr>
              <w:t>。</w:t>
            </w:r>
          </w:p>
          <w:p w14:paraId="0DFE6949">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6"/>
                <w:kern w:val="0"/>
                <w:szCs w:val="21"/>
                <w:highlight w:val="none"/>
                <w:lang w:eastAsia="en-US"/>
              </w:rPr>
              <w:t>安全类型：I类</w:t>
            </w:r>
            <w:r>
              <w:rPr>
                <w:rFonts w:hint="eastAsia" w:ascii="宋体" w:hAnsi="宋体" w:cs="宋体"/>
                <w:snapToGrid w:val="0"/>
                <w:color w:val="auto"/>
                <w:spacing w:val="-6"/>
                <w:kern w:val="0"/>
                <w:szCs w:val="21"/>
                <w:highlight w:val="none"/>
                <w:lang w:eastAsia="zh-CN"/>
              </w:rPr>
              <w:t>。</w:t>
            </w:r>
          </w:p>
          <w:p w14:paraId="0C239FED">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1"/>
                <w:kern w:val="0"/>
                <w:szCs w:val="21"/>
                <w:highlight w:val="none"/>
                <w:lang w:eastAsia="en-US"/>
              </w:rPr>
              <w:t>外形尺寸：长638</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ascii="宋体" w:hAnsi="宋体" w:cs="宋体"/>
                <w:snapToGrid w:val="0"/>
                <w:color w:val="auto"/>
                <w:spacing w:val="-1"/>
                <w:kern w:val="0"/>
                <w:szCs w:val="21"/>
                <w:highlight w:val="none"/>
                <w:lang w:eastAsia="en-US"/>
              </w:rPr>
              <w:t>*宽520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ascii="宋体" w:hAnsi="宋体" w:cs="宋体"/>
                <w:snapToGrid w:val="0"/>
                <w:color w:val="auto"/>
                <w:spacing w:val="-1"/>
                <w:kern w:val="0"/>
                <w:szCs w:val="21"/>
                <w:highlight w:val="none"/>
                <w:lang w:eastAsia="en-US"/>
              </w:rPr>
              <w:t>*高1250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ascii="宋体" w:hAnsi="宋体" w:cs="宋体"/>
                <w:snapToGrid w:val="0"/>
                <w:color w:val="auto"/>
                <w:spacing w:val="-1"/>
                <w:kern w:val="0"/>
                <w:szCs w:val="21"/>
                <w:highlight w:val="none"/>
                <w:lang w:eastAsia="en-US"/>
              </w:rPr>
              <w:t>mm</w:t>
            </w:r>
            <w:r>
              <w:rPr>
                <w:rFonts w:hint="eastAsia" w:ascii="宋体" w:hAnsi="宋体" w:cs="宋体"/>
                <w:snapToGrid w:val="0"/>
                <w:color w:val="auto"/>
                <w:spacing w:val="-1"/>
                <w:kern w:val="0"/>
                <w:szCs w:val="21"/>
                <w:highlight w:val="none"/>
                <w:lang w:eastAsia="zh-CN"/>
              </w:rPr>
              <w:t>。</w:t>
            </w:r>
          </w:p>
          <w:p w14:paraId="63E82F97">
            <w:pPr>
              <w:keepNext w:val="0"/>
              <w:keepLines w:val="0"/>
              <w:pageBreakBefore w:val="0"/>
              <w:widowControl/>
              <w:numPr>
                <w:ilvl w:val="0"/>
                <w:numId w:val="1"/>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5"/>
                <w:kern w:val="0"/>
                <w:szCs w:val="21"/>
                <w:highlight w:val="none"/>
                <w:lang w:eastAsia="en-US"/>
              </w:rPr>
            </w:pPr>
            <w:r>
              <w:rPr>
                <w:rFonts w:ascii="宋体" w:hAnsi="宋体" w:cs="宋体"/>
                <w:snapToGrid w:val="0"/>
                <w:color w:val="auto"/>
                <w:spacing w:val="-1"/>
                <w:kern w:val="0"/>
                <w:szCs w:val="21"/>
                <w:highlight w:val="none"/>
                <w:lang w:eastAsia="en-US"/>
              </w:rPr>
              <w:t>整机重量：≤110kg</w:t>
            </w:r>
            <w:r>
              <w:rPr>
                <w:rFonts w:hint="eastAsia" w:ascii="宋体" w:hAnsi="宋体" w:cs="宋体"/>
                <w:snapToGrid w:val="0"/>
                <w:color w:val="auto"/>
                <w:spacing w:val="-1"/>
                <w:kern w:val="0"/>
                <w:szCs w:val="21"/>
                <w:highlight w:val="none"/>
                <w:lang w:eastAsia="zh-CN"/>
              </w:rPr>
              <w:t>。</w:t>
            </w:r>
          </w:p>
          <w:p w14:paraId="76A3CB5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b/>
                <w:bCs/>
                <w:snapToGrid w:val="0"/>
                <w:color w:val="auto"/>
                <w:spacing w:val="-4"/>
                <w:kern w:val="0"/>
                <w:szCs w:val="21"/>
                <w:highlight w:val="none"/>
              </w:rPr>
            </w:pPr>
            <w:r>
              <w:rPr>
                <w:rFonts w:hint="eastAsia" w:ascii="宋体" w:hAnsi="宋体" w:cs="宋体"/>
                <w:snapToGrid w:val="0"/>
                <w:color w:val="auto"/>
                <w:spacing w:val="-1"/>
                <w:kern w:val="0"/>
                <w:szCs w:val="21"/>
                <w:highlight w:val="none"/>
              </w:rPr>
              <w:t>二、</w:t>
            </w:r>
            <w:r>
              <w:rPr>
                <w:rFonts w:hint="eastAsia" w:ascii="宋体" w:hAnsi="宋体" w:cs="宋体"/>
                <w:b/>
                <w:bCs/>
                <w:snapToGrid w:val="0"/>
                <w:color w:val="auto"/>
                <w:spacing w:val="-4"/>
                <w:kern w:val="0"/>
                <w:szCs w:val="21"/>
                <w:highlight w:val="none"/>
              </w:rPr>
              <w:t>技术参数：</w:t>
            </w:r>
          </w:p>
          <w:p w14:paraId="435EA98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auto"/>
                <w:spacing w:val="-2"/>
                <w:kern w:val="0"/>
                <w:szCs w:val="21"/>
                <w:highlight w:val="none"/>
                <w:lang w:eastAsia="zh-CN"/>
              </w:rPr>
            </w:pPr>
            <w:r>
              <w:rPr>
                <w:rFonts w:ascii="宋体" w:hAnsi="宋体" w:cs="宋体"/>
                <w:snapToGrid w:val="0"/>
                <w:color w:val="auto"/>
                <w:spacing w:val="-2"/>
                <w:kern w:val="0"/>
                <w:szCs w:val="21"/>
                <w:highlight w:val="none"/>
                <w:lang w:eastAsia="en-US"/>
              </w:rPr>
              <w:t>1</w:t>
            </w:r>
            <w:r>
              <w:rPr>
                <w:rFonts w:hint="eastAsia" w:ascii="宋体" w:hAnsi="宋体" w:cs="宋体"/>
                <w:snapToGrid w:val="0"/>
                <w:color w:val="auto"/>
                <w:spacing w:val="-2"/>
                <w:kern w:val="0"/>
                <w:szCs w:val="21"/>
                <w:highlight w:val="none"/>
              </w:rPr>
              <w:t>.</w:t>
            </w:r>
            <w:r>
              <w:rPr>
                <w:rFonts w:ascii="宋体" w:hAnsi="宋体" w:cs="宋体"/>
                <w:snapToGrid w:val="0"/>
                <w:color w:val="auto"/>
                <w:spacing w:val="-2"/>
                <w:kern w:val="0"/>
                <w:szCs w:val="21"/>
                <w:highlight w:val="none"/>
                <w:lang w:eastAsia="en-US"/>
              </w:rPr>
              <w:t>高精度6轴协作机械臂</w:t>
            </w:r>
            <w:r>
              <w:rPr>
                <w:rFonts w:hint="eastAsia" w:ascii="宋体" w:hAnsi="宋体" w:cs="宋体"/>
                <w:snapToGrid w:val="0"/>
                <w:color w:val="auto"/>
                <w:spacing w:val="-2"/>
                <w:kern w:val="0"/>
                <w:szCs w:val="21"/>
                <w:highlight w:val="none"/>
                <w:lang w:eastAsia="zh-CN"/>
              </w:rPr>
              <w:t>；</w:t>
            </w:r>
          </w:p>
          <w:p w14:paraId="2DD3070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auto"/>
                <w:kern w:val="0"/>
                <w:szCs w:val="21"/>
                <w:highlight w:val="none"/>
                <w:lang w:eastAsia="zh-CN"/>
              </w:rPr>
            </w:pPr>
            <w:r>
              <w:rPr>
                <w:rFonts w:ascii="宋体" w:hAnsi="宋体" w:cs="宋体"/>
                <w:snapToGrid w:val="0"/>
                <w:color w:val="auto"/>
                <w:kern w:val="0"/>
                <w:szCs w:val="21"/>
                <w:highlight w:val="none"/>
                <w:lang w:eastAsia="en-US"/>
              </w:rPr>
              <w:t>▲2</w:t>
            </w:r>
            <w:r>
              <w:rPr>
                <w:rFonts w:hint="eastAsia" w:ascii="宋体" w:hAnsi="宋体" w:cs="宋体"/>
                <w:snapToGrid w:val="0"/>
                <w:color w:val="auto"/>
                <w:kern w:val="0"/>
                <w:szCs w:val="21"/>
                <w:highlight w:val="none"/>
              </w:rPr>
              <w:t>.</w:t>
            </w:r>
            <w:r>
              <w:rPr>
                <w:rFonts w:ascii="宋体" w:hAnsi="宋体" w:cs="宋体"/>
                <w:snapToGrid w:val="0"/>
                <w:color w:val="auto"/>
                <w:kern w:val="0"/>
                <w:szCs w:val="21"/>
                <w:highlight w:val="none"/>
                <w:lang w:eastAsia="en-US"/>
              </w:rPr>
              <w:t>臂展：</w:t>
            </w:r>
            <w:r>
              <w:rPr>
                <w:rFonts w:ascii="宋体" w:hAnsi="宋体" w:cs="宋体"/>
                <w:snapToGrid w:val="0"/>
                <w:color w:val="auto"/>
                <w:spacing w:val="-76"/>
                <w:kern w:val="0"/>
                <w:szCs w:val="21"/>
                <w:highlight w:val="none"/>
                <w:lang w:eastAsia="en-US"/>
              </w:rPr>
              <w:t xml:space="preserve"> </w:t>
            </w:r>
            <w:r>
              <w:rPr>
                <w:rFonts w:ascii="宋体" w:hAnsi="宋体" w:cs="宋体"/>
                <w:snapToGrid w:val="0"/>
                <w:color w:val="auto"/>
                <w:kern w:val="0"/>
                <w:szCs w:val="21"/>
                <w:highlight w:val="none"/>
                <w:lang w:eastAsia="en-US"/>
              </w:rPr>
              <w:t>≥950mm</w:t>
            </w:r>
            <w:r>
              <w:rPr>
                <w:rFonts w:hint="eastAsia" w:ascii="宋体" w:hAnsi="宋体" w:cs="宋体"/>
                <w:snapToGrid w:val="0"/>
                <w:color w:val="auto"/>
                <w:kern w:val="0"/>
                <w:szCs w:val="21"/>
                <w:highlight w:val="none"/>
                <w:lang w:eastAsia="zh-CN"/>
              </w:rPr>
              <w:t>；</w:t>
            </w:r>
          </w:p>
          <w:p w14:paraId="18103F9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1"/>
                <w:kern w:val="0"/>
                <w:szCs w:val="21"/>
                <w:highlight w:val="none"/>
                <w:lang w:eastAsia="en-US"/>
              </w:rPr>
            </w:pPr>
            <w:r>
              <w:rPr>
                <w:rFonts w:hint="eastAsia" w:ascii="宋体" w:hAnsi="宋体" w:cs="宋体"/>
                <w:snapToGrid w:val="0"/>
                <w:color w:val="auto"/>
                <w:spacing w:val="-1"/>
                <w:kern w:val="0"/>
                <w:szCs w:val="21"/>
                <w:highlight w:val="none"/>
              </w:rPr>
              <w:t>3.</w:t>
            </w:r>
            <w:r>
              <w:rPr>
                <w:rFonts w:ascii="宋体" w:hAnsi="宋体" w:cs="宋体"/>
                <w:snapToGrid w:val="0"/>
                <w:color w:val="auto"/>
                <w:spacing w:val="-1"/>
                <w:kern w:val="0"/>
                <w:szCs w:val="21"/>
                <w:highlight w:val="none"/>
                <w:lang w:eastAsia="en-US"/>
              </w:rPr>
              <w:t>深度距离：0.4m-2m；</w:t>
            </w:r>
          </w:p>
          <w:p w14:paraId="64532B2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auto"/>
                <w:spacing w:val="-4"/>
                <w:kern w:val="0"/>
                <w:szCs w:val="21"/>
                <w:highlight w:val="none"/>
                <w:lang w:eastAsia="zh-CN"/>
              </w:rPr>
            </w:pPr>
            <w:r>
              <w:rPr>
                <w:rFonts w:hint="eastAsia" w:ascii="宋体" w:hAnsi="宋体" w:cs="宋体"/>
                <w:snapToGrid w:val="0"/>
                <w:color w:val="auto"/>
                <w:spacing w:val="-4"/>
                <w:kern w:val="0"/>
                <w:szCs w:val="21"/>
                <w:highlight w:val="none"/>
              </w:rPr>
              <w:t>4.</w:t>
            </w:r>
            <w:r>
              <w:rPr>
                <w:rFonts w:ascii="宋体" w:hAnsi="宋体" w:cs="宋体"/>
                <w:snapToGrid w:val="0"/>
                <w:color w:val="auto"/>
                <w:spacing w:val="-4"/>
                <w:kern w:val="0"/>
                <w:szCs w:val="21"/>
                <w:highlight w:val="none"/>
                <w:lang w:eastAsia="en-US"/>
              </w:rPr>
              <w:t>测温精度：</w:t>
            </w:r>
            <w:r>
              <w:rPr>
                <w:rFonts w:ascii="宋体" w:hAnsi="宋体" w:cs="宋体"/>
                <w:snapToGrid w:val="0"/>
                <w:color w:val="auto"/>
                <w:spacing w:val="-66"/>
                <w:kern w:val="0"/>
                <w:szCs w:val="21"/>
                <w:highlight w:val="none"/>
                <w:lang w:eastAsia="en-US"/>
              </w:rPr>
              <w:t xml:space="preserve"> </w:t>
            </w:r>
            <w:r>
              <w:rPr>
                <w:rFonts w:ascii="宋体" w:hAnsi="宋体" w:cs="宋体"/>
                <w:snapToGrid w:val="0"/>
                <w:color w:val="auto"/>
                <w:spacing w:val="-4"/>
                <w:kern w:val="0"/>
                <w:szCs w:val="21"/>
                <w:highlight w:val="none"/>
                <w:lang w:eastAsia="en-US"/>
              </w:rPr>
              <w:t>±2℃</w:t>
            </w:r>
            <w:r>
              <w:rPr>
                <w:rFonts w:hint="eastAsia" w:ascii="宋体" w:hAnsi="宋体" w:cs="宋体"/>
                <w:snapToGrid w:val="0"/>
                <w:color w:val="auto"/>
                <w:spacing w:val="-4"/>
                <w:kern w:val="0"/>
                <w:szCs w:val="21"/>
                <w:highlight w:val="none"/>
                <w:lang w:eastAsia="zh-CN"/>
              </w:rPr>
              <w:t>；</w:t>
            </w:r>
          </w:p>
          <w:p w14:paraId="1736585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auto"/>
                <w:spacing w:val="-4"/>
                <w:kern w:val="0"/>
                <w:szCs w:val="21"/>
                <w:highlight w:val="none"/>
                <w:lang w:eastAsia="zh-CN"/>
              </w:rPr>
            </w:pPr>
            <w:r>
              <w:rPr>
                <w:rFonts w:hint="eastAsia" w:ascii="宋体" w:hAnsi="宋体" w:cs="宋体"/>
                <w:snapToGrid w:val="0"/>
                <w:color w:val="auto"/>
                <w:spacing w:val="-3"/>
                <w:kern w:val="0"/>
                <w:szCs w:val="21"/>
                <w:highlight w:val="none"/>
              </w:rPr>
              <w:t>5.</w:t>
            </w:r>
            <w:r>
              <w:rPr>
                <w:rFonts w:ascii="宋体" w:hAnsi="宋体" w:cs="宋体"/>
                <w:snapToGrid w:val="0"/>
                <w:color w:val="auto"/>
                <w:spacing w:val="-3"/>
                <w:kern w:val="0"/>
                <w:szCs w:val="21"/>
                <w:highlight w:val="none"/>
                <w:lang w:eastAsia="en-US"/>
              </w:rPr>
              <w:t>理疗面积：</w:t>
            </w:r>
            <w:r>
              <w:rPr>
                <w:rFonts w:ascii="宋体" w:hAnsi="宋体" w:cs="宋体"/>
                <w:snapToGrid w:val="0"/>
                <w:color w:val="auto"/>
                <w:spacing w:val="-74"/>
                <w:kern w:val="0"/>
                <w:szCs w:val="21"/>
                <w:highlight w:val="none"/>
                <w:lang w:eastAsia="en-US"/>
              </w:rPr>
              <w:t xml:space="preserve"> </w:t>
            </w:r>
            <w:r>
              <w:rPr>
                <w:rFonts w:ascii="宋体" w:hAnsi="宋体" w:cs="宋体"/>
                <w:snapToGrid w:val="0"/>
                <w:color w:val="auto"/>
                <w:spacing w:val="-3"/>
                <w:kern w:val="0"/>
                <w:szCs w:val="21"/>
                <w:highlight w:val="none"/>
                <w:lang w:eastAsia="en-US"/>
              </w:rPr>
              <w:t>≥55cm²</w:t>
            </w:r>
            <w:r>
              <w:rPr>
                <w:rFonts w:ascii="宋体" w:hAnsi="宋体" w:cs="宋体"/>
                <w:snapToGrid w:val="0"/>
                <w:color w:val="auto"/>
                <w:spacing w:val="-83"/>
                <w:kern w:val="0"/>
                <w:szCs w:val="21"/>
                <w:highlight w:val="none"/>
                <w:lang w:eastAsia="en-US"/>
              </w:rPr>
              <w:t xml:space="preserve"> </w:t>
            </w:r>
            <w:r>
              <w:rPr>
                <w:rFonts w:hint="eastAsia" w:ascii="宋体" w:hAnsi="宋体" w:cs="宋体"/>
                <w:snapToGrid w:val="0"/>
                <w:color w:val="auto"/>
                <w:spacing w:val="-3"/>
                <w:kern w:val="0"/>
                <w:szCs w:val="21"/>
                <w:highlight w:val="none"/>
                <w:lang w:eastAsia="zh-CN"/>
              </w:rPr>
              <w:t>；</w:t>
            </w:r>
          </w:p>
          <w:p w14:paraId="278580F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auto"/>
                <w:spacing w:val="-4"/>
                <w:kern w:val="0"/>
                <w:szCs w:val="21"/>
                <w:highlight w:val="none"/>
                <w:lang w:eastAsia="zh-CN"/>
              </w:rPr>
            </w:pPr>
            <w:r>
              <w:rPr>
                <w:rFonts w:ascii="宋体" w:hAnsi="宋体" w:cs="宋体"/>
                <w:snapToGrid w:val="0"/>
                <w:color w:val="auto"/>
                <w:spacing w:val="-3"/>
                <w:kern w:val="0"/>
                <w:szCs w:val="21"/>
                <w:highlight w:val="none"/>
                <w:lang w:eastAsia="en-US"/>
              </w:rPr>
              <w:t>▲6</w:t>
            </w:r>
            <w:r>
              <w:rPr>
                <w:rFonts w:hint="eastAsia" w:ascii="宋体" w:hAnsi="宋体" w:cs="宋体"/>
                <w:snapToGrid w:val="0"/>
                <w:color w:val="auto"/>
                <w:spacing w:val="-3"/>
                <w:kern w:val="0"/>
                <w:szCs w:val="21"/>
                <w:highlight w:val="none"/>
              </w:rPr>
              <w:t>.</w:t>
            </w:r>
            <w:r>
              <w:rPr>
                <w:rFonts w:ascii="宋体" w:hAnsi="宋体" w:cs="宋体"/>
                <w:snapToGrid w:val="0"/>
                <w:color w:val="auto"/>
                <w:spacing w:val="-3"/>
                <w:kern w:val="0"/>
                <w:szCs w:val="21"/>
                <w:highlight w:val="none"/>
                <w:lang w:eastAsia="en-US"/>
              </w:rPr>
              <w:t>测温面积：</w:t>
            </w:r>
            <w:r>
              <w:rPr>
                <w:rFonts w:ascii="宋体" w:hAnsi="宋体" w:cs="宋体"/>
                <w:snapToGrid w:val="0"/>
                <w:color w:val="auto"/>
                <w:spacing w:val="-75"/>
                <w:kern w:val="0"/>
                <w:szCs w:val="21"/>
                <w:highlight w:val="none"/>
                <w:lang w:eastAsia="en-US"/>
              </w:rPr>
              <w:t xml:space="preserve"> </w:t>
            </w:r>
            <w:r>
              <w:rPr>
                <w:rFonts w:ascii="宋体" w:hAnsi="宋体" w:cs="宋体"/>
                <w:snapToGrid w:val="0"/>
                <w:color w:val="auto"/>
                <w:spacing w:val="-3"/>
                <w:kern w:val="0"/>
                <w:szCs w:val="21"/>
                <w:highlight w:val="none"/>
                <w:lang w:eastAsia="en-US"/>
              </w:rPr>
              <w:t>≥28cm²</w:t>
            </w:r>
            <w:r>
              <w:rPr>
                <w:rFonts w:ascii="宋体" w:hAnsi="宋体" w:cs="宋体"/>
                <w:snapToGrid w:val="0"/>
                <w:color w:val="auto"/>
                <w:spacing w:val="-81"/>
                <w:kern w:val="0"/>
                <w:szCs w:val="21"/>
                <w:highlight w:val="none"/>
                <w:lang w:eastAsia="en-US"/>
              </w:rPr>
              <w:t xml:space="preserve"> </w:t>
            </w:r>
            <w:r>
              <w:rPr>
                <w:rFonts w:hint="eastAsia" w:ascii="宋体" w:hAnsi="宋体" w:cs="宋体"/>
                <w:snapToGrid w:val="0"/>
                <w:color w:val="auto"/>
                <w:spacing w:val="-3"/>
                <w:kern w:val="0"/>
                <w:szCs w:val="21"/>
                <w:highlight w:val="none"/>
                <w:lang w:eastAsia="zh-CN"/>
              </w:rPr>
              <w:t>；</w:t>
            </w:r>
          </w:p>
          <w:p w14:paraId="6D83E70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4"/>
                <w:kern w:val="0"/>
                <w:szCs w:val="21"/>
                <w:highlight w:val="none"/>
              </w:rPr>
            </w:pPr>
            <w:r>
              <w:rPr>
                <w:rFonts w:ascii="宋体" w:hAnsi="宋体" w:cs="宋体"/>
                <w:snapToGrid w:val="0"/>
                <w:color w:val="auto"/>
                <w:spacing w:val="-3"/>
                <w:kern w:val="0"/>
                <w:szCs w:val="21"/>
                <w:highlight w:val="none"/>
                <w:lang w:eastAsia="en-US"/>
              </w:rPr>
              <w:t>7</w:t>
            </w:r>
            <w:r>
              <w:rPr>
                <w:rFonts w:hint="eastAsia" w:ascii="宋体" w:hAnsi="宋体" w:cs="宋体"/>
                <w:snapToGrid w:val="0"/>
                <w:color w:val="auto"/>
                <w:spacing w:val="-3"/>
                <w:kern w:val="0"/>
                <w:szCs w:val="21"/>
                <w:highlight w:val="none"/>
              </w:rPr>
              <w:t>.</w:t>
            </w:r>
            <w:r>
              <w:rPr>
                <w:rFonts w:ascii="宋体" w:hAnsi="宋体" w:cs="宋体"/>
                <w:snapToGrid w:val="0"/>
                <w:color w:val="auto"/>
                <w:spacing w:val="-3"/>
                <w:kern w:val="0"/>
                <w:szCs w:val="21"/>
                <w:highlight w:val="none"/>
                <w:lang w:eastAsia="en-US"/>
              </w:rPr>
              <w:t>艾柱直径：</w:t>
            </w:r>
            <w:r>
              <w:rPr>
                <w:rFonts w:ascii="宋体" w:hAnsi="宋体" w:cs="宋体"/>
                <w:snapToGrid w:val="0"/>
                <w:color w:val="auto"/>
                <w:spacing w:val="-75"/>
                <w:kern w:val="0"/>
                <w:szCs w:val="21"/>
                <w:highlight w:val="none"/>
                <w:lang w:eastAsia="en-US"/>
              </w:rPr>
              <w:t xml:space="preserve"> </w:t>
            </w:r>
            <w:r>
              <w:rPr>
                <w:rFonts w:ascii="宋体" w:hAnsi="宋体" w:cs="宋体"/>
                <w:snapToGrid w:val="0"/>
                <w:color w:val="auto"/>
                <w:spacing w:val="-3"/>
                <w:kern w:val="0"/>
                <w:szCs w:val="21"/>
                <w:highlight w:val="none"/>
                <w:lang w:eastAsia="en-US"/>
              </w:rPr>
              <w:t>≤5.6cm；</w:t>
            </w:r>
          </w:p>
          <w:p w14:paraId="60ECEE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3"/>
                <w:kern w:val="0"/>
                <w:szCs w:val="21"/>
                <w:highlight w:val="none"/>
                <w:lang w:eastAsia="en-US"/>
              </w:rPr>
            </w:pPr>
            <w:r>
              <w:rPr>
                <w:rFonts w:ascii="宋体" w:hAnsi="宋体" w:cs="宋体"/>
                <w:snapToGrid w:val="0"/>
                <w:color w:val="auto"/>
                <w:spacing w:val="-3"/>
                <w:kern w:val="0"/>
                <w:szCs w:val="21"/>
                <w:highlight w:val="none"/>
                <w:lang w:eastAsia="en-US"/>
              </w:rPr>
              <w:t>8</w:t>
            </w:r>
            <w:r>
              <w:rPr>
                <w:rFonts w:hint="eastAsia" w:ascii="宋体" w:hAnsi="宋体" w:cs="宋体"/>
                <w:snapToGrid w:val="0"/>
                <w:color w:val="auto"/>
                <w:spacing w:val="-3"/>
                <w:kern w:val="0"/>
                <w:szCs w:val="21"/>
                <w:highlight w:val="none"/>
              </w:rPr>
              <w:t>.</w:t>
            </w:r>
            <w:r>
              <w:rPr>
                <w:rFonts w:ascii="宋体" w:hAnsi="宋体" w:cs="宋体"/>
                <w:snapToGrid w:val="0"/>
                <w:color w:val="auto"/>
                <w:spacing w:val="-3"/>
                <w:kern w:val="0"/>
                <w:szCs w:val="21"/>
                <w:highlight w:val="none"/>
                <w:lang w:eastAsia="en-US"/>
              </w:rPr>
              <w:t>艾柱高度：</w:t>
            </w:r>
            <w:r>
              <w:rPr>
                <w:rFonts w:ascii="宋体" w:hAnsi="宋体" w:cs="宋体"/>
                <w:snapToGrid w:val="0"/>
                <w:color w:val="auto"/>
                <w:spacing w:val="-76"/>
                <w:kern w:val="0"/>
                <w:szCs w:val="21"/>
                <w:highlight w:val="none"/>
                <w:lang w:eastAsia="en-US"/>
              </w:rPr>
              <w:t xml:space="preserve"> </w:t>
            </w:r>
            <w:r>
              <w:rPr>
                <w:rFonts w:ascii="宋体" w:hAnsi="宋体" w:cs="宋体"/>
                <w:snapToGrid w:val="0"/>
                <w:color w:val="auto"/>
                <w:spacing w:val="-3"/>
                <w:kern w:val="0"/>
                <w:szCs w:val="21"/>
                <w:highlight w:val="none"/>
                <w:lang w:eastAsia="en-US"/>
              </w:rPr>
              <w:t>≥6cm；</w:t>
            </w:r>
          </w:p>
          <w:p w14:paraId="3122C88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1"/>
                <w:kern w:val="0"/>
                <w:szCs w:val="21"/>
                <w:highlight w:val="none"/>
                <w:lang w:eastAsia="en-US"/>
              </w:rPr>
            </w:pPr>
            <w:r>
              <w:rPr>
                <w:rFonts w:ascii="宋体" w:hAnsi="宋体" w:cs="宋体"/>
                <w:snapToGrid w:val="0"/>
                <w:color w:val="auto"/>
                <w:spacing w:val="1"/>
                <w:kern w:val="0"/>
                <w:szCs w:val="21"/>
                <w:highlight w:val="none"/>
                <w:lang w:eastAsia="en-US"/>
              </w:rPr>
              <w:t>9</w:t>
            </w:r>
            <w:r>
              <w:rPr>
                <w:rFonts w:hint="eastAsia" w:ascii="宋体" w:hAnsi="宋体" w:cs="宋体"/>
                <w:snapToGrid w:val="0"/>
                <w:color w:val="auto"/>
                <w:spacing w:val="1"/>
                <w:kern w:val="0"/>
                <w:szCs w:val="21"/>
                <w:highlight w:val="none"/>
              </w:rPr>
              <w:t>.</w:t>
            </w:r>
            <w:r>
              <w:rPr>
                <w:rFonts w:ascii="宋体" w:hAnsi="宋体" w:cs="宋体"/>
                <w:snapToGrid w:val="0"/>
                <w:color w:val="auto"/>
                <w:spacing w:val="1"/>
                <w:kern w:val="0"/>
                <w:szCs w:val="21"/>
                <w:highlight w:val="none"/>
                <w:lang w:eastAsia="en-US"/>
              </w:rPr>
              <w:t>测距距离：1</w:t>
            </w:r>
            <w:r>
              <w:rPr>
                <w:rFonts w:ascii="宋体" w:hAnsi="宋体" w:cs="宋体"/>
                <w:snapToGrid w:val="0"/>
                <w:color w:val="auto"/>
                <w:kern w:val="0"/>
                <w:szCs w:val="21"/>
                <w:highlight w:val="none"/>
                <w:lang w:eastAsia="en-US"/>
              </w:rPr>
              <w:t>cm</w:t>
            </w:r>
            <w:r>
              <w:rPr>
                <w:rFonts w:ascii="宋体" w:hAnsi="宋体" w:cs="宋体"/>
                <w:snapToGrid w:val="0"/>
                <w:color w:val="auto"/>
                <w:spacing w:val="1"/>
                <w:kern w:val="0"/>
                <w:szCs w:val="21"/>
                <w:highlight w:val="none"/>
                <w:lang w:eastAsia="en-US"/>
              </w:rPr>
              <w:t>-40</w:t>
            </w:r>
            <w:r>
              <w:rPr>
                <w:rFonts w:ascii="宋体" w:hAnsi="宋体" w:cs="宋体"/>
                <w:snapToGrid w:val="0"/>
                <w:color w:val="auto"/>
                <w:kern w:val="0"/>
                <w:szCs w:val="21"/>
                <w:highlight w:val="none"/>
                <w:lang w:eastAsia="en-US"/>
              </w:rPr>
              <w:t>cm</w:t>
            </w:r>
            <w:r>
              <w:rPr>
                <w:rFonts w:ascii="宋体" w:hAnsi="宋体" w:cs="宋体"/>
                <w:snapToGrid w:val="0"/>
                <w:color w:val="auto"/>
                <w:spacing w:val="1"/>
                <w:kern w:val="0"/>
                <w:szCs w:val="21"/>
                <w:highlight w:val="none"/>
                <w:lang w:eastAsia="en-US"/>
              </w:rPr>
              <w:t>；艾灸头集成距离传感器，在患者主动移动身体</w:t>
            </w:r>
            <w:r>
              <w:rPr>
                <w:rFonts w:ascii="宋体" w:hAnsi="宋体" w:cs="宋体"/>
                <w:snapToGrid w:val="0"/>
                <w:color w:val="auto"/>
                <w:kern w:val="0"/>
                <w:szCs w:val="21"/>
                <w:highlight w:val="none"/>
                <w:lang w:eastAsia="en-US"/>
              </w:rPr>
              <w:t>时，距离传感觉检测数据，让机械臂</w:t>
            </w:r>
            <w:r>
              <w:rPr>
                <w:rFonts w:ascii="宋体" w:hAnsi="宋体" w:cs="宋体"/>
                <w:snapToGrid w:val="0"/>
                <w:color w:val="auto"/>
                <w:spacing w:val="-1"/>
                <w:kern w:val="0"/>
                <w:szCs w:val="21"/>
                <w:highlight w:val="none"/>
                <w:lang w:eastAsia="en-US"/>
              </w:rPr>
              <w:t>主动调整艾灸头高度；</w:t>
            </w:r>
          </w:p>
          <w:p w14:paraId="02918E1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auto"/>
                <w:spacing w:val="-1"/>
                <w:kern w:val="0"/>
                <w:szCs w:val="21"/>
                <w:highlight w:val="none"/>
                <w:lang w:eastAsia="zh-CN"/>
              </w:rPr>
            </w:pPr>
            <w:r>
              <w:rPr>
                <w:rFonts w:ascii="宋体" w:hAnsi="宋体" w:cs="宋体"/>
                <w:snapToGrid w:val="0"/>
                <w:color w:val="auto"/>
                <w:spacing w:val="-1"/>
                <w:kern w:val="0"/>
                <w:szCs w:val="21"/>
                <w:highlight w:val="none"/>
                <w:lang w:eastAsia="en-US"/>
              </w:rPr>
              <w:t>10</w:t>
            </w:r>
            <w:r>
              <w:rPr>
                <w:rFonts w:hint="eastAsia" w:ascii="宋体" w:hAnsi="宋体" w:cs="宋体"/>
                <w:snapToGrid w:val="0"/>
                <w:color w:val="auto"/>
                <w:spacing w:val="-1"/>
                <w:kern w:val="0"/>
                <w:szCs w:val="21"/>
                <w:highlight w:val="none"/>
              </w:rPr>
              <w:t>.</w:t>
            </w:r>
            <w:r>
              <w:rPr>
                <w:rFonts w:ascii="宋体" w:hAnsi="宋体" w:cs="宋体"/>
                <w:snapToGrid w:val="0"/>
                <w:color w:val="auto"/>
                <w:spacing w:val="-1"/>
                <w:kern w:val="0"/>
                <w:szCs w:val="21"/>
                <w:highlight w:val="none"/>
                <w:lang w:eastAsia="en-US"/>
              </w:rPr>
              <w:t>测距传感器个数：</w:t>
            </w:r>
            <w:r>
              <w:rPr>
                <w:rFonts w:ascii="宋体" w:hAnsi="宋体" w:cs="宋体"/>
                <w:snapToGrid w:val="0"/>
                <w:color w:val="auto"/>
                <w:spacing w:val="-66"/>
                <w:kern w:val="0"/>
                <w:szCs w:val="21"/>
                <w:highlight w:val="none"/>
                <w:lang w:eastAsia="en-US"/>
              </w:rPr>
              <w:t xml:space="preserve"> </w:t>
            </w:r>
            <w:r>
              <w:rPr>
                <w:rFonts w:ascii="宋体" w:hAnsi="宋体" w:cs="宋体"/>
                <w:snapToGrid w:val="0"/>
                <w:color w:val="auto"/>
                <w:spacing w:val="-1"/>
                <w:kern w:val="0"/>
                <w:szCs w:val="21"/>
                <w:highlight w:val="none"/>
                <w:lang w:eastAsia="en-US"/>
              </w:rPr>
              <w:t>≥3个</w:t>
            </w:r>
            <w:r>
              <w:rPr>
                <w:rFonts w:hint="eastAsia" w:ascii="宋体" w:hAnsi="宋体" w:cs="宋体"/>
                <w:snapToGrid w:val="0"/>
                <w:color w:val="auto"/>
                <w:spacing w:val="-1"/>
                <w:kern w:val="0"/>
                <w:szCs w:val="21"/>
                <w:highlight w:val="none"/>
                <w:lang w:eastAsia="zh-CN"/>
              </w:rPr>
              <w:t>；</w:t>
            </w:r>
          </w:p>
          <w:p w14:paraId="5534F89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2"/>
                <w:kern w:val="0"/>
                <w:szCs w:val="21"/>
                <w:highlight w:val="none"/>
                <w:lang w:eastAsia="en-US"/>
              </w:rPr>
            </w:pPr>
            <w:r>
              <w:rPr>
                <w:rFonts w:ascii="宋体" w:hAnsi="宋体" w:cs="宋体"/>
                <w:snapToGrid w:val="0"/>
                <w:color w:val="auto"/>
                <w:spacing w:val="-2"/>
                <w:kern w:val="0"/>
                <w:szCs w:val="21"/>
                <w:highlight w:val="none"/>
                <w:lang w:eastAsia="en-US"/>
              </w:rPr>
              <w:t>11.具备自动熄火功能；</w:t>
            </w:r>
          </w:p>
          <w:p w14:paraId="526FA11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1"/>
                <w:kern w:val="0"/>
                <w:szCs w:val="21"/>
                <w:highlight w:val="none"/>
                <w:lang w:eastAsia="en-US"/>
              </w:rPr>
            </w:pPr>
            <w:r>
              <w:rPr>
                <w:rFonts w:ascii="宋体" w:hAnsi="宋体" w:cs="宋体"/>
                <w:snapToGrid w:val="0"/>
                <w:color w:val="auto"/>
                <w:spacing w:val="-1"/>
                <w:kern w:val="0"/>
                <w:szCs w:val="21"/>
                <w:highlight w:val="none"/>
                <w:lang w:eastAsia="en-US"/>
              </w:rPr>
              <w:t>▲12.具备无明火电热丝点火功能；</w:t>
            </w:r>
          </w:p>
          <w:p w14:paraId="247B204F">
            <w:pPr>
              <w:keepNext w:val="0"/>
              <w:keepLines w:val="0"/>
              <w:pageBreakBefore w:val="0"/>
              <w:widowControl/>
              <w:numPr>
                <w:ilvl w:val="0"/>
                <w:numId w:val="2"/>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kern w:val="0"/>
                <w:szCs w:val="21"/>
                <w:highlight w:val="none"/>
                <w:lang w:eastAsia="en-US"/>
              </w:rPr>
            </w:pPr>
            <w:r>
              <w:rPr>
                <w:rFonts w:ascii="宋体" w:hAnsi="宋体" w:cs="宋体"/>
                <w:snapToGrid w:val="0"/>
                <w:color w:val="auto"/>
                <w:kern w:val="0"/>
                <w:szCs w:val="21"/>
                <w:highlight w:val="none"/>
                <w:lang w:eastAsia="en-US"/>
              </w:rPr>
              <w:t>通过设置温度，实现最佳温度控制，用红外相机测温，实时监控皮肤；</w:t>
            </w:r>
          </w:p>
          <w:p w14:paraId="75058333">
            <w:pPr>
              <w:keepNext w:val="0"/>
              <w:keepLines w:val="0"/>
              <w:pageBreakBefore w:val="0"/>
              <w:widowControl/>
              <w:numPr>
                <w:ilvl w:val="0"/>
                <w:numId w:val="2"/>
              </w:numPr>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2"/>
                <w:kern w:val="0"/>
                <w:szCs w:val="21"/>
                <w:highlight w:val="none"/>
                <w:lang w:eastAsia="en-US"/>
              </w:rPr>
            </w:pPr>
            <w:r>
              <w:rPr>
                <w:rFonts w:ascii="宋体" w:hAnsi="宋体" w:cs="宋体"/>
                <w:snapToGrid w:val="0"/>
                <w:color w:val="auto"/>
                <w:spacing w:val="-2"/>
                <w:kern w:val="0"/>
                <w:szCs w:val="21"/>
                <w:highlight w:val="none"/>
                <w:lang w:eastAsia="en-US"/>
              </w:rPr>
              <w:t>具备自动刮灰功能；</w:t>
            </w:r>
          </w:p>
          <w:p w14:paraId="5CDE24A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2"/>
                <w:kern w:val="0"/>
                <w:szCs w:val="21"/>
                <w:highlight w:val="none"/>
                <w:lang w:eastAsia="en-US"/>
              </w:rPr>
            </w:pPr>
            <w:r>
              <w:rPr>
                <w:rFonts w:ascii="宋体" w:hAnsi="宋体" w:cs="宋体"/>
                <w:snapToGrid w:val="0"/>
                <w:color w:val="auto"/>
                <w:spacing w:val="1"/>
                <w:kern w:val="0"/>
                <w:szCs w:val="21"/>
                <w:highlight w:val="none"/>
                <w:lang w:eastAsia="en-US"/>
              </w:rPr>
              <w:t>15.无艾灰挡板设计，保障最佳灸感，可根据艾柱的紧实</w:t>
            </w:r>
            <w:r>
              <w:rPr>
                <w:rFonts w:ascii="宋体" w:hAnsi="宋体" w:cs="宋体"/>
                <w:snapToGrid w:val="0"/>
                <w:color w:val="auto"/>
                <w:kern w:val="0"/>
                <w:szCs w:val="21"/>
                <w:highlight w:val="none"/>
                <w:lang w:eastAsia="en-US"/>
              </w:rPr>
              <w:t>程度设置自动刮灰时长，在保障艾灰不掉落的同</w:t>
            </w:r>
            <w:r>
              <w:rPr>
                <w:rFonts w:ascii="宋体" w:hAnsi="宋体" w:cs="宋体"/>
                <w:snapToGrid w:val="0"/>
                <w:color w:val="auto"/>
                <w:spacing w:val="-2"/>
                <w:kern w:val="0"/>
                <w:szCs w:val="21"/>
                <w:highlight w:val="none"/>
                <w:lang w:eastAsia="en-US"/>
              </w:rPr>
              <w:t>时，提供最强灸感；</w:t>
            </w:r>
          </w:p>
          <w:p w14:paraId="5778C14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1"/>
                <w:kern w:val="0"/>
                <w:szCs w:val="21"/>
                <w:highlight w:val="none"/>
                <w:lang w:eastAsia="en-US"/>
              </w:rPr>
            </w:pPr>
            <w:r>
              <w:rPr>
                <w:rFonts w:hint="eastAsia" w:ascii="宋体" w:hAnsi="宋体" w:cs="宋体"/>
                <w:snapToGrid w:val="0"/>
                <w:color w:val="auto"/>
                <w:spacing w:val="-1"/>
                <w:kern w:val="0"/>
                <w:szCs w:val="21"/>
                <w:highlight w:val="none"/>
              </w:rPr>
              <w:t>16.</w:t>
            </w:r>
            <w:r>
              <w:rPr>
                <w:rFonts w:ascii="宋体" w:hAnsi="宋体" w:cs="宋体"/>
                <w:snapToGrid w:val="0"/>
                <w:color w:val="auto"/>
                <w:spacing w:val="-1"/>
                <w:kern w:val="0"/>
                <w:szCs w:val="21"/>
                <w:highlight w:val="none"/>
                <w:lang w:eastAsia="en-US"/>
              </w:rPr>
              <w:t>具有内置三元催化净烟系统；</w:t>
            </w:r>
          </w:p>
          <w:p w14:paraId="2989D4D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2"/>
                <w:kern w:val="0"/>
                <w:szCs w:val="21"/>
                <w:highlight w:val="none"/>
                <w:lang w:eastAsia="en-US"/>
              </w:rPr>
            </w:pPr>
            <w:r>
              <w:rPr>
                <w:rFonts w:hint="eastAsia" w:ascii="宋体" w:hAnsi="宋体" w:cs="宋体"/>
                <w:snapToGrid w:val="0"/>
                <w:color w:val="auto"/>
                <w:spacing w:val="-2"/>
                <w:kern w:val="0"/>
                <w:szCs w:val="21"/>
                <w:highlight w:val="none"/>
              </w:rPr>
              <w:t>17.</w:t>
            </w:r>
            <w:r>
              <w:rPr>
                <w:rFonts w:ascii="宋体" w:hAnsi="宋体" w:cs="宋体"/>
                <w:snapToGrid w:val="0"/>
                <w:color w:val="auto"/>
                <w:spacing w:val="-2"/>
                <w:kern w:val="0"/>
                <w:szCs w:val="21"/>
                <w:highlight w:val="none"/>
                <w:lang w:eastAsia="en-US"/>
              </w:rPr>
              <w:t>双层烟道设计；</w:t>
            </w:r>
          </w:p>
          <w:p w14:paraId="372A653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1"/>
                <w:kern w:val="0"/>
                <w:szCs w:val="21"/>
                <w:highlight w:val="none"/>
                <w:lang w:eastAsia="en-US"/>
              </w:rPr>
            </w:pPr>
            <w:r>
              <w:rPr>
                <w:rFonts w:ascii="宋体" w:hAnsi="宋体" w:cs="宋体"/>
                <w:snapToGrid w:val="0"/>
                <w:color w:val="auto"/>
                <w:kern w:val="0"/>
                <w:szCs w:val="21"/>
                <w:highlight w:val="none"/>
                <w:lang w:eastAsia="en-US"/>
              </w:rPr>
              <w:t>18.手持遥控器遥控艾灸机器人调整温度、速</w:t>
            </w:r>
            <w:r>
              <w:rPr>
                <w:rFonts w:ascii="宋体" w:hAnsi="宋体" w:cs="宋体"/>
                <w:snapToGrid w:val="0"/>
                <w:color w:val="auto"/>
                <w:spacing w:val="-1"/>
                <w:kern w:val="0"/>
                <w:szCs w:val="21"/>
                <w:highlight w:val="none"/>
                <w:lang w:eastAsia="en-US"/>
              </w:rPr>
              <w:t>度等参数；</w:t>
            </w:r>
          </w:p>
          <w:p w14:paraId="6D8F6B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1"/>
                <w:kern w:val="0"/>
                <w:szCs w:val="21"/>
                <w:highlight w:val="none"/>
                <w:lang w:eastAsia="en-US"/>
              </w:rPr>
            </w:pPr>
            <w:r>
              <w:rPr>
                <w:rFonts w:ascii="宋体" w:hAnsi="宋体" w:cs="宋体"/>
                <w:snapToGrid w:val="0"/>
                <w:color w:val="auto"/>
                <w:spacing w:val="-1"/>
                <w:kern w:val="0"/>
                <w:szCs w:val="21"/>
                <w:highlight w:val="none"/>
                <w:lang w:eastAsia="en-US"/>
              </w:rPr>
              <w:t>19.可通过遥控器呼叫前台 ；</w:t>
            </w:r>
          </w:p>
          <w:p w14:paraId="0CD596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2"/>
                <w:kern w:val="0"/>
                <w:szCs w:val="21"/>
                <w:highlight w:val="none"/>
                <w:lang w:eastAsia="en-US"/>
              </w:rPr>
            </w:pPr>
            <w:r>
              <w:rPr>
                <w:rFonts w:ascii="宋体" w:hAnsi="宋体" w:cs="宋体"/>
                <w:snapToGrid w:val="0"/>
                <w:color w:val="auto"/>
                <w:spacing w:val="-2"/>
                <w:kern w:val="0"/>
                <w:szCs w:val="21"/>
                <w:highlight w:val="none"/>
                <w:lang w:eastAsia="en-US"/>
              </w:rPr>
              <w:t>20.</w:t>
            </w:r>
            <w:r>
              <w:rPr>
                <w:rFonts w:ascii="宋体" w:hAnsi="宋体" w:cs="宋体"/>
                <w:snapToGrid w:val="0"/>
                <w:color w:val="auto"/>
                <w:spacing w:val="-61"/>
                <w:kern w:val="0"/>
                <w:szCs w:val="21"/>
                <w:highlight w:val="none"/>
                <w:lang w:eastAsia="en-US"/>
              </w:rPr>
              <w:t xml:space="preserve"> </w:t>
            </w:r>
            <w:r>
              <w:rPr>
                <w:rFonts w:hint="eastAsia" w:ascii="宋体" w:hAnsi="宋体" w:cs="宋体"/>
                <w:snapToGrid w:val="0"/>
                <w:color w:val="auto"/>
                <w:spacing w:val="-2"/>
                <w:kern w:val="0"/>
                <w:szCs w:val="21"/>
                <w:highlight w:val="none"/>
              </w:rPr>
              <w:t>智</w:t>
            </w:r>
            <w:r>
              <w:rPr>
                <w:rFonts w:ascii="宋体" w:hAnsi="宋体" w:cs="宋体"/>
                <w:snapToGrid w:val="0"/>
                <w:color w:val="auto"/>
                <w:spacing w:val="-2"/>
                <w:kern w:val="0"/>
                <w:szCs w:val="21"/>
                <w:highlight w:val="none"/>
                <w:lang w:eastAsia="en-US"/>
              </w:rPr>
              <w:t>能系统针对自身运行状态具备智能语音提示</w:t>
            </w:r>
            <w:r>
              <w:rPr>
                <w:rFonts w:hint="eastAsia" w:ascii="宋体" w:hAnsi="宋体" w:cs="宋体"/>
                <w:snapToGrid w:val="0"/>
                <w:color w:val="auto"/>
                <w:spacing w:val="-2"/>
                <w:kern w:val="0"/>
                <w:szCs w:val="21"/>
                <w:highlight w:val="none"/>
              </w:rPr>
              <w:t>功</w:t>
            </w:r>
            <w:r>
              <w:rPr>
                <w:rFonts w:ascii="宋体" w:hAnsi="宋体" w:cs="宋体"/>
                <w:snapToGrid w:val="0"/>
                <w:color w:val="auto"/>
                <w:spacing w:val="-2"/>
                <w:kern w:val="0"/>
                <w:szCs w:val="21"/>
                <w:highlight w:val="none"/>
                <w:lang w:eastAsia="en-US"/>
              </w:rPr>
              <w:t>能，如:“正在点火</w:t>
            </w:r>
            <w:r>
              <w:rPr>
                <w:rFonts w:ascii="宋体" w:hAnsi="宋体" w:cs="宋体"/>
                <w:snapToGrid w:val="0"/>
                <w:color w:val="auto"/>
                <w:spacing w:val="-80"/>
                <w:kern w:val="0"/>
                <w:szCs w:val="21"/>
                <w:highlight w:val="none"/>
                <w:lang w:eastAsia="en-US"/>
              </w:rPr>
              <w:t xml:space="preserve"> </w:t>
            </w:r>
            <w:r>
              <w:rPr>
                <w:rFonts w:ascii="宋体" w:hAnsi="宋体" w:cs="宋体"/>
                <w:snapToGrid w:val="0"/>
                <w:color w:val="auto"/>
                <w:spacing w:val="-2"/>
                <w:kern w:val="0"/>
                <w:szCs w:val="21"/>
                <w:highlight w:val="none"/>
                <w:lang w:eastAsia="en-US"/>
              </w:rPr>
              <w:t>”，“准备刮灰</w:t>
            </w:r>
            <w:r>
              <w:rPr>
                <w:rFonts w:ascii="宋体" w:hAnsi="宋体" w:cs="宋体"/>
                <w:snapToGrid w:val="0"/>
                <w:color w:val="auto"/>
                <w:spacing w:val="-78"/>
                <w:kern w:val="0"/>
                <w:szCs w:val="21"/>
                <w:highlight w:val="none"/>
                <w:lang w:eastAsia="en-US"/>
              </w:rPr>
              <w:t xml:space="preserve"> </w:t>
            </w:r>
            <w:r>
              <w:rPr>
                <w:rFonts w:ascii="宋体" w:hAnsi="宋体" w:cs="宋体"/>
                <w:snapToGrid w:val="0"/>
                <w:color w:val="auto"/>
                <w:spacing w:val="-2"/>
                <w:kern w:val="0"/>
                <w:szCs w:val="21"/>
                <w:highlight w:val="none"/>
                <w:lang w:eastAsia="en-US"/>
              </w:rPr>
              <w:t>”等；</w:t>
            </w:r>
          </w:p>
          <w:p w14:paraId="41B96ED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kern w:val="0"/>
                <w:szCs w:val="21"/>
                <w:highlight w:val="none"/>
                <w:lang w:eastAsia="en-US"/>
              </w:rPr>
            </w:pPr>
            <w:r>
              <w:rPr>
                <w:rFonts w:ascii="宋体" w:hAnsi="宋体" w:cs="宋体"/>
                <w:snapToGrid w:val="0"/>
                <w:color w:val="auto"/>
                <w:spacing w:val="1"/>
                <w:kern w:val="0"/>
                <w:szCs w:val="21"/>
                <w:highlight w:val="none"/>
                <w:lang w:eastAsia="en-US"/>
              </w:rPr>
              <w:t>21.温度报告:艾灸前后红外相机、视觉相机</w:t>
            </w:r>
            <w:r>
              <w:rPr>
                <w:rFonts w:ascii="宋体" w:hAnsi="宋体" w:cs="宋体"/>
                <w:snapToGrid w:val="0"/>
                <w:color w:val="auto"/>
                <w:kern w:val="0"/>
                <w:szCs w:val="21"/>
                <w:highlight w:val="none"/>
                <w:lang w:eastAsia="en-US"/>
              </w:rPr>
              <w:t>采集数据，对比艾灸前后生体体温状况；</w:t>
            </w:r>
          </w:p>
          <w:p w14:paraId="3CE8F69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kern w:val="0"/>
                <w:szCs w:val="21"/>
                <w:highlight w:val="none"/>
                <w:lang w:eastAsia="en-US"/>
              </w:rPr>
            </w:pPr>
            <w:r>
              <w:rPr>
                <w:rFonts w:ascii="宋体" w:hAnsi="宋体" w:cs="宋体"/>
                <w:snapToGrid w:val="0"/>
                <w:color w:val="auto"/>
                <w:kern w:val="0"/>
                <w:szCs w:val="21"/>
                <w:highlight w:val="none"/>
                <w:lang w:eastAsia="en-US"/>
              </w:rPr>
              <w:t>22.五大灸法：悬空灸、回旋灸、雀啄灸、往复灸、循经灸；</w:t>
            </w:r>
          </w:p>
          <w:p w14:paraId="6578222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kern w:val="0"/>
                <w:szCs w:val="21"/>
                <w:highlight w:val="none"/>
                <w:lang w:eastAsia="en-US"/>
              </w:rPr>
            </w:pPr>
            <w:r>
              <w:rPr>
                <w:rFonts w:ascii="宋体" w:hAnsi="宋体" w:cs="宋体"/>
                <w:snapToGrid w:val="0"/>
                <w:color w:val="auto"/>
                <w:kern w:val="0"/>
                <w:szCs w:val="21"/>
                <w:highlight w:val="none"/>
                <w:lang w:eastAsia="en-US"/>
              </w:rPr>
              <w:t>2</w:t>
            </w:r>
            <w:r>
              <w:rPr>
                <w:rFonts w:hint="eastAsia" w:ascii="宋体" w:hAnsi="宋体" w:cs="宋体"/>
                <w:snapToGrid w:val="0"/>
                <w:color w:val="auto"/>
                <w:kern w:val="0"/>
                <w:szCs w:val="21"/>
                <w:highlight w:val="none"/>
              </w:rPr>
              <w:t>3</w:t>
            </w:r>
            <w:r>
              <w:rPr>
                <w:rFonts w:ascii="宋体" w:hAnsi="宋体" w:cs="宋体"/>
                <w:snapToGrid w:val="0"/>
                <w:color w:val="auto"/>
                <w:kern w:val="0"/>
                <w:szCs w:val="21"/>
                <w:highlight w:val="none"/>
                <w:lang w:eastAsia="en-US"/>
              </w:rPr>
              <w:t>.指哪灸哪:通过点击屏幕，实现快速穴位选择，指到哪里就艾灸哪里；</w:t>
            </w:r>
          </w:p>
          <w:p w14:paraId="6E7ED55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宋体" w:hAnsi="宋体" w:cs="宋体"/>
                <w:snapToGrid w:val="0"/>
                <w:color w:val="auto"/>
                <w:spacing w:val="-1"/>
                <w:kern w:val="0"/>
                <w:szCs w:val="21"/>
                <w:highlight w:val="none"/>
                <w:lang w:eastAsia="en-US"/>
              </w:rPr>
            </w:pPr>
            <w:r>
              <w:rPr>
                <w:rFonts w:hint="eastAsia" w:ascii="宋体" w:hAnsi="宋体" w:cs="宋体"/>
                <w:snapToGrid w:val="0"/>
                <w:color w:val="auto"/>
                <w:spacing w:val="-1"/>
                <w:kern w:val="0"/>
                <w:szCs w:val="21"/>
                <w:highlight w:val="none"/>
              </w:rPr>
              <w:t>24.</w:t>
            </w:r>
            <w:r>
              <w:rPr>
                <w:rFonts w:ascii="宋体" w:hAnsi="宋体" w:cs="宋体"/>
                <w:snapToGrid w:val="0"/>
                <w:color w:val="auto"/>
                <w:spacing w:val="-1"/>
                <w:kern w:val="0"/>
                <w:szCs w:val="21"/>
                <w:highlight w:val="none"/>
                <w:lang w:eastAsia="en-US"/>
              </w:rPr>
              <w:t>紧急制动按钮；</w:t>
            </w:r>
          </w:p>
          <w:p w14:paraId="7DCDD39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Calibri" w:hAnsi="Calibri"/>
                <w:color w:val="auto"/>
                <w:sz w:val="18"/>
                <w:szCs w:val="18"/>
                <w:highlight w:val="none"/>
              </w:rPr>
            </w:pPr>
            <w:r>
              <w:rPr>
                <w:rFonts w:ascii="宋体" w:hAnsi="宋体" w:cs="宋体"/>
                <w:snapToGrid w:val="0"/>
                <w:color w:val="auto"/>
                <w:kern w:val="0"/>
                <w:szCs w:val="21"/>
                <w:highlight w:val="none"/>
                <w:lang w:eastAsia="en-US"/>
              </w:rPr>
              <w:t>2</w:t>
            </w:r>
            <w:r>
              <w:rPr>
                <w:rFonts w:hint="eastAsia" w:ascii="宋体" w:hAnsi="宋体" w:cs="宋体"/>
                <w:snapToGrid w:val="0"/>
                <w:color w:val="auto"/>
                <w:kern w:val="0"/>
                <w:szCs w:val="21"/>
                <w:highlight w:val="none"/>
              </w:rPr>
              <w:t>5.</w:t>
            </w:r>
            <w:r>
              <w:rPr>
                <w:rFonts w:ascii="宋体" w:hAnsi="宋体" w:cs="宋体"/>
                <w:snapToGrid w:val="0"/>
                <w:color w:val="auto"/>
                <w:kern w:val="0"/>
                <w:szCs w:val="21"/>
                <w:highlight w:val="none"/>
                <w:lang w:eastAsia="en-US"/>
              </w:rPr>
              <w:t>五音疗法：对应的宫、商、角、徵、羽这五种音乐能提升患者的放松效果。</w:t>
            </w:r>
          </w:p>
        </w:tc>
        <w:tc>
          <w:tcPr>
            <w:tcW w:w="1217" w:type="dxa"/>
            <w:shd w:val="clear" w:color="auto" w:fill="FFFFFF"/>
            <w:vAlign w:val="center"/>
          </w:tcPr>
          <w:p w14:paraId="0D4B4FE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36万元</w:t>
            </w:r>
          </w:p>
        </w:tc>
      </w:tr>
      <w:tr w14:paraId="2AE8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588304F0">
            <w:pPr>
              <w:keepNext w:val="0"/>
              <w:keepLines w:val="0"/>
              <w:pageBreakBefore w:val="0"/>
              <w:widowControl/>
              <w:kinsoku/>
              <w:wordWrap/>
              <w:overflowPunct/>
              <w:topLinePunct w:val="0"/>
              <w:bidi w:val="0"/>
              <w:spacing w:line="240" w:lineRule="auto"/>
              <w:ind w:left="0" w:right="0" w:firstLine="0"/>
              <w:jc w:val="center"/>
              <w:rPr>
                <w:color w:val="auto"/>
                <w:kern w:val="0"/>
                <w:szCs w:val="21"/>
                <w:highlight w:val="none"/>
              </w:rPr>
            </w:pPr>
            <w:r>
              <w:rPr>
                <w:rFonts w:hint="eastAsia"/>
                <w:color w:val="auto"/>
                <w:kern w:val="0"/>
                <w:szCs w:val="21"/>
                <w:highlight w:val="none"/>
              </w:rPr>
              <w:t>3</w:t>
            </w:r>
          </w:p>
        </w:tc>
        <w:tc>
          <w:tcPr>
            <w:tcW w:w="1397" w:type="dxa"/>
            <w:gridSpan w:val="2"/>
            <w:shd w:val="clear" w:color="auto" w:fill="FFFFFF"/>
            <w:vAlign w:val="center"/>
          </w:tcPr>
          <w:p w14:paraId="52580093">
            <w:pPr>
              <w:keepNext w:val="0"/>
              <w:keepLines w:val="0"/>
              <w:pageBreakBefore w:val="0"/>
              <w:kinsoku/>
              <w:wordWrap/>
              <w:overflowPunct/>
              <w:topLinePunct w:val="0"/>
              <w:bidi w:val="0"/>
              <w:spacing w:line="240" w:lineRule="auto"/>
              <w:ind w:left="0" w:right="0" w:firstLine="0"/>
              <w:jc w:val="center"/>
              <w:rPr>
                <w:color w:val="auto"/>
                <w:szCs w:val="21"/>
                <w:highlight w:val="none"/>
              </w:rPr>
            </w:pPr>
            <w:r>
              <w:rPr>
                <w:rFonts w:hint="eastAsia"/>
                <w:color w:val="auto"/>
                <w:szCs w:val="21"/>
                <w:highlight w:val="none"/>
              </w:rPr>
              <w:t>常压煎药包装机</w:t>
            </w:r>
          </w:p>
        </w:tc>
        <w:tc>
          <w:tcPr>
            <w:tcW w:w="709" w:type="dxa"/>
            <w:shd w:val="clear" w:color="auto" w:fill="FFFFFF"/>
            <w:vAlign w:val="center"/>
          </w:tcPr>
          <w:p w14:paraId="10B2439C">
            <w:pPr>
              <w:keepNext w:val="0"/>
              <w:keepLines w:val="0"/>
              <w:pageBreakBefore w:val="0"/>
              <w:kinsoku/>
              <w:wordWrap/>
              <w:overflowPunct/>
              <w:topLinePunct w:val="0"/>
              <w:bidi w:val="0"/>
              <w:spacing w:line="240" w:lineRule="auto"/>
              <w:ind w:left="0" w:right="0" w:firstLine="0"/>
              <w:jc w:val="center"/>
              <w:rPr>
                <w:rFonts w:hint="eastAsia" w:eastAsia="宋体"/>
                <w:color w:val="auto"/>
                <w:szCs w:val="21"/>
                <w:highlight w:val="none"/>
                <w:lang w:val="en-US" w:eastAsia="zh-CN"/>
              </w:rPr>
            </w:pPr>
            <w:r>
              <w:rPr>
                <w:rFonts w:hint="eastAsia"/>
                <w:color w:val="auto"/>
                <w:szCs w:val="21"/>
                <w:highlight w:val="none"/>
                <w:lang w:val="en-US" w:eastAsia="zh-CN"/>
              </w:rPr>
              <w:t>1台</w:t>
            </w:r>
          </w:p>
        </w:tc>
        <w:tc>
          <w:tcPr>
            <w:tcW w:w="6684" w:type="dxa"/>
            <w:shd w:val="clear" w:color="auto" w:fill="FFFFFF"/>
            <w:vAlign w:val="center"/>
          </w:tcPr>
          <w:p w14:paraId="1AF3B20C">
            <w:pPr>
              <w:keepNext w:val="0"/>
              <w:keepLines w:val="0"/>
              <w:pageBreakBefore w:val="0"/>
              <w:numPr>
                <w:ilvl w:val="0"/>
                <w:numId w:val="0"/>
              </w:numPr>
              <w:kinsoku/>
              <w:wordWrap/>
              <w:overflowPunct/>
              <w:topLinePunct w:val="0"/>
              <w:bidi w:val="0"/>
              <w:spacing w:line="240" w:lineRule="auto"/>
              <w:ind w:leftChars="0" w:right="0" w:rightChars="0"/>
              <w:rPr>
                <w:rFonts w:ascii="宋体" w:hAnsi="宋体"/>
                <w:b/>
                <w:bCs/>
                <w:color w:val="auto"/>
                <w:szCs w:val="21"/>
                <w:highlight w:val="none"/>
              </w:rPr>
            </w:pPr>
            <w:r>
              <w:rPr>
                <w:rFonts w:hint="eastAsia" w:ascii="宋体" w:hAnsi="宋体"/>
                <w:b/>
                <w:bCs/>
                <w:color w:val="auto"/>
                <w:szCs w:val="21"/>
                <w:highlight w:val="none"/>
                <w:lang w:eastAsia="zh-CN"/>
              </w:rPr>
              <w:t>一、</w:t>
            </w:r>
            <w:r>
              <w:rPr>
                <w:rFonts w:ascii="宋体" w:hAnsi="宋体"/>
                <w:b/>
                <w:bCs/>
                <w:color w:val="auto"/>
                <w:szCs w:val="21"/>
                <w:highlight w:val="none"/>
              </w:rPr>
              <w:t>产品质量与特点：</w:t>
            </w:r>
          </w:p>
          <w:p w14:paraId="5AD2DDD9">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w:t>
            </w:r>
            <w:r>
              <w:rPr>
                <w:rFonts w:ascii="宋体" w:hAnsi="宋体"/>
                <w:color w:val="auto"/>
                <w:szCs w:val="21"/>
                <w:highlight w:val="none"/>
              </w:rPr>
              <w:t>煎药、包装一体机，机身采用不锈钢材质，厚度大于1.0mm，增加内附衬板，厚度大于2mm,箱体稳固不变形。外形美观、紧凑，结构合理，安装、操作、移动、运输方便。</w:t>
            </w:r>
          </w:p>
          <w:p w14:paraId="611220DB">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ascii="宋体" w:hAnsi="宋体"/>
                <w:color w:val="auto"/>
                <w:szCs w:val="21"/>
                <w:highlight w:val="none"/>
              </w:rPr>
              <w:t>锅底采用独家工艺，加装紧固结构，并涂抹导热硅脂，使锅底与加热盘无缝隙贴合，提高加热效率，防止加热盘及锅底变形。</w:t>
            </w:r>
          </w:p>
          <w:p w14:paraId="4EA2622C">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加热盘、加热管及电机超长使用寿命。</w:t>
            </w:r>
          </w:p>
          <w:p w14:paraId="27099A08">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电子元件及电磁阀等关键部件性能优良、稳定、使用寿命长。</w:t>
            </w:r>
          </w:p>
          <w:p w14:paraId="53E41659">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所有电源线采用纯国标3C认证产品，防止线路老化，保证安全。</w:t>
            </w:r>
          </w:p>
          <w:p w14:paraId="14000970">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常温常压煎药，满足先煎后下的需要，可同时煎煮1-3个处方,3-20副草药，方便多处方、多剂量的煎药需求。</w:t>
            </w:r>
          </w:p>
          <w:p w14:paraId="73A05417">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电气控制采用数字化技术，控制精度高，温度、时间、过程具有醒目的数字显示和声音提示。</w:t>
            </w:r>
          </w:p>
          <w:p w14:paraId="6AD18D01">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文、武火自动转换，高、低压电路分开，电控盒高度适中，防干烧设计，操作安全便捷，运行稳定可靠。</w:t>
            </w:r>
          </w:p>
          <w:p w14:paraId="115A536B">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rPr>
              <w:t>内设不锈钢网桶和过滤网，具有二次过滤设计，方便出药，防止管路堵塞。</w:t>
            </w:r>
          </w:p>
          <w:p w14:paraId="2634BC8F">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w:t>
            </w:r>
            <w:r>
              <w:rPr>
                <w:rFonts w:ascii="宋体" w:hAnsi="宋体"/>
                <w:color w:val="auto"/>
                <w:szCs w:val="21"/>
                <w:highlight w:val="none"/>
              </w:rPr>
              <w:t>筒体采用耐高温的高硼硅玻璃材质，计量刻度清晰，煎药过程直观。</w:t>
            </w:r>
          </w:p>
          <w:p w14:paraId="5DFE23AB">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w:t>
            </w:r>
            <w:r>
              <w:rPr>
                <w:rFonts w:ascii="宋体" w:hAnsi="宋体"/>
                <w:b/>
                <w:color w:val="auto"/>
                <w:szCs w:val="21"/>
                <w:highlight w:val="none"/>
              </w:rPr>
              <w:t>▲</w:t>
            </w:r>
            <w:r>
              <w:rPr>
                <w:rFonts w:ascii="宋体" w:hAnsi="宋体"/>
                <w:color w:val="auto"/>
                <w:szCs w:val="21"/>
                <w:highlight w:val="none"/>
              </w:rPr>
              <w:t>包装袋装卡采用新型工艺，加装轴承结构，避免包装卷卡顿，内藏式设计，前门设透明有机玻璃，方便观察，50-250ml变量包装，自主选择，方便各种剂量的的需求。</w:t>
            </w:r>
          </w:p>
          <w:p w14:paraId="64C0424A">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w:t>
            </w:r>
            <w:r>
              <w:rPr>
                <w:rFonts w:ascii="宋体" w:hAnsi="宋体"/>
                <w:b/>
                <w:color w:val="auto"/>
                <w:szCs w:val="21"/>
                <w:highlight w:val="none"/>
              </w:rPr>
              <w:t>▲</w:t>
            </w:r>
            <w:r>
              <w:rPr>
                <w:rFonts w:ascii="宋体" w:hAnsi="宋体"/>
                <w:color w:val="auto"/>
                <w:szCs w:val="21"/>
                <w:highlight w:val="none"/>
              </w:rPr>
              <w:t>配备电机反向开关，便于调整及维修。</w:t>
            </w:r>
          </w:p>
          <w:p w14:paraId="4A94AF13">
            <w:pPr>
              <w:keepNext w:val="0"/>
              <w:keepLines w:val="0"/>
              <w:pageBreakBefore w:val="0"/>
              <w:kinsoku/>
              <w:wordWrap/>
              <w:overflowPunct/>
              <w:topLinePunct w:val="0"/>
              <w:bidi w:val="0"/>
              <w:spacing w:line="240" w:lineRule="auto"/>
              <w:ind w:left="0" w:right="0" w:firstLine="0"/>
              <w:rPr>
                <w:rFonts w:ascii="宋体" w:hAnsi="宋体"/>
                <w:b/>
                <w:bCs/>
                <w:color w:val="auto"/>
                <w:szCs w:val="21"/>
                <w:highlight w:val="none"/>
              </w:rPr>
            </w:pPr>
            <w:r>
              <w:rPr>
                <w:rFonts w:ascii="宋体" w:hAnsi="宋体"/>
                <w:b/>
                <w:bCs/>
                <w:color w:val="auto"/>
                <w:szCs w:val="21"/>
                <w:highlight w:val="none"/>
              </w:rPr>
              <w:t>二、技术参数</w:t>
            </w:r>
          </w:p>
          <w:p w14:paraId="5CEBC1CF">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包装能力：7--9袋/分钟</w:t>
            </w:r>
            <w:r>
              <w:rPr>
                <w:rFonts w:hint="eastAsia" w:ascii="宋体" w:hAnsi="宋体"/>
                <w:color w:val="auto"/>
                <w:szCs w:val="21"/>
                <w:highlight w:val="none"/>
                <w:lang w:eastAsia="zh-CN"/>
              </w:rPr>
              <w:t>。</w:t>
            </w:r>
          </w:p>
          <w:p w14:paraId="4F117297">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制袋尺寸【长*宽】：70*100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ascii="宋体" w:hAnsi="宋体"/>
                <w:color w:val="auto"/>
                <w:szCs w:val="21"/>
                <w:highlight w:val="none"/>
              </w:rPr>
              <w:t>-185*100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±10</w:t>
            </w:r>
            <w:r>
              <w:rPr>
                <w:rFonts w:hint="eastAsia" w:ascii="宋体" w:hAnsi="宋体" w:cs="黑体"/>
                <w:color w:val="auto"/>
                <w:szCs w:val="21"/>
                <w:highlight w:val="none"/>
                <w:lang w:eastAsia="zh-CN"/>
              </w:rPr>
              <w:t>）</w:t>
            </w:r>
            <w:r>
              <w:rPr>
                <w:rFonts w:ascii="宋体" w:hAnsi="宋体"/>
                <w:color w:val="auto"/>
                <w:szCs w:val="21"/>
                <w:highlight w:val="none"/>
              </w:rPr>
              <w:t>毫米（mm）</w:t>
            </w:r>
            <w:r>
              <w:rPr>
                <w:rFonts w:hint="eastAsia" w:ascii="宋体" w:hAnsi="宋体"/>
                <w:color w:val="auto"/>
                <w:szCs w:val="21"/>
                <w:highlight w:val="none"/>
                <w:lang w:eastAsia="zh-CN"/>
              </w:rPr>
              <w:t>。</w:t>
            </w:r>
          </w:p>
          <w:p w14:paraId="113B7869">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袋装容量：50-250毫升（ml）</w:t>
            </w:r>
            <w:r>
              <w:rPr>
                <w:rFonts w:hint="eastAsia" w:ascii="宋体" w:hAnsi="宋体"/>
                <w:color w:val="auto"/>
                <w:szCs w:val="21"/>
                <w:highlight w:val="none"/>
                <w:lang w:eastAsia="zh-CN"/>
              </w:rPr>
              <w:t>。</w:t>
            </w:r>
          </w:p>
          <w:p w14:paraId="4562C4B9">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上下辊温设定范围：100-199度（℃）</w:t>
            </w:r>
            <w:r>
              <w:rPr>
                <w:rFonts w:hint="eastAsia" w:ascii="宋体" w:hAnsi="宋体"/>
                <w:color w:val="auto"/>
                <w:szCs w:val="21"/>
                <w:highlight w:val="none"/>
                <w:lang w:eastAsia="zh-CN"/>
              </w:rPr>
              <w:t>。</w:t>
            </w:r>
          </w:p>
          <w:p w14:paraId="22420061">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包装数量设定范围：0-250循环（袋）</w:t>
            </w:r>
            <w:r>
              <w:rPr>
                <w:rFonts w:hint="eastAsia" w:ascii="宋体" w:hAnsi="宋体"/>
                <w:color w:val="auto"/>
                <w:szCs w:val="21"/>
                <w:highlight w:val="none"/>
                <w:lang w:eastAsia="zh-CN"/>
              </w:rPr>
              <w:t>。</w:t>
            </w:r>
          </w:p>
          <w:p w14:paraId="148C3518">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煎药锅数量：3个</w:t>
            </w:r>
            <w:r>
              <w:rPr>
                <w:rFonts w:hint="eastAsia" w:ascii="宋体" w:hAnsi="宋体"/>
                <w:color w:val="auto"/>
                <w:szCs w:val="21"/>
                <w:highlight w:val="none"/>
                <w:lang w:eastAsia="zh-CN"/>
              </w:rPr>
              <w:t>。</w:t>
            </w:r>
          </w:p>
          <w:p w14:paraId="203A3967">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额定电压：220V±10%,50/60HZ</w:t>
            </w:r>
            <w:r>
              <w:rPr>
                <w:rFonts w:hint="eastAsia" w:ascii="宋体" w:hAnsi="宋体"/>
                <w:color w:val="auto"/>
                <w:szCs w:val="21"/>
                <w:highlight w:val="none"/>
                <w:lang w:eastAsia="zh-CN"/>
              </w:rPr>
              <w:t>。</w:t>
            </w:r>
          </w:p>
          <w:p w14:paraId="203F585C">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电控安全电压：≥5伏（V）</w:t>
            </w:r>
            <w:r>
              <w:rPr>
                <w:rFonts w:hint="eastAsia" w:ascii="宋体" w:hAnsi="宋体"/>
                <w:color w:val="auto"/>
                <w:szCs w:val="21"/>
                <w:highlight w:val="none"/>
                <w:lang w:eastAsia="zh-CN"/>
              </w:rPr>
              <w:t>。</w:t>
            </w:r>
          </w:p>
          <w:p w14:paraId="1AD8249F">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单锅煎药功率：1800瓦（W）</w:t>
            </w:r>
            <w:r>
              <w:rPr>
                <w:rFonts w:hint="eastAsia" w:ascii="宋体" w:hAnsi="宋体"/>
                <w:color w:val="auto"/>
                <w:szCs w:val="21"/>
                <w:highlight w:val="none"/>
                <w:lang w:eastAsia="zh-CN"/>
              </w:rPr>
              <w:t>。</w:t>
            </w:r>
          </w:p>
          <w:p w14:paraId="46CF26E4">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煎药总功率：5400瓦（W）</w:t>
            </w:r>
            <w:r>
              <w:rPr>
                <w:rFonts w:hint="eastAsia" w:ascii="宋体" w:hAnsi="宋体"/>
                <w:color w:val="auto"/>
                <w:szCs w:val="21"/>
                <w:highlight w:val="none"/>
                <w:lang w:eastAsia="zh-CN"/>
              </w:rPr>
              <w:t>。</w:t>
            </w:r>
          </w:p>
          <w:p w14:paraId="06E21EEC">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热合功率：800瓦（W）</w:t>
            </w:r>
            <w:r>
              <w:rPr>
                <w:rFonts w:hint="eastAsia" w:ascii="宋体" w:hAnsi="宋体"/>
                <w:color w:val="auto"/>
                <w:szCs w:val="21"/>
                <w:highlight w:val="none"/>
                <w:lang w:eastAsia="zh-CN"/>
              </w:rPr>
              <w:t>。</w:t>
            </w:r>
          </w:p>
          <w:p w14:paraId="188356CB">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电机功率：50瓦（W）</w:t>
            </w:r>
            <w:r>
              <w:rPr>
                <w:rFonts w:hint="eastAsia" w:ascii="宋体" w:hAnsi="宋体"/>
                <w:color w:val="auto"/>
                <w:szCs w:val="21"/>
                <w:highlight w:val="none"/>
                <w:lang w:eastAsia="zh-CN"/>
              </w:rPr>
              <w:t>。</w:t>
            </w:r>
          </w:p>
          <w:p w14:paraId="0BE41FCC">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总功率：6250瓦（W）</w:t>
            </w:r>
            <w:r>
              <w:rPr>
                <w:rFonts w:hint="eastAsia" w:ascii="宋体" w:hAnsi="宋体"/>
                <w:color w:val="auto"/>
                <w:szCs w:val="21"/>
                <w:highlight w:val="none"/>
                <w:lang w:eastAsia="zh-CN"/>
              </w:rPr>
              <w:t>。</w:t>
            </w:r>
          </w:p>
          <w:p w14:paraId="75A829EA">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整机绝缘阻值：≤500兆欧（MΩ）</w:t>
            </w:r>
            <w:r>
              <w:rPr>
                <w:rFonts w:hint="eastAsia" w:ascii="宋体" w:hAnsi="宋体"/>
                <w:color w:val="auto"/>
                <w:szCs w:val="21"/>
                <w:highlight w:val="none"/>
                <w:lang w:eastAsia="zh-CN"/>
              </w:rPr>
              <w:t>。</w:t>
            </w:r>
          </w:p>
          <w:p w14:paraId="50462BD6">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外型尺寸【长*宽*高】：1200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±20</w:t>
            </w:r>
            <w:r>
              <w:rPr>
                <w:rFonts w:hint="eastAsia" w:ascii="宋体" w:hAnsi="宋体" w:cs="黑体"/>
                <w:color w:val="auto"/>
                <w:szCs w:val="21"/>
                <w:highlight w:val="none"/>
                <w:lang w:eastAsia="zh-CN"/>
              </w:rPr>
              <w:t>）</w:t>
            </w: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±20</w:t>
            </w:r>
            <w:r>
              <w:rPr>
                <w:rFonts w:hint="eastAsia" w:ascii="宋体" w:hAnsi="宋体" w:cs="黑体"/>
                <w:color w:val="auto"/>
                <w:szCs w:val="21"/>
                <w:highlight w:val="none"/>
                <w:lang w:eastAsia="zh-CN"/>
              </w:rPr>
              <w:t>）</w:t>
            </w:r>
            <w:r>
              <w:rPr>
                <w:rFonts w:ascii="宋体" w:hAnsi="宋体"/>
                <w:color w:val="auto"/>
                <w:szCs w:val="21"/>
                <w:highlight w:val="none"/>
              </w:rPr>
              <w:t>*1200</w:t>
            </w:r>
            <w:r>
              <w:rPr>
                <w:rFonts w:hint="eastAsia" w:ascii="宋体" w:hAnsi="宋体" w:cs="黑体"/>
                <w:color w:val="auto"/>
                <w:szCs w:val="21"/>
                <w:highlight w:val="none"/>
                <w:lang w:eastAsia="zh-CN"/>
              </w:rPr>
              <w:t>（</w:t>
            </w:r>
            <w:r>
              <w:rPr>
                <w:rFonts w:hint="eastAsia" w:ascii="宋体" w:hAnsi="宋体" w:cs="黑体"/>
                <w:color w:val="auto"/>
                <w:szCs w:val="21"/>
                <w:highlight w:val="none"/>
                <w:lang w:val="en-US" w:eastAsia="zh-CN"/>
              </w:rPr>
              <w:t>±20</w:t>
            </w:r>
            <w:r>
              <w:rPr>
                <w:rFonts w:hint="eastAsia" w:ascii="宋体" w:hAnsi="宋体" w:cs="黑体"/>
                <w:color w:val="auto"/>
                <w:szCs w:val="21"/>
                <w:highlight w:val="none"/>
                <w:lang w:eastAsia="zh-CN"/>
              </w:rPr>
              <w:t>）</w:t>
            </w:r>
            <w:r>
              <w:rPr>
                <w:rFonts w:ascii="宋体" w:hAnsi="宋体"/>
                <w:color w:val="auto"/>
                <w:szCs w:val="21"/>
                <w:highlight w:val="none"/>
              </w:rPr>
              <w:t>毫米（mm）</w:t>
            </w:r>
            <w:r>
              <w:rPr>
                <w:rFonts w:hint="eastAsia" w:ascii="宋体" w:hAnsi="宋体"/>
                <w:color w:val="auto"/>
                <w:szCs w:val="21"/>
                <w:highlight w:val="none"/>
                <w:lang w:eastAsia="zh-CN"/>
              </w:rPr>
              <w:t>。</w:t>
            </w:r>
          </w:p>
          <w:p w14:paraId="54D68A50">
            <w:pPr>
              <w:keepNext w:val="0"/>
              <w:keepLines w:val="0"/>
              <w:pageBreakBefore w:val="0"/>
              <w:numPr>
                <w:ilvl w:val="0"/>
                <w:numId w:val="3"/>
              </w:numPr>
              <w:kinsoku/>
              <w:wordWrap/>
              <w:overflowPunct/>
              <w:topLinePunct w:val="0"/>
              <w:bidi w:val="0"/>
              <w:spacing w:line="240" w:lineRule="auto"/>
              <w:ind w:left="0" w:right="0" w:firstLine="0"/>
              <w:jc w:val="left"/>
              <w:rPr>
                <w:rFonts w:ascii="宋体" w:hAnsi="宋体"/>
                <w:color w:val="auto"/>
                <w:szCs w:val="21"/>
                <w:highlight w:val="none"/>
              </w:rPr>
            </w:pPr>
            <w:r>
              <w:rPr>
                <w:rFonts w:ascii="宋体" w:hAnsi="宋体"/>
                <w:color w:val="auto"/>
                <w:szCs w:val="21"/>
                <w:highlight w:val="none"/>
              </w:rPr>
              <w:t>整机重量：</w:t>
            </w:r>
            <w:r>
              <w:rPr>
                <w:rFonts w:hint="default" w:ascii="Arial" w:hAnsi="Arial" w:cs="Arial"/>
                <w:color w:val="auto"/>
                <w:szCs w:val="21"/>
                <w:highlight w:val="none"/>
              </w:rPr>
              <w:t>≥</w:t>
            </w:r>
            <w:r>
              <w:rPr>
                <w:rFonts w:ascii="宋体" w:hAnsi="宋体"/>
                <w:color w:val="auto"/>
                <w:szCs w:val="21"/>
                <w:highlight w:val="none"/>
              </w:rPr>
              <w:t>145（kg）</w:t>
            </w:r>
            <w:r>
              <w:rPr>
                <w:rFonts w:hint="eastAsia" w:ascii="宋体" w:hAnsi="宋体"/>
                <w:color w:val="auto"/>
                <w:szCs w:val="21"/>
                <w:highlight w:val="none"/>
                <w:lang w:eastAsia="zh-CN"/>
              </w:rPr>
              <w:t>。</w:t>
            </w:r>
          </w:p>
          <w:p w14:paraId="4B192F27">
            <w:pPr>
              <w:keepNext w:val="0"/>
              <w:keepLines w:val="0"/>
              <w:pageBreakBefore w:val="0"/>
              <w:numPr>
                <w:ilvl w:val="0"/>
                <w:numId w:val="3"/>
              </w:numPr>
              <w:kinsoku/>
              <w:wordWrap/>
              <w:overflowPunct/>
              <w:topLinePunct w:val="0"/>
              <w:bidi w:val="0"/>
              <w:spacing w:line="240" w:lineRule="auto"/>
              <w:ind w:left="0" w:right="0" w:firstLine="0"/>
              <w:jc w:val="left"/>
              <w:rPr>
                <w:rFonts w:ascii="Calibri" w:hAnsi="Calibri"/>
                <w:color w:val="auto"/>
                <w:sz w:val="18"/>
                <w:szCs w:val="18"/>
                <w:highlight w:val="none"/>
              </w:rPr>
            </w:pPr>
            <w:r>
              <w:rPr>
                <w:rFonts w:ascii="宋体" w:hAnsi="宋体"/>
                <w:color w:val="auto"/>
                <w:szCs w:val="21"/>
                <w:highlight w:val="none"/>
              </w:rPr>
              <w:t>煎药锅有效容量：</w:t>
            </w:r>
            <w:r>
              <w:rPr>
                <w:rFonts w:hint="default" w:ascii="Arial" w:hAnsi="Arial" w:cs="Arial"/>
                <w:color w:val="auto"/>
                <w:szCs w:val="21"/>
                <w:highlight w:val="none"/>
              </w:rPr>
              <w:t>≥</w:t>
            </w:r>
            <w:r>
              <w:rPr>
                <w:rFonts w:ascii="宋体" w:hAnsi="宋体"/>
                <w:color w:val="auto"/>
                <w:szCs w:val="21"/>
                <w:highlight w:val="none"/>
              </w:rPr>
              <w:t>20*3升</w:t>
            </w:r>
            <w:r>
              <w:rPr>
                <w:rFonts w:hint="eastAsia" w:ascii="宋体" w:hAnsi="宋体"/>
                <w:color w:val="auto"/>
                <w:szCs w:val="21"/>
                <w:highlight w:val="none"/>
              </w:rPr>
              <w:t>（</w:t>
            </w:r>
            <w:r>
              <w:rPr>
                <w:rFonts w:ascii="宋体" w:hAnsi="宋体"/>
                <w:color w:val="auto"/>
                <w:szCs w:val="21"/>
                <w:highlight w:val="none"/>
              </w:rPr>
              <w:t>L</w:t>
            </w:r>
            <w:r>
              <w:rPr>
                <w:rFonts w:hint="eastAsia" w:ascii="宋体" w:hAnsi="宋体"/>
                <w:color w:val="auto"/>
                <w:szCs w:val="21"/>
                <w:highlight w:val="none"/>
              </w:rPr>
              <w:t>）</w:t>
            </w:r>
            <w:r>
              <w:rPr>
                <w:rFonts w:hint="eastAsia" w:ascii="宋体" w:hAnsi="宋体"/>
                <w:color w:val="auto"/>
                <w:szCs w:val="21"/>
                <w:highlight w:val="none"/>
                <w:lang w:eastAsia="zh-CN"/>
              </w:rPr>
              <w:t>。</w:t>
            </w:r>
          </w:p>
        </w:tc>
        <w:tc>
          <w:tcPr>
            <w:tcW w:w="1217" w:type="dxa"/>
            <w:shd w:val="clear" w:color="auto" w:fill="FFFFFF"/>
            <w:vAlign w:val="center"/>
          </w:tcPr>
          <w:p w14:paraId="1CB6DE2A">
            <w:pPr>
              <w:keepNext w:val="0"/>
              <w:keepLines w:val="0"/>
              <w:pageBreakBefore w:val="0"/>
              <w:numPr>
                <w:ilvl w:val="-1"/>
                <w:numId w:val="0"/>
              </w:numPr>
              <w:wordWrap/>
              <w:overflowPunct/>
              <w:topLinePunct w:val="0"/>
              <w:bidi w:val="0"/>
              <w:spacing w:line="240" w:lineRule="auto"/>
              <w:ind w:left="0" w:right="0" w:firstLine="0"/>
              <w:jc w:val="center"/>
              <w:rPr>
                <w:rFonts w:ascii="宋体" w:hAnsi="宋体"/>
                <w:color w:val="auto"/>
                <w:szCs w:val="21"/>
                <w:highlight w:val="none"/>
              </w:rPr>
            </w:pPr>
            <w:r>
              <w:rPr>
                <w:rFonts w:hint="eastAsia" w:ascii="宋体" w:hAnsi="宋体"/>
                <w:color w:val="auto"/>
                <w:szCs w:val="21"/>
                <w:highlight w:val="none"/>
                <w:lang w:val="en-US" w:eastAsia="zh-CN"/>
              </w:rPr>
              <w:t>2.7万元</w:t>
            </w:r>
          </w:p>
        </w:tc>
      </w:tr>
      <w:tr w14:paraId="34BD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441AC95C">
            <w:pPr>
              <w:keepNext w:val="0"/>
              <w:keepLines w:val="0"/>
              <w:pageBreakBefore w:val="0"/>
              <w:widowControl/>
              <w:kinsoku/>
              <w:wordWrap/>
              <w:overflowPunct/>
              <w:topLinePunct w:val="0"/>
              <w:bidi w:val="0"/>
              <w:spacing w:line="240" w:lineRule="auto"/>
              <w:ind w:left="0" w:right="0" w:firstLine="0"/>
              <w:jc w:val="center"/>
              <w:rPr>
                <w:rFonts w:hint="eastAsia"/>
                <w:color w:val="auto"/>
                <w:kern w:val="0"/>
                <w:szCs w:val="21"/>
                <w:highlight w:val="none"/>
              </w:rPr>
            </w:pPr>
            <w:r>
              <w:rPr>
                <w:rFonts w:hint="eastAsia"/>
                <w:color w:val="auto"/>
                <w:kern w:val="0"/>
                <w:szCs w:val="21"/>
                <w:highlight w:val="none"/>
              </w:rPr>
              <w:t>4</w:t>
            </w:r>
          </w:p>
        </w:tc>
        <w:tc>
          <w:tcPr>
            <w:tcW w:w="1397" w:type="dxa"/>
            <w:gridSpan w:val="2"/>
            <w:shd w:val="clear" w:color="auto" w:fill="FFFFFF"/>
            <w:vAlign w:val="center"/>
          </w:tcPr>
          <w:p w14:paraId="2BA7D411">
            <w:pPr>
              <w:keepNext w:val="0"/>
              <w:keepLines w:val="0"/>
              <w:pageBreakBefore w:val="0"/>
              <w:kinsoku/>
              <w:wordWrap/>
              <w:overflowPunct/>
              <w:topLinePunct w:val="0"/>
              <w:bidi w:val="0"/>
              <w:spacing w:line="240" w:lineRule="auto"/>
              <w:ind w:left="0" w:right="0" w:firstLine="0"/>
              <w:jc w:val="center"/>
              <w:rPr>
                <w:color w:val="auto"/>
                <w:szCs w:val="21"/>
                <w:highlight w:val="none"/>
              </w:rPr>
            </w:pPr>
            <w:r>
              <w:rPr>
                <w:rFonts w:hint="eastAsia"/>
                <w:color w:val="auto"/>
                <w:szCs w:val="21"/>
                <w:highlight w:val="none"/>
              </w:rPr>
              <w:t>医用红外热像仪</w:t>
            </w:r>
          </w:p>
        </w:tc>
        <w:tc>
          <w:tcPr>
            <w:tcW w:w="709" w:type="dxa"/>
            <w:shd w:val="clear" w:color="auto" w:fill="FFFFFF"/>
            <w:vAlign w:val="center"/>
          </w:tcPr>
          <w:p w14:paraId="7D49011C">
            <w:pPr>
              <w:keepNext w:val="0"/>
              <w:keepLines w:val="0"/>
              <w:pageBreakBefore w:val="0"/>
              <w:kinsoku/>
              <w:wordWrap/>
              <w:overflowPunct/>
              <w:topLinePunct w:val="0"/>
              <w:bidi w:val="0"/>
              <w:spacing w:line="240" w:lineRule="auto"/>
              <w:ind w:left="0" w:right="0" w:firstLine="0"/>
              <w:jc w:val="center"/>
              <w:rPr>
                <w:rFonts w:hint="eastAsia" w:eastAsia="宋体"/>
                <w:color w:val="auto"/>
                <w:szCs w:val="21"/>
                <w:highlight w:val="none"/>
                <w:lang w:val="en-US" w:eastAsia="zh-CN"/>
              </w:rPr>
            </w:pPr>
            <w:r>
              <w:rPr>
                <w:rFonts w:hint="eastAsia"/>
                <w:color w:val="auto"/>
                <w:szCs w:val="21"/>
                <w:highlight w:val="none"/>
                <w:lang w:val="en-US" w:eastAsia="zh-CN"/>
              </w:rPr>
              <w:t>1套</w:t>
            </w:r>
          </w:p>
        </w:tc>
        <w:tc>
          <w:tcPr>
            <w:tcW w:w="6684" w:type="dxa"/>
            <w:shd w:val="clear" w:color="auto" w:fill="FFFFFF"/>
            <w:vAlign w:val="center"/>
          </w:tcPr>
          <w:p w14:paraId="117871A0">
            <w:pPr>
              <w:keepNext w:val="0"/>
              <w:keepLines w:val="0"/>
              <w:pageBreakBefore w:val="0"/>
              <w:kinsoku/>
              <w:wordWrap/>
              <w:overflowPunct/>
              <w:topLinePunct w:val="0"/>
              <w:bidi w:val="0"/>
              <w:spacing w:line="240" w:lineRule="auto"/>
              <w:ind w:left="0" w:right="0" w:firstLine="0"/>
              <w:rPr>
                <w:rFonts w:ascii="宋体" w:hAnsi="宋体"/>
                <w:b/>
                <w:bCs/>
                <w:color w:val="auto"/>
                <w:szCs w:val="21"/>
                <w:highlight w:val="none"/>
              </w:rPr>
            </w:pPr>
            <w:r>
              <w:rPr>
                <w:rFonts w:hint="eastAsia" w:ascii="宋体" w:hAnsi="宋体"/>
                <w:b/>
                <w:bCs/>
                <w:color w:val="auto"/>
                <w:szCs w:val="21"/>
                <w:highlight w:val="none"/>
              </w:rPr>
              <w:t>一、产品基本信息</w:t>
            </w:r>
          </w:p>
          <w:p w14:paraId="37D18959">
            <w:pPr>
              <w:keepNext w:val="0"/>
              <w:keepLines w:val="0"/>
              <w:pageBreakBefore w:val="0"/>
              <w:kinsoku/>
              <w:wordWrap/>
              <w:overflowPunct/>
              <w:topLinePunct w:val="0"/>
              <w:bidi w:val="0"/>
              <w:spacing w:line="240" w:lineRule="auto"/>
              <w:ind w:left="0" w:right="0" w:firstLine="0"/>
              <w:rPr>
                <w:rFonts w:hint="eastAsia" w:ascii="宋体" w:hAnsi="宋体" w:eastAsia="宋体"/>
                <w:color w:val="auto"/>
                <w:szCs w:val="21"/>
                <w:highlight w:val="none"/>
                <w:lang w:eastAsia="zh-CN"/>
              </w:rPr>
            </w:pPr>
            <w:r>
              <w:rPr>
                <w:rFonts w:hint="eastAsia" w:ascii="宋体" w:hAnsi="宋体"/>
                <w:color w:val="auto"/>
                <w:szCs w:val="21"/>
                <w:highlight w:val="none"/>
              </w:rPr>
              <w:t>1.产品名称：医用红外热像仪</w:t>
            </w:r>
            <w:r>
              <w:rPr>
                <w:rFonts w:hint="eastAsia" w:ascii="宋体" w:hAnsi="宋体"/>
                <w:color w:val="auto"/>
                <w:szCs w:val="21"/>
                <w:highlight w:val="none"/>
                <w:lang w:eastAsia="zh-CN"/>
              </w:rPr>
              <w:t>。</w:t>
            </w:r>
          </w:p>
          <w:p w14:paraId="54777460">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.适用范围：用于测量人体表面温度的分布并提供红外热像图。</w:t>
            </w:r>
          </w:p>
          <w:p w14:paraId="36456FED">
            <w:pPr>
              <w:keepNext w:val="0"/>
              <w:keepLines w:val="0"/>
              <w:pageBreakBefore w:val="0"/>
              <w:kinsoku/>
              <w:wordWrap/>
              <w:overflowPunct/>
              <w:topLinePunct w:val="0"/>
              <w:bidi w:val="0"/>
              <w:spacing w:line="240" w:lineRule="auto"/>
              <w:ind w:left="0" w:right="0" w:firstLine="0"/>
              <w:rPr>
                <w:rFonts w:ascii="宋体" w:hAnsi="宋体"/>
                <w:b/>
                <w:bCs/>
                <w:color w:val="auto"/>
                <w:szCs w:val="21"/>
                <w:highlight w:val="none"/>
              </w:rPr>
            </w:pPr>
            <w:r>
              <w:rPr>
                <w:rFonts w:hint="eastAsia" w:ascii="宋体" w:hAnsi="宋体"/>
                <w:b/>
                <w:bCs/>
                <w:color w:val="auto"/>
                <w:szCs w:val="21"/>
                <w:highlight w:val="none"/>
              </w:rPr>
              <w:t>二</w:t>
            </w:r>
            <w:r>
              <w:rPr>
                <w:rFonts w:hint="eastAsia" w:ascii="宋体" w:hAnsi="宋体"/>
                <w:b/>
                <w:bCs/>
                <w:color w:val="auto"/>
                <w:szCs w:val="21"/>
                <w:highlight w:val="none"/>
                <w:lang w:val="zh-CN"/>
              </w:rPr>
              <w:t>、</w:t>
            </w:r>
            <w:r>
              <w:rPr>
                <w:rFonts w:hint="eastAsia" w:ascii="宋体" w:hAnsi="宋体"/>
                <w:b/>
                <w:bCs/>
                <w:color w:val="auto"/>
                <w:szCs w:val="21"/>
                <w:highlight w:val="none"/>
              </w:rPr>
              <w:t>功能参数</w:t>
            </w:r>
          </w:p>
          <w:p w14:paraId="41D6DD6A">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lang w:val="zh-CN"/>
              </w:rPr>
            </w:pPr>
            <w:r>
              <w:rPr>
                <w:rFonts w:hint="eastAsia" w:ascii="宋体" w:hAnsi="宋体"/>
                <w:color w:val="auto"/>
                <w:szCs w:val="21"/>
                <w:highlight w:val="none"/>
                <w:lang w:val="zh-CN"/>
              </w:rPr>
              <w:t>1.</w:t>
            </w:r>
            <w:r>
              <w:rPr>
                <w:rFonts w:hint="eastAsia" w:ascii="宋体" w:hAnsi="宋体"/>
                <w:color w:val="auto"/>
                <w:szCs w:val="21"/>
                <w:highlight w:val="none"/>
              </w:rPr>
              <w:t>集成红外线三维成像扫描技术，红外热成像技术，AI智能数据挖掘分析自学习技术，信息标注采用“算法+人工复核”界面具有标记页面及自动清洗</w:t>
            </w:r>
            <w:r>
              <w:rPr>
                <w:rFonts w:hint="eastAsia" w:ascii="宋体" w:hAnsi="宋体"/>
                <w:color w:val="auto"/>
                <w:szCs w:val="21"/>
                <w:highlight w:val="none"/>
                <w:lang w:val="zh-CN"/>
              </w:rPr>
              <w:t>。</w:t>
            </w:r>
          </w:p>
          <w:p w14:paraId="45D9D1FF">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zh-CN"/>
              </w:rPr>
              <w:t>.</w:t>
            </w:r>
            <w:r>
              <w:rPr>
                <w:rFonts w:hint="eastAsia" w:ascii="宋体" w:hAnsi="宋体"/>
                <w:color w:val="auto"/>
                <w:szCs w:val="21"/>
                <w:highlight w:val="none"/>
              </w:rPr>
              <w:t>采用人体3D全场景超微</w:t>
            </w:r>
            <w:r>
              <w:rPr>
                <w:rFonts w:hint="eastAsia" w:ascii="宋体" w:hAnsi="宋体"/>
                <w:color w:val="auto"/>
                <w:szCs w:val="21"/>
                <w:highlight w:val="none"/>
                <w:lang w:val="zh-CN"/>
              </w:rPr>
              <w:t>温度扫描</w:t>
            </w:r>
            <w:r>
              <w:rPr>
                <w:rFonts w:hint="eastAsia" w:ascii="宋体" w:hAnsi="宋体"/>
                <w:color w:val="auto"/>
                <w:szCs w:val="21"/>
                <w:highlight w:val="none"/>
              </w:rPr>
              <w:t>算法，分析判断相关</w:t>
            </w:r>
            <w:r>
              <w:rPr>
                <w:rFonts w:hint="eastAsia" w:ascii="宋体" w:hAnsi="宋体"/>
                <w:color w:val="auto"/>
                <w:szCs w:val="21"/>
                <w:highlight w:val="none"/>
                <w:lang w:val="zh-CN"/>
              </w:rPr>
              <w:t>疾病与健康程度的检测项目。</w:t>
            </w:r>
          </w:p>
          <w:p w14:paraId="0FD99518">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rPr>
            </w:pPr>
            <w:r>
              <w:rPr>
                <w:rFonts w:hint="eastAsia" w:ascii="宋体" w:hAnsi="宋体"/>
                <w:color w:val="auto"/>
                <w:szCs w:val="21"/>
                <w:highlight w:val="none"/>
              </w:rPr>
              <w:t>▲3.非制冷非晶硅焦平面红外探测感光芯片。</w:t>
            </w:r>
          </w:p>
          <w:p w14:paraId="0049CDE3">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rPr>
            </w:pPr>
            <w:r>
              <w:rPr>
                <w:rFonts w:hint="eastAsia" w:ascii="宋体" w:hAnsi="宋体"/>
                <w:color w:val="auto"/>
                <w:szCs w:val="21"/>
                <w:highlight w:val="none"/>
              </w:rPr>
              <w:t>▲4.可实现体质辨识、西医辅助检测、中医辅助检测、脏腑功能检测、经络气血检测、疼痛检测、心脏功能检测、乳腺检测、脊柱骨骼检测分析。可提供方药、膳食、运动、针灸、物理治疗方案。</w:t>
            </w:r>
          </w:p>
          <w:p w14:paraId="02452B25">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rPr>
            </w:pPr>
            <w:r>
              <w:rPr>
                <w:rFonts w:hint="eastAsia" w:ascii="宋体" w:hAnsi="宋体"/>
                <w:color w:val="auto"/>
                <w:szCs w:val="21"/>
                <w:highlight w:val="none"/>
              </w:rPr>
              <w:t>▲5.全流程符合《中医AI辅助诊疗系统技术要求》标准。</w:t>
            </w:r>
          </w:p>
          <w:p w14:paraId="45B59898">
            <w:pPr>
              <w:keepNext w:val="0"/>
              <w:keepLines w:val="0"/>
              <w:pageBreakBefore w:val="0"/>
              <w:kinsoku/>
              <w:wordWrap/>
              <w:overflowPunct/>
              <w:topLinePunct w:val="0"/>
              <w:bidi w:val="0"/>
              <w:spacing w:line="240" w:lineRule="auto"/>
              <w:ind w:left="0" w:right="0" w:firstLine="0"/>
              <w:rPr>
                <w:rFonts w:ascii="宋体" w:hAnsi="宋体"/>
                <w:b/>
                <w:bCs/>
                <w:color w:val="auto"/>
                <w:szCs w:val="21"/>
                <w:highlight w:val="none"/>
              </w:rPr>
            </w:pPr>
            <w:r>
              <w:rPr>
                <w:rFonts w:hint="eastAsia" w:ascii="宋体" w:hAnsi="宋体"/>
                <w:b/>
                <w:bCs/>
                <w:color w:val="auto"/>
                <w:szCs w:val="21"/>
                <w:highlight w:val="none"/>
              </w:rPr>
              <w:t>三、</w:t>
            </w:r>
            <w:r>
              <w:rPr>
                <w:rFonts w:hint="eastAsia" w:ascii="宋体" w:hAnsi="宋体"/>
                <w:b/>
                <w:bCs/>
                <w:color w:val="auto"/>
                <w:szCs w:val="21"/>
                <w:highlight w:val="none"/>
                <w:lang w:val="zh-CN"/>
              </w:rPr>
              <w:t>主要技术指标</w:t>
            </w:r>
          </w:p>
          <w:p w14:paraId="548E4716">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 xml:space="preserve">1.探测器像素≥384*288。 </w:t>
            </w:r>
          </w:p>
          <w:p w14:paraId="6446B686">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2.热灵敏度NETD＜50mK。</w:t>
            </w:r>
          </w:p>
          <w:p w14:paraId="561E8FEC">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3.工作波段：红外镜头及红外探测器的光谱响应波段应包含8µm～14µm。</w:t>
            </w:r>
          </w:p>
          <w:p w14:paraId="29D14039">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4.瞬时视场1：水平瞬时视场≤2.5mrad，垂直瞬时视场≤2.5mrad。镜头采用非球面光学镜头，焦距f=8mm，F=0.8。</w:t>
            </w:r>
          </w:p>
          <w:p w14:paraId="28C46E00">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5.瞬时视场2：水平瞬时视场≤1.308mrad，垂直瞬时视场≤1.308mrad。镜头采用非球面光学镜头，焦距f=13mm，F=1.3。空间分辨率≤1.308mrad。</w:t>
            </w:r>
          </w:p>
          <w:p w14:paraId="0B9514B9">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rPr>
            </w:pPr>
            <w:r>
              <w:rPr>
                <w:rFonts w:hint="eastAsia" w:ascii="宋体" w:hAnsi="宋体"/>
                <w:color w:val="auto"/>
                <w:szCs w:val="21"/>
                <w:highlight w:val="none"/>
              </w:rPr>
              <w:t>6.视场：水平视场角不小于10°，垂直视场角不小于13°。</w:t>
            </w:r>
          </w:p>
          <w:p w14:paraId="1DF1E037">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7.调焦功能：设备具有调焦功能，工作是对工作距离以内的目标可以调节图像至最清晰。</w:t>
            </w:r>
          </w:p>
          <w:p w14:paraId="69603024">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rPr>
            </w:pPr>
            <w:r>
              <w:rPr>
                <w:rFonts w:hint="eastAsia" w:ascii="宋体" w:hAnsi="宋体"/>
                <w:color w:val="auto"/>
                <w:szCs w:val="21"/>
                <w:highlight w:val="none"/>
              </w:rPr>
              <w:t>▲8.工作距离（成像距离）：在0.3m～3m范围内清晰成像。</w:t>
            </w:r>
          </w:p>
          <w:p w14:paraId="4FA348C4">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 xml:space="preserve">▲9. 成像时间：成像时间≤3s。 </w:t>
            </w:r>
          </w:p>
          <w:p w14:paraId="3DC66809">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10.测温范围：0℃～60℃。</w:t>
            </w:r>
          </w:p>
          <w:p w14:paraId="38DFA17E">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11.温度精度：≤±0.3℃。</w:t>
            </w:r>
          </w:p>
          <w:p w14:paraId="18AA6B24">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12.显示分辨率：≤0.01℃。</w:t>
            </w:r>
          </w:p>
          <w:p w14:paraId="3A4AE827">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13.测温重复性：≤±0.2℃。</w:t>
            </w:r>
          </w:p>
          <w:p w14:paraId="0CA7C663">
            <w:pPr>
              <w:keepNext w:val="0"/>
              <w:keepLines w:val="0"/>
              <w:pageBreakBefore w:val="0"/>
              <w:kinsoku/>
              <w:wordWrap/>
              <w:overflowPunct/>
              <w:topLinePunct w:val="0"/>
              <w:bidi w:val="0"/>
              <w:spacing w:line="240" w:lineRule="auto"/>
              <w:ind w:left="0" w:right="0" w:firstLine="0"/>
              <w:rPr>
                <w:rFonts w:hint="eastAsia" w:ascii="宋体" w:hAnsi="宋体" w:eastAsia="宋体"/>
                <w:color w:val="auto"/>
                <w:szCs w:val="21"/>
                <w:highlight w:val="none"/>
                <w:lang w:eastAsia="zh-CN"/>
              </w:rPr>
            </w:pPr>
            <w:r>
              <w:rPr>
                <w:rFonts w:hint="eastAsia" w:ascii="宋体" w:hAnsi="宋体"/>
                <w:color w:val="auto"/>
                <w:szCs w:val="21"/>
                <w:highlight w:val="none"/>
              </w:rPr>
              <w:t>14.图像场周期：≤40ms</w:t>
            </w:r>
            <w:r>
              <w:rPr>
                <w:rFonts w:hint="eastAsia" w:ascii="宋体" w:hAnsi="宋体"/>
                <w:color w:val="auto"/>
                <w:szCs w:val="21"/>
                <w:highlight w:val="none"/>
                <w:lang w:eastAsia="zh-CN"/>
              </w:rPr>
              <w:t>。</w:t>
            </w:r>
          </w:p>
          <w:p w14:paraId="6A8AFDC3">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15.单次稳定工作时间为10小时以上。</w:t>
            </w:r>
          </w:p>
          <w:p w14:paraId="63BABD80">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16.具有环境温度修正功能。</w:t>
            </w:r>
          </w:p>
          <w:p w14:paraId="3490103C">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17.产品支持物联网通讯功能，提供开放的数据接口，具备物联网接口（WiFi、蓝牙、串口、RJ45等）以及相关配件，提供设备数据接口协议，开放通讯协议和数据。</w:t>
            </w:r>
          </w:p>
          <w:p w14:paraId="7BB82BBF">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18.支架：红外摄像机在支架上固定可靠；支架可做升降、仰俯、左右摆动，任意工作位置均能锁止可靠；支架升降离地高：最低不大于930mm，最高不小于1500mm；仰俯角度不小于±15°；左右摆动角度不小于±15°。支架带脚轮可以任意方向的移动和转动。具有360度旋转转盘，可遥控左右旋转。</w:t>
            </w:r>
          </w:p>
          <w:p w14:paraId="395F8CCA">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19.软件功能，会员管理功能；报告管理功能；门店管理功能；用户管理功能；系统设置功能。</w:t>
            </w:r>
          </w:p>
          <w:p w14:paraId="002E3B73">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20.红外线图像的拍摄、编辑；手动对焦控制；支架上下移动控制。</w:t>
            </w:r>
          </w:p>
          <w:p w14:paraId="4DC9D7A6">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21.图像的编辑、打印、保存、色带范围和种类的调整、选择、意见录入、温度测定、附加功能。</w:t>
            </w:r>
          </w:p>
          <w:p w14:paraId="05D5115B">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22.具有对热成像图中任意一点进行测量温度的功能。</w:t>
            </w:r>
          </w:p>
          <w:p w14:paraId="6B71B7E2">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23.具有对病案资料及诊断信息的输入、编辑功能。</w:t>
            </w:r>
          </w:p>
          <w:p w14:paraId="469139B9">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24.具有打印彩色图像、打印病案印象报告的功能。</w:t>
            </w:r>
          </w:p>
          <w:p w14:paraId="65A58571">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25.红外热成像摄像机，摄像头安装后可作仰俯、左右摆动，任意工作位置均能可靠锁止，左右摆动夹角≥90°，上下摆动夹角≥90°。</w:t>
            </w:r>
          </w:p>
          <w:p w14:paraId="776EB548">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▲26.红外成像升降机台上安装1块液晶显示屏，显示屏≥21英寸，显示屏在拍摄红外图像时具备动画语音指示功能，指导拍摄动作，显示拍摄界面。</w:t>
            </w:r>
          </w:p>
          <w:p w14:paraId="50B69317">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27.智能化操作台，全数字式控制，医学操作平台集成(内置电脑\显示器\操控系统\扫描系统\评估系统)。</w:t>
            </w:r>
          </w:p>
          <w:p w14:paraId="2B569B07">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28.芯片温度测量功能：最小显示温度分辨率值≤0.01℃，对热图的任意点测量温，可对图像矩形、圆、多边形区域测量平均值、最高值、最低值。</w:t>
            </w:r>
          </w:p>
          <w:p w14:paraId="741D7F1A">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29.图像处理与显示：≥8种窗宽显示图像；可选不同图像显示色标，可选色标≥7种；具备图像背景剔除功能，显示无背景图像。</w:t>
            </w:r>
          </w:p>
          <w:p w14:paraId="49B3D8CD">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30.图像分析功能：图像具备设置网格线（16×16）显示；图像具备垂直对称轴显示，选定测量区域可自动镜像到对侧位置。 </w:t>
            </w:r>
          </w:p>
          <w:p w14:paraId="693C7B17">
            <w:pPr>
              <w:keepNext w:val="0"/>
              <w:keepLines w:val="0"/>
              <w:pageBreakBefore w:val="0"/>
              <w:kinsoku/>
              <w:wordWrap/>
              <w:overflowPunct/>
              <w:topLinePunct w:val="0"/>
              <w:bidi w:val="0"/>
              <w:spacing w:line="240" w:lineRule="auto"/>
              <w:ind w:left="0" w:right="0" w:firstLine="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31.软件具有打印彩色图像、打印病案印象报告的功能。</w:t>
            </w:r>
          </w:p>
          <w:p w14:paraId="5F9A6530">
            <w:pPr>
              <w:keepNext w:val="0"/>
              <w:keepLines w:val="0"/>
              <w:pageBreakBefore w:val="0"/>
              <w:kinsoku/>
              <w:wordWrap/>
              <w:overflowPunct/>
              <w:topLinePunct w:val="0"/>
              <w:bidi w:val="0"/>
              <w:spacing w:line="240" w:lineRule="auto"/>
              <w:ind w:left="0" w:right="0" w:firstLine="0"/>
              <w:rPr>
                <w:rFonts w:ascii="Calibri" w:hAnsi="Calibri"/>
                <w:color w:val="auto"/>
                <w:sz w:val="18"/>
                <w:szCs w:val="18"/>
                <w:highlight w:val="none"/>
              </w:rPr>
            </w:pPr>
            <w:r>
              <w:rPr>
                <w:rFonts w:hint="eastAsia" w:ascii="宋体" w:hAnsi="宋体"/>
                <w:color w:val="auto"/>
                <w:szCs w:val="21"/>
                <w:highlight w:val="none"/>
                <w:lang w:val="en-US" w:eastAsia="zh-CN"/>
              </w:rPr>
              <w:t>32.生成报告功能：生成报告可选择添加图像；报告中包含测量区域的测量平均温度 值AAT和平均温差值ART、最高值温度值HAT 和最高温差值HRT、最低温度值LAT和最 低温差值LRT；生成报告中包括病案印象（综合建议、评估提示）并可查询和打开历史报告。</w:t>
            </w:r>
          </w:p>
        </w:tc>
        <w:tc>
          <w:tcPr>
            <w:tcW w:w="1217" w:type="dxa"/>
            <w:shd w:val="clear" w:color="auto" w:fill="FFFFFF"/>
            <w:vAlign w:val="center"/>
          </w:tcPr>
          <w:p w14:paraId="1969E0A4">
            <w:pPr>
              <w:keepNext w:val="0"/>
              <w:keepLines w:val="0"/>
              <w:pageBreakBefore w:val="0"/>
              <w:kinsoku/>
              <w:wordWrap/>
              <w:overflowPunct/>
              <w:topLinePunct w:val="0"/>
              <w:bidi w:val="0"/>
              <w:spacing w:line="240" w:lineRule="auto"/>
              <w:ind w:left="0" w:right="0" w:firstLine="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48万元</w:t>
            </w:r>
          </w:p>
        </w:tc>
      </w:tr>
      <w:tr w14:paraId="43F3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0ADE3EB4">
            <w:pPr>
              <w:keepNext w:val="0"/>
              <w:keepLines w:val="0"/>
              <w:pageBreakBefore w:val="0"/>
              <w:widowControl/>
              <w:kinsoku/>
              <w:wordWrap/>
              <w:overflowPunct/>
              <w:topLinePunct w:val="0"/>
              <w:bidi w:val="0"/>
              <w:spacing w:line="240" w:lineRule="auto"/>
              <w:ind w:left="0" w:leftChars="0" w:right="0" w:rightChars="0" w:firstLine="0" w:firstLineChars="0"/>
              <w:jc w:val="center"/>
              <w:rPr>
                <w:rFonts w:hint="eastAsia"/>
                <w:color w:val="auto"/>
                <w:kern w:val="0"/>
                <w:szCs w:val="21"/>
                <w:highlight w:val="none"/>
              </w:rPr>
            </w:pPr>
            <w:r>
              <w:rPr>
                <w:rFonts w:hint="eastAsia"/>
                <w:color w:val="auto"/>
                <w:kern w:val="0"/>
                <w:szCs w:val="21"/>
                <w:highlight w:val="none"/>
              </w:rPr>
              <w:t>5</w:t>
            </w:r>
          </w:p>
        </w:tc>
        <w:tc>
          <w:tcPr>
            <w:tcW w:w="1397" w:type="dxa"/>
            <w:gridSpan w:val="2"/>
            <w:shd w:val="clear" w:color="auto" w:fill="FFFFFF"/>
            <w:vAlign w:val="center"/>
          </w:tcPr>
          <w:p w14:paraId="218303A6">
            <w:pPr>
              <w:keepNext w:val="0"/>
              <w:keepLines w:val="0"/>
              <w:pageBreakBefore w:val="0"/>
              <w:kinsoku/>
              <w:wordWrap/>
              <w:overflowPunct/>
              <w:topLinePunct w:val="0"/>
              <w:bidi w:val="0"/>
              <w:spacing w:line="240" w:lineRule="auto"/>
              <w:ind w:left="0" w:right="0" w:firstLine="0"/>
              <w:jc w:val="center"/>
              <w:rPr>
                <w:rFonts w:hint="eastAsia" w:asciiTheme="minorEastAsia" w:hAnsiTheme="minorEastAsia" w:eastAsiaTheme="minorEastAsia"/>
                <w:color w:val="auto"/>
                <w:szCs w:val="21"/>
                <w:highlight w:val="none"/>
                <w:lang w:val="en-US" w:eastAsia="zh-CN"/>
              </w:rPr>
            </w:pPr>
            <w:r>
              <w:rPr>
                <w:rFonts w:ascii="宋体" w:hAnsi="宋体"/>
                <w:color w:val="auto"/>
                <w:szCs w:val="21"/>
                <w:highlight w:val="none"/>
              </w:rPr>
              <w:drawing>
                <wp:anchor distT="0" distB="0" distL="114300" distR="114300" simplePos="0" relativeHeight="251661312" behindDoc="0" locked="0" layoutInCell="1" allowOverlap="1">
                  <wp:simplePos x="0" y="0"/>
                  <wp:positionH relativeFrom="column">
                    <wp:posOffset>816610</wp:posOffset>
                  </wp:positionH>
                  <wp:positionV relativeFrom="paragraph">
                    <wp:posOffset>-1895475</wp:posOffset>
                  </wp:positionV>
                  <wp:extent cx="436245" cy="1905"/>
                  <wp:effectExtent l="0" t="0" r="0" b="0"/>
                  <wp:wrapNone/>
                  <wp:docPr id="2" name="图片_59"/>
                  <wp:cNvGraphicFramePr/>
                  <a:graphic xmlns:a="http://schemas.openxmlformats.org/drawingml/2006/main">
                    <a:graphicData uri="http://schemas.openxmlformats.org/drawingml/2006/picture">
                      <pic:pic xmlns:pic="http://schemas.openxmlformats.org/drawingml/2006/picture">
                        <pic:nvPicPr>
                          <pic:cNvPr id="2" name="图片_59"/>
                          <pic:cNvPicPr/>
                        </pic:nvPicPr>
                        <pic:blipFill>
                          <a:blip r:embed="rId12"/>
                          <a:stretch>
                            <a:fillRect/>
                          </a:stretch>
                        </pic:blipFill>
                        <pic:spPr>
                          <a:xfrm>
                            <a:off x="0" y="0"/>
                            <a:ext cx="436245" cy="1905"/>
                          </a:xfrm>
                          <a:prstGeom prst="rect">
                            <a:avLst/>
                          </a:prstGeom>
                          <a:noFill/>
                          <a:ln>
                            <a:noFill/>
                          </a:ln>
                        </pic:spPr>
                      </pic:pic>
                    </a:graphicData>
                  </a:graphic>
                </wp:anchor>
              </w:drawing>
            </w:r>
            <w:r>
              <w:rPr>
                <w:rFonts w:asciiTheme="minorEastAsia" w:hAnsiTheme="minorEastAsia" w:eastAsiaTheme="minorEastAsia"/>
                <w:color w:val="auto"/>
                <w:szCs w:val="21"/>
                <w:highlight w:val="none"/>
              </w:rPr>
              <w:t>虚拟现实毒瘾评估与康复训练</w:t>
            </w:r>
            <w:r>
              <w:rPr>
                <w:rFonts w:hint="eastAsia" w:asciiTheme="minorEastAsia" w:hAnsiTheme="minorEastAsia" w:eastAsiaTheme="minorEastAsia"/>
                <w:color w:val="auto"/>
                <w:szCs w:val="21"/>
                <w:highlight w:val="none"/>
                <w:lang w:val="en-US" w:eastAsia="zh-CN"/>
              </w:rPr>
              <w:t>系统</w:t>
            </w:r>
          </w:p>
          <w:p w14:paraId="1ED6199B">
            <w:pPr>
              <w:keepNext w:val="0"/>
              <w:keepLines w:val="0"/>
              <w:pageBreakBefore w:val="0"/>
              <w:kinsoku/>
              <w:wordWrap/>
              <w:overflowPunct/>
              <w:topLinePunct w:val="0"/>
              <w:bidi w:val="0"/>
              <w:spacing w:line="240" w:lineRule="auto"/>
              <w:ind w:left="0" w:leftChars="0" w:right="0" w:rightChars="0" w:firstLine="0" w:firstLineChars="0"/>
              <w:jc w:val="both"/>
              <w:rPr>
                <w:rFonts w:hint="eastAsia"/>
                <w:color w:val="auto"/>
                <w:szCs w:val="21"/>
                <w:highlight w:val="none"/>
              </w:rPr>
            </w:pPr>
          </w:p>
        </w:tc>
        <w:tc>
          <w:tcPr>
            <w:tcW w:w="709" w:type="dxa"/>
            <w:shd w:val="clear" w:color="auto" w:fill="FFFFFF"/>
            <w:vAlign w:val="center"/>
          </w:tcPr>
          <w:p w14:paraId="775C48E7">
            <w:pPr>
              <w:keepNext w:val="0"/>
              <w:keepLines w:val="0"/>
              <w:pageBreakBefore w:val="0"/>
              <w:kinsoku/>
              <w:wordWrap/>
              <w:overflowPunct/>
              <w:topLinePunct w:val="0"/>
              <w:bidi w:val="0"/>
              <w:spacing w:line="240" w:lineRule="auto"/>
              <w:ind w:left="0" w:leftChars="0" w:right="0" w:rightChars="0" w:firstLine="0" w:firstLineChars="0"/>
              <w:jc w:val="both"/>
              <w:rPr>
                <w:color w:val="auto"/>
                <w:szCs w:val="21"/>
                <w:highlight w:val="none"/>
              </w:rPr>
            </w:pPr>
            <w:r>
              <w:rPr>
                <w:rStyle w:val="76"/>
                <w:rFonts w:hint="eastAsia" w:asciiTheme="minorEastAsia" w:hAnsiTheme="minorEastAsia" w:eastAsiaTheme="minorEastAsia"/>
                <w:color w:val="auto"/>
                <w:kern w:val="0"/>
                <w:szCs w:val="21"/>
                <w:highlight w:val="none"/>
              </w:rPr>
              <w:t>1套</w:t>
            </w:r>
          </w:p>
        </w:tc>
        <w:tc>
          <w:tcPr>
            <w:tcW w:w="6684" w:type="dxa"/>
            <w:shd w:val="clear" w:color="auto" w:fill="FFFFFF"/>
            <w:vAlign w:val="center"/>
          </w:tcPr>
          <w:p w14:paraId="2FA27963">
            <w:pPr>
              <w:keepNext w:val="0"/>
              <w:keepLines w:val="0"/>
              <w:pageBreakBefore w:val="0"/>
              <w:kinsoku/>
              <w:wordWrap/>
              <w:overflowPunct/>
              <w:topLinePunct w:val="0"/>
              <w:bidi w:val="0"/>
              <w:spacing w:line="240" w:lineRule="auto"/>
              <w:ind w:left="0" w:right="0" w:firstLine="0"/>
              <w:jc w:val="left"/>
              <w:rPr>
                <w:rFonts w:hint="eastAsia" w:ascii="宋体" w:hAnsi="宋体"/>
                <w:b/>
                <w:bCs/>
                <w:color w:val="auto"/>
                <w:szCs w:val="21"/>
                <w:highlight w:val="none"/>
              </w:rPr>
            </w:pPr>
            <w:r>
              <w:rPr>
                <w:rFonts w:hint="eastAsia" w:ascii="宋体" w:hAnsi="宋体"/>
                <w:b/>
                <w:bCs/>
                <w:color w:val="auto"/>
                <w:szCs w:val="21"/>
                <w:highlight w:val="none"/>
                <w:lang w:val="en-US" w:eastAsia="zh-CN"/>
              </w:rPr>
              <w:t>一、</w:t>
            </w:r>
            <w:r>
              <w:rPr>
                <w:b/>
                <w:bCs/>
                <w:color w:val="auto"/>
                <w:highlight w:val="none"/>
              </w:rPr>
              <w:t>虚拟现实毒瘾评估与康复训练管理端</w:t>
            </w:r>
            <w:r>
              <w:rPr>
                <w:rFonts w:hint="eastAsia"/>
                <w:b/>
                <w:bCs/>
                <w:color w:val="auto"/>
                <w:highlight w:val="none"/>
                <w:lang w:eastAsia="zh-CN"/>
              </w:rPr>
              <w:t>，</w:t>
            </w:r>
            <w:r>
              <w:rPr>
                <w:rFonts w:hint="eastAsia"/>
                <w:b/>
                <w:bCs/>
                <w:color w:val="auto"/>
                <w:highlight w:val="none"/>
                <w:lang w:val="en-US" w:eastAsia="zh-CN"/>
              </w:rPr>
              <w:t>1套。</w:t>
            </w:r>
          </w:p>
          <w:p w14:paraId="4C7C2F0A">
            <w:pPr>
              <w:keepNext w:val="0"/>
              <w:keepLines w:val="0"/>
              <w:pageBreakBefore w:val="0"/>
              <w:kinsoku/>
              <w:wordWrap/>
              <w:overflowPunct/>
              <w:topLinePunct w:val="0"/>
              <w:bidi w:val="0"/>
              <w:spacing w:line="240" w:lineRule="auto"/>
              <w:ind w:left="0" w:right="0" w:firstLine="0"/>
              <w:jc w:val="left"/>
              <w:rPr>
                <w:rFonts w:hint="eastAsia" w:ascii="宋体" w:hAnsi="宋体"/>
                <w:color w:val="auto"/>
                <w:szCs w:val="21"/>
                <w:highlight w:val="none"/>
              </w:rPr>
            </w:pPr>
            <w:r>
              <w:rPr>
                <w:rFonts w:hint="eastAsia" w:ascii="宋体" w:hAnsi="宋体"/>
                <w:color w:val="auto"/>
                <w:szCs w:val="21"/>
                <w:highlight w:val="none"/>
              </w:rPr>
              <w:t>管</w:t>
            </w:r>
            <w:r>
              <w:rPr>
                <w:rFonts w:ascii="宋体" w:hAnsi="宋体"/>
                <w:color w:val="auto"/>
                <w:szCs w:val="21"/>
                <w:highlight w:val="none"/>
              </w:rPr>
              <w:t>理员端</w:t>
            </w:r>
            <w:r>
              <w:rPr>
                <w:rFonts w:ascii="宋体" w:hAnsi="宋体"/>
                <w:color w:val="auto"/>
                <w:szCs w:val="21"/>
                <w:highlight w:val="none"/>
              </w:rPr>
              <w:br w:type="textWrapping"/>
            </w:r>
            <w:r>
              <w:rPr>
                <w:rFonts w:ascii="宋体" w:hAnsi="宋体"/>
                <w:color w:val="auto"/>
                <w:szCs w:val="21"/>
                <w:highlight w:val="none"/>
              </w:rPr>
              <w:t>1.控制学员端的训练课程</w:t>
            </w:r>
            <w:r>
              <w:rPr>
                <w:rFonts w:ascii="宋体" w:hAnsi="宋体"/>
                <w:color w:val="auto"/>
                <w:szCs w:val="21"/>
                <w:highlight w:val="none"/>
              </w:rPr>
              <w:br w:type="textWrapping"/>
            </w:r>
            <w:r>
              <w:rPr>
                <w:rFonts w:ascii="宋体" w:hAnsi="宋体"/>
                <w:color w:val="auto"/>
                <w:szCs w:val="21"/>
                <w:highlight w:val="none"/>
              </w:rPr>
              <w:t>能够单独录入学员信息，也可批量导入学员信息；</w:t>
            </w:r>
            <w:r>
              <w:rPr>
                <w:rFonts w:ascii="宋体" w:hAnsi="宋体"/>
                <w:color w:val="auto"/>
                <w:szCs w:val="21"/>
                <w:highlight w:val="none"/>
              </w:rPr>
              <w:br w:type="textWrapping"/>
            </w:r>
            <w:r>
              <w:rPr>
                <w:rFonts w:ascii="宋体" w:hAnsi="宋体"/>
                <w:color w:val="auto"/>
                <w:szCs w:val="21"/>
                <w:highlight w:val="none"/>
              </w:rPr>
              <w:t>全部开始训练或全部停止训练；</w:t>
            </w:r>
            <w:r>
              <w:rPr>
                <w:rFonts w:ascii="宋体" w:hAnsi="宋体"/>
                <w:color w:val="auto"/>
                <w:szCs w:val="21"/>
                <w:highlight w:val="none"/>
              </w:rPr>
              <w:br w:type="textWrapping"/>
            </w:r>
            <w:r>
              <w:rPr>
                <w:rFonts w:ascii="宋体" w:hAnsi="宋体"/>
                <w:color w:val="auto"/>
                <w:szCs w:val="21"/>
                <w:highlight w:val="none"/>
              </w:rPr>
              <w:t>对某个学员可以单独开始或停止训练。</w:t>
            </w:r>
            <w:r>
              <w:rPr>
                <w:rFonts w:ascii="宋体" w:hAnsi="宋体"/>
                <w:color w:val="auto"/>
                <w:szCs w:val="21"/>
                <w:highlight w:val="none"/>
              </w:rPr>
              <w:br w:type="textWrapping"/>
            </w:r>
            <w:r>
              <w:rPr>
                <w:rFonts w:ascii="宋体" w:hAnsi="宋体"/>
                <w:color w:val="auto"/>
                <w:szCs w:val="21"/>
                <w:highlight w:val="none"/>
              </w:rPr>
              <w:t>2.实时监控学员端</w:t>
            </w:r>
            <w:r>
              <w:rPr>
                <w:rFonts w:ascii="宋体" w:hAnsi="宋体"/>
                <w:color w:val="auto"/>
                <w:szCs w:val="21"/>
                <w:highlight w:val="none"/>
              </w:rPr>
              <w:br w:type="textWrapping"/>
            </w:r>
            <w:r>
              <w:rPr>
                <w:rFonts w:ascii="宋体" w:hAnsi="宋体"/>
                <w:color w:val="auto"/>
                <w:szCs w:val="21"/>
                <w:highlight w:val="none"/>
              </w:rPr>
              <w:t>同时监测多个学员训练的生理状态和训练VR场景画面；</w:t>
            </w:r>
            <w:r>
              <w:rPr>
                <w:rFonts w:ascii="宋体" w:hAnsi="宋体"/>
                <w:color w:val="auto"/>
                <w:szCs w:val="21"/>
                <w:highlight w:val="none"/>
              </w:rPr>
              <w:br w:type="textWrapping"/>
            </w:r>
            <w:r>
              <w:rPr>
                <w:rFonts w:ascii="宋体" w:hAnsi="宋体"/>
                <w:color w:val="auto"/>
                <w:szCs w:val="21"/>
                <w:highlight w:val="none"/>
              </w:rPr>
              <w:t>选择某一学员，可看到该学员具体的实时生理状态曲线图。</w:t>
            </w:r>
            <w:r>
              <w:rPr>
                <w:rFonts w:ascii="宋体" w:hAnsi="宋体"/>
                <w:color w:val="auto"/>
                <w:szCs w:val="21"/>
                <w:highlight w:val="none"/>
              </w:rPr>
              <w:br w:type="textWrapping"/>
            </w:r>
            <w:r>
              <w:rPr>
                <w:rFonts w:ascii="宋体" w:hAnsi="宋体"/>
                <w:color w:val="auto"/>
                <w:szCs w:val="21"/>
                <w:highlight w:val="none"/>
              </w:rPr>
              <w:t>3.自动排课和课程编辑功能</w:t>
            </w:r>
            <w:r>
              <w:rPr>
                <w:rFonts w:ascii="宋体" w:hAnsi="宋体"/>
                <w:color w:val="auto"/>
                <w:szCs w:val="21"/>
                <w:highlight w:val="none"/>
              </w:rPr>
              <w:br w:type="textWrapping"/>
            </w:r>
            <w:r>
              <w:rPr>
                <w:rFonts w:ascii="宋体" w:hAnsi="宋体"/>
                <w:color w:val="auto"/>
                <w:szCs w:val="21"/>
                <w:highlight w:val="none"/>
              </w:rPr>
              <w:t>学员首次评估以后，会生成个性化课程，并可编辑修改学员课程。</w:t>
            </w:r>
            <w:r>
              <w:rPr>
                <w:rFonts w:ascii="宋体" w:hAnsi="宋体"/>
                <w:color w:val="auto"/>
                <w:szCs w:val="21"/>
                <w:highlight w:val="none"/>
              </w:rPr>
              <w:br w:type="textWrapping"/>
            </w:r>
            <w:r>
              <w:rPr>
                <w:rFonts w:ascii="宋体" w:hAnsi="宋体"/>
                <w:color w:val="auto"/>
                <w:szCs w:val="21"/>
                <w:highlight w:val="none"/>
              </w:rPr>
              <w:t>4.系统具有预警功能</w:t>
            </w:r>
            <w:r>
              <w:rPr>
                <w:rFonts w:ascii="宋体" w:hAnsi="宋体"/>
                <w:color w:val="auto"/>
                <w:szCs w:val="21"/>
                <w:highlight w:val="none"/>
              </w:rPr>
              <w:br w:type="textWrapping"/>
            </w:r>
            <w:r>
              <w:rPr>
                <w:rFonts w:ascii="宋体" w:hAnsi="宋体"/>
                <w:color w:val="auto"/>
                <w:szCs w:val="21"/>
                <w:highlight w:val="none"/>
              </w:rPr>
              <w:t>当学员的生理指标处于非正常值时，系统会预警，提醒民警检查该学员的生理状态、设备连接等是否正常。</w:t>
            </w:r>
            <w:r>
              <w:rPr>
                <w:rFonts w:ascii="宋体" w:hAnsi="宋体"/>
                <w:color w:val="auto"/>
                <w:szCs w:val="21"/>
                <w:highlight w:val="none"/>
              </w:rPr>
              <w:br w:type="textWrapping"/>
            </w:r>
            <w:r>
              <w:rPr>
                <w:rFonts w:ascii="宋体" w:hAnsi="宋体"/>
                <w:color w:val="auto"/>
                <w:szCs w:val="21"/>
                <w:highlight w:val="none"/>
              </w:rPr>
              <w:t>5.学员的评估报告和训练记录</w:t>
            </w:r>
            <w:r>
              <w:rPr>
                <w:rFonts w:ascii="宋体" w:hAnsi="宋体"/>
                <w:color w:val="auto"/>
                <w:szCs w:val="21"/>
                <w:highlight w:val="none"/>
              </w:rPr>
              <w:br w:type="textWrapping"/>
            </w:r>
            <w:r>
              <w:rPr>
                <w:rFonts w:ascii="宋体" w:hAnsi="宋体"/>
                <w:color w:val="auto"/>
                <w:szCs w:val="21"/>
                <w:highlight w:val="none"/>
              </w:rPr>
              <w:t>数据管理部分，可以查看学员的评估报告；</w:t>
            </w:r>
            <w:r>
              <w:rPr>
                <w:rFonts w:ascii="宋体" w:hAnsi="宋体"/>
                <w:color w:val="auto"/>
                <w:szCs w:val="21"/>
                <w:highlight w:val="none"/>
              </w:rPr>
              <w:br w:type="textWrapping"/>
            </w:r>
            <w:r>
              <w:rPr>
                <w:rFonts w:ascii="宋体" w:hAnsi="宋体"/>
                <w:color w:val="auto"/>
                <w:szCs w:val="21"/>
                <w:highlight w:val="none"/>
              </w:rPr>
              <w:t>查看学员的训练记录，包括每次训练的时长、完成度、该模块的训练次数等。</w:t>
            </w:r>
            <w:r>
              <w:rPr>
                <w:rFonts w:ascii="宋体" w:hAnsi="宋体"/>
                <w:color w:val="auto"/>
                <w:szCs w:val="21"/>
                <w:highlight w:val="none"/>
              </w:rPr>
              <w:br w:type="textWrapping"/>
            </w:r>
            <w:r>
              <w:rPr>
                <w:rFonts w:ascii="宋体" w:hAnsi="宋体"/>
                <w:color w:val="auto"/>
                <w:szCs w:val="21"/>
                <w:highlight w:val="none"/>
              </w:rPr>
              <w:t>可以查看某次所有训练学员的评估报告和训练记录；</w:t>
            </w:r>
            <w:r>
              <w:rPr>
                <w:rFonts w:ascii="宋体" w:hAnsi="宋体"/>
                <w:color w:val="auto"/>
                <w:szCs w:val="21"/>
                <w:highlight w:val="none"/>
              </w:rPr>
              <w:br w:type="textWrapping"/>
            </w:r>
            <w:r>
              <w:rPr>
                <w:rFonts w:ascii="宋体" w:hAnsi="宋体"/>
                <w:color w:val="auto"/>
                <w:szCs w:val="21"/>
                <w:highlight w:val="none"/>
              </w:rPr>
              <w:t>可以打印学员的评估报告和训练记录</w:t>
            </w:r>
            <w:r>
              <w:rPr>
                <w:rFonts w:ascii="宋体" w:hAnsi="宋体"/>
                <w:color w:val="auto"/>
                <w:szCs w:val="21"/>
                <w:highlight w:val="none"/>
              </w:rPr>
              <w:br w:type="textWrapping"/>
            </w:r>
            <w:r>
              <w:rPr>
                <w:rFonts w:ascii="宋体" w:hAnsi="宋体"/>
                <w:color w:val="auto"/>
                <w:szCs w:val="21"/>
                <w:highlight w:val="none"/>
              </w:rPr>
              <w:t>6.管理端功能强大</w:t>
            </w:r>
            <w:r>
              <w:rPr>
                <w:rFonts w:ascii="宋体" w:hAnsi="宋体"/>
                <w:color w:val="auto"/>
                <w:szCs w:val="21"/>
                <w:highlight w:val="none"/>
              </w:rPr>
              <w:br w:type="textWrapping"/>
            </w:r>
            <w:r>
              <w:rPr>
                <w:rFonts w:ascii="宋体" w:hAnsi="宋体"/>
                <w:color w:val="auto"/>
                <w:szCs w:val="21"/>
                <w:highlight w:val="none"/>
              </w:rPr>
              <w:t>管理端具有一键启动/关闭所有客户端</w:t>
            </w:r>
            <w:r>
              <w:rPr>
                <w:rFonts w:ascii="宋体" w:hAnsi="宋体"/>
                <w:color w:val="auto"/>
                <w:szCs w:val="21"/>
                <w:highlight w:val="none"/>
              </w:rPr>
              <w:br w:type="textWrapping"/>
            </w:r>
            <w:r>
              <w:rPr>
                <w:rFonts w:ascii="宋体" w:hAnsi="宋体"/>
                <w:color w:val="auto"/>
                <w:szCs w:val="21"/>
                <w:highlight w:val="none"/>
              </w:rPr>
              <w:t>管理端具有重启/关闭所有客户端主机功能</w:t>
            </w:r>
            <w:r>
              <w:rPr>
                <w:rFonts w:ascii="宋体" w:hAnsi="宋体"/>
                <w:color w:val="auto"/>
                <w:szCs w:val="21"/>
                <w:highlight w:val="none"/>
              </w:rPr>
              <w:br w:type="textWrapping"/>
            </w:r>
            <w:r>
              <w:rPr>
                <w:rFonts w:ascii="宋体" w:hAnsi="宋体"/>
                <w:color w:val="auto"/>
                <w:szCs w:val="21"/>
                <w:highlight w:val="none"/>
              </w:rPr>
              <w:t>7.系统稳定</w:t>
            </w:r>
            <w:r>
              <w:rPr>
                <w:rFonts w:ascii="宋体" w:hAnsi="宋体"/>
                <w:color w:val="auto"/>
                <w:szCs w:val="21"/>
                <w:highlight w:val="none"/>
              </w:rPr>
              <w:br w:type="textWrapping"/>
            </w:r>
            <w:r>
              <w:rPr>
                <w:rFonts w:ascii="宋体" w:hAnsi="宋体"/>
                <w:color w:val="auto"/>
                <w:szCs w:val="21"/>
                <w:highlight w:val="none"/>
              </w:rPr>
              <w:t>系统能够稳定、准确运行所有模块和功能；</w:t>
            </w:r>
            <w:r>
              <w:rPr>
                <w:rFonts w:ascii="宋体" w:hAnsi="宋体"/>
                <w:color w:val="auto"/>
                <w:szCs w:val="21"/>
                <w:highlight w:val="none"/>
              </w:rPr>
              <w:br w:type="textWrapping"/>
            </w:r>
            <w:r>
              <w:rPr>
                <w:rFonts w:ascii="宋体" w:hAnsi="宋体"/>
                <w:color w:val="auto"/>
                <w:szCs w:val="21"/>
                <w:highlight w:val="none"/>
              </w:rPr>
              <w:t>系统能够同步学员的生理数据和训练记录。</w:t>
            </w:r>
          </w:p>
          <w:p w14:paraId="7FCA401A">
            <w:pPr>
              <w:keepNext w:val="0"/>
              <w:keepLines w:val="0"/>
              <w:pageBreakBefore w:val="0"/>
              <w:kinsoku/>
              <w:wordWrap/>
              <w:overflowPunct/>
              <w:topLinePunct w:val="0"/>
              <w:bidi w:val="0"/>
              <w:spacing w:line="240" w:lineRule="auto"/>
              <w:ind w:left="0" w:right="0" w:firstLine="0"/>
              <w:jc w:val="left"/>
              <w:rPr>
                <w:rFonts w:hint="eastAsia" w:ascii="宋体" w:hAnsi="宋体"/>
                <w:color w:val="auto"/>
                <w:szCs w:val="21"/>
                <w:highlight w:val="none"/>
                <w:lang w:val="en-US" w:eastAsia="zh-CN"/>
              </w:rPr>
            </w:pPr>
            <w:r>
              <w:rPr>
                <w:rFonts w:hint="eastAsia" w:ascii="宋体" w:hAnsi="宋体"/>
                <w:b/>
                <w:bCs/>
                <w:color w:val="auto"/>
                <w:szCs w:val="21"/>
                <w:highlight w:val="none"/>
                <w:lang w:val="en-US" w:eastAsia="zh-CN"/>
              </w:rPr>
              <w:t>二、</w:t>
            </w:r>
            <w:r>
              <w:rPr>
                <w:rFonts w:asciiTheme="minorEastAsia" w:hAnsiTheme="minorEastAsia" w:eastAsiaTheme="minorEastAsia"/>
                <w:b/>
                <w:bCs/>
                <w:color w:val="auto"/>
                <w:szCs w:val="21"/>
                <w:highlight w:val="none"/>
              </w:rPr>
              <w:t>虚拟现实毒瘾评估与康复训练客户端</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lang w:val="en-US" w:eastAsia="zh-CN"/>
              </w:rPr>
              <w:t>5套。</w:t>
            </w:r>
          </w:p>
          <w:p w14:paraId="4E807DFA">
            <w:pPr>
              <w:keepNext w:val="0"/>
              <w:keepLines w:val="0"/>
              <w:pageBreakBefore w:val="0"/>
              <w:kinsoku/>
              <w:wordWrap/>
              <w:overflowPunct/>
              <w:topLinePunct w:val="0"/>
              <w:bidi w:val="0"/>
              <w:spacing w:line="240" w:lineRule="auto"/>
              <w:ind w:left="0" w:right="0" w:firstLine="0"/>
              <w:jc w:val="left"/>
              <w:rPr>
                <w:rStyle w:val="76"/>
                <w:rFonts w:ascii="宋体" w:hAnsi="宋体"/>
                <w:color w:val="auto"/>
                <w:kern w:val="0"/>
                <w:szCs w:val="21"/>
                <w:highlight w:val="none"/>
              </w:rPr>
            </w:pPr>
            <w:r>
              <w:rPr>
                <w:rFonts w:hint="eastAsia" w:ascii="宋体" w:hAnsi="宋体"/>
                <w:color w:val="auto"/>
                <w:szCs w:val="21"/>
                <w:highlight w:val="none"/>
                <w:lang w:val="en-US" w:eastAsia="zh-CN"/>
              </w:rPr>
              <w:t>客户端</w:t>
            </w:r>
            <w:r>
              <w:rPr>
                <w:rFonts w:ascii="宋体" w:hAnsi="宋体"/>
                <w:color w:val="auto"/>
                <w:szCs w:val="21"/>
                <w:highlight w:val="none"/>
              </w:rPr>
              <w:br w:type="textWrapping"/>
            </w:r>
            <w:r>
              <w:rPr>
                <w:rFonts w:ascii="宋体" w:hAnsi="宋体"/>
                <w:color w:val="auto"/>
                <w:szCs w:val="21"/>
                <w:highlight w:val="none"/>
              </w:rPr>
              <w:t>1.毒瘾评估</w:t>
            </w:r>
            <w:r>
              <w:rPr>
                <w:rFonts w:ascii="宋体" w:hAnsi="宋体"/>
                <w:color w:val="auto"/>
                <w:szCs w:val="21"/>
                <w:highlight w:val="none"/>
              </w:rPr>
              <w:br w:type="textWrapping"/>
            </w:r>
            <w:r>
              <w:rPr>
                <w:rFonts w:ascii="宋体" w:hAnsi="宋体"/>
                <w:color w:val="auto"/>
                <w:szCs w:val="21"/>
                <w:highlight w:val="none"/>
              </w:rPr>
              <w:t>使用生理设备记录静息态下的中性刺激阶段生理指标与诱发刺激阶段生理指标。</w:t>
            </w:r>
            <w:r>
              <w:rPr>
                <w:rFonts w:ascii="宋体" w:hAnsi="宋体"/>
                <w:color w:val="auto"/>
                <w:szCs w:val="21"/>
                <w:highlight w:val="none"/>
              </w:rPr>
              <w:br w:type="textWrapping"/>
            </w:r>
            <w:r>
              <w:rPr>
                <w:rFonts w:ascii="宋体" w:hAnsi="宋体"/>
                <w:color w:val="auto"/>
                <w:szCs w:val="21"/>
                <w:highlight w:val="none"/>
              </w:rPr>
              <w:t>综合生理指标，结合大数据分析，对吸毒人员的毒瘾情况进行科学有效的评估。</w:t>
            </w:r>
            <w:r>
              <w:rPr>
                <w:rFonts w:ascii="宋体" w:hAnsi="宋体"/>
                <w:color w:val="auto"/>
                <w:szCs w:val="21"/>
                <w:highlight w:val="none"/>
              </w:rPr>
              <w:br w:type="textWrapping"/>
            </w:r>
            <w:r>
              <w:rPr>
                <w:rFonts w:ascii="宋体" w:hAnsi="宋体"/>
                <w:color w:val="auto"/>
                <w:szCs w:val="21"/>
                <w:highlight w:val="none"/>
              </w:rPr>
              <w:t>有传统毒品和新型毒品两种评估方案。</w:t>
            </w:r>
            <w:r>
              <w:rPr>
                <w:rFonts w:ascii="宋体" w:hAnsi="宋体"/>
                <w:color w:val="auto"/>
                <w:szCs w:val="21"/>
                <w:highlight w:val="none"/>
              </w:rPr>
              <w:br w:type="textWrapping"/>
            </w:r>
            <w:r>
              <w:rPr>
                <w:rFonts w:ascii="宋体" w:hAnsi="宋体"/>
                <w:color w:val="auto"/>
                <w:szCs w:val="21"/>
                <w:highlight w:val="none"/>
              </w:rPr>
              <w:t>2.康复训练</w:t>
            </w:r>
            <w:r>
              <w:rPr>
                <w:rFonts w:ascii="宋体" w:hAnsi="宋体"/>
                <w:color w:val="auto"/>
                <w:szCs w:val="21"/>
                <w:highlight w:val="none"/>
              </w:rPr>
              <w:br w:type="textWrapping"/>
            </w:r>
            <w:r>
              <w:rPr>
                <w:rFonts w:ascii="宋体" w:hAnsi="宋体"/>
                <w:color w:val="auto"/>
                <w:szCs w:val="21"/>
                <w:highlight w:val="none"/>
              </w:rPr>
              <w:t>康复训练方法至少包括厌恶治疗、脱敏治疗、回归治疗和认知康复训练四个模块。</w:t>
            </w:r>
            <w:r>
              <w:rPr>
                <w:rFonts w:ascii="宋体" w:hAnsi="宋体"/>
                <w:color w:val="auto"/>
                <w:szCs w:val="21"/>
                <w:highlight w:val="none"/>
              </w:rPr>
              <w:br w:type="textWrapping"/>
            </w:r>
            <w:r>
              <w:rPr>
                <w:rFonts w:ascii="宋体" w:hAnsi="宋体"/>
                <w:color w:val="auto"/>
                <w:szCs w:val="21"/>
                <w:highlight w:val="none"/>
              </w:rPr>
              <w:t>▲至少有7个第三人称视角拍摄的真人厌恶全景视频；</w:t>
            </w:r>
            <w:r>
              <w:rPr>
                <w:rFonts w:ascii="宋体" w:hAnsi="宋体"/>
                <w:color w:val="auto"/>
                <w:szCs w:val="21"/>
                <w:highlight w:val="none"/>
              </w:rPr>
              <w:br w:type="textWrapping"/>
            </w:r>
            <w:r>
              <w:rPr>
                <w:rFonts w:ascii="宋体" w:hAnsi="宋体"/>
                <w:color w:val="auto"/>
                <w:szCs w:val="21"/>
                <w:highlight w:val="none"/>
              </w:rPr>
              <w:t>厌恶治疗模块中第三人称视角拍摄的真人厌恶全景视频的总时长不少于40分钟；</w:t>
            </w:r>
            <w:r>
              <w:rPr>
                <w:rFonts w:ascii="宋体" w:hAnsi="宋体"/>
                <w:color w:val="auto"/>
                <w:szCs w:val="21"/>
                <w:highlight w:val="none"/>
              </w:rPr>
              <w:br w:type="textWrapping"/>
            </w:r>
            <w:r>
              <w:rPr>
                <w:rFonts w:ascii="宋体" w:hAnsi="宋体"/>
                <w:color w:val="auto"/>
                <w:szCs w:val="21"/>
                <w:highlight w:val="none"/>
              </w:rPr>
              <w:t>(1) 厌恶治疗</w:t>
            </w:r>
            <w:r>
              <w:rPr>
                <w:rFonts w:ascii="宋体" w:hAnsi="宋体"/>
                <w:color w:val="auto"/>
                <w:szCs w:val="21"/>
                <w:highlight w:val="none"/>
              </w:rPr>
              <w:br w:type="textWrapping"/>
            </w:r>
            <w:r>
              <w:rPr>
                <w:rFonts w:ascii="宋体" w:hAnsi="宋体"/>
                <w:color w:val="auto"/>
                <w:szCs w:val="21"/>
                <w:highlight w:val="none"/>
              </w:rPr>
              <w:t>厌恶疗法的原理是经典条件反射，把令人厌恶的刺激与被试的不良行为相结合，形成一种新的条件反射，以对抗原有的不良行为，进而消除这种不良行为。</w:t>
            </w:r>
            <w:r>
              <w:rPr>
                <w:rFonts w:ascii="宋体" w:hAnsi="宋体"/>
                <w:color w:val="auto"/>
                <w:szCs w:val="21"/>
                <w:highlight w:val="none"/>
              </w:rPr>
              <w:br w:type="textWrapping"/>
            </w:r>
            <w:r>
              <w:rPr>
                <w:rFonts w:ascii="宋体" w:hAnsi="宋体"/>
                <w:color w:val="auto"/>
                <w:szCs w:val="21"/>
                <w:highlight w:val="none"/>
              </w:rPr>
              <w:t>【灵车漂移】该部分为三维模型场景，构建吸毒后驾驶汽车的场景，包括产生幻觉、汽车驾驶不稳等，最后撞车形成车毁人亡的后果，告诫学员远离毒品，拒绝毒驾。</w:t>
            </w:r>
            <w:r>
              <w:rPr>
                <w:rFonts w:ascii="宋体" w:hAnsi="宋体"/>
                <w:color w:val="auto"/>
                <w:szCs w:val="21"/>
                <w:highlight w:val="none"/>
              </w:rPr>
              <w:br w:type="textWrapping"/>
            </w:r>
            <w:r>
              <w:rPr>
                <w:rFonts w:ascii="宋体" w:hAnsi="宋体"/>
                <w:color w:val="auto"/>
                <w:szCs w:val="21"/>
                <w:highlight w:val="none"/>
              </w:rPr>
              <w:t>【高空坠落】该部分为三维模型场景，构建出在家里吸毒后产生幻觉，最后跳楼的场景。该部分的跳楼场景，会产生强烈的失重感，让学员感到眩晕，引起不适，带来厌恶的效果。</w:t>
            </w:r>
            <w:r>
              <w:rPr>
                <w:rFonts w:ascii="宋体" w:hAnsi="宋体"/>
                <w:color w:val="auto"/>
                <w:szCs w:val="21"/>
                <w:highlight w:val="none"/>
              </w:rPr>
              <w:br w:type="textWrapping"/>
            </w:r>
            <w:r>
              <w:rPr>
                <w:rFonts w:ascii="宋体" w:hAnsi="宋体"/>
                <w:color w:val="auto"/>
                <w:szCs w:val="21"/>
                <w:highlight w:val="none"/>
              </w:rPr>
              <w:t>【坠入深渊】该部分为三维模型场景，构建出因吸毒而产生金钱幻觉，金钱在空中飞舞，为抓住金钱而坠楼的场景。该部分的坠落场景，会产生强烈的失重感，让学员感到眩晕，引起不适，带来厌恶的效果。</w:t>
            </w:r>
            <w:r>
              <w:rPr>
                <w:rFonts w:ascii="宋体" w:hAnsi="宋体"/>
                <w:color w:val="auto"/>
                <w:szCs w:val="21"/>
                <w:highlight w:val="none"/>
              </w:rPr>
              <w:br w:type="textWrapping"/>
            </w:r>
            <w:r>
              <w:rPr>
                <w:rFonts w:ascii="宋体" w:hAnsi="宋体"/>
                <w:color w:val="auto"/>
                <w:szCs w:val="21"/>
                <w:highlight w:val="none"/>
              </w:rPr>
              <w:t>【天旋地转】该部分为三维模型场景，构建出因吸毒而产生幻觉进入到过山车的场景，让学员感到眩晕，引起不适，带来厌恶的效果。</w:t>
            </w:r>
            <w:r>
              <w:rPr>
                <w:rFonts w:ascii="宋体" w:hAnsi="宋体"/>
                <w:color w:val="auto"/>
                <w:szCs w:val="21"/>
                <w:highlight w:val="none"/>
              </w:rPr>
              <w:br w:type="textWrapping"/>
            </w:r>
            <w:r>
              <w:rPr>
                <w:rFonts w:ascii="宋体" w:hAnsi="宋体"/>
                <w:color w:val="auto"/>
                <w:szCs w:val="21"/>
                <w:highlight w:val="none"/>
              </w:rPr>
              <w:t>【玩火自焚】该部分为三维模型场景，构建出因吸毒而引起房间内多处失火，造成灯掉落、玻璃破碎、人员惊慌失措逃跑等现象，引起学员焦虑紧张的情绪，带来厌恶的效果。</w:t>
            </w:r>
            <w:r>
              <w:rPr>
                <w:rFonts w:ascii="宋体" w:hAnsi="宋体"/>
                <w:color w:val="auto"/>
                <w:szCs w:val="21"/>
                <w:highlight w:val="none"/>
              </w:rPr>
              <w:br w:type="textWrapping"/>
            </w:r>
            <w:r>
              <w:rPr>
                <w:rFonts w:ascii="宋体" w:hAnsi="宋体"/>
                <w:color w:val="auto"/>
                <w:szCs w:val="21"/>
                <w:highlight w:val="none"/>
              </w:rPr>
              <w:t>【惊慌失措】该部分为三维模型场景，构建出在办公室吸毒，而引起办公室失火的场景，办公室内柱子倒塌、人员惊慌逃离，引起学员焦虑紧张的情绪，带来厌恶的效果。</w:t>
            </w:r>
            <w:r>
              <w:rPr>
                <w:rFonts w:ascii="宋体" w:hAnsi="宋体"/>
                <w:color w:val="auto"/>
                <w:szCs w:val="21"/>
                <w:highlight w:val="none"/>
              </w:rPr>
              <w:br w:type="textWrapping"/>
            </w:r>
            <w:r>
              <w:rPr>
                <w:rFonts w:ascii="宋体" w:hAnsi="宋体"/>
                <w:color w:val="auto"/>
                <w:szCs w:val="21"/>
                <w:highlight w:val="none"/>
              </w:rPr>
              <w:t>【仓库失火】该部分为三维模型场景，构建出一个废弃仓库，在角落里吸毒，引起仓库失火，引起学员紧张焦虑的情绪，带来厌恶的效果。</w:t>
            </w:r>
            <w:r>
              <w:rPr>
                <w:rFonts w:ascii="宋体" w:hAnsi="宋体"/>
                <w:color w:val="auto"/>
                <w:szCs w:val="21"/>
                <w:highlight w:val="none"/>
              </w:rPr>
              <w:br w:type="textWrapping"/>
            </w:r>
            <w:r>
              <w:rPr>
                <w:rFonts w:ascii="宋体" w:hAnsi="宋体"/>
                <w:color w:val="auto"/>
                <w:szCs w:val="21"/>
                <w:highlight w:val="none"/>
              </w:rPr>
              <w:t>【潜移默化】该部分为在吸毒全景视频中，在每个吸毒动作的关键节点，插入厌恶恶心图片，根据“潜在镜头效应”这一理论，通过潜意识影响戒毒人员对毒品的态度。</w:t>
            </w:r>
            <w:r>
              <w:rPr>
                <w:rFonts w:ascii="宋体" w:hAnsi="宋体"/>
                <w:color w:val="auto"/>
                <w:szCs w:val="21"/>
                <w:highlight w:val="none"/>
              </w:rPr>
              <w:br w:type="textWrapping"/>
            </w:r>
            <w:r>
              <w:rPr>
                <w:rFonts w:ascii="宋体" w:hAnsi="宋体"/>
                <w:color w:val="auto"/>
                <w:szCs w:val="21"/>
                <w:highlight w:val="none"/>
              </w:rPr>
              <w:t>【法网恢恢】该部分为全景视频，3人聚众吸毒，被警察抓捕。让学员对吸毒这一行为产生畏惧、羞愧之心。</w:t>
            </w:r>
            <w:r>
              <w:rPr>
                <w:rFonts w:ascii="宋体" w:hAnsi="宋体"/>
                <w:color w:val="auto"/>
                <w:szCs w:val="21"/>
                <w:highlight w:val="none"/>
              </w:rPr>
              <w:br w:type="textWrapping"/>
            </w:r>
            <w:r>
              <w:rPr>
                <w:rFonts w:ascii="宋体" w:hAnsi="宋体"/>
                <w:color w:val="auto"/>
                <w:szCs w:val="21"/>
                <w:highlight w:val="none"/>
              </w:rPr>
              <w:t>【耳濡目染】该部分为全景视频，讲述孩子因看到父亲吸毒，而模仿父亲吸毒。警示学员自己的行为会给孩子带来严重的后果。</w:t>
            </w:r>
            <w:r>
              <w:rPr>
                <w:rFonts w:ascii="宋体" w:hAnsi="宋体"/>
                <w:color w:val="auto"/>
                <w:szCs w:val="21"/>
                <w:highlight w:val="none"/>
              </w:rPr>
              <w:br w:type="textWrapping"/>
            </w:r>
            <w:r>
              <w:rPr>
                <w:rFonts w:ascii="宋体" w:hAnsi="宋体"/>
                <w:color w:val="auto"/>
                <w:szCs w:val="21"/>
                <w:highlight w:val="none"/>
              </w:rPr>
              <w:t>【妻离子散】该部分为全景视频，内容为妻子因受不了丈夫吸毒的行为，带着孩子离开。警示学员会给家人造成伤害，要为家人考虑。</w:t>
            </w:r>
            <w:r>
              <w:rPr>
                <w:rFonts w:ascii="宋体" w:hAnsi="宋体"/>
                <w:color w:val="auto"/>
                <w:szCs w:val="21"/>
                <w:highlight w:val="none"/>
              </w:rPr>
              <w:br w:type="textWrapping"/>
            </w:r>
            <w:r>
              <w:rPr>
                <w:rFonts w:ascii="宋体" w:hAnsi="宋体"/>
                <w:color w:val="auto"/>
                <w:szCs w:val="21"/>
                <w:highlight w:val="none"/>
              </w:rPr>
              <w:t>【身染梅毒】该部分为全景视频，一男长期食用海洛因，滥交，共用注射器，最终染上梅毒，身上长满了疮和脓包，给学员带来视觉冲击，令人厌恶。</w:t>
            </w:r>
            <w:r>
              <w:rPr>
                <w:rFonts w:ascii="宋体" w:hAnsi="宋体"/>
                <w:color w:val="auto"/>
                <w:szCs w:val="21"/>
                <w:highlight w:val="none"/>
              </w:rPr>
              <w:br w:type="textWrapping"/>
            </w:r>
            <w:r>
              <w:rPr>
                <w:rFonts w:ascii="宋体" w:hAnsi="宋体"/>
                <w:color w:val="auto"/>
                <w:szCs w:val="21"/>
                <w:highlight w:val="none"/>
              </w:rPr>
              <w:t>【形容枯槁】该部分为全景视频，一女子采用烫吸、注射等不同的方式吸食海洛因，随着对海洛因的依赖逐渐加强，女子身体日渐消瘦、头发脱落、牙齿掉落，身上长斑，形态令人厌恶。</w:t>
            </w:r>
            <w:r>
              <w:rPr>
                <w:rFonts w:ascii="宋体" w:hAnsi="宋体"/>
                <w:color w:val="auto"/>
                <w:szCs w:val="21"/>
                <w:highlight w:val="none"/>
              </w:rPr>
              <w:br w:type="textWrapping"/>
            </w:r>
            <w:r>
              <w:rPr>
                <w:rFonts w:ascii="宋体" w:hAnsi="宋体"/>
                <w:color w:val="auto"/>
                <w:szCs w:val="21"/>
                <w:highlight w:val="none"/>
              </w:rPr>
              <w:t>【命丧毒口】该部分为全景视频，男女朋友在一起吸食海洛因，女方毒瘾发作，祈求男朋友为其注射海洛因，由于注射过量，导致其死亡，给学员起到警示作用。</w:t>
            </w:r>
            <w:r>
              <w:rPr>
                <w:rFonts w:ascii="宋体" w:hAnsi="宋体"/>
                <w:color w:val="auto"/>
                <w:szCs w:val="21"/>
                <w:highlight w:val="none"/>
              </w:rPr>
              <w:br w:type="textWrapping"/>
            </w:r>
            <w:r>
              <w:rPr>
                <w:rFonts w:ascii="宋体" w:hAnsi="宋体"/>
                <w:color w:val="auto"/>
                <w:szCs w:val="21"/>
                <w:highlight w:val="none"/>
              </w:rPr>
              <w:t xml:space="preserve"> (2) 脱敏治疗</w:t>
            </w:r>
            <w:r>
              <w:rPr>
                <w:rFonts w:ascii="宋体" w:hAnsi="宋体"/>
                <w:color w:val="auto"/>
                <w:szCs w:val="21"/>
                <w:highlight w:val="none"/>
              </w:rPr>
              <w:br w:type="textWrapping"/>
            </w:r>
            <w:r>
              <w:rPr>
                <w:rFonts w:ascii="宋体" w:hAnsi="宋体"/>
                <w:color w:val="auto"/>
                <w:szCs w:val="21"/>
                <w:highlight w:val="none"/>
              </w:rPr>
              <w:t>系统脱敏疗法是暴露疗法的一种，它的治疗原理是对抗条件反射，其治疗方式是使用诱发刺激，通过有步骤地反复暴露取得适应，来消除被试的恐惧、焦虑。</w:t>
            </w:r>
            <w:r>
              <w:rPr>
                <w:rFonts w:ascii="宋体" w:hAnsi="宋体"/>
                <w:color w:val="auto"/>
                <w:szCs w:val="21"/>
                <w:highlight w:val="none"/>
              </w:rPr>
              <w:br w:type="textWrapping"/>
            </w:r>
            <w:r>
              <w:rPr>
                <w:rFonts w:ascii="宋体" w:hAnsi="宋体"/>
                <w:color w:val="auto"/>
                <w:szCs w:val="21"/>
                <w:highlight w:val="none"/>
              </w:rPr>
              <w:t>【言语诱发】该部分为音频，通过言语让学员回忆吸毒相关的事情，在听觉层面诱发学员的渴求。</w:t>
            </w:r>
            <w:r>
              <w:rPr>
                <w:rFonts w:ascii="宋体" w:hAnsi="宋体"/>
                <w:color w:val="auto"/>
                <w:szCs w:val="21"/>
                <w:highlight w:val="none"/>
              </w:rPr>
              <w:br w:type="textWrapping"/>
            </w:r>
            <w:r>
              <w:rPr>
                <w:rFonts w:ascii="宋体" w:hAnsi="宋体"/>
                <w:color w:val="auto"/>
                <w:szCs w:val="21"/>
                <w:highlight w:val="none"/>
              </w:rPr>
              <w:t>【图片诱发】该部分为三维建模场景，构建出一个展厅，墙上挂的都是与吸毒相关的图片，包括注射毒品、KTV吸毒、吸毒后玩游戏等，在视觉层面诱发学员的渴求。</w:t>
            </w:r>
            <w:r>
              <w:rPr>
                <w:rFonts w:ascii="宋体" w:hAnsi="宋体"/>
                <w:color w:val="auto"/>
                <w:szCs w:val="21"/>
                <w:highlight w:val="none"/>
              </w:rPr>
              <w:br w:type="textWrapping"/>
            </w:r>
            <w:r>
              <w:rPr>
                <w:rFonts w:ascii="宋体" w:hAnsi="宋体"/>
                <w:color w:val="auto"/>
                <w:szCs w:val="21"/>
                <w:highlight w:val="none"/>
              </w:rPr>
              <w:t>【场景诱发】该部分为三维建模场景，构建出小旅馆和KTV，在房间内依次出现吸毒工具和毒品的模型，效果逼真，能诱发学员的强烈渴求。</w:t>
            </w:r>
            <w:r>
              <w:rPr>
                <w:rFonts w:ascii="宋体" w:hAnsi="宋体"/>
                <w:color w:val="auto"/>
                <w:szCs w:val="21"/>
                <w:highlight w:val="none"/>
              </w:rPr>
              <w:br w:type="textWrapping"/>
            </w:r>
            <w:r>
              <w:rPr>
                <w:rFonts w:ascii="宋体" w:hAnsi="宋体"/>
                <w:color w:val="auto"/>
                <w:szCs w:val="21"/>
                <w:highlight w:val="none"/>
              </w:rPr>
              <w:t>【全景诱发】该部分为全景视频，内容包括吸毒对比、吸毒后散冰、旅馆吸毒等，通过真人拍摄的方式，在视听层面诱发学员的渴求。</w:t>
            </w:r>
            <w:r>
              <w:rPr>
                <w:rFonts w:ascii="宋体" w:hAnsi="宋体"/>
                <w:color w:val="auto"/>
                <w:szCs w:val="21"/>
                <w:highlight w:val="none"/>
              </w:rPr>
              <w:br w:type="textWrapping"/>
            </w:r>
            <w:r>
              <w:rPr>
                <w:rFonts w:ascii="宋体" w:hAnsi="宋体"/>
                <w:color w:val="auto"/>
                <w:szCs w:val="21"/>
                <w:highlight w:val="none"/>
              </w:rPr>
              <w:t>【毒品分类】该部分为三维建模场景，让学员用头盔中心点，完成毒品和非毒品的分类任务，通过交互的方式，更大程度诱发学员的渴求。</w:t>
            </w:r>
            <w:r>
              <w:rPr>
                <w:rFonts w:ascii="宋体" w:hAnsi="宋体"/>
                <w:color w:val="auto"/>
                <w:szCs w:val="21"/>
                <w:highlight w:val="none"/>
              </w:rPr>
              <w:br w:type="textWrapping"/>
            </w:r>
            <w:r>
              <w:rPr>
                <w:rFonts w:ascii="宋体" w:hAnsi="宋体"/>
                <w:color w:val="auto"/>
                <w:szCs w:val="21"/>
                <w:highlight w:val="none"/>
              </w:rPr>
              <w:t>【毒具组装】该部分为三维建模场景，让学员用头盔中心点，形成可以吸食的状态，通过交互的方式完成吸毒所需的一系列操作，最大程度地诱发学员的渴求。</w:t>
            </w:r>
            <w:r>
              <w:rPr>
                <w:rFonts w:ascii="宋体" w:hAnsi="宋体"/>
                <w:color w:val="auto"/>
                <w:szCs w:val="21"/>
                <w:highlight w:val="none"/>
              </w:rPr>
              <w:br w:type="textWrapping"/>
            </w:r>
            <w:r>
              <w:rPr>
                <w:rFonts w:ascii="宋体" w:hAnsi="宋体"/>
                <w:color w:val="auto"/>
                <w:szCs w:val="21"/>
                <w:highlight w:val="none"/>
              </w:rPr>
              <w:t>【放松训练】在上述每一层级诱发之后，都会有放松训练的任务，通过语音诱导，全景视频辅助，以此缓解学员被诱发出的焦虑情绪，让学员对毒品渐渐脱敏，降低学员对毒品的渴求。</w:t>
            </w:r>
            <w:r>
              <w:rPr>
                <w:rFonts w:ascii="宋体" w:hAnsi="宋体"/>
                <w:color w:val="auto"/>
                <w:szCs w:val="21"/>
                <w:highlight w:val="none"/>
              </w:rPr>
              <w:br w:type="textWrapping"/>
            </w:r>
            <w:r>
              <w:rPr>
                <w:rFonts w:ascii="宋体" w:hAnsi="宋体"/>
                <w:color w:val="auto"/>
                <w:szCs w:val="21"/>
                <w:highlight w:val="none"/>
              </w:rPr>
              <w:t xml:space="preserve"> (3) 回归治疗</w:t>
            </w:r>
            <w:r>
              <w:rPr>
                <w:rFonts w:ascii="宋体" w:hAnsi="宋体"/>
                <w:color w:val="auto"/>
                <w:szCs w:val="21"/>
                <w:highlight w:val="none"/>
              </w:rPr>
              <w:br w:type="textWrapping"/>
            </w:r>
            <w:r>
              <w:rPr>
                <w:rFonts w:ascii="宋体" w:hAnsi="宋体"/>
                <w:color w:val="auto"/>
                <w:szCs w:val="21"/>
                <w:highlight w:val="none"/>
              </w:rPr>
              <w:t>由于封闭式的戒毒过程中，戒毒人员无法接触外界。系统通过高仿真的家庭、社会虚拟场景，为戒毒人员还原和营造温馨、和谐的家庭、社会氛围，舒缓戒毒人员生理及心理的情绪困扰，唤起其对家庭、对社会生活的向往，通过戒毒成功人士的戒毒经验分享，帮助戒毒人员增强坚持治疗的信心和能力。</w:t>
            </w:r>
            <w:r>
              <w:rPr>
                <w:rFonts w:ascii="宋体" w:hAnsi="宋体"/>
                <w:color w:val="auto"/>
                <w:szCs w:val="21"/>
                <w:highlight w:val="none"/>
              </w:rPr>
              <w:br w:type="textWrapping"/>
            </w:r>
            <w:r>
              <w:rPr>
                <w:rFonts w:ascii="宋体" w:hAnsi="宋体"/>
                <w:color w:val="auto"/>
                <w:szCs w:val="21"/>
                <w:highlight w:val="none"/>
              </w:rPr>
              <w:t>【摧毁毒品】该部分为三维建模场景，构建出一个温暖的家庭，随着客厅茶几上毒品的出现，家里的物品会逐一消失，体验从家庭富足到家徒四壁的过程，再鼓励学员举起手中的虚拟锤子砸碎吸毒工具、烧毁毒品。</w:t>
            </w:r>
            <w:r>
              <w:rPr>
                <w:rFonts w:ascii="宋体" w:hAnsi="宋体"/>
                <w:color w:val="auto"/>
                <w:szCs w:val="21"/>
                <w:highlight w:val="none"/>
              </w:rPr>
              <w:br w:type="textWrapping"/>
            </w:r>
            <w:r>
              <w:rPr>
                <w:rFonts w:ascii="宋体" w:hAnsi="宋体"/>
                <w:color w:val="auto"/>
                <w:szCs w:val="21"/>
                <w:highlight w:val="none"/>
              </w:rPr>
              <w:t>【改过自新】该部分为全景视频，由戒毒成功的志愿者拍摄录制，讲述了他们自己吸毒再戒毒的经历，以此鼓励学员戒掉毒品。</w:t>
            </w:r>
            <w:r>
              <w:rPr>
                <w:rFonts w:ascii="宋体" w:hAnsi="宋体"/>
                <w:color w:val="auto"/>
                <w:szCs w:val="21"/>
                <w:highlight w:val="none"/>
              </w:rPr>
              <w:br w:type="textWrapping"/>
            </w:r>
            <w:r>
              <w:rPr>
                <w:rFonts w:ascii="宋体" w:hAnsi="宋体"/>
                <w:color w:val="auto"/>
                <w:szCs w:val="21"/>
                <w:highlight w:val="none"/>
              </w:rPr>
              <w:t>【阖家团圆】该部分为全景视频，内容为戒毒成功的学员与家人、朋友团聚吃饭，描述了温馨美好的画面，唤起学员回归家庭的情绪。</w:t>
            </w:r>
            <w:r>
              <w:rPr>
                <w:rFonts w:ascii="宋体" w:hAnsi="宋体"/>
                <w:color w:val="auto"/>
                <w:szCs w:val="21"/>
                <w:highlight w:val="none"/>
              </w:rPr>
              <w:br w:type="textWrapping"/>
            </w:r>
            <w:r>
              <w:rPr>
                <w:rFonts w:ascii="宋体" w:hAnsi="宋体"/>
                <w:color w:val="auto"/>
                <w:szCs w:val="21"/>
                <w:highlight w:val="none"/>
              </w:rPr>
              <w:t>【美丽世界】该部分为全景视频，内容为美丽的风景视频，让学员体验海底世界的美好，平复学员内心对毒品的渴求，引导他们追求美好的生活。</w:t>
            </w:r>
            <w:r>
              <w:rPr>
                <w:rFonts w:ascii="宋体" w:hAnsi="宋体"/>
                <w:color w:val="auto"/>
                <w:szCs w:val="21"/>
                <w:highlight w:val="none"/>
              </w:rPr>
              <w:br w:type="textWrapping"/>
            </w:r>
            <w:r>
              <w:rPr>
                <w:rFonts w:ascii="宋体" w:hAnsi="宋体"/>
                <w:color w:val="auto"/>
                <w:szCs w:val="21"/>
                <w:highlight w:val="none"/>
              </w:rPr>
              <w:t>(4) 认知康复训练</w:t>
            </w:r>
            <w:r>
              <w:rPr>
                <w:rFonts w:ascii="宋体" w:hAnsi="宋体"/>
                <w:color w:val="auto"/>
                <w:szCs w:val="21"/>
                <w:highlight w:val="none"/>
              </w:rPr>
              <w:br w:type="textWrapping"/>
            </w:r>
            <w:r>
              <w:rPr>
                <w:rFonts w:ascii="宋体" w:hAnsi="宋体"/>
                <w:color w:val="auto"/>
                <w:szCs w:val="21"/>
                <w:highlight w:val="none"/>
              </w:rPr>
              <w:t>该部分包含注意力训练、空间知觉训练、反应速度训练及情绪控制训练等部分。</w:t>
            </w:r>
            <w:r>
              <w:rPr>
                <w:rFonts w:ascii="宋体" w:hAnsi="宋体"/>
                <w:color w:val="auto"/>
                <w:szCs w:val="21"/>
                <w:highlight w:val="none"/>
              </w:rPr>
              <w:br w:type="textWrapping"/>
            </w:r>
            <w:r>
              <w:rPr>
                <w:rFonts w:ascii="宋体" w:hAnsi="宋体"/>
                <w:color w:val="auto"/>
                <w:szCs w:val="21"/>
                <w:highlight w:val="none"/>
              </w:rPr>
              <w:t>【注意力训练】该部分为躲避类游戏，通过头盔中心红色十字选择汽车行进方向，躲避路中的障碍物。</w:t>
            </w:r>
            <w:r>
              <w:rPr>
                <w:rFonts w:ascii="宋体" w:hAnsi="宋体"/>
                <w:color w:val="auto"/>
                <w:szCs w:val="21"/>
                <w:highlight w:val="none"/>
              </w:rPr>
              <w:br w:type="textWrapping"/>
            </w:r>
            <w:r>
              <w:rPr>
                <w:rFonts w:ascii="宋体" w:hAnsi="宋体"/>
                <w:color w:val="auto"/>
                <w:szCs w:val="21"/>
                <w:highlight w:val="none"/>
              </w:rPr>
              <w:t>【空间知觉训练】该部分为一款迷宫游戏，通过头盔控制小球移动，穿越迷宫。</w:t>
            </w:r>
            <w:r>
              <w:rPr>
                <w:rFonts w:ascii="宋体" w:hAnsi="宋体"/>
                <w:color w:val="auto"/>
                <w:szCs w:val="21"/>
                <w:highlight w:val="none"/>
              </w:rPr>
              <w:br w:type="textWrapping"/>
            </w:r>
            <w:r>
              <w:rPr>
                <w:rFonts w:ascii="宋体" w:hAnsi="宋体"/>
                <w:color w:val="auto"/>
                <w:szCs w:val="21"/>
                <w:highlight w:val="none"/>
              </w:rPr>
              <w:t xml:space="preserve">【记忆力训练】该部分为一款简单任务游戏，通过头盔选择目标色块位置。 </w:t>
            </w:r>
            <w:r>
              <w:rPr>
                <w:rFonts w:ascii="宋体" w:hAnsi="宋体"/>
                <w:color w:val="auto"/>
                <w:szCs w:val="21"/>
                <w:highlight w:val="none"/>
              </w:rPr>
              <w:br w:type="textWrapping"/>
            </w:r>
            <w:r>
              <w:rPr>
                <w:rFonts w:hint="eastAsia" w:ascii="宋体" w:hAnsi="宋体" w:cs="宋体"/>
                <w:b/>
                <w:bCs/>
                <w:color w:val="auto"/>
                <w:highlight w:val="none"/>
              </w:rPr>
              <w:t>▲</w:t>
            </w:r>
            <w:r>
              <w:rPr>
                <w:rFonts w:ascii="宋体" w:hAnsi="宋体"/>
                <w:color w:val="auto"/>
                <w:szCs w:val="21"/>
                <w:highlight w:val="none"/>
              </w:rPr>
              <w:t>【情绪控制训练】该部分由多个内容构成，包括全景视频和生物反馈训练：全景视频为风景放松视频；生物反馈训练需接入生理设备，监测学员的生理状态，VR场景会随着学员的放松状态而变化，一个场景为枯树生叶，学员越放松，树叶越茂盛，另一个场景为沙漠绿洲，学员越放松，沙漠中的绿洲范围越大。</w:t>
            </w:r>
          </w:p>
          <w:p w14:paraId="6071452C">
            <w:pPr>
              <w:pStyle w:val="9"/>
              <w:keepNext w:val="0"/>
              <w:keepLines w:val="0"/>
              <w:pageBreakBefore w:val="0"/>
              <w:kinsoku/>
              <w:wordWrap/>
              <w:overflowPunct/>
              <w:topLinePunct w:val="0"/>
              <w:bidi w:val="0"/>
              <w:spacing w:line="240" w:lineRule="auto"/>
              <w:ind w:left="0" w:right="0" w:firstLine="0"/>
              <w:rPr>
                <w:rFonts w:hint="default"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三、</w:t>
            </w:r>
            <w:r>
              <w:rPr>
                <w:rFonts w:hint="eastAsia" w:asciiTheme="minorEastAsia" w:hAnsiTheme="minorEastAsia" w:eastAsiaTheme="minorEastAsia"/>
                <w:b/>
                <w:bCs/>
                <w:color w:val="auto"/>
                <w:szCs w:val="21"/>
                <w:highlight w:val="none"/>
              </w:rPr>
              <w:t>VR服务</w:t>
            </w:r>
            <w:r>
              <w:rPr>
                <w:rFonts w:hint="eastAsia" w:asciiTheme="minorEastAsia" w:hAnsiTheme="minorEastAsia" w:eastAsiaTheme="minorEastAsia"/>
                <w:b/>
                <w:bCs/>
                <w:color w:val="auto"/>
                <w:szCs w:val="21"/>
                <w:highlight w:val="none"/>
                <w:lang w:eastAsia="zh-CN"/>
              </w:rPr>
              <w:t>端，</w:t>
            </w:r>
            <w:r>
              <w:rPr>
                <w:rFonts w:hint="eastAsia" w:asciiTheme="minorEastAsia" w:hAnsiTheme="minorEastAsia" w:eastAsiaTheme="minorEastAsia"/>
                <w:b/>
                <w:bCs/>
                <w:color w:val="auto"/>
                <w:szCs w:val="21"/>
                <w:highlight w:val="none"/>
                <w:lang w:val="en-US" w:eastAsia="zh-CN"/>
              </w:rPr>
              <w:t>1套。</w:t>
            </w:r>
          </w:p>
          <w:p w14:paraId="089DED27">
            <w:pPr>
              <w:pStyle w:val="9"/>
              <w:keepNext w:val="0"/>
              <w:keepLines w:val="0"/>
              <w:pageBreakBefore w:val="0"/>
              <w:kinsoku/>
              <w:wordWrap/>
              <w:overflowPunct/>
              <w:topLinePunct w:val="0"/>
              <w:bidi w:val="0"/>
              <w:spacing w:line="240" w:lineRule="auto"/>
              <w:ind w:left="0" w:right="0"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操作系统：Windows系统</w:t>
            </w:r>
            <w:r>
              <w:rPr>
                <w:rFonts w:hint="eastAsia" w:ascii="宋体" w:hAnsi="宋体" w:cs="宋体"/>
                <w:color w:val="auto"/>
                <w:kern w:val="0"/>
                <w:szCs w:val="21"/>
                <w:highlight w:val="none"/>
                <w:lang w:eastAsia="zh-CN"/>
              </w:rPr>
              <w:t>或其他系统</w:t>
            </w:r>
            <w:r>
              <w:rPr>
                <w:rFonts w:hint="eastAsia" w:ascii="宋体" w:hAnsi="宋体" w:cs="宋体"/>
                <w:color w:val="auto"/>
                <w:kern w:val="0"/>
                <w:szCs w:val="21"/>
                <w:highlight w:val="none"/>
              </w:rPr>
              <w:t>；</w:t>
            </w:r>
          </w:p>
          <w:p w14:paraId="03A446E7">
            <w:pPr>
              <w:pStyle w:val="9"/>
              <w:keepNext w:val="0"/>
              <w:keepLines w:val="0"/>
              <w:pageBreakBefore w:val="0"/>
              <w:kinsoku/>
              <w:wordWrap/>
              <w:overflowPunct/>
              <w:topLinePunct w:val="0"/>
              <w:bidi w:val="0"/>
              <w:spacing w:line="240" w:lineRule="auto"/>
              <w:ind w:left="0" w:right="0" w:firstLine="0"/>
              <w:rPr>
                <w:rFonts w:ascii="宋体" w:hAnsi="宋体" w:cs="宋体"/>
                <w:color w:val="auto"/>
                <w:kern w:val="0"/>
                <w:szCs w:val="21"/>
                <w:highlight w:val="none"/>
              </w:rPr>
            </w:pPr>
            <w:r>
              <w:rPr>
                <w:rFonts w:hint="eastAsia" w:ascii="宋体" w:hAnsi="宋体" w:cs="宋体"/>
                <w:color w:val="auto"/>
                <w:kern w:val="0"/>
                <w:szCs w:val="21"/>
                <w:highlight w:val="none"/>
                <w:lang w:eastAsia="zh-CN"/>
              </w:rPr>
              <w:t>配置性能不低于以下：</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CPU：Intel i7 8700或更高配置；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内存：</w:t>
            </w:r>
            <w:r>
              <w:rPr>
                <w:rFonts w:hint="eastAsia"/>
                <w:color w:val="auto"/>
                <w:highlight w:val="none"/>
              </w:rPr>
              <w:t>≥</w:t>
            </w:r>
            <w:r>
              <w:rPr>
                <w:rFonts w:hint="eastAsia" w:ascii="宋体" w:hAnsi="宋体" w:cs="宋体"/>
                <w:color w:val="auto"/>
                <w:kern w:val="0"/>
                <w:szCs w:val="21"/>
                <w:highlight w:val="none"/>
              </w:rPr>
              <w:t>8GB；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显卡：集成显卡；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1TB机械硬盘+128GB SSD；</w:t>
            </w:r>
          </w:p>
          <w:p w14:paraId="657F4425">
            <w:pPr>
              <w:keepNext w:val="0"/>
              <w:keepLines w:val="0"/>
              <w:pageBreakBefore w:val="0"/>
              <w:kinsoku/>
              <w:wordWrap/>
              <w:overflowPunct/>
              <w:topLinePunct w:val="0"/>
              <w:bidi w:val="0"/>
              <w:spacing w:line="240" w:lineRule="auto"/>
              <w:ind w:left="0" w:right="0" w:firstLine="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输出设备</w:t>
            </w:r>
            <w:r>
              <w:rPr>
                <w:rFonts w:hint="eastAsia" w:ascii="宋体" w:hAnsi="宋体" w:cs="宋体"/>
                <w:color w:val="auto"/>
                <w:kern w:val="0"/>
                <w:szCs w:val="21"/>
                <w:highlight w:val="none"/>
              </w:rPr>
              <w:t>：</w:t>
            </w:r>
            <w:r>
              <w:rPr>
                <w:rFonts w:hint="eastAsia"/>
                <w:color w:val="auto"/>
                <w:highlight w:val="none"/>
              </w:rPr>
              <w:t>≥</w:t>
            </w:r>
            <w:r>
              <w:rPr>
                <w:rFonts w:hint="eastAsia" w:ascii="宋体" w:hAnsi="宋体" w:cs="宋体"/>
                <w:color w:val="auto"/>
                <w:kern w:val="0"/>
                <w:szCs w:val="21"/>
                <w:highlight w:val="none"/>
              </w:rPr>
              <w:t>22寸以上；</w:t>
            </w:r>
          </w:p>
          <w:p w14:paraId="15724CE2">
            <w:pPr>
              <w:keepNext w:val="0"/>
              <w:keepLines w:val="0"/>
              <w:pageBreakBefore w:val="0"/>
              <w:kinsoku/>
              <w:wordWrap/>
              <w:overflowPunct/>
              <w:topLinePunct w:val="0"/>
              <w:bidi w:val="0"/>
              <w:spacing w:line="240" w:lineRule="auto"/>
              <w:ind w:left="0" w:right="0" w:firstLine="0"/>
              <w:jc w:val="left"/>
              <w:rPr>
                <w:rStyle w:val="76"/>
                <w:rFonts w:ascii="宋体" w:hAnsi="宋体"/>
                <w:color w:val="auto"/>
                <w:kern w:val="0"/>
                <w:szCs w:val="21"/>
                <w:highlight w:val="none"/>
              </w:rPr>
            </w:pPr>
            <w:r>
              <w:rPr>
                <w:rFonts w:hint="eastAsia" w:ascii="宋体" w:hAnsi="宋体" w:cs="宋体"/>
                <w:color w:val="auto"/>
                <w:kern w:val="0"/>
                <w:szCs w:val="21"/>
                <w:highlight w:val="none"/>
              </w:rPr>
              <w:t>含</w:t>
            </w:r>
            <w:r>
              <w:rPr>
                <w:rFonts w:hint="eastAsia" w:ascii="宋体" w:hAnsi="宋体" w:cs="宋体"/>
                <w:color w:val="auto"/>
                <w:kern w:val="0"/>
                <w:szCs w:val="21"/>
                <w:highlight w:val="none"/>
                <w:lang w:eastAsia="zh-CN"/>
              </w:rPr>
              <w:t>输出设备</w:t>
            </w:r>
            <w:r>
              <w:rPr>
                <w:rFonts w:hint="eastAsia" w:ascii="宋体" w:hAnsi="宋体" w:cs="宋体"/>
                <w:color w:val="auto"/>
                <w:kern w:val="0"/>
                <w:szCs w:val="21"/>
                <w:highlight w:val="none"/>
              </w:rPr>
              <w:t>1套。</w:t>
            </w:r>
          </w:p>
          <w:p w14:paraId="2291F319">
            <w:pPr>
              <w:keepNext w:val="0"/>
              <w:keepLines w:val="0"/>
              <w:pageBreakBefore w:val="0"/>
              <w:kinsoku/>
              <w:wordWrap/>
              <w:overflowPunct/>
              <w:topLinePunct w:val="0"/>
              <w:bidi w:val="0"/>
              <w:spacing w:line="240" w:lineRule="auto"/>
              <w:ind w:left="0" w:right="0" w:firstLine="0"/>
              <w:jc w:val="left"/>
              <w:rPr>
                <w:rFonts w:hint="default" w:ascii="宋体" w:hAnsi="宋体" w:eastAsiaTheme="minorEastAsia"/>
                <w:b/>
                <w:bCs/>
                <w:color w:val="auto"/>
                <w:szCs w:val="21"/>
                <w:highlight w:val="none"/>
                <w:lang w:val="en-US" w:eastAsia="zh-CN"/>
              </w:rPr>
            </w:pPr>
            <w:r>
              <w:rPr>
                <w:rFonts w:hint="eastAsia" w:ascii="宋体" w:hAnsi="宋体"/>
                <w:b/>
                <w:bCs/>
                <w:color w:val="auto"/>
                <w:szCs w:val="21"/>
                <w:highlight w:val="none"/>
                <w:lang w:val="en-US" w:eastAsia="zh-CN"/>
              </w:rPr>
              <w:t>四、</w:t>
            </w:r>
            <w:r>
              <w:rPr>
                <w:rFonts w:asciiTheme="minorEastAsia" w:hAnsiTheme="minorEastAsia" w:eastAsiaTheme="minorEastAsia"/>
                <w:b/>
                <w:bCs/>
                <w:color w:val="auto"/>
                <w:szCs w:val="21"/>
                <w:highlight w:val="none"/>
              </w:rPr>
              <w:t>生理记录仪</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lang w:val="en-US" w:eastAsia="zh-CN"/>
              </w:rPr>
              <w:t>5台。</w:t>
            </w:r>
          </w:p>
          <w:p w14:paraId="330D5B98">
            <w:pPr>
              <w:keepNext w:val="0"/>
              <w:keepLines w:val="0"/>
              <w:pageBreakBefore w:val="0"/>
              <w:kinsoku/>
              <w:wordWrap/>
              <w:overflowPunct/>
              <w:topLinePunct w:val="0"/>
              <w:bidi w:val="0"/>
              <w:spacing w:line="240" w:lineRule="auto"/>
              <w:ind w:left="0" w:right="0" w:firstLine="0"/>
              <w:jc w:val="left"/>
              <w:rPr>
                <w:rStyle w:val="76"/>
                <w:rFonts w:ascii="宋体" w:hAnsi="宋体"/>
                <w:color w:val="auto"/>
                <w:kern w:val="0"/>
                <w:szCs w:val="21"/>
                <w:highlight w:val="none"/>
              </w:rPr>
            </w:pPr>
            <w:r>
              <w:rPr>
                <w:rFonts w:ascii="宋体" w:hAnsi="宋体"/>
                <w:color w:val="auto"/>
                <w:szCs w:val="21"/>
                <w:highlight w:val="none"/>
              </w:rPr>
              <w:t>实时采集、呈现、记录红外脉搏、皮肤电阻、等生理数据</w:t>
            </w:r>
            <w:r>
              <w:rPr>
                <w:rFonts w:hint="eastAsia" w:ascii="宋体" w:hAnsi="宋体"/>
                <w:color w:val="auto"/>
                <w:szCs w:val="21"/>
                <w:highlight w:val="none"/>
              </w:rPr>
              <w:t>。</w:t>
            </w:r>
            <w:r>
              <w:rPr>
                <w:rFonts w:ascii="宋体" w:hAnsi="宋体"/>
                <w:color w:val="auto"/>
                <w:szCs w:val="21"/>
                <w:highlight w:val="none"/>
              </w:rPr>
              <w:br w:type="textWrapping"/>
            </w:r>
            <w:r>
              <w:rPr>
                <w:rFonts w:ascii="宋体" w:hAnsi="宋体"/>
                <w:color w:val="auto"/>
                <w:szCs w:val="21"/>
                <w:highlight w:val="none"/>
              </w:rPr>
              <w:t>红外脉搏：电源：5VDC</w:t>
            </w:r>
            <w:r>
              <w:rPr>
                <w:rFonts w:ascii="宋体" w:hAnsi="宋体"/>
                <w:color w:val="auto"/>
                <w:szCs w:val="21"/>
                <w:highlight w:val="none"/>
              </w:rPr>
              <w:br w:type="textWrapping"/>
            </w:r>
            <w:r>
              <w:rPr>
                <w:rFonts w:ascii="宋体" w:hAnsi="宋体"/>
                <w:color w:val="auto"/>
                <w:szCs w:val="21"/>
                <w:highlight w:val="none"/>
              </w:rPr>
              <w:t>采样频率：≧200Hz</w:t>
            </w:r>
            <w:r>
              <w:rPr>
                <w:rFonts w:ascii="宋体" w:hAnsi="宋体"/>
                <w:color w:val="auto"/>
                <w:szCs w:val="21"/>
                <w:highlight w:val="none"/>
              </w:rPr>
              <w:br w:type="textWrapping"/>
            </w:r>
            <w:r>
              <w:rPr>
                <w:rFonts w:ascii="宋体" w:hAnsi="宋体"/>
                <w:color w:val="auto"/>
                <w:szCs w:val="21"/>
                <w:highlight w:val="none"/>
              </w:rPr>
              <w:t>采样精度：10位</w:t>
            </w:r>
            <w:r>
              <w:rPr>
                <w:rFonts w:ascii="宋体" w:hAnsi="宋体"/>
                <w:color w:val="auto"/>
                <w:szCs w:val="21"/>
                <w:highlight w:val="none"/>
              </w:rPr>
              <w:br w:type="textWrapping"/>
            </w:r>
            <w:r>
              <w:rPr>
                <w:rFonts w:ascii="宋体" w:hAnsi="宋体"/>
                <w:color w:val="auto"/>
                <w:szCs w:val="21"/>
                <w:highlight w:val="none"/>
              </w:rPr>
              <w:t>皮肤电阻：电源：5VDC</w:t>
            </w:r>
            <w:r>
              <w:rPr>
                <w:rFonts w:ascii="宋体" w:hAnsi="宋体"/>
                <w:color w:val="auto"/>
                <w:szCs w:val="21"/>
                <w:highlight w:val="none"/>
              </w:rPr>
              <w:br w:type="textWrapping"/>
            </w:r>
            <w:r>
              <w:rPr>
                <w:rFonts w:ascii="宋体" w:hAnsi="宋体"/>
                <w:color w:val="auto"/>
                <w:szCs w:val="21"/>
                <w:highlight w:val="none"/>
              </w:rPr>
              <w:t>量程：100K-2.5M</w:t>
            </w:r>
            <w:r>
              <w:rPr>
                <w:rFonts w:ascii="宋体" w:hAnsi="宋体"/>
                <w:color w:val="auto"/>
                <w:szCs w:val="21"/>
                <w:highlight w:val="none"/>
              </w:rPr>
              <w:br w:type="textWrapping"/>
            </w:r>
            <w:r>
              <w:rPr>
                <w:rFonts w:ascii="宋体" w:hAnsi="宋体"/>
                <w:color w:val="auto"/>
                <w:szCs w:val="21"/>
                <w:highlight w:val="none"/>
              </w:rPr>
              <w:t>测量精度：2.5K</w:t>
            </w:r>
          </w:p>
          <w:p w14:paraId="21E823F3">
            <w:pPr>
              <w:keepNext w:val="0"/>
              <w:keepLines w:val="0"/>
              <w:pageBreakBefore w:val="0"/>
              <w:kinsoku/>
              <w:wordWrap/>
              <w:overflowPunct/>
              <w:topLinePunct w:val="0"/>
              <w:bidi w:val="0"/>
              <w:spacing w:line="240" w:lineRule="auto"/>
              <w:ind w:left="0" w:right="0" w:firstLine="0"/>
              <w:rPr>
                <w:rFonts w:hint="default" w:ascii="宋体" w:hAnsi="宋体"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五、</w:t>
            </w:r>
            <w:r>
              <w:rPr>
                <w:rFonts w:hint="eastAsia" w:asciiTheme="minorEastAsia" w:hAnsiTheme="minorEastAsia" w:eastAsiaTheme="minorEastAsia"/>
                <w:b/>
                <w:bCs/>
                <w:color w:val="auto"/>
                <w:szCs w:val="21"/>
                <w:highlight w:val="none"/>
              </w:rPr>
              <w:t>VR用户端</w:t>
            </w:r>
            <w:r>
              <w:rPr>
                <w:rFonts w:hint="eastAsia" w:asciiTheme="minorEastAsia" w:hAnsiTheme="minorEastAsia" w:eastAsiaTheme="minorEastAsia"/>
                <w:b/>
                <w:bCs/>
                <w:color w:val="auto"/>
                <w:szCs w:val="21"/>
                <w:highlight w:val="none"/>
                <w:lang w:eastAsia="zh-CN"/>
              </w:rPr>
              <w:t>设备，</w:t>
            </w:r>
            <w:r>
              <w:rPr>
                <w:rFonts w:hint="eastAsia" w:asciiTheme="minorEastAsia" w:hAnsiTheme="minorEastAsia" w:eastAsiaTheme="minorEastAsia"/>
                <w:b/>
                <w:bCs/>
                <w:color w:val="auto"/>
                <w:szCs w:val="21"/>
                <w:highlight w:val="none"/>
                <w:lang w:val="en-US" w:eastAsia="zh-CN"/>
              </w:rPr>
              <w:t>5台。</w:t>
            </w:r>
          </w:p>
          <w:p w14:paraId="193BDF53">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操作系统：</w:t>
            </w:r>
            <w:r>
              <w:rPr>
                <w:rFonts w:ascii="宋体" w:hAnsi="宋体"/>
                <w:color w:val="auto"/>
                <w:szCs w:val="21"/>
                <w:highlight w:val="none"/>
              </w:rPr>
              <w:t>Windows10系统</w:t>
            </w:r>
            <w:r>
              <w:rPr>
                <w:rFonts w:hint="eastAsia" w:ascii="宋体" w:hAnsi="宋体"/>
                <w:color w:val="auto"/>
                <w:szCs w:val="21"/>
                <w:highlight w:val="none"/>
                <w:lang w:val="en-US" w:eastAsia="zh-CN"/>
              </w:rPr>
              <w:t>或其他系统</w:t>
            </w:r>
            <w:r>
              <w:rPr>
                <w:rFonts w:ascii="宋体" w:hAnsi="宋体"/>
                <w:color w:val="auto"/>
                <w:szCs w:val="21"/>
                <w:highlight w:val="none"/>
              </w:rPr>
              <w:t>；</w:t>
            </w:r>
          </w:p>
          <w:p w14:paraId="7AC50075">
            <w:pPr>
              <w:keepNext w:val="0"/>
              <w:keepLines w:val="0"/>
              <w:pageBreakBefore w:val="0"/>
              <w:kinsoku/>
              <w:wordWrap/>
              <w:overflowPunct/>
              <w:topLinePunct w:val="0"/>
              <w:bidi w:val="0"/>
              <w:spacing w:line="240" w:lineRule="auto"/>
              <w:ind w:left="0" w:right="0" w:firstLine="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配置性能不低于以下：</w:t>
            </w:r>
          </w:p>
          <w:p w14:paraId="31E02708">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ascii="宋体" w:hAnsi="宋体"/>
                <w:color w:val="auto"/>
                <w:szCs w:val="21"/>
                <w:highlight w:val="none"/>
              </w:rPr>
              <w:t>CPU：</w:t>
            </w:r>
            <w:r>
              <w:rPr>
                <w:rFonts w:hint="eastAsia" w:ascii="宋体" w:hAnsi="宋体"/>
                <w:color w:val="auto"/>
                <w:szCs w:val="21"/>
                <w:highlight w:val="none"/>
              </w:rPr>
              <w:t>Intel i5 或更高配置；</w:t>
            </w:r>
          </w:p>
          <w:p w14:paraId="39C9F4BC">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内存：</w:t>
            </w:r>
            <w:r>
              <w:rPr>
                <w:rFonts w:ascii="宋体" w:hAnsi="宋体"/>
                <w:color w:val="auto"/>
                <w:szCs w:val="21"/>
                <w:highlight w:val="none"/>
              </w:rPr>
              <w:t>8GB或更高配置；</w:t>
            </w:r>
          </w:p>
          <w:p w14:paraId="6112710C">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显卡：独显GTX3050 或更高配置；</w:t>
            </w:r>
          </w:p>
          <w:p w14:paraId="20A273B7">
            <w:pPr>
              <w:keepNext w:val="0"/>
              <w:keepLines w:val="0"/>
              <w:pageBreakBefore w:val="0"/>
              <w:kinsoku/>
              <w:wordWrap/>
              <w:overflowPunct/>
              <w:topLinePunct w:val="0"/>
              <w:bidi w:val="0"/>
              <w:spacing w:line="240" w:lineRule="auto"/>
              <w:ind w:left="0" w:right="0" w:firstLine="0"/>
              <w:rPr>
                <w:rFonts w:ascii="宋体" w:hAnsi="宋体"/>
                <w:color w:val="auto"/>
                <w:szCs w:val="21"/>
                <w:highlight w:val="none"/>
              </w:rPr>
            </w:pPr>
            <w:r>
              <w:rPr>
                <w:rFonts w:hint="eastAsia" w:ascii="宋体" w:hAnsi="宋体"/>
                <w:color w:val="auto"/>
                <w:szCs w:val="21"/>
                <w:highlight w:val="none"/>
              </w:rPr>
              <w:t>硬盘：512GB SSD或更高配置；</w:t>
            </w:r>
          </w:p>
          <w:p w14:paraId="75648A12">
            <w:pPr>
              <w:keepNext w:val="0"/>
              <w:keepLines w:val="0"/>
              <w:pageBreakBefore w:val="0"/>
              <w:kinsoku/>
              <w:wordWrap/>
              <w:overflowPunct/>
              <w:topLinePunct w:val="0"/>
              <w:bidi w:val="0"/>
              <w:spacing w:line="240" w:lineRule="auto"/>
              <w:ind w:left="0" w:right="0" w:firstLine="0"/>
              <w:jc w:val="left"/>
              <w:rPr>
                <w:rStyle w:val="76"/>
                <w:rFonts w:ascii="宋体" w:hAnsi="宋体"/>
                <w:color w:val="auto"/>
                <w:kern w:val="0"/>
                <w:szCs w:val="21"/>
                <w:highlight w:val="none"/>
              </w:rPr>
            </w:pPr>
            <w:r>
              <w:rPr>
                <w:rFonts w:hint="eastAsia" w:ascii="宋体" w:hAnsi="宋体"/>
                <w:color w:val="auto"/>
                <w:szCs w:val="21"/>
                <w:highlight w:val="none"/>
                <w:lang w:eastAsia="zh-CN"/>
              </w:rPr>
              <w:t>输出设备</w:t>
            </w:r>
            <w:r>
              <w:rPr>
                <w:rFonts w:hint="eastAsia" w:ascii="宋体" w:hAnsi="宋体"/>
                <w:color w:val="auto"/>
                <w:szCs w:val="21"/>
                <w:highlight w:val="none"/>
              </w:rPr>
              <w:t>：≥21寸，带DP接口。</w:t>
            </w:r>
          </w:p>
          <w:p w14:paraId="481B5993">
            <w:pPr>
              <w:keepNext w:val="0"/>
              <w:keepLines w:val="0"/>
              <w:pageBreakBefore w:val="0"/>
              <w:kinsoku/>
              <w:wordWrap/>
              <w:overflowPunct/>
              <w:topLinePunct w:val="0"/>
              <w:bidi w:val="0"/>
              <w:spacing w:line="240" w:lineRule="auto"/>
              <w:ind w:left="0" w:right="0" w:firstLine="0"/>
              <w:jc w:val="left"/>
              <w:rPr>
                <w:rFonts w:hint="eastAsia" w:ascii="宋体" w:hAnsi="宋体" w:eastAsiaTheme="minorEastAsia"/>
                <w:b/>
                <w:bCs/>
                <w:color w:val="auto"/>
                <w:szCs w:val="21"/>
                <w:highlight w:val="none"/>
                <w:lang w:eastAsia="zh-CN"/>
              </w:rPr>
            </w:pPr>
            <w:r>
              <w:rPr>
                <w:rFonts w:hint="eastAsia" w:cs="宋体" w:asciiTheme="minorEastAsia" w:hAnsiTheme="minorEastAsia" w:eastAsiaTheme="minorEastAsia"/>
                <w:b/>
                <w:bCs/>
                <w:color w:val="auto"/>
                <w:kern w:val="0"/>
                <w:szCs w:val="21"/>
                <w:highlight w:val="none"/>
                <w:lang w:val="en-US" w:eastAsia="zh-CN"/>
              </w:rPr>
              <w:t>六、</w:t>
            </w:r>
            <w:r>
              <w:rPr>
                <w:rFonts w:hint="eastAsia" w:cs="宋体" w:asciiTheme="minorEastAsia" w:hAnsiTheme="minorEastAsia" w:eastAsiaTheme="minorEastAsia"/>
                <w:b/>
                <w:bCs/>
                <w:color w:val="auto"/>
                <w:kern w:val="0"/>
                <w:szCs w:val="21"/>
                <w:highlight w:val="none"/>
              </w:rPr>
              <w:t>VR头盔（学员端）</w:t>
            </w:r>
            <w:r>
              <w:rPr>
                <w:rFonts w:hint="eastAsia" w:cs="宋体" w:asciiTheme="minorEastAsia" w:hAnsiTheme="minorEastAsia" w:eastAsiaTheme="minorEastAsia"/>
                <w:b/>
                <w:bCs/>
                <w:color w:val="auto"/>
                <w:kern w:val="0"/>
                <w:szCs w:val="21"/>
                <w:highlight w:val="none"/>
                <w:lang w:eastAsia="zh-CN"/>
              </w:rPr>
              <w:t>，</w:t>
            </w:r>
            <w:r>
              <w:rPr>
                <w:rFonts w:hint="eastAsia" w:asciiTheme="minorEastAsia" w:hAnsiTheme="minorEastAsia" w:eastAsiaTheme="minorEastAsia"/>
                <w:b/>
                <w:bCs/>
                <w:color w:val="auto"/>
                <w:szCs w:val="21"/>
                <w:highlight w:val="none"/>
                <w:lang w:val="en-US" w:eastAsia="zh-CN"/>
              </w:rPr>
              <w:t>5台。</w:t>
            </w:r>
          </w:p>
          <w:p w14:paraId="00837A4D">
            <w:pPr>
              <w:keepNext w:val="0"/>
              <w:keepLines w:val="0"/>
              <w:pageBreakBefore w:val="0"/>
              <w:kinsoku/>
              <w:wordWrap/>
              <w:overflowPunct/>
              <w:topLinePunct w:val="0"/>
              <w:bidi w:val="0"/>
              <w:spacing w:line="240" w:lineRule="auto"/>
              <w:ind w:left="0" w:leftChars="0" w:right="0" w:rightChars="0" w:firstLine="0" w:firstLineChars="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屏幕： 高清屏</w:t>
            </w:r>
            <w:r>
              <w:rPr>
                <w:rFonts w:hint="eastAsia" w:ascii="宋体" w:hAnsi="宋体"/>
                <w:color w:val="auto"/>
                <w:szCs w:val="21"/>
                <w:highlight w:val="none"/>
              </w:rPr>
              <w:br w:type="textWrapping"/>
            </w:r>
            <w:r>
              <w:rPr>
                <w:rFonts w:hint="eastAsia" w:ascii="宋体" w:hAnsi="宋体"/>
                <w:color w:val="auto"/>
                <w:szCs w:val="21"/>
                <w:highlight w:val="none"/>
              </w:rPr>
              <w:t>分辨率：双眼分别率为</w:t>
            </w:r>
            <w:r>
              <w:rPr>
                <w:rFonts w:hint="eastAsia" w:ascii="宋体" w:hAnsi="宋体"/>
                <w:color w:val="auto"/>
                <w:szCs w:val="21"/>
                <w:highlight w:val="none"/>
                <w:lang w:eastAsia="zh-CN"/>
              </w:rPr>
              <w:t>不低于</w:t>
            </w:r>
            <w:r>
              <w:rPr>
                <w:rFonts w:hint="eastAsia" w:ascii="宋体" w:hAnsi="宋体"/>
                <w:color w:val="auto"/>
                <w:szCs w:val="21"/>
                <w:highlight w:val="none"/>
              </w:rPr>
              <w:t>3K（2560*1440）；</w:t>
            </w:r>
            <w:r>
              <w:rPr>
                <w:rFonts w:hint="eastAsia" w:ascii="宋体" w:hAnsi="宋体"/>
                <w:color w:val="auto"/>
                <w:szCs w:val="21"/>
                <w:highlight w:val="none"/>
              </w:rPr>
              <w:br w:type="textWrapping"/>
            </w:r>
            <w:r>
              <w:rPr>
                <w:rFonts w:hint="eastAsia" w:ascii="宋体" w:hAnsi="宋体"/>
                <w:color w:val="auto"/>
                <w:szCs w:val="21"/>
                <w:highlight w:val="none"/>
              </w:rPr>
              <w:t>瞳距适用：54mm—74mm自适应调节；</w:t>
            </w:r>
            <w:r>
              <w:rPr>
                <w:rFonts w:hint="eastAsia" w:ascii="宋体" w:hAnsi="宋体"/>
                <w:color w:val="auto"/>
                <w:szCs w:val="21"/>
                <w:highlight w:val="none"/>
              </w:rPr>
              <w:br w:type="textWrapping"/>
            </w:r>
            <w:r>
              <w:rPr>
                <w:rFonts w:hint="eastAsia" w:ascii="宋体" w:hAnsi="宋体"/>
                <w:color w:val="auto"/>
                <w:szCs w:val="21"/>
                <w:highlight w:val="none"/>
              </w:rPr>
              <w:t>刷新率：70HZ；</w:t>
            </w:r>
            <w:r>
              <w:rPr>
                <w:rFonts w:hint="eastAsia" w:ascii="宋体" w:hAnsi="宋体"/>
                <w:color w:val="auto"/>
                <w:szCs w:val="21"/>
                <w:highlight w:val="none"/>
              </w:rPr>
              <w:br w:type="textWrapping"/>
            </w:r>
            <w:r>
              <w:rPr>
                <w:rFonts w:hint="eastAsia" w:ascii="宋体" w:hAnsi="宋体"/>
                <w:color w:val="auto"/>
                <w:szCs w:val="21"/>
                <w:highlight w:val="none"/>
              </w:rPr>
              <w:t>FOV：110度；</w:t>
            </w:r>
            <w:r>
              <w:rPr>
                <w:rFonts w:hint="eastAsia" w:ascii="宋体" w:hAnsi="宋体"/>
                <w:color w:val="auto"/>
                <w:szCs w:val="21"/>
                <w:highlight w:val="none"/>
              </w:rPr>
              <w:br w:type="textWrapping"/>
            </w:r>
            <w:r>
              <w:rPr>
                <w:rFonts w:hint="eastAsia" w:ascii="宋体" w:hAnsi="宋体"/>
                <w:color w:val="auto"/>
                <w:szCs w:val="21"/>
                <w:highlight w:val="none"/>
              </w:rPr>
              <w:t>连接口：USB2.0*2、HDMI*1、音频线*1；</w:t>
            </w:r>
            <w:r>
              <w:rPr>
                <w:rFonts w:hint="eastAsia" w:ascii="宋体" w:hAnsi="宋体"/>
                <w:color w:val="auto"/>
                <w:szCs w:val="21"/>
                <w:highlight w:val="none"/>
              </w:rPr>
              <w:br w:type="textWrapping"/>
            </w:r>
            <w:r>
              <w:rPr>
                <w:rFonts w:hint="eastAsia" w:ascii="宋体" w:hAnsi="宋体"/>
                <w:color w:val="auto"/>
                <w:szCs w:val="21"/>
                <w:highlight w:val="none"/>
              </w:rPr>
              <w:t>传感器：重力传感器、指南针、陀螺仪</w:t>
            </w:r>
            <w:r>
              <w:rPr>
                <w:rFonts w:hint="eastAsia" w:ascii="宋体" w:hAnsi="宋体"/>
                <w:color w:val="auto"/>
                <w:szCs w:val="21"/>
                <w:highlight w:val="none"/>
                <w:lang w:eastAsia="zh-CN"/>
              </w:rPr>
              <w:t>。</w:t>
            </w:r>
          </w:p>
        </w:tc>
        <w:tc>
          <w:tcPr>
            <w:tcW w:w="1217" w:type="dxa"/>
            <w:shd w:val="clear" w:color="auto" w:fill="FFFFFF"/>
            <w:vAlign w:val="center"/>
          </w:tcPr>
          <w:p w14:paraId="64EA3DD6">
            <w:pPr>
              <w:keepNext w:val="0"/>
              <w:keepLines w:val="0"/>
              <w:pageBreakBefore w:val="0"/>
              <w:kinsoku/>
              <w:wordWrap/>
              <w:overflowPunct/>
              <w:topLinePunct w:val="0"/>
              <w:bidi w:val="0"/>
              <w:spacing w:line="240" w:lineRule="auto"/>
              <w:ind w:left="0" w:leftChars="0" w:right="0" w:rightChars="0" w:firstLine="0" w:firstLineChars="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23.85万元</w:t>
            </w:r>
          </w:p>
        </w:tc>
      </w:tr>
      <w:tr w14:paraId="5CFB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2E3DB8B6">
            <w:pPr>
              <w:keepNext w:val="0"/>
              <w:keepLines w:val="0"/>
              <w:pageBreakBefore w:val="0"/>
              <w:widowControl/>
              <w:kinsoku/>
              <w:wordWrap/>
              <w:overflowPunct/>
              <w:topLinePunct w:val="0"/>
              <w:bidi w:val="0"/>
              <w:spacing w:line="240" w:lineRule="auto"/>
              <w:ind w:left="0" w:leftChars="0" w:right="0" w:rightChars="0" w:firstLine="0" w:firstLineChars="0"/>
              <w:jc w:val="center"/>
              <w:rPr>
                <w:rFonts w:hint="eastAsia"/>
                <w:color w:val="auto"/>
                <w:kern w:val="0"/>
                <w:szCs w:val="21"/>
                <w:highlight w:val="none"/>
              </w:rPr>
            </w:pPr>
            <w:r>
              <w:rPr>
                <w:rFonts w:hint="eastAsia"/>
                <w:color w:val="auto"/>
                <w:kern w:val="0"/>
                <w:szCs w:val="21"/>
                <w:highlight w:val="none"/>
                <w:lang w:val="en-US" w:eastAsia="zh-CN"/>
              </w:rPr>
              <w:t>6</w:t>
            </w:r>
          </w:p>
        </w:tc>
        <w:tc>
          <w:tcPr>
            <w:tcW w:w="1397" w:type="dxa"/>
            <w:gridSpan w:val="2"/>
            <w:shd w:val="clear" w:color="auto" w:fill="FFFFFF"/>
            <w:vAlign w:val="center"/>
          </w:tcPr>
          <w:p w14:paraId="1E1A1187">
            <w:pPr>
              <w:keepNext w:val="0"/>
              <w:keepLines w:val="0"/>
              <w:pageBreakBefore w:val="0"/>
              <w:kinsoku/>
              <w:wordWrap/>
              <w:overflowPunct/>
              <w:topLinePunct w:val="0"/>
              <w:bidi w:val="0"/>
              <w:spacing w:line="240" w:lineRule="auto"/>
              <w:ind w:left="0" w:leftChars="0" w:right="0" w:rightChars="0" w:firstLine="0" w:firstLineChars="0"/>
              <w:jc w:val="center"/>
              <w:rPr>
                <w:rFonts w:hint="eastAsia"/>
                <w:color w:val="auto"/>
                <w:szCs w:val="21"/>
                <w:highlight w:val="none"/>
              </w:rPr>
            </w:pPr>
            <w:r>
              <w:rPr>
                <w:rFonts w:hint="eastAsia"/>
                <w:color w:val="auto"/>
                <w:szCs w:val="21"/>
                <w:highlight w:val="none"/>
              </w:rPr>
              <w:t>智能戒毒医疗终端</w:t>
            </w:r>
          </w:p>
        </w:tc>
        <w:tc>
          <w:tcPr>
            <w:tcW w:w="709" w:type="dxa"/>
            <w:shd w:val="clear" w:color="auto" w:fill="FFFFFF"/>
            <w:vAlign w:val="center"/>
          </w:tcPr>
          <w:p w14:paraId="55A93463">
            <w:pPr>
              <w:keepNext w:val="0"/>
              <w:keepLines w:val="0"/>
              <w:pageBreakBefore w:val="0"/>
              <w:kinsoku/>
              <w:wordWrap/>
              <w:overflowPunct/>
              <w:topLinePunct w:val="0"/>
              <w:bidi w:val="0"/>
              <w:spacing w:line="240" w:lineRule="auto"/>
              <w:ind w:left="0" w:leftChars="0" w:right="0" w:rightChars="0" w:firstLine="0" w:firstLineChars="0"/>
              <w:jc w:val="center"/>
              <w:rPr>
                <w:color w:val="auto"/>
                <w:szCs w:val="21"/>
                <w:highlight w:val="none"/>
              </w:rPr>
            </w:pPr>
            <w:r>
              <w:rPr>
                <w:rFonts w:hint="eastAsia"/>
                <w:color w:val="auto"/>
                <w:szCs w:val="21"/>
                <w:highlight w:val="none"/>
                <w:lang w:val="en-US" w:eastAsia="zh-CN"/>
              </w:rPr>
              <w:t>1套</w:t>
            </w:r>
          </w:p>
        </w:tc>
        <w:tc>
          <w:tcPr>
            <w:tcW w:w="6684" w:type="dxa"/>
            <w:shd w:val="clear" w:color="auto" w:fill="FFFFFF"/>
            <w:vAlign w:val="center"/>
          </w:tcPr>
          <w:p w14:paraId="775F2DE1">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(1)显示单元板</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4.15平米</w:t>
            </w:r>
            <w:r>
              <w:rPr>
                <w:rFonts w:hint="eastAsia" w:asciiTheme="minorEastAsia" w:hAnsiTheme="minorEastAsia" w:eastAsiaTheme="minorEastAsia"/>
                <w:b/>
                <w:bCs/>
                <w:color w:val="auto"/>
                <w:szCs w:val="21"/>
                <w:highlight w:val="none"/>
                <w:lang w:eastAsia="zh-CN"/>
              </w:rPr>
              <w:t>。</w:t>
            </w:r>
          </w:p>
          <w:p w14:paraId="6F81C9B6">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显示屏净显示面积：2.88*1.44m，点间距：1.53mm，发光点颜色：1红1绿1蓝（1R1G1B），密度：422500点/ ㎡，发光灯：SMD，驱动方式：恒流驱动；单元尺寸（宽×高）：320mm×160mm ，单元板分辨率：宽208点×高104点；刷新频率：≥3840Hz，寿命：≥10万小时，盲点率：＜万分之一，亮度：≥450cd/㎡。</w:t>
            </w:r>
          </w:p>
          <w:p w14:paraId="595BF00C">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(2)屏体内部耗材</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4.15平米</w:t>
            </w:r>
            <w:r>
              <w:rPr>
                <w:rFonts w:hint="eastAsia" w:asciiTheme="minorEastAsia" w:hAnsiTheme="minorEastAsia" w:eastAsiaTheme="minorEastAsia"/>
                <w:b/>
                <w:bCs/>
                <w:color w:val="auto"/>
                <w:szCs w:val="21"/>
                <w:highlight w:val="none"/>
                <w:lang w:eastAsia="zh-CN"/>
              </w:rPr>
              <w:t>。</w:t>
            </w:r>
          </w:p>
          <w:p w14:paraId="2C739C4F">
            <w:pPr>
              <w:keepNext w:val="0"/>
              <w:keepLines w:val="0"/>
              <w:pageBreakBefore w:val="0"/>
              <w:kinsoku/>
              <w:wordWrap/>
              <w:overflowPunct/>
              <w:topLinePunct w:val="0"/>
              <w:bidi w:val="0"/>
              <w:spacing w:line="240" w:lineRule="auto"/>
              <w:ind w:left="0" w:right="0" w:firstLine="0"/>
              <w:rPr>
                <w:rFonts w:hint="eastAsia" w:cs="宋体"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网线/信号长排线/3*2.5电缆线/接收卡电源线等</w:t>
            </w:r>
            <w:r>
              <w:rPr>
                <w:rFonts w:hint="eastAsia" w:asciiTheme="minorEastAsia" w:hAnsiTheme="minorEastAsia" w:eastAsiaTheme="minorEastAsia"/>
                <w:color w:val="auto"/>
                <w:szCs w:val="21"/>
                <w:highlight w:val="none"/>
                <w:lang w:eastAsia="zh-CN"/>
              </w:rPr>
              <w:t>。</w:t>
            </w:r>
          </w:p>
          <w:p w14:paraId="1F652306">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(3)电源</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21台</w:t>
            </w:r>
            <w:r>
              <w:rPr>
                <w:rFonts w:hint="eastAsia" w:asciiTheme="minorEastAsia" w:hAnsiTheme="minorEastAsia" w:eastAsiaTheme="minorEastAsia"/>
                <w:b/>
                <w:bCs/>
                <w:color w:val="auto"/>
                <w:szCs w:val="21"/>
                <w:highlight w:val="none"/>
                <w:lang w:eastAsia="zh-CN"/>
              </w:rPr>
              <w:t>。</w:t>
            </w:r>
          </w:p>
          <w:p w14:paraId="1FF04CFC">
            <w:pPr>
              <w:keepNext w:val="0"/>
              <w:keepLines w:val="0"/>
              <w:pageBreakBefore w:val="0"/>
              <w:kinsoku/>
              <w:wordWrap/>
              <w:overflowPunct/>
              <w:topLinePunct w:val="0"/>
              <w:bidi w:val="0"/>
              <w:spacing w:line="240" w:lineRule="auto"/>
              <w:ind w:left="0" w:right="0" w:firstLine="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超薄4.5V，200W</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 xml:space="preserve"> </w:t>
            </w:r>
          </w:p>
          <w:p w14:paraId="3281E881">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(4)接收卡</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12张</w:t>
            </w:r>
            <w:r>
              <w:rPr>
                <w:rFonts w:hint="eastAsia" w:asciiTheme="minorEastAsia" w:hAnsiTheme="minorEastAsia" w:eastAsiaTheme="minorEastAsia"/>
                <w:b/>
                <w:bCs/>
                <w:color w:val="auto"/>
                <w:szCs w:val="21"/>
                <w:highlight w:val="none"/>
                <w:lang w:eastAsia="zh-CN"/>
              </w:rPr>
              <w:t>。</w:t>
            </w:r>
          </w:p>
          <w:p w14:paraId="4CD16D83">
            <w:pPr>
              <w:keepNext w:val="0"/>
              <w:keepLines w:val="0"/>
              <w:pageBreakBefore w:val="0"/>
              <w:kinsoku/>
              <w:wordWrap/>
              <w:overflowPunct/>
              <w:topLinePunct w:val="0"/>
              <w:bidi w:val="0"/>
              <w:spacing w:line="240" w:lineRule="auto"/>
              <w:ind w:left="0" w:right="0" w:firstLine="0"/>
              <w:rPr>
                <w:rFonts w:hint="eastAsia" w:cs="宋体"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输出8个HUB320；支持32扫，支持固件程序版本回读；支持环路，双程序备份</w:t>
            </w:r>
            <w:r>
              <w:rPr>
                <w:rFonts w:hint="eastAsia" w:asciiTheme="minorEastAsia" w:hAnsiTheme="minorEastAsia" w:eastAsiaTheme="minorEastAsia"/>
                <w:color w:val="auto"/>
                <w:szCs w:val="21"/>
                <w:highlight w:val="none"/>
                <w:lang w:eastAsia="zh-CN"/>
              </w:rPr>
              <w:t>。</w:t>
            </w:r>
          </w:p>
          <w:p w14:paraId="39FDB657">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(5)视频控制器</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1台</w:t>
            </w:r>
            <w:r>
              <w:rPr>
                <w:rFonts w:hint="eastAsia" w:asciiTheme="minorEastAsia" w:hAnsiTheme="minorEastAsia" w:eastAsiaTheme="minorEastAsia"/>
                <w:b/>
                <w:bCs/>
                <w:color w:val="auto"/>
                <w:szCs w:val="21"/>
                <w:highlight w:val="none"/>
                <w:lang w:eastAsia="zh-CN"/>
              </w:rPr>
              <w:t>。</w:t>
            </w:r>
          </w:p>
          <w:p w14:paraId="5C29C3C4">
            <w:pPr>
              <w:keepNext w:val="0"/>
              <w:keepLines w:val="0"/>
              <w:pageBreakBefore w:val="0"/>
              <w:kinsoku/>
              <w:wordWrap/>
              <w:overflowPunct/>
              <w:topLinePunct w:val="0"/>
              <w:bidi w:val="0"/>
              <w:spacing w:line="240" w:lineRule="auto"/>
              <w:ind w:left="0" w:right="0" w:firstLine="0"/>
              <w:rPr>
                <w:rFonts w:hint="eastAsia" w:cs="宋体"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4网口；单画面；横向最大3840，纵向最大1940；U盘脱机播放；支持无线投屏，鼠标控制（选配）输入：1×CVBS，1×VGA，1×DVI，1×HDMI，1×Audio；输出：4×网口，1×Audio；4网口输出</w:t>
            </w:r>
            <w:r>
              <w:rPr>
                <w:rFonts w:hint="eastAsia" w:asciiTheme="minorEastAsia" w:hAnsiTheme="minorEastAsia" w:eastAsiaTheme="minorEastAsia"/>
                <w:color w:val="auto"/>
                <w:szCs w:val="21"/>
                <w:highlight w:val="none"/>
                <w:lang w:eastAsia="zh-CN"/>
              </w:rPr>
              <w:t>。</w:t>
            </w:r>
          </w:p>
          <w:p w14:paraId="3727EEF0">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(6)备品备件</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1套</w:t>
            </w:r>
            <w:r>
              <w:rPr>
                <w:rFonts w:hint="eastAsia" w:asciiTheme="minorEastAsia" w:hAnsiTheme="minorEastAsia" w:eastAsiaTheme="minorEastAsia"/>
                <w:b/>
                <w:bCs/>
                <w:color w:val="auto"/>
                <w:szCs w:val="21"/>
                <w:highlight w:val="none"/>
                <w:lang w:eastAsia="zh-CN"/>
              </w:rPr>
              <w:t>。</w:t>
            </w:r>
          </w:p>
          <w:p w14:paraId="2919AC3E">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P1.5单元板2张、电源1个、接收卡1张</w:t>
            </w:r>
          </w:p>
          <w:p w14:paraId="76587F2D">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(7)体框架/装饰结构</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4.55平米</w:t>
            </w:r>
            <w:r>
              <w:rPr>
                <w:rFonts w:hint="eastAsia" w:asciiTheme="minorEastAsia" w:hAnsiTheme="minorEastAsia" w:eastAsiaTheme="minorEastAsia"/>
                <w:b/>
                <w:bCs/>
                <w:color w:val="auto"/>
                <w:szCs w:val="21"/>
                <w:highlight w:val="none"/>
                <w:lang w:eastAsia="zh-CN"/>
              </w:rPr>
              <w:t>。</w:t>
            </w:r>
          </w:p>
          <w:p w14:paraId="049ACE65">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钢结构内框，专用铝型材包边，显示屏含外框面积：4.57*2.17m，内嵌挂墙安装支撑钢结构</w:t>
            </w:r>
            <w:r>
              <w:rPr>
                <w:rFonts w:hint="eastAsia" w:asciiTheme="minorEastAsia" w:hAnsiTheme="minorEastAsia" w:eastAsiaTheme="minorEastAsia"/>
                <w:color w:val="auto"/>
                <w:szCs w:val="21"/>
                <w:highlight w:val="none"/>
                <w:lang w:eastAsia="zh-CN"/>
              </w:rPr>
              <w:t>。</w:t>
            </w:r>
          </w:p>
          <w:p w14:paraId="743F50EA">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(8)</w:t>
            </w:r>
            <w:r>
              <w:rPr>
                <w:rFonts w:hint="eastAsia"/>
                <w:b/>
                <w:bCs/>
                <w:color w:val="auto"/>
                <w:highlight w:val="none"/>
              </w:rPr>
              <w:t>控制终端</w:t>
            </w:r>
            <w:r>
              <w:rPr>
                <w:rFonts w:hint="eastAsia"/>
                <w:b/>
                <w:bCs/>
                <w:color w:val="auto"/>
                <w:highlight w:val="none"/>
                <w:lang w:eastAsia="zh-CN"/>
              </w:rPr>
              <w:t>，</w:t>
            </w:r>
            <w:r>
              <w:rPr>
                <w:rFonts w:hint="eastAsia" w:asciiTheme="minorEastAsia" w:hAnsiTheme="minorEastAsia" w:eastAsiaTheme="minorEastAsia"/>
                <w:b/>
                <w:bCs/>
                <w:color w:val="auto"/>
                <w:szCs w:val="21"/>
                <w:highlight w:val="none"/>
              </w:rPr>
              <w:t>1台</w:t>
            </w:r>
            <w:r>
              <w:rPr>
                <w:rFonts w:hint="eastAsia" w:asciiTheme="minorEastAsia" w:hAnsiTheme="minorEastAsia" w:eastAsiaTheme="minorEastAsia"/>
                <w:b/>
                <w:bCs/>
                <w:color w:val="auto"/>
                <w:szCs w:val="21"/>
                <w:highlight w:val="none"/>
                <w:lang w:eastAsia="zh-CN"/>
              </w:rPr>
              <w:t>。</w:t>
            </w:r>
          </w:p>
          <w:p w14:paraId="27B797E7">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处理器：</w:t>
            </w:r>
            <w:r>
              <w:rPr>
                <w:rFonts w:hint="eastAsia" w:asciiTheme="minorEastAsia" w:hAnsiTheme="minorEastAsia" w:eastAsiaTheme="minorEastAsia"/>
                <w:b w:val="0"/>
                <w:bCs w:val="0"/>
                <w:color w:val="auto"/>
                <w:szCs w:val="21"/>
                <w:highlight w:val="none"/>
                <w:lang w:eastAsia="zh-CN"/>
              </w:rPr>
              <w:t>性能不低于</w:t>
            </w:r>
            <w:r>
              <w:rPr>
                <w:rFonts w:hint="eastAsia" w:asciiTheme="minorEastAsia" w:hAnsiTheme="minorEastAsia" w:eastAsiaTheme="minorEastAsia"/>
                <w:color w:val="auto"/>
                <w:szCs w:val="21"/>
                <w:highlight w:val="none"/>
              </w:rPr>
              <w:t>盘古M900 2.3Ghz，8核；</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显卡：高性能集成显卡，</w:t>
            </w:r>
            <w:r>
              <w:rPr>
                <w:rFonts w:hint="eastAsia" w:asciiTheme="minorEastAsia" w:hAnsiTheme="minorEastAsia" w:eastAsiaTheme="minorEastAsia"/>
                <w:b w:val="0"/>
                <w:bCs w:val="0"/>
                <w:color w:val="auto"/>
                <w:szCs w:val="21"/>
                <w:highlight w:val="none"/>
                <w:lang w:eastAsia="zh-CN"/>
              </w:rPr>
              <w:t>性能不低于</w:t>
            </w:r>
            <w:r>
              <w:rPr>
                <w:rFonts w:hint="eastAsia" w:asciiTheme="minorEastAsia" w:hAnsiTheme="minorEastAsia" w:eastAsiaTheme="minorEastAsia"/>
                <w:color w:val="auto"/>
                <w:szCs w:val="21"/>
                <w:highlight w:val="none"/>
              </w:rPr>
              <w:t>Mali-G52；</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内存：</w:t>
            </w:r>
            <w:r>
              <w:rPr>
                <w:rFonts w:hint="default" w:ascii="Arial" w:hAnsi="Arial" w:cs="Arial" w:eastAsiaTheme="minorEastAsia"/>
                <w:color w:val="auto"/>
                <w:szCs w:val="21"/>
                <w:highlight w:val="none"/>
              </w:rPr>
              <w:t>≥</w:t>
            </w:r>
            <w:r>
              <w:rPr>
                <w:rFonts w:hint="eastAsia" w:asciiTheme="minorEastAsia" w:hAnsiTheme="minorEastAsia" w:eastAsiaTheme="minorEastAsia"/>
                <w:color w:val="auto"/>
                <w:szCs w:val="21"/>
                <w:highlight w:val="none"/>
              </w:rPr>
              <w:t>8GB，DDR4 3200MHz；</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固态硬盘：</w:t>
            </w:r>
            <w:r>
              <w:rPr>
                <w:rFonts w:hint="default" w:ascii="Arial" w:hAnsi="Arial" w:cs="Arial" w:eastAsiaTheme="minorEastAsia"/>
                <w:color w:val="auto"/>
                <w:szCs w:val="21"/>
                <w:highlight w:val="none"/>
              </w:rPr>
              <w:t>≥</w:t>
            </w:r>
            <w:r>
              <w:rPr>
                <w:rFonts w:hint="eastAsia" w:asciiTheme="minorEastAsia" w:hAnsiTheme="minorEastAsia" w:eastAsiaTheme="minorEastAsia"/>
                <w:color w:val="auto"/>
                <w:szCs w:val="21"/>
                <w:highlight w:val="none"/>
              </w:rPr>
              <w:t>256GB SSD,NVMe M.2接口；</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机械硬盘：</w:t>
            </w:r>
            <w:r>
              <w:rPr>
                <w:rFonts w:hint="default" w:ascii="Arial" w:hAnsi="Arial" w:cs="Arial" w:eastAsiaTheme="minorEastAsia"/>
                <w:color w:val="auto"/>
                <w:szCs w:val="21"/>
                <w:highlight w:val="none"/>
              </w:rPr>
              <w:t>≥</w:t>
            </w:r>
            <w:r>
              <w:rPr>
                <w:rFonts w:hint="eastAsia" w:asciiTheme="minorEastAsia" w:hAnsiTheme="minorEastAsia" w:eastAsiaTheme="minorEastAsia"/>
                <w:color w:val="auto"/>
                <w:szCs w:val="21"/>
                <w:highlight w:val="none"/>
              </w:rPr>
              <w:t xml:space="preserve">1T HDD, </w:t>
            </w:r>
            <w:r>
              <w:rPr>
                <w:rFonts w:hint="default" w:ascii="Arial" w:hAnsi="Arial" w:cs="Arial" w:eastAsiaTheme="minorEastAsia"/>
                <w:color w:val="auto"/>
                <w:szCs w:val="21"/>
                <w:highlight w:val="none"/>
              </w:rPr>
              <w:t>≥</w:t>
            </w:r>
            <w:r>
              <w:rPr>
                <w:rFonts w:hint="eastAsia" w:asciiTheme="minorEastAsia" w:hAnsiTheme="minorEastAsia" w:eastAsiaTheme="minorEastAsia"/>
                <w:color w:val="auto"/>
                <w:szCs w:val="21"/>
                <w:highlight w:val="none"/>
              </w:rPr>
              <w:t>3.5英寸，SATA 6Gb/s接口,64MB缓存,7200RPM转速；</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网卡：主板集成 10/100/1000M 自适应以太网卡；</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配置</w:t>
            </w:r>
            <w:r>
              <w:rPr>
                <w:rFonts w:hint="default" w:ascii="Arial" w:hAnsi="Arial" w:cs="Arial" w:eastAsiaTheme="minorEastAsia"/>
                <w:color w:val="auto"/>
                <w:szCs w:val="21"/>
                <w:highlight w:val="none"/>
              </w:rPr>
              <w:t>≥</w:t>
            </w:r>
            <w:r>
              <w:rPr>
                <w:rFonts w:hint="eastAsia" w:asciiTheme="minorEastAsia" w:hAnsiTheme="minorEastAsia" w:eastAsiaTheme="minorEastAsia"/>
                <w:color w:val="auto"/>
                <w:szCs w:val="21"/>
                <w:highlight w:val="none"/>
              </w:rPr>
              <w:t>23.8英寸</w:t>
            </w:r>
            <w:r>
              <w:rPr>
                <w:rFonts w:hint="eastAsia" w:asciiTheme="minorEastAsia" w:hAnsiTheme="minorEastAsia" w:eastAsiaTheme="minorEastAsia"/>
                <w:color w:val="auto"/>
                <w:szCs w:val="21"/>
                <w:highlight w:val="none"/>
                <w:lang w:eastAsia="zh-CN"/>
              </w:rPr>
              <w:t>输出设备</w:t>
            </w:r>
            <w:r>
              <w:rPr>
                <w:rFonts w:hint="eastAsia" w:asciiTheme="minorEastAsia" w:hAnsiTheme="minorEastAsia" w:eastAsiaTheme="minorEastAsia"/>
                <w:color w:val="auto"/>
                <w:szCs w:val="21"/>
                <w:highlight w:val="none"/>
              </w:rPr>
              <w:t>，分辨率</w:t>
            </w:r>
            <w:r>
              <w:rPr>
                <w:rFonts w:hint="default" w:ascii="Arial" w:hAnsi="Arial" w:cs="Arial" w:eastAsiaTheme="minorEastAsia"/>
                <w:color w:val="auto"/>
                <w:szCs w:val="21"/>
                <w:highlight w:val="none"/>
              </w:rPr>
              <w:t>≥</w:t>
            </w:r>
            <w:r>
              <w:rPr>
                <w:rFonts w:hint="eastAsia" w:asciiTheme="minorEastAsia" w:hAnsiTheme="minorEastAsia" w:eastAsiaTheme="minorEastAsia"/>
                <w:color w:val="auto"/>
                <w:szCs w:val="21"/>
                <w:highlight w:val="none"/>
              </w:rPr>
              <w:t>1920*1080；</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配置键鼠套装；</w:t>
            </w:r>
          </w:p>
          <w:p w14:paraId="4B5A216A">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性能不低于</w:t>
            </w:r>
            <w:r>
              <w:rPr>
                <w:rFonts w:hint="eastAsia" w:asciiTheme="minorEastAsia" w:hAnsiTheme="minorEastAsia" w:eastAsiaTheme="minorEastAsia"/>
                <w:color w:val="auto"/>
                <w:szCs w:val="21"/>
                <w:highlight w:val="none"/>
              </w:rPr>
              <w:t>银河麒麟桌面操作系统V10一套</w:t>
            </w:r>
            <w:r>
              <w:rPr>
                <w:rFonts w:hint="eastAsia" w:asciiTheme="minorEastAsia" w:hAnsiTheme="minorEastAsia" w:eastAsiaTheme="minorEastAsia"/>
                <w:color w:val="auto"/>
                <w:szCs w:val="21"/>
                <w:highlight w:val="none"/>
                <w:lang w:eastAsia="zh-CN"/>
              </w:rPr>
              <w:t>。</w:t>
            </w:r>
          </w:p>
          <w:p w14:paraId="3A0ABBEE">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(9)网线</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200米</w:t>
            </w:r>
            <w:r>
              <w:rPr>
                <w:rFonts w:hint="eastAsia" w:asciiTheme="minorEastAsia" w:hAnsiTheme="minorEastAsia" w:eastAsiaTheme="minorEastAsia"/>
                <w:b/>
                <w:bCs/>
                <w:color w:val="auto"/>
                <w:szCs w:val="21"/>
                <w:highlight w:val="none"/>
                <w:lang w:eastAsia="zh-CN"/>
              </w:rPr>
              <w:t>。</w:t>
            </w:r>
          </w:p>
          <w:p w14:paraId="09206C01">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六类非屏蔽</w:t>
            </w:r>
          </w:p>
          <w:p w14:paraId="1DD207F4">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(10)电源线</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50米</w:t>
            </w:r>
            <w:r>
              <w:rPr>
                <w:rFonts w:hint="eastAsia" w:asciiTheme="minorEastAsia" w:hAnsiTheme="minorEastAsia" w:eastAsiaTheme="minorEastAsia"/>
                <w:b/>
                <w:bCs/>
                <w:color w:val="auto"/>
                <w:szCs w:val="21"/>
                <w:highlight w:val="none"/>
                <w:lang w:eastAsia="zh-CN"/>
              </w:rPr>
              <w:t>。</w:t>
            </w:r>
          </w:p>
          <w:p w14:paraId="4FB4694C">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RVV3X2.5</w:t>
            </w:r>
          </w:p>
          <w:p w14:paraId="05D90372">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(11)主干电源线</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50米</w:t>
            </w:r>
            <w:r>
              <w:rPr>
                <w:rFonts w:hint="eastAsia" w:asciiTheme="minorEastAsia" w:hAnsiTheme="minorEastAsia" w:eastAsiaTheme="minorEastAsia"/>
                <w:b/>
                <w:bCs/>
                <w:color w:val="auto"/>
                <w:szCs w:val="21"/>
                <w:highlight w:val="none"/>
                <w:lang w:eastAsia="zh-CN"/>
              </w:rPr>
              <w:t>。</w:t>
            </w:r>
          </w:p>
          <w:p w14:paraId="1D45B941">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YJV5*6</w:t>
            </w:r>
          </w:p>
          <w:p w14:paraId="44D729EE">
            <w:pPr>
              <w:keepNext w:val="0"/>
              <w:keepLines w:val="0"/>
              <w:pageBreakBefore w:val="0"/>
              <w:kinsoku/>
              <w:wordWrap/>
              <w:overflowPunct/>
              <w:topLinePunct w:val="0"/>
              <w:bidi w:val="0"/>
              <w:spacing w:line="240" w:lineRule="auto"/>
              <w:ind w:left="0" w:right="0" w:firstLine="0"/>
              <w:jc w:val="both"/>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rPr>
              <w:t>(12)配电箱</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1个</w:t>
            </w:r>
            <w:r>
              <w:rPr>
                <w:rFonts w:hint="eastAsia" w:asciiTheme="minorEastAsia" w:hAnsiTheme="minorEastAsia" w:eastAsiaTheme="minorEastAsia"/>
                <w:b/>
                <w:bCs/>
                <w:color w:val="auto"/>
                <w:szCs w:val="21"/>
                <w:highlight w:val="none"/>
                <w:lang w:eastAsia="zh-CN"/>
              </w:rPr>
              <w:t>。</w:t>
            </w:r>
          </w:p>
          <w:p w14:paraId="0FC6D077">
            <w:pPr>
              <w:keepNext w:val="0"/>
              <w:keepLines w:val="0"/>
              <w:pageBreakBefore w:val="0"/>
              <w:tabs>
                <w:tab w:val="center" w:pos="4153"/>
                <w:tab w:val="right" w:pos="8306"/>
              </w:tabs>
              <w:kinsoku/>
              <w:wordWrap/>
              <w:overflowPunct/>
              <w:topLinePunct w:val="0"/>
              <w:bidi w:val="0"/>
              <w:snapToGrid w:val="0"/>
              <w:spacing w:line="240" w:lineRule="auto"/>
              <w:ind w:left="0" w:leftChars="0" w:right="0" w:rightChars="0" w:firstLine="0" w:firstLineChars="0"/>
              <w:jc w:val="left"/>
              <w:rPr>
                <w:rFonts w:hint="eastAsia" w:ascii="宋体" w:hAnsi="宋体"/>
                <w:color w:val="auto"/>
                <w:szCs w:val="21"/>
                <w:highlight w:val="none"/>
                <w:lang w:val="en-US" w:eastAsia="zh-CN"/>
              </w:rPr>
            </w:pPr>
            <w:r>
              <w:rPr>
                <w:rFonts w:hint="eastAsia" w:asciiTheme="minorEastAsia" w:hAnsiTheme="minorEastAsia" w:eastAsiaTheme="minorEastAsia"/>
                <w:color w:val="auto"/>
                <w:szCs w:val="21"/>
                <w:highlight w:val="none"/>
              </w:rPr>
              <w:t>15KW</w:t>
            </w:r>
          </w:p>
        </w:tc>
        <w:tc>
          <w:tcPr>
            <w:tcW w:w="1217" w:type="dxa"/>
            <w:shd w:val="clear" w:color="auto" w:fill="FFFFFF"/>
            <w:vAlign w:val="center"/>
          </w:tcPr>
          <w:p w14:paraId="6B1BC4A0">
            <w:pPr>
              <w:keepNext w:val="0"/>
              <w:keepLines w:val="0"/>
              <w:pageBreakBefore w:val="0"/>
              <w:tabs>
                <w:tab w:val="center" w:pos="4153"/>
                <w:tab w:val="right" w:pos="8306"/>
              </w:tabs>
              <w:kinsoku/>
              <w:wordWrap/>
              <w:overflowPunct/>
              <w:topLinePunct w:val="0"/>
              <w:bidi w:val="0"/>
              <w:snapToGrid w:val="0"/>
              <w:spacing w:line="240" w:lineRule="auto"/>
              <w:ind w:left="0" w:leftChars="0" w:right="0" w:rightChars="0" w:firstLine="0" w:firstLineChars="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15万元</w:t>
            </w:r>
          </w:p>
        </w:tc>
      </w:tr>
      <w:tr w14:paraId="3DD3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6" w:type="dxa"/>
            <w:shd w:val="clear" w:color="auto" w:fill="FFFFFF"/>
            <w:vAlign w:val="center"/>
          </w:tcPr>
          <w:p w14:paraId="63E91EEB">
            <w:pPr>
              <w:keepNext w:val="0"/>
              <w:keepLines w:val="0"/>
              <w:pageBreakBefore w:val="0"/>
              <w:widowControl/>
              <w:kinsoku/>
              <w:wordWrap/>
              <w:overflowPunct/>
              <w:topLinePunct w:val="0"/>
              <w:bidi w:val="0"/>
              <w:spacing w:line="240" w:lineRule="auto"/>
              <w:ind w:left="0" w:right="0" w:firstLine="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7</w:t>
            </w:r>
          </w:p>
        </w:tc>
        <w:tc>
          <w:tcPr>
            <w:tcW w:w="1397" w:type="dxa"/>
            <w:gridSpan w:val="2"/>
            <w:shd w:val="clear" w:color="auto" w:fill="FFFFFF"/>
            <w:vAlign w:val="center"/>
          </w:tcPr>
          <w:p w14:paraId="588E0022">
            <w:pPr>
              <w:keepNext w:val="0"/>
              <w:keepLines w:val="0"/>
              <w:pageBreakBefore w:val="0"/>
              <w:kinsoku/>
              <w:wordWrap/>
              <w:overflowPunct/>
              <w:topLinePunct w:val="0"/>
              <w:bidi w:val="0"/>
              <w:spacing w:line="240" w:lineRule="auto"/>
              <w:ind w:left="0" w:leftChars="0" w:right="0" w:rightChars="0" w:firstLine="0" w:firstLineChars="0"/>
              <w:jc w:val="center"/>
              <w:rPr>
                <w:rFonts w:hint="eastAsia"/>
                <w:color w:val="auto"/>
                <w:szCs w:val="21"/>
                <w:highlight w:val="none"/>
              </w:rPr>
            </w:pPr>
            <w:r>
              <w:rPr>
                <w:rFonts w:hint="eastAsia" w:asciiTheme="minorEastAsia" w:hAnsiTheme="minorEastAsia" w:eastAsiaTheme="minorEastAsia"/>
                <w:color w:val="auto"/>
                <w:szCs w:val="21"/>
                <w:highlight w:val="none"/>
                <w:lang w:val="en-US" w:eastAsia="zh-CN"/>
              </w:rPr>
              <w:t>子午流注中频电疗仪</w:t>
            </w:r>
          </w:p>
        </w:tc>
        <w:tc>
          <w:tcPr>
            <w:tcW w:w="709" w:type="dxa"/>
            <w:shd w:val="clear" w:color="auto" w:fill="FFFFFF"/>
            <w:vAlign w:val="center"/>
          </w:tcPr>
          <w:p w14:paraId="7E17A8FF">
            <w:pPr>
              <w:keepNext w:val="0"/>
              <w:keepLines w:val="0"/>
              <w:pageBreakBefore w:val="0"/>
              <w:kinsoku/>
              <w:wordWrap/>
              <w:overflowPunct/>
              <w:topLinePunct w:val="0"/>
              <w:bidi w:val="0"/>
              <w:spacing w:line="240" w:lineRule="auto"/>
              <w:ind w:left="0" w:leftChars="0" w:right="0" w:rightChars="0" w:firstLine="0" w:firstLineChars="0"/>
              <w:jc w:val="center"/>
              <w:rPr>
                <w:color w:val="auto"/>
                <w:szCs w:val="21"/>
                <w:highlight w:val="none"/>
              </w:rPr>
            </w:pPr>
            <w:r>
              <w:rPr>
                <w:rFonts w:hint="eastAsia" w:asciiTheme="minorEastAsia" w:hAnsiTheme="minorEastAsia" w:eastAsiaTheme="minorEastAsia"/>
                <w:color w:val="auto"/>
                <w:szCs w:val="21"/>
                <w:highlight w:val="none"/>
                <w:lang w:val="en-US" w:eastAsia="zh-CN"/>
              </w:rPr>
              <w:t>1台</w:t>
            </w:r>
          </w:p>
        </w:tc>
        <w:tc>
          <w:tcPr>
            <w:tcW w:w="6684" w:type="dxa"/>
            <w:shd w:val="clear" w:color="auto" w:fill="FFFFFF"/>
            <w:vAlign w:val="center"/>
          </w:tcPr>
          <w:p w14:paraId="28477AB5">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一、基本要求</w:t>
            </w:r>
          </w:p>
          <w:p w14:paraId="19A6266C">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宋体" w:hAnsi="宋体" w:cs="宋体"/>
                <w:b/>
                <w:bCs/>
                <w:color w:val="auto"/>
                <w:highlight w:val="none"/>
              </w:rPr>
              <w:t>▲</w:t>
            </w:r>
            <w:r>
              <w:rPr>
                <w:rFonts w:hint="eastAsia" w:asciiTheme="minorEastAsia" w:hAnsiTheme="minorEastAsia" w:eastAsiaTheme="minorEastAsia"/>
                <w:color w:val="auto"/>
                <w:szCs w:val="21"/>
                <w:highlight w:val="none"/>
                <w:lang w:val="en-US" w:eastAsia="zh-CN"/>
              </w:rPr>
              <w:t>1.1适用范围：</w:t>
            </w:r>
            <w:r>
              <w:rPr>
                <w:rFonts w:hint="eastAsia" w:asciiTheme="minorEastAsia" w:hAnsiTheme="minorEastAsia" w:eastAsiaTheme="minorEastAsia"/>
                <w:color w:val="auto"/>
                <w:szCs w:val="21"/>
                <w:highlight w:val="none"/>
              </w:rPr>
              <w:t>对肩周炎、颈椎病、腰椎间盘突出症、扭伤、盆腔炎、坐骨神经痛、膝关节骨性关节炎、软组织损伤、类风湿关节炎具有改善局部血液循环，促进炎症消散、镇痛作用；具有软化瘢痕、松懈粘连、肠粘连作用。</w:t>
            </w:r>
          </w:p>
          <w:p w14:paraId="3CF655A2">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1.2配置性能不低于：</w:t>
            </w:r>
            <w:r>
              <w:rPr>
                <w:rFonts w:hint="eastAsia" w:asciiTheme="minorEastAsia" w:hAnsiTheme="minorEastAsia" w:eastAsiaTheme="minorEastAsia"/>
                <w:color w:val="auto"/>
                <w:szCs w:val="21"/>
                <w:highlight w:val="none"/>
              </w:rPr>
              <w:t>CPU</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I</w:t>
            </w:r>
            <w:r>
              <w:rPr>
                <w:rFonts w:hint="eastAsia" w:asciiTheme="minorEastAsia" w:hAnsiTheme="minorEastAsia" w:eastAsiaTheme="minorEastAsia"/>
                <w:color w:val="auto"/>
                <w:szCs w:val="21"/>
                <w:highlight w:val="none"/>
              </w:rPr>
              <w:t>5 4</w:t>
            </w:r>
            <w:r>
              <w:rPr>
                <w:rFonts w:hint="eastAsia" w:asciiTheme="minorEastAsia" w:hAnsiTheme="minorEastAsia" w:eastAsiaTheme="minorEastAsia"/>
                <w:color w:val="auto"/>
                <w:szCs w:val="21"/>
                <w:highlight w:val="none"/>
                <w:lang w:val="en-US" w:eastAsia="zh-CN"/>
              </w:rPr>
              <w:t>300</w:t>
            </w:r>
            <w:r>
              <w:rPr>
                <w:rFonts w:hint="eastAsia" w:asciiTheme="minorEastAsia" w:hAnsiTheme="minorEastAsia" w:eastAsiaTheme="minorEastAsia"/>
                <w:color w:val="auto"/>
                <w:szCs w:val="21"/>
                <w:highlight w:val="none"/>
              </w:rPr>
              <w:t>，内存</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16</w:t>
            </w:r>
            <w:r>
              <w:rPr>
                <w:rFonts w:hint="eastAsia" w:asciiTheme="minorEastAsia" w:hAnsiTheme="minorEastAsia" w:eastAsiaTheme="minorEastAsia"/>
                <w:color w:val="auto"/>
                <w:szCs w:val="21"/>
                <w:highlight w:val="none"/>
              </w:rPr>
              <w:t>G</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运行内存</w:t>
            </w:r>
            <w:r>
              <w:rPr>
                <w:rFonts w:hint="eastAsia" w:asciiTheme="minorEastAsia" w:hAnsiTheme="minorEastAsia" w:eastAsiaTheme="minorEastAsia"/>
                <w:color w:val="auto"/>
                <w:szCs w:val="21"/>
                <w:highlight w:val="none"/>
              </w:rPr>
              <w:t>，硬盘</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256G固态硬盘，WIFI，2个以太网接口，2个USB3.0接口，4个USB2.0接口，内置音箱，触摸</w:t>
            </w:r>
            <w:r>
              <w:rPr>
                <w:rFonts w:hint="default" w:ascii="Arial" w:hAnsi="Arial" w:cs="Arial" w:eastAsiaTheme="minorEastAsia"/>
                <w:color w:val="auto"/>
                <w:szCs w:val="21"/>
                <w:highlight w:val="none"/>
                <w:lang w:val="en-US" w:eastAsia="zh-CN"/>
              </w:rPr>
              <w:t>≥</w:t>
            </w:r>
            <w:r>
              <w:rPr>
                <w:rFonts w:hint="eastAsia" w:asciiTheme="minorEastAsia" w:hAnsiTheme="minorEastAsia" w:eastAsiaTheme="minorEastAsia"/>
                <w:color w:val="auto"/>
                <w:szCs w:val="21"/>
                <w:highlight w:val="none"/>
                <w:lang w:val="en-US" w:eastAsia="zh-CN"/>
              </w:rPr>
              <w:t>21.5英寸屏幕。</w:t>
            </w:r>
          </w:p>
          <w:p w14:paraId="68969E29">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二、技术参数</w:t>
            </w:r>
          </w:p>
          <w:p w14:paraId="03733322">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2.1工作条件</w:t>
            </w:r>
          </w:p>
          <w:p w14:paraId="2DC13223">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2.1.1环境温度：10℃～40℃。</w:t>
            </w:r>
          </w:p>
          <w:p w14:paraId="20991D63">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2.1.2环境湿度：≤80%。</w:t>
            </w:r>
          </w:p>
          <w:p w14:paraId="3C80458C">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2.1.3 大气压力：800hPa～1060 hPa。</w:t>
            </w:r>
          </w:p>
          <w:p w14:paraId="3F03DF99">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2.1.4 供电电源：</w:t>
            </w:r>
            <w:r>
              <w:rPr>
                <w:rFonts w:hint="eastAsia" w:asciiTheme="minorEastAsia" w:hAnsiTheme="minorEastAsia" w:eastAsiaTheme="minorEastAsia"/>
                <w:color w:val="auto"/>
                <w:szCs w:val="21"/>
                <w:highlight w:val="none"/>
                <w:lang w:val="en-US" w:eastAsia="zh-CN"/>
              </w:rPr>
              <w:sym w:font="Symbol" w:char="F07E"/>
            </w:r>
            <w:r>
              <w:rPr>
                <w:rFonts w:hint="eastAsia" w:asciiTheme="minorEastAsia" w:hAnsiTheme="minorEastAsia" w:eastAsiaTheme="minorEastAsia"/>
                <w:color w:val="auto"/>
                <w:szCs w:val="21"/>
                <w:highlight w:val="none"/>
                <w:lang w:val="en-US" w:eastAsia="zh-CN"/>
              </w:rPr>
              <w:t>220V，50Hz。</w:t>
            </w:r>
          </w:p>
          <w:p w14:paraId="2A6FFA07">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 基本性能</w:t>
            </w:r>
          </w:p>
          <w:p w14:paraId="68847DD8">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2.2.1 工作频率：4kHz，允差±10%。</w:t>
            </w:r>
          </w:p>
          <w:p w14:paraId="09A85670">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2.2.2 脉冲宽度：120μs,允差±10%。</w:t>
            </w:r>
          </w:p>
          <w:p w14:paraId="1A4B784E">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2.2.3 幅度值：最大幅度值25V, 允差±20%。</w:t>
            </w:r>
          </w:p>
          <w:p w14:paraId="12EB9C40">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 xml:space="preserve">2.2.4 输出电流：在500Ω的负载电阻下，输出电流不超过80mA（r.m.s）。 </w:t>
            </w:r>
          </w:p>
          <w:p w14:paraId="26BC7EB8">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2.2.5 调制频率范围：低频调制中频电疗设备调制频率应在0—150Hz范围内。</w:t>
            </w:r>
          </w:p>
          <w:p w14:paraId="3B6758C9">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2.2.6 定时时间：默认30min，允差±5%。</w:t>
            </w:r>
          </w:p>
          <w:p w14:paraId="50CAB541">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2.2.7 输出端口：有8路独立输出端口。</w:t>
            </w:r>
          </w:p>
          <w:p w14:paraId="1CB24575">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2.2.8 工作噪声：噪声（A计权）不大于60dB。</w:t>
            </w:r>
          </w:p>
          <w:p w14:paraId="4D4D3A77">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2.2.9 调幅度：连续在0%—100%的调幅度范围内可调，最小值4%， 最大值85%。调幅度允差±5%。</w:t>
            </w:r>
          </w:p>
          <w:p w14:paraId="18661B71">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2.2.10 连续工作时间应不少于4h。</w:t>
            </w:r>
          </w:p>
          <w:p w14:paraId="1FF80B88">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宋体" w:hAnsi="宋体" w:cs="宋体"/>
                <w:b/>
                <w:bCs/>
                <w:color w:val="auto"/>
                <w:highlight w:val="none"/>
              </w:rPr>
              <w:t>▲</w:t>
            </w:r>
            <w:r>
              <w:rPr>
                <w:rFonts w:hint="eastAsia" w:asciiTheme="minorEastAsia" w:hAnsiTheme="minorEastAsia" w:eastAsiaTheme="minorEastAsia"/>
                <w:color w:val="auto"/>
                <w:szCs w:val="21"/>
                <w:highlight w:val="none"/>
                <w:lang w:val="en-US" w:eastAsia="zh-CN"/>
              </w:rPr>
              <w:t>2.2.11 设备载波为4kHz，连续方波调制频率有20Hz、50Hz、150Hz；右锯齿波调制频率有1Hz、2Hz、2.2Hz、3Hz、3.3Hz、3.5Hz、4Hz、4.2Hz、5Hz、15.15Hz、45Hz、100Hz、150Hz；间歇方波调制频率有1Hz、2Hz、2.7Hz、3.5Hz、4Hz、5Hz、6Hz、6.2Hz、9Hz、10Hz、20Hz、30Hz、50Hz；左锯齿波调制频率有1.6Hz、2Hz、3.3Hz、6Hz、12Hz、15.15Hz；梯形波调制频率有1Hz、2Hz、3.3Hz、3.5Hz、32Hz、100Hz，频率允差±10%。</w:t>
            </w:r>
          </w:p>
          <w:p w14:paraId="76B85190">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宋体" w:hAnsi="宋体" w:cs="宋体"/>
                <w:b/>
                <w:bCs/>
                <w:color w:val="auto"/>
                <w:highlight w:val="none"/>
              </w:rPr>
              <w:t>▲</w:t>
            </w:r>
            <w:r>
              <w:rPr>
                <w:rFonts w:hint="eastAsia" w:asciiTheme="minorEastAsia" w:hAnsiTheme="minorEastAsia" w:eastAsiaTheme="minorEastAsia"/>
                <w:color w:val="auto"/>
                <w:szCs w:val="21"/>
                <w:highlight w:val="none"/>
                <w:lang w:val="en-US" w:eastAsia="zh-CN"/>
              </w:rPr>
              <w:t>2.2.12 具有50个处方的类型</w:t>
            </w:r>
          </w:p>
          <w:p w14:paraId="01BA31A6">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宋体" w:hAnsi="宋体" w:cs="宋体"/>
                <w:b/>
                <w:bCs/>
                <w:color w:val="auto"/>
                <w:highlight w:val="none"/>
              </w:rPr>
              <w:t>▲</w:t>
            </w:r>
            <w:r>
              <w:rPr>
                <w:rFonts w:hint="eastAsia" w:asciiTheme="minorEastAsia" w:hAnsiTheme="minorEastAsia" w:eastAsiaTheme="minorEastAsia"/>
                <w:color w:val="auto"/>
                <w:szCs w:val="21"/>
                <w:highlight w:val="none"/>
                <w:lang w:val="en-US" w:eastAsia="zh-CN"/>
              </w:rPr>
              <w:t>2.2.13 软件功能：具有8路通道处方强度加减控制、强度加减控制、启动控制、停止控制、工作时间显示、工作状态显示、真太阳时显示、灵龟八法穴位显示、纳子法穴位显示、穴位位置指示图、病症穴位显示功能。</w:t>
            </w:r>
          </w:p>
          <w:p w14:paraId="2D8B9375">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2.2.14 符合GB 9706.1-2020《医用电气设备 第1部分：基本安全和基本性能的通用要求》、YY 9706.210-2021《医用电气设备 第2-10部分：神经和肌肉刺激器的基本安全和基本性能的专用要求》和YY 9706.102-2021《医用电气设备 第1-2部分:基本安全和基本性能的通用要求并列标准:电磁兼容要求和试验》标准的要求。</w:t>
            </w:r>
          </w:p>
          <w:p w14:paraId="6CFB23A6">
            <w:pPr>
              <w:keepNext w:val="0"/>
              <w:keepLines w:val="0"/>
              <w:pageBreakBefore w:val="0"/>
              <w:kinsoku/>
              <w:wordWrap/>
              <w:overflowPunct/>
              <w:topLinePunct w:val="0"/>
              <w:bidi w:val="0"/>
              <w:spacing w:line="240" w:lineRule="auto"/>
              <w:ind w:left="0" w:right="0" w:firstLine="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2.2.15 安全类别：BF型的I类设备。</w:t>
            </w:r>
          </w:p>
          <w:p w14:paraId="25C8560B">
            <w:pPr>
              <w:keepNext w:val="0"/>
              <w:keepLines w:val="0"/>
              <w:pageBreakBefore w:val="0"/>
              <w:kinsoku/>
              <w:wordWrap/>
              <w:overflowPunct/>
              <w:topLinePunct w:val="0"/>
              <w:bidi w:val="0"/>
              <w:spacing w:line="240" w:lineRule="auto"/>
              <w:ind w:left="0" w:leftChars="0" w:right="0" w:rightChars="0" w:firstLine="0" w:firstLineChars="0"/>
              <w:rPr>
                <w:rFonts w:hint="eastAsia" w:ascii="宋体" w:hAnsi="宋体"/>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2.2.16 输入功率：90VA。</w:t>
            </w:r>
          </w:p>
        </w:tc>
        <w:tc>
          <w:tcPr>
            <w:tcW w:w="1217" w:type="dxa"/>
            <w:shd w:val="clear" w:color="auto" w:fill="FFFFFF"/>
            <w:vAlign w:val="center"/>
          </w:tcPr>
          <w:p w14:paraId="09F29C01">
            <w:pPr>
              <w:keepNext w:val="0"/>
              <w:keepLines w:val="0"/>
              <w:pageBreakBefore w:val="0"/>
              <w:kinsoku/>
              <w:wordWrap/>
              <w:overflowPunct/>
              <w:topLinePunct w:val="0"/>
              <w:bidi w:val="0"/>
              <w:spacing w:line="240" w:lineRule="auto"/>
              <w:ind w:left="0" w:leftChars="0" w:right="0" w:rightChars="0" w:firstLine="0" w:firstLineChars="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14.3万元</w:t>
            </w:r>
          </w:p>
        </w:tc>
      </w:tr>
      <w:tr w14:paraId="682F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1" w:hRule="atLeast"/>
          <w:jc w:val="center"/>
        </w:trPr>
        <w:tc>
          <w:tcPr>
            <w:tcW w:w="10703" w:type="dxa"/>
            <w:gridSpan w:val="6"/>
            <w:shd w:val="clear" w:color="auto" w:fill="FFFFFF"/>
            <w:vAlign w:val="center"/>
          </w:tcPr>
          <w:p w14:paraId="61F225F8">
            <w:pPr>
              <w:keepNext w:val="0"/>
              <w:keepLines w:val="0"/>
              <w:pageBreakBefore w:val="0"/>
              <w:widowControl/>
              <w:kinsoku/>
              <w:wordWrap/>
              <w:overflowPunct/>
              <w:topLinePunct w:val="0"/>
              <w:bidi w:val="0"/>
              <w:spacing w:line="240" w:lineRule="auto"/>
              <w:ind w:left="0" w:right="0" w:firstLine="0"/>
              <w:jc w:val="both"/>
              <w:rPr>
                <w:rFonts w:hint="eastAsia"/>
                <w:color w:val="auto"/>
                <w:szCs w:val="21"/>
                <w:highlight w:val="none"/>
              </w:rPr>
            </w:pPr>
            <w:r>
              <w:rPr>
                <w:rFonts w:hint="eastAsia"/>
                <w:color w:val="auto"/>
                <w:szCs w:val="21"/>
                <w:highlight w:val="none"/>
              </w:rPr>
              <w:t>▲</w:t>
            </w:r>
            <w:r>
              <w:rPr>
                <w:rFonts w:eastAsia="黑体"/>
                <w:b/>
                <w:color w:val="auto"/>
                <w:kern w:val="0"/>
                <w:szCs w:val="21"/>
                <w:highlight w:val="none"/>
              </w:rPr>
              <w:t>商务条款要求</w:t>
            </w:r>
          </w:p>
        </w:tc>
      </w:tr>
      <w:tr w14:paraId="01B7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0F70CED2">
            <w:pPr>
              <w:keepNext w:val="0"/>
              <w:keepLines w:val="0"/>
              <w:pageBreakBefore w:val="0"/>
              <w:kinsoku/>
              <w:wordWrap/>
              <w:overflowPunct/>
              <w:topLinePunct w:val="0"/>
              <w:bidi w:val="0"/>
              <w:spacing w:line="240" w:lineRule="auto"/>
              <w:ind w:left="0" w:right="0" w:firstLine="0"/>
              <w:jc w:val="center"/>
              <w:rPr>
                <w:rFonts w:ascii="宋体" w:hAnsi="宋体" w:cs="宋体"/>
                <w:color w:val="auto"/>
                <w:szCs w:val="21"/>
                <w:highlight w:val="none"/>
              </w:rPr>
            </w:pPr>
            <w:r>
              <w:rPr>
                <w:rFonts w:hint="eastAsia" w:ascii="宋体" w:hAnsi="宋体" w:cs="宋体"/>
                <w:color w:val="auto"/>
                <w:szCs w:val="21"/>
                <w:highlight w:val="none"/>
              </w:rPr>
              <w:t>合同签订</w:t>
            </w:r>
          </w:p>
        </w:tc>
        <w:tc>
          <w:tcPr>
            <w:tcW w:w="9084" w:type="dxa"/>
            <w:gridSpan w:val="4"/>
            <w:shd w:val="clear" w:color="auto" w:fill="FFFFFF"/>
            <w:vAlign w:val="center"/>
          </w:tcPr>
          <w:p w14:paraId="7E4DDF2A">
            <w:pPr>
              <w:keepNext w:val="0"/>
              <w:keepLines w:val="0"/>
              <w:pageBreakBefore w:val="0"/>
              <w:kinsoku/>
              <w:wordWrap/>
              <w:overflowPunct/>
              <w:topLinePunct w:val="0"/>
              <w:bidi w:val="0"/>
              <w:spacing w:line="240" w:lineRule="auto"/>
              <w:ind w:left="0" w:right="0" w:firstLine="0"/>
              <w:jc w:val="left"/>
              <w:rPr>
                <w:rFonts w:hint="eastAsia" w:ascii="宋体" w:hAnsi="宋体" w:cs="宋体"/>
                <w:color w:val="auto"/>
                <w:szCs w:val="21"/>
                <w:highlight w:val="none"/>
              </w:rPr>
            </w:pPr>
            <w:r>
              <w:rPr>
                <w:rFonts w:hint="eastAsia" w:ascii="宋体" w:hAnsi="宋体" w:cs="宋体"/>
                <w:color w:val="auto"/>
                <w:szCs w:val="21"/>
                <w:highlight w:val="none"/>
              </w:rPr>
              <w:t>自成交通知书发出之日起</w:t>
            </w:r>
            <w:r>
              <w:rPr>
                <w:rFonts w:ascii="宋体" w:hAnsi="宋体" w:cs="宋体"/>
                <w:color w:val="auto"/>
                <w:szCs w:val="21"/>
                <w:highlight w:val="none"/>
              </w:rPr>
              <w:t>25日内。</w:t>
            </w:r>
          </w:p>
        </w:tc>
      </w:tr>
      <w:tr w14:paraId="667A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316E5B0A">
            <w:pPr>
              <w:keepNext w:val="0"/>
              <w:keepLines w:val="0"/>
              <w:pageBreakBefore w:val="0"/>
              <w:kinsoku/>
              <w:wordWrap/>
              <w:overflowPunct/>
              <w:topLinePunct w:val="0"/>
              <w:bidi w:val="0"/>
              <w:spacing w:line="240" w:lineRule="auto"/>
              <w:ind w:left="0" w:right="0" w:firstLine="0"/>
              <w:jc w:val="center"/>
              <w:rPr>
                <w:rFonts w:ascii="宋体" w:hAnsi="宋体" w:cs="宋体"/>
                <w:bCs/>
                <w:color w:val="auto"/>
                <w:szCs w:val="21"/>
                <w:highlight w:val="none"/>
              </w:rPr>
            </w:pPr>
            <w:r>
              <w:rPr>
                <w:rFonts w:hint="eastAsia" w:ascii="宋体" w:hAnsi="宋体"/>
                <w:bCs/>
                <w:color w:val="auto"/>
                <w:szCs w:val="21"/>
                <w:highlight w:val="none"/>
              </w:rPr>
              <w:t>规范标准</w:t>
            </w:r>
          </w:p>
        </w:tc>
        <w:tc>
          <w:tcPr>
            <w:tcW w:w="9084" w:type="dxa"/>
            <w:gridSpan w:val="4"/>
            <w:shd w:val="clear" w:color="auto" w:fill="FFFFFF"/>
            <w:vAlign w:val="center"/>
          </w:tcPr>
          <w:p w14:paraId="1585760E">
            <w:pPr>
              <w:keepNext w:val="0"/>
              <w:keepLines w:val="0"/>
              <w:pageBreakBefore w:val="0"/>
              <w:kinsoku/>
              <w:wordWrap/>
              <w:overflowPunct/>
              <w:topLinePunct w:val="0"/>
              <w:bidi w:val="0"/>
              <w:snapToGrid w:val="0"/>
              <w:spacing w:line="240" w:lineRule="auto"/>
              <w:ind w:left="0" w:right="0" w:firstLine="0"/>
              <w:jc w:val="left"/>
              <w:rPr>
                <w:rFonts w:hint="eastAsia" w:ascii="宋体" w:hAnsi="宋体"/>
                <w:color w:val="auto"/>
                <w:szCs w:val="21"/>
                <w:highlight w:val="none"/>
              </w:rPr>
            </w:pPr>
            <w:r>
              <w:rPr>
                <w:rFonts w:hint="eastAsia" w:ascii="宋体" w:hAnsi="宋体"/>
                <w:color w:val="auto"/>
                <w:szCs w:val="21"/>
                <w:highlight w:val="none"/>
              </w:rPr>
              <w:t>采购文件要求高于国家、行业、地方标准时按采购文件要求执行，低于国家、行业、地方标准时按国家、行业、地方标准执行。采购文件其它内容与本条不一致的以本条说明为准。</w:t>
            </w:r>
          </w:p>
        </w:tc>
      </w:tr>
      <w:tr w14:paraId="163F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5AEF36DA">
            <w:pPr>
              <w:keepNext w:val="0"/>
              <w:keepLines w:val="0"/>
              <w:pageBreakBefore w:val="0"/>
              <w:widowControl/>
              <w:kinsoku/>
              <w:wordWrap/>
              <w:overflowPunct/>
              <w:topLinePunct w:val="0"/>
              <w:bidi w:val="0"/>
              <w:spacing w:line="240" w:lineRule="auto"/>
              <w:ind w:left="0" w:right="0" w:firstLine="0"/>
              <w:jc w:val="center"/>
              <w:rPr>
                <w:b/>
                <w:color w:val="auto"/>
                <w:kern w:val="0"/>
                <w:szCs w:val="21"/>
                <w:highlight w:val="none"/>
              </w:rPr>
            </w:pPr>
            <w:r>
              <w:rPr>
                <w:color w:val="auto"/>
                <w:szCs w:val="21"/>
                <w:highlight w:val="none"/>
              </w:rPr>
              <w:t>报价要求</w:t>
            </w:r>
          </w:p>
        </w:tc>
        <w:tc>
          <w:tcPr>
            <w:tcW w:w="9084" w:type="dxa"/>
            <w:gridSpan w:val="4"/>
            <w:shd w:val="clear" w:color="auto" w:fill="FFFFFF"/>
            <w:vAlign w:val="center"/>
          </w:tcPr>
          <w:p w14:paraId="72A0CD6B">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为采购人指定地点的现场交货价，包括：</w:t>
            </w:r>
          </w:p>
          <w:p w14:paraId="365D3C45">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（1）货物的价格：包括货款、杂配件、各类线材、辅材、上门测量费、安装调试费、清理垃圾费用、验收费、线路改造等；</w:t>
            </w:r>
          </w:p>
          <w:p w14:paraId="570CB105">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（2）运输、装卸、培训、技术支持、售后服务费。</w:t>
            </w:r>
          </w:p>
          <w:p w14:paraId="7DE2CC59">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（3）招标代理服务费、保险费和各项税金。</w:t>
            </w:r>
          </w:p>
          <w:p w14:paraId="46F7095F">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注：供应商自行考虑完成项目所需的辅材、杂配件等数量，报价中应包含全部内容，</w:t>
            </w:r>
            <w:r>
              <w:rPr>
                <w:rFonts w:hint="eastAsia"/>
                <w:color w:val="auto"/>
                <w:szCs w:val="21"/>
                <w:highlight w:val="none"/>
              </w:rPr>
              <w:t>成交</w:t>
            </w:r>
            <w:r>
              <w:rPr>
                <w:color w:val="auto"/>
                <w:szCs w:val="21"/>
                <w:highlight w:val="none"/>
              </w:rPr>
              <w:t>后采购人不再另行支付额外费用。</w:t>
            </w:r>
          </w:p>
        </w:tc>
      </w:tr>
      <w:tr w14:paraId="6746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569B5113">
            <w:pPr>
              <w:keepNext w:val="0"/>
              <w:keepLines w:val="0"/>
              <w:pageBreakBefore w:val="0"/>
              <w:widowControl/>
              <w:kinsoku/>
              <w:wordWrap/>
              <w:overflowPunct/>
              <w:topLinePunct w:val="0"/>
              <w:bidi w:val="0"/>
              <w:spacing w:line="240" w:lineRule="auto"/>
              <w:ind w:left="0" w:right="0" w:firstLine="0"/>
              <w:jc w:val="center"/>
              <w:rPr>
                <w:b/>
                <w:color w:val="auto"/>
                <w:kern w:val="0"/>
                <w:szCs w:val="21"/>
                <w:highlight w:val="none"/>
              </w:rPr>
            </w:pPr>
            <w:r>
              <w:rPr>
                <w:color w:val="auto"/>
                <w:szCs w:val="21"/>
                <w:highlight w:val="none"/>
              </w:rPr>
              <w:t>交货时间</w:t>
            </w:r>
          </w:p>
        </w:tc>
        <w:tc>
          <w:tcPr>
            <w:tcW w:w="9084" w:type="dxa"/>
            <w:gridSpan w:val="4"/>
            <w:shd w:val="clear" w:color="auto" w:fill="FFFFFF"/>
            <w:vAlign w:val="center"/>
          </w:tcPr>
          <w:p w14:paraId="34822048">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自签订合同之日起</w:t>
            </w:r>
            <w:r>
              <w:rPr>
                <w:rFonts w:hint="eastAsia"/>
                <w:color w:val="auto"/>
                <w:szCs w:val="21"/>
                <w:highlight w:val="none"/>
              </w:rPr>
              <w:t>20个工作</w:t>
            </w:r>
            <w:r>
              <w:rPr>
                <w:color w:val="auto"/>
                <w:szCs w:val="21"/>
                <w:highlight w:val="none"/>
              </w:rPr>
              <w:t>日内完成供货、安装调试完毕并通过验收。</w:t>
            </w:r>
          </w:p>
        </w:tc>
      </w:tr>
      <w:tr w14:paraId="5791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727F62BB">
            <w:pPr>
              <w:keepNext w:val="0"/>
              <w:keepLines w:val="0"/>
              <w:pageBreakBefore w:val="0"/>
              <w:kinsoku/>
              <w:wordWrap/>
              <w:overflowPunct/>
              <w:topLinePunct w:val="0"/>
              <w:bidi w:val="0"/>
              <w:spacing w:line="240" w:lineRule="auto"/>
              <w:ind w:left="0" w:right="0" w:firstLine="0"/>
              <w:jc w:val="center"/>
              <w:rPr>
                <w:color w:val="auto"/>
                <w:szCs w:val="21"/>
                <w:highlight w:val="none"/>
              </w:rPr>
            </w:pPr>
            <w:r>
              <w:rPr>
                <w:color w:val="auto"/>
                <w:szCs w:val="21"/>
                <w:highlight w:val="none"/>
              </w:rPr>
              <w:t>交货地点</w:t>
            </w:r>
          </w:p>
        </w:tc>
        <w:tc>
          <w:tcPr>
            <w:tcW w:w="9084" w:type="dxa"/>
            <w:gridSpan w:val="4"/>
            <w:shd w:val="clear" w:color="auto" w:fill="FFFFFF"/>
            <w:vAlign w:val="center"/>
          </w:tcPr>
          <w:p w14:paraId="460E874E">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交付地点：</w:t>
            </w:r>
            <w:r>
              <w:rPr>
                <w:color w:val="auto"/>
                <w:highlight w:val="none"/>
              </w:rPr>
              <w:t>广西壮族自治区女子强制隔离戒毒所</w:t>
            </w:r>
            <w:r>
              <w:rPr>
                <w:color w:val="auto"/>
                <w:szCs w:val="21"/>
                <w:highlight w:val="none"/>
              </w:rPr>
              <w:t>（采购人指定地点）</w:t>
            </w:r>
          </w:p>
        </w:tc>
      </w:tr>
      <w:tr w14:paraId="70DD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385F1D1D">
            <w:pPr>
              <w:keepNext w:val="0"/>
              <w:keepLines w:val="0"/>
              <w:pageBreakBefore w:val="0"/>
              <w:kinsoku/>
              <w:wordWrap/>
              <w:overflowPunct/>
              <w:topLinePunct w:val="0"/>
              <w:bidi w:val="0"/>
              <w:spacing w:line="240" w:lineRule="auto"/>
              <w:ind w:left="0" w:right="0" w:firstLine="0"/>
              <w:jc w:val="center"/>
              <w:rPr>
                <w:color w:val="auto"/>
                <w:szCs w:val="21"/>
                <w:highlight w:val="none"/>
              </w:rPr>
            </w:pPr>
            <w:r>
              <w:rPr>
                <w:color w:val="auto"/>
                <w:szCs w:val="21"/>
                <w:highlight w:val="none"/>
              </w:rPr>
              <w:t>质量承诺要求</w:t>
            </w:r>
          </w:p>
        </w:tc>
        <w:tc>
          <w:tcPr>
            <w:tcW w:w="9084" w:type="dxa"/>
            <w:gridSpan w:val="4"/>
            <w:shd w:val="clear" w:color="auto" w:fill="FFFFFF"/>
            <w:vAlign w:val="center"/>
          </w:tcPr>
          <w:p w14:paraId="002CFA1F">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按生产厂家或国家有关规定实行“三包”；质保期不少于1年，货物需求表中对质保期另有要求的按其要求执行，报价产品必须满足采购文件要求，并符合国家规定的质量标准，否则采购人有权退货，由此引发出的费用及其他经济损失全部由</w:t>
            </w:r>
            <w:r>
              <w:rPr>
                <w:rFonts w:hint="eastAsia"/>
                <w:color w:val="auto"/>
                <w:szCs w:val="21"/>
                <w:highlight w:val="none"/>
              </w:rPr>
              <w:t>成交</w:t>
            </w:r>
            <w:r>
              <w:rPr>
                <w:color w:val="auto"/>
                <w:szCs w:val="21"/>
                <w:highlight w:val="none"/>
              </w:rPr>
              <w:t>供应商承担。</w:t>
            </w:r>
          </w:p>
          <w:p w14:paraId="3F60EB7E">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质保期内负责维修、更换零部件，除另行特别注明外，</w:t>
            </w:r>
            <w:r>
              <w:rPr>
                <w:rFonts w:hint="eastAsia"/>
                <w:color w:val="auto"/>
                <w:szCs w:val="21"/>
                <w:highlight w:val="none"/>
              </w:rPr>
              <w:t>售后</w:t>
            </w:r>
            <w:r>
              <w:rPr>
                <w:color w:val="auto"/>
                <w:szCs w:val="21"/>
                <w:highlight w:val="none"/>
              </w:rPr>
              <w:t>服务内容如下：</w:t>
            </w:r>
          </w:p>
          <w:p w14:paraId="1E9B32A2">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（1）负责</w:t>
            </w:r>
            <w:r>
              <w:rPr>
                <w:rFonts w:hint="eastAsia"/>
                <w:color w:val="auto"/>
                <w:szCs w:val="21"/>
                <w:highlight w:val="none"/>
              </w:rPr>
              <w:t>无条件</w:t>
            </w:r>
            <w:r>
              <w:rPr>
                <w:color w:val="auto"/>
                <w:szCs w:val="21"/>
                <w:highlight w:val="none"/>
              </w:rPr>
              <w:t>送货上门，负责</w:t>
            </w:r>
            <w:r>
              <w:rPr>
                <w:rFonts w:hint="eastAsia"/>
                <w:color w:val="auto"/>
                <w:szCs w:val="21"/>
                <w:highlight w:val="none"/>
              </w:rPr>
              <w:t>无条件</w:t>
            </w:r>
            <w:r>
              <w:rPr>
                <w:color w:val="auto"/>
                <w:szCs w:val="21"/>
                <w:highlight w:val="none"/>
              </w:rPr>
              <w:t>安装调试合格。</w:t>
            </w:r>
          </w:p>
          <w:p w14:paraId="35324D62">
            <w:pPr>
              <w:pStyle w:val="9"/>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（2）</w:t>
            </w:r>
            <w:r>
              <w:rPr>
                <w:rFonts w:hint="eastAsia"/>
                <w:color w:val="auto"/>
                <w:szCs w:val="21"/>
                <w:highlight w:val="none"/>
              </w:rPr>
              <w:t>无条件</w:t>
            </w:r>
            <w:r>
              <w:rPr>
                <w:color w:val="auto"/>
                <w:szCs w:val="21"/>
                <w:highlight w:val="none"/>
              </w:rPr>
              <w:t>提供现场技术培训，保证使用人员正常操作设备的各种功能，终身提供</w:t>
            </w:r>
            <w:r>
              <w:rPr>
                <w:rFonts w:hint="eastAsia"/>
                <w:color w:val="auto"/>
                <w:szCs w:val="21"/>
                <w:highlight w:val="none"/>
              </w:rPr>
              <w:t>无条件</w:t>
            </w:r>
            <w:r>
              <w:rPr>
                <w:color w:val="auto"/>
                <w:szCs w:val="21"/>
                <w:highlight w:val="none"/>
              </w:rPr>
              <w:t>技术支持。</w:t>
            </w:r>
          </w:p>
          <w:p w14:paraId="425B40D9">
            <w:pPr>
              <w:keepNext w:val="0"/>
              <w:keepLines w:val="0"/>
              <w:pageBreakBefore w:val="0"/>
              <w:kinsoku/>
              <w:wordWrap/>
              <w:overflowPunct/>
              <w:topLinePunct w:val="0"/>
              <w:bidi w:val="0"/>
              <w:spacing w:line="240" w:lineRule="auto"/>
              <w:ind w:left="0" w:right="0" w:firstLine="0"/>
              <w:jc w:val="left"/>
              <w:rPr>
                <w:color w:val="auto"/>
                <w:szCs w:val="21"/>
                <w:highlight w:val="none"/>
              </w:rPr>
            </w:pPr>
            <w:r>
              <w:rPr>
                <w:color w:val="auto"/>
                <w:szCs w:val="21"/>
                <w:highlight w:val="none"/>
              </w:rPr>
              <w:t>（3）出现故障4小时内做出响应，24小时内到场维修。一般问题应在48小时内解决，重大问题或其它无法迅速解决的问题应在一周内解决。</w:t>
            </w:r>
          </w:p>
          <w:p w14:paraId="5FC66C3C">
            <w:pPr>
              <w:keepNext w:val="0"/>
              <w:keepLines w:val="0"/>
              <w:pageBreakBefore w:val="0"/>
              <w:tabs>
                <w:tab w:val="center" w:pos="4153"/>
                <w:tab w:val="right" w:pos="8306"/>
              </w:tabs>
              <w:kinsoku/>
              <w:wordWrap/>
              <w:overflowPunct/>
              <w:topLinePunct w:val="0"/>
              <w:bidi w:val="0"/>
              <w:spacing w:line="240" w:lineRule="auto"/>
              <w:ind w:left="0" w:right="0" w:firstLine="0"/>
              <w:jc w:val="left"/>
              <w:rPr>
                <w:color w:val="auto"/>
                <w:szCs w:val="21"/>
                <w:highlight w:val="none"/>
              </w:rPr>
            </w:pPr>
            <w:r>
              <w:rPr>
                <w:color w:val="auto"/>
                <w:szCs w:val="21"/>
                <w:highlight w:val="none"/>
              </w:rPr>
              <w:t>（4）定期回访。</w:t>
            </w:r>
          </w:p>
        </w:tc>
      </w:tr>
      <w:tr w14:paraId="35D6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170B8E07">
            <w:pPr>
              <w:keepNext w:val="0"/>
              <w:keepLines w:val="0"/>
              <w:pageBreakBefore w:val="0"/>
              <w:kinsoku/>
              <w:wordWrap/>
              <w:overflowPunct/>
              <w:topLinePunct w:val="0"/>
              <w:bidi w:val="0"/>
              <w:spacing w:line="240" w:lineRule="auto"/>
              <w:ind w:left="0" w:right="0" w:firstLine="0"/>
              <w:jc w:val="center"/>
              <w:rPr>
                <w:color w:val="auto"/>
                <w:szCs w:val="22"/>
                <w:highlight w:val="none"/>
              </w:rPr>
            </w:pPr>
            <w:r>
              <w:rPr>
                <w:color w:val="auto"/>
                <w:szCs w:val="22"/>
                <w:highlight w:val="none"/>
              </w:rPr>
              <w:t>付款条件</w:t>
            </w:r>
          </w:p>
        </w:tc>
        <w:tc>
          <w:tcPr>
            <w:tcW w:w="9084" w:type="dxa"/>
            <w:gridSpan w:val="4"/>
            <w:shd w:val="clear" w:color="auto" w:fill="FFFFFF"/>
            <w:vAlign w:val="center"/>
          </w:tcPr>
          <w:p w14:paraId="01145263">
            <w:pPr>
              <w:keepNext w:val="0"/>
              <w:keepLines w:val="0"/>
              <w:pageBreakBefore w:val="0"/>
              <w:kinsoku/>
              <w:wordWrap/>
              <w:overflowPunct/>
              <w:topLinePunct w:val="0"/>
              <w:bidi w:val="0"/>
              <w:spacing w:line="240" w:lineRule="auto"/>
              <w:ind w:left="0" w:right="0" w:firstLine="0"/>
              <w:jc w:val="left"/>
              <w:rPr>
                <w:rFonts w:ascii="宋体" w:hAnsi="宋体" w:cs="宋体"/>
                <w:b/>
                <w:bCs/>
                <w:color w:val="auto"/>
                <w:sz w:val="24"/>
                <w:szCs w:val="18"/>
                <w:highlight w:val="none"/>
                <w:u w:val="single"/>
              </w:rPr>
            </w:pPr>
            <w:r>
              <w:rPr>
                <w:rFonts w:hint="eastAsia" w:ascii="宋体" w:hAnsi="宋体"/>
                <w:color w:val="auto"/>
                <w:szCs w:val="22"/>
                <w:highlight w:val="none"/>
              </w:rPr>
              <w:t>1.</w:t>
            </w:r>
            <w:r>
              <w:rPr>
                <w:rFonts w:hint="eastAsia"/>
                <w:color w:val="auto"/>
                <w:highlight w:val="none"/>
              </w:rPr>
              <w:t>本项目自签定合同后1</w:t>
            </w:r>
            <w:r>
              <w:rPr>
                <w:color w:val="auto"/>
                <w:highlight w:val="none"/>
              </w:rPr>
              <w:t>0</w:t>
            </w:r>
            <w:r>
              <w:rPr>
                <w:rFonts w:hint="eastAsia"/>
                <w:color w:val="auto"/>
                <w:highlight w:val="none"/>
              </w:rPr>
              <w:t>个工作日内付3</w:t>
            </w:r>
            <w:r>
              <w:rPr>
                <w:color w:val="auto"/>
                <w:highlight w:val="none"/>
              </w:rPr>
              <w:t>0</w:t>
            </w:r>
            <w:r>
              <w:rPr>
                <w:rFonts w:hint="eastAsia"/>
                <w:color w:val="auto"/>
                <w:highlight w:val="none"/>
              </w:rPr>
              <w:t>%预付款，设备安装调试完毕并验收合格后，成交人开具全额发票给采购人，采购人在10个工作日内向成交人一次付清剩下7</w:t>
            </w:r>
            <w:r>
              <w:rPr>
                <w:color w:val="auto"/>
                <w:highlight w:val="none"/>
              </w:rPr>
              <w:t>0</w:t>
            </w:r>
            <w:r>
              <w:rPr>
                <w:rFonts w:hint="eastAsia"/>
                <w:color w:val="auto"/>
                <w:highlight w:val="none"/>
              </w:rPr>
              <w:t>%货款。</w:t>
            </w:r>
          </w:p>
          <w:p w14:paraId="71B6249F">
            <w:pPr>
              <w:keepNext w:val="0"/>
              <w:keepLines w:val="0"/>
              <w:pageBreakBefore w:val="0"/>
              <w:kinsoku/>
              <w:wordWrap/>
              <w:overflowPunct/>
              <w:topLinePunct w:val="0"/>
              <w:bidi w:val="0"/>
              <w:spacing w:line="240" w:lineRule="auto"/>
              <w:ind w:left="0" w:right="0" w:firstLine="0"/>
              <w:jc w:val="left"/>
              <w:rPr>
                <w:rFonts w:hint="eastAsia" w:ascii="宋体" w:hAnsi="宋体"/>
                <w:color w:val="auto"/>
                <w:szCs w:val="22"/>
                <w:highlight w:val="none"/>
              </w:rPr>
            </w:pPr>
            <w:r>
              <w:rPr>
                <w:rFonts w:hint="eastAsia" w:ascii="宋体" w:hAnsi="宋体"/>
                <w:color w:val="auto"/>
                <w:szCs w:val="22"/>
                <w:highlight w:val="none"/>
              </w:rPr>
              <w:t>2.每次付款前，成交人需提供该支付金额的合法发票。</w:t>
            </w:r>
          </w:p>
        </w:tc>
      </w:tr>
      <w:tr w14:paraId="56C9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4488C5CA">
            <w:pPr>
              <w:keepNext w:val="0"/>
              <w:keepLines w:val="0"/>
              <w:pageBreakBefore w:val="0"/>
              <w:kinsoku/>
              <w:wordWrap/>
              <w:overflowPunct/>
              <w:topLinePunct w:val="0"/>
              <w:bidi w:val="0"/>
              <w:spacing w:line="240" w:lineRule="auto"/>
              <w:ind w:left="0" w:right="0" w:firstLine="0"/>
              <w:jc w:val="center"/>
              <w:rPr>
                <w:rFonts w:ascii="仿宋" w:hAnsi="仿宋" w:eastAsia="仿宋"/>
                <w:color w:val="auto"/>
                <w:highlight w:val="none"/>
              </w:rPr>
            </w:pPr>
            <w:r>
              <w:rPr>
                <w:rFonts w:hint="eastAsia"/>
                <w:color w:val="auto"/>
                <w:szCs w:val="21"/>
                <w:highlight w:val="none"/>
              </w:rPr>
              <w:t>验收要求</w:t>
            </w:r>
          </w:p>
        </w:tc>
        <w:tc>
          <w:tcPr>
            <w:tcW w:w="9084" w:type="dxa"/>
            <w:gridSpan w:val="4"/>
            <w:shd w:val="clear" w:color="auto" w:fill="FFFFFF"/>
          </w:tcPr>
          <w:p w14:paraId="7709E5A6">
            <w:pPr>
              <w:keepNext w:val="0"/>
              <w:keepLines w:val="0"/>
              <w:pageBreakBefore w:val="0"/>
              <w:widowControl/>
              <w:kinsoku/>
              <w:wordWrap/>
              <w:overflowPunct/>
              <w:topLinePunct w:val="0"/>
              <w:bidi w:val="0"/>
              <w:spacing w:line="240" w:lineRule="auto"/>
              <w:ind w:left="0" w:right="0" w:firstLine="0"/>
              <w:jc w:val="left"/>
              <w:rPr>
                <w:rFonts w:ascii="宋体" w:hAnsi="宋体"/>
                <w:color w:val="auto"/>
                <w:kern w:val="0"/>
                <w:szCs w:val="21"/>
                <w:highlight w:val="none"/>
              </w:rPr>
            </w:pPr>
            <w:r>
              <w:rPr>
                <w:rFonts w:ascii="宋体" w:hAnsi="宋体"/>
                <w:color w:val="auto"/>
                <w:kern w:val="0"/>
                <w:szCs w:val="21"/>
                <w:highlight w:val="none"/>
              </w:rPr>
              <w:t>1.竞标人必须提供保证满足上述参数及配置的产品，设备进场安装时，采购人将组织专家对该设备进行验收，如发现参数与</w:t>
            </w:r>
            <w:r>
              <w:rPr>
                <w:rFonts w:hint="eastAsia" w:ascii="宋体" w:hAnsi="宋体"/>
                <w:color w:val="auto"/>
                <w:kern w:val="0"/>
                <w:szCs w:val="21"/>
                <w:highlight w:val="none"/>
              </w:rPr>
              <w:t>响应文件</w:t>
            </w:r>
            <w:r>
              <w:rPr>
                <w:rFonts w:ascii="宋体" w:hAnsi="宋体"/>
                <w:color w:val="auto"/>
                <w:kern w:val="0"/>
                <w:szCs w:val="21"/>
                <w:highlight w:val="none"/>
              </w:rPr>
              <w:t>不符合的，属于虚假应标，将没收履约保证金，取消其中标资格。</w:t>
            </w:r>
          </w:p>
        </w:tc>
      </w:tr>
      <w:tr w14:paraId="261F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619" w:type="dxa"/>
            <w:gridSpan w:val="2"/>
            <w:shd w:val="clear" w:color="auto" w:fill="FFFFFF"/>
            <w:vAlign w:val="center"/>
          </w:tcPr>
          <w:p w14:paraId="5798C957">
            <w:pPr>
              <w:keepNext w:val="0"/>
              <w:keepLines w:val="0"/>
              <w:pageBreakBefore w:val="0"/>
              <w:kinsoku/>
              <w:wordWrap/>
              <w:overflowPunct/>
              <w:topLinePunct w:val="0"/>
              <w:bidi w:val="0"/>
              <w:spacing w:line="240" w:lineRule="auto"/>
              <w:ind w:left="0" w:right="0" w:firstLine="0"/>
              <w:jc w:val="center"/>
              <w:rPr>
                <w:color w:val="auto"/>
                <w:szCs w:val="21"/>
                <w:highlight w:val="none"/>
              </w:rPr>
            </w:pPr>
            <w:r>
              <w:rPr>
                <w:rFonts w:hint="eastAsia" w:ascii="宋体" w:hAnsi="宋体" w:cs="宋体"/>
                <w:color w:val="auto"/>
                <w:szCs w:val="21"/>
                <w:highlight w:val="none"/>
              </w:rPr>
              <w:t>其他要求</w:t>
            </w:r>
          </w:p>
        </w:tc>
        <w:tc>
          <w:tcPr>
            <w:tcW w:w="9084" w:type="dxa"/>
            <w:gridSpan w:val="4"/>
            <w:shd w:val="clear" w:color="auto" w:fill="FFFFFF"/>
          </w:tcPr>
          <w:p w14:paraId="432AD7DF">
            <w:pPr>
              <w:keepNext w:val="0"/>
              <w:keepLines w:val="0"/>
              <w:pageBreakBefore w:val="0"/>
              <w:kinsoku/>
              <w:wordWrap/>
              <w:overflowPunct/>
              <w:topLinePunct w:val="0"/>
              <w:bidi w:val="0"/>
              <w:spacing w:line="240" w:lineRule="auto"/>
              <w:ind w:left="0" w:right="0" w:firstLine="0"/>
              <w:jc w:val="left"/>
              <w:rPr>
                <w:rFonts w:ascii="宋体" w:hAnsi="宋体" w:cs="宋体"/>
                <w:color w:val="auto"/>
                <w:szCs w:val="21"/>
                <w:highlight w:val="none"/>
              </w:rPr>
            </w:pPr>
            <w:r>
              <w:rPr>
                <w:rFonts w:hint="eastAsia" w:ascii="宋体" w:hAnsi="宋体" w:cs="宋体"/>
                <w:color w:val="auto"/>
                <w:szCs w:val="21"/>
                <w:highlight w:val="none"/>
              </w:rPr>
              <w:t>1.本项目货物不接受进口产品（即通过中国海关报关验放进入中国境内且产自关境外的产品）参与竞标。</w:t>
            </w:r>
          </w:p>
          <w:p w14:paraId="2FAF8028">
            <w:pPr>
              <w:keepNext w:val="0"/>
              <w:keepLines w:val="0"/>
              <w:pageBreakBefore w:val="0"/>
              <w:kinsoku/>
              <w:wordWrap/>
              <w:overflowPunct/>
              <w:topLinePunct w:val="0"/>
              <w:bidi w:val="0"/>
              <w:spacing w:line="240" w:lineRule="auto"/>
              <w:ind w:left="0" w:right="0" w:firstLine="0"/>
              <w:jc w:val="left"/>
              <w:rPr>
                <w:rFonts w:hint="eastAsia" w:ascii="宋体" w:hAnsi="宋体" w:cs="宋体"/>
                <w:color w:val="auto"/>
                <w:szCs w:val="21"/>
                <w:highlight w:val="none"/>
              </w:rPr>
            </w:pPr>
            <w:r>
              <w:rPr>
                <w:rFonts w:hint="eastAsia" w:ascii="宋体" w:hAnsi="宋体" w:cs="宋体"/>
                <w:color w:val="auto"/>
                <w:szCs w:val="21"/>
                <w:highlight w:val="none"/>
              </w:rPr>
              <w:t>2.竞标人所提供的任何材料应当真实有效，如在评审过程中发现竞标人在竞标文件中提供任何虚假材料的，按竞标无效处理，采购人有权汇报监督管理部门处理；成交后，采购人发现竞标人在竞标文件中提供任何虚假材料的，采购人有权汇报监督管理部门处理，且成交供应商须依照《中华人民共和国消费者权益保护法》赔偿采购人，民事赔偿并不免除违法成交供应商的法律责任。</w:t>
            </w:r>
          </w:p>
        </w:tc>
      </w:tr>
    </w:tbl>
    <w:p w14:paraId="61B73026">
      <w:pPr>
        <w:pStyle w:val="25"/>
        <w:ind w:firstLine="210"/>
        <w:rPr>
          <w:color w:val="auto"/>
          <w:highlight w:val="none"/>
        </w:rPr>
      </w:pPr>
    </w:p>
    <w:p w14:paraId="292F087F">
      <w:pPr>
        <w:pStyle w:val="25"/>
        <w:ind w:firstLine="210"/>
        <w:rPr>
          <w:color w:val="auto"/>
          <w:highlight w:val="none"/>
        </w:rPr>
        <w:sectPr>
          <w:pgSz w:w="11906" w:h="16838"/>
          <w:pgMar w:top="1134" w:right="1134" w:bottom="1134" w:left="1134" w:header="720" w:footer="720" w:gutter="0"/>
          <w:cols w:space="720" w:num="1"/>
          <w:docGrid w:type="lines" w:linePitch="331" w:charSpace="0"/>
        </w:sectPr>
      </w:pPr>
    </w:p>
    <w:p w14:paraId="14CDAD61">
      <w:pPr>
        <w:pStyle w:val="14"/>
        <w:ind w:firstLine="480"/>
        <w:rPr>
          <w:color w:val="auto"/>
          <w:sz w:val="24"/>
          <w:szCs w:val="24"/>
          <w:highlight w:val="none"/>
        </w:rPr>
      </w:pPr>
      <w:r>
        <w:rPr>
          <w:rFonts w:hint="eastAsia"/>
          <w:color w:val="auto"/>
          <w:sz w:val="24"/>
          <w:szCs w:val="24"/>
          <w:highlight w:val="none"/>
        </w:rPr>
        <w:t>附件3：</w:t>
      </w:r>
    </w:p>
    <w:p w14:paraId="20983C69">
      <w:pPr>
        <w:spacing w:before="165" w:line="528" w:lineRule="exact"/>
        <w:ind w:firstLine="606"/>
        <w:jc w:val="center"/>
        <w:rPr>
          <w:rFonts w:ascii="宋体" w:hAnsi="宋体" w:cs="宋体"/>
          <w:b/>
          <w:bCs/>
          <w:color w:val="auto"/>
          <w:spacing w:val="12"/>
          <w:w w:val="99"/>
          <w:kern w:val="0"/>
          <w:szCs w:val="21"/>
          <w:highlight w:val="none"/>
        </w:rPr>
      </w:pPr>
      <w:r>
        <w:rPr>
          <w:rFonts w:hint="eastAsia" w:ascii="宋体" w:hAnsi="宋体" w:cs="宋体"/>
          <w:b/>
          <w:bCs/>
          <w:color w:val="auto"/>
          <w:spacing w:val="12"/>
          <w:w w:val="99"/>
          <w:kern w:val="0"/>
          <w:sz w:val="28"/>
          <w:szCs w:val="28"/>
          <w:highlight w:val="none"/>
        </w:rPr>
        <w:t>节能产品政府采购品目清单</w:t>
      </w:r>
    </w:p>
    <w:p w14:paraId="5BE7C156">
      <w:pPr>
        <w:spacing w:before="165"/>
        <w:ind w:firstLine="420"/>
        <w:rPr>
          <w:color w:val="auto"/>
          <w:highlight w:val="none"/>
        </w:rPr>
      </w:pPr>
    </w:p>
    <w:tbl>
      <w:tblPr>
        <w:tblStyle w:val="2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072"/>
        <w:gridCol w:w="2011"/>
        <w:gridCol w:w="1699"/>
        <w:gridCol w:w="3648"/>
      </w:tblGrid>
      <w:tr w14:paraId="5D32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9" w:type="dxa"/>
            <w:vAlign w:val="center"/>
          </w:tcPr>
          <w:p w14:paraId="654E9C87">
            <w:pPr>
              <w:pStyle w:val="17"/>
              <w:keepNext w:val="0"/>
              <w:keepLines w:val="0"/>
              <w:pageBreakBefore w:val="0"/>
              <w:widowControl w:val="0"/>
              <w:kinsoku/>
              <w:wordWrap/>
              <w:overflowPunct/>
              <w:topLinePunct w:val="0"/>
              <w:autoSpaceDE/>
              <w:autoSpaceDN/>
              <w:bidi w:val="0"/>
              <w:adjustRightInd/>
              <w:spacing w:line="240" w:lineRule="auto"/>
              <w:ind w:firstLine="0"/>
              <w:jc w:val="center"/>
              <w:textAlignment w:val="auto"/>
              <w:rPr>
                <w:color w:val="auto"/>
                <w:highlight w:val="none"/>
              </w:rPr>
            </w:pPr>
            <w:r>
              <w:rPr>
                <w:rFonts w:hint="eastAsia"/>
                <w:color w:val="auto"/>
                <w:highlight w:val="none"/>
              </w:rPr>
              <w:t>品目序号</w:t>
            </w:r>
          </w:p>
        </w:tc>
        <w:tc>
          <w:tcPr>
            <w:tcW w:w="4782" w:type="dxa"/>
            <w:gridSpan w:val="3"/>
            <w:vAlign w:val="center"/>
          </w:tcPr>
          <w:p w14:paraId="59147CF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名称</w:t>
            </w:r>
          </w:p>
        </w:tc>
        <w:tc>
          <w:tcPr>
            <w:tcW w:w="3648" w:type="dxa"/>
            <w:vAlign w:val="center"/>
          </w:tcPr>
          <w:p w14:paraId="55B7948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依据</w:t>
            </w:r>
          </w:p>
        </w:tc>
      </w:tr>
      <w:tr w14:paraId="38D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restart"/>
            <w:vAlign w:val="center"/>
          </w:tcPr>
          <w:p w14:paraId="421EC4F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084F9529">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w:t>
            </w:r>
          </w:p>
        </w:tc>
        <w:tc>
          <w:tcPr>
            <w:tcW w:w="1072" w:type="dxa"/>
            <w:vMerge w:val="restart"/>
            <w:vAlign w:val="center"/>
          </w:tcPr>
          <w:p w14:paraId="183D928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749A708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54FB4ED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56AB02B9">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A020101计算机设备</w:t>
            </w:r>
          </w:p>
        </w:tc>
        <w:tc>
          <w:tcPr>
            <w:tcW w:w="2011" w:type="dxa"/>
            <w:vAlign w:val="center"/>
          </w:tcPr>
          <w:p w14:paraId="3AE4901B">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★A02010104台式计算机</w:t>
            </w:r>
          </w:p>
        </w:tc>
        <w:tc>
          <w:tcPr>
            <w:tcW w:w="1699" w:type="dxa"/>
            <w:vAlign w:val="center"/>
          </w:tcPr>
          <w:p w14:paraId="0821B3B3">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10EED226">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《微型计算机能效限定值及能效等级》（GB28380）</w:t>
            </w:r>
          </w:p>
        </w:tc>
      </w:tr>
      <w:tr w14:paraId="4B2B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3C76FB2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1BD8E50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5DD29F5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★A02010105便携式计算机</w:t>
            </w:r>
          </w:p>
        </w:tc>
        <w:tc>
          <w:tcPr>
            <w:tcW w:w="1699" w:type="dxa"/>
            <w:vAlign w:val="center"/>
          </w:tcPr>
          <w:p w14:paraId="196A0DBA">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0CF49C6D">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《微型计算机能效限定值及能效等级》（GB28380）</w:t>
            </w:r>
          </w:p>
        </w:tc>
      </w:tr>
      <w:tr w14:paraId="64B8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0C4301C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6860CA9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60076B4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★A02010107平板式微型计算机</w:t>
            </w:r>
          </w:p>
        </w:tc>
        <w:tc>
          <w:tcPr>
            <w:tcW w:w="1699" w:type="dxa"/>
            <w:vAlign w:val="center"/>
          </w:tcPr>
          <w:p w14:paraId="7DB2424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55A91F8A">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《微型计算机能效限定值及能效等级》（GB28380）</w:t>
            </w:r>
          </w:p>
        </w:tc>
      </w:tr>
      <w:tr w14:paraId="5FAC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restart"/>
            <w:vAlign w:val="center"/>
          </w:tcPr>
          <w:p w14:paraId="169452C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w:t>
            </w:r>
          </w:p>
        </w:tc>
        <w:tc>
          <w:tcPr>
            <w:tcW w:w="1072" w:type="dxa"/>
            <w:vMerge w:val="restart"/>
            <w:vAlign w:val="center"/>
          </w:tcPr>
          <w:p w14:paraId="4FFBA17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A020106输入输出设备</w:t>
            </w:r>
          </w:p>
        </w:tc>
        <w:tc>
          <w:tcPr>
            <w:tcW w:w="2011" w:type="dxa"/>
            <w:vMerge w:val="restart"/>
            <w:vAlign w:val="center"/>
          </w:tcPr>
          <w:p w14:paraId="4832688D">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A02010601打印设备</w:t>
            </w:r>
          </w:p>
        </w:tc>
        <w:tc>
          <w:tcPr>
            <w:tcW w:w="1699" w:type="dxa"/>
            <w:vAlign w:val="center"/>
          </w:tcPr>
          <w:p w14:paraId="558AB829">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A0201060101喷墨打印机</w:t>
            </w:r>
          </w:p>
        </w:tc>
        <w:tc>
          <w:tcPr>
            <w:tcW w:w="3648" w:type="dxa"/>
            <w:vAlign w:val="center"/>
          </w:tcPr>
          <w:p w14:paraId="0BBE58BC">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《复印机、打印机和传真机能效限定值及能效等级》（GB21521）</w:t>
            </w:r>
          </w:p>
        </w:tc>
      </w:tr>
      <w:tr w14:paraId="4869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76E3E1C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3DDA603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4F761662">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7CCE91C3">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★A0201060102激光打印机</w:t>
            </w:r>
          </w:p>
        </w:tc>
        <w:tc>
          <w:tcPr>
            <w:tcW w:w="3648" w:type="dxa"/>
            <w:vAlign w:val="center"/>
          </w:tcPr>
          <w:p w14:paraId="71D234D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《复印机、打印机和传真机能效限定值及能效等级》（GB21521）</w:t>
            </w:r>
          </w:p>
        </w:tc>
      </w:tr>
      <w:tr w14:paraId="405E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3CDB4F0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47B8376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6B000373">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105F861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★A0201060104针式打印机</w:t>
            </w:r>
          </w:p>
        </w:tc>
        <w:tc>
          <w:tcPr>
            <w:tcW w:w="3648" w:type="dxa"/>
            <w:vAlign w:val="center"/>
          </w:tcPr>
          <w:p w14:paraId="16A5F3C4">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《复印机、打印机和传真机能效限定值及能效等级》（GB21521）</w:t>
            </w:r>
          </w:p>
        </w:tc>
      </w:tr>
      <w:tr w14:paraId="1B8D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1DCB78F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2CA03DC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1C428D8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A02010604显示设备</w:t>
            </w:r>
          </w:p>
        </w:tc>
        <w:tc>
          <w:tcPr>
            <w:tcW w:w="1699" w:type="dxa"/>
            <w:vAlign w:val="center"/>
          </w:tcPr>
          <w:p w14:paraId="79D77BA6">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★A0201060401液晶显示器</w:t>
            </w:r>
          </w:p>
        </w:tc>
        <w:tc>
          <w:tcPr>
            <w:tcW w:w="3648" w:type="dxa"/>
            <w:vAlign w:val="center"/>
          </w:tcPr>
          <w:p w14:paraId="668A3A7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《计算机显示器能效限定值及能效等级》（GB21520）</w:t>
            </w:r>
          </w:p>
        </w:tc>
      </w:tr>
      <w:tr w14:paraId="61E4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69" w:type="dxa"/>
            <w:vMerge w:val="continue"/>
            <w:vAlign w:val="center"/>
          </w:tcPr>
          <w:p w14:paraId="5B789B9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65A5334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36DBA144">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A02010609图形图像输入设备</w:t>
            </w:r>
          </w:p>
        </w:tc>
        <w:tc>
          <w:tcPr>
            <w:tcW w:w="1699" w:type="dxa"/>
            <w:vAlign w:val="center"/>
          </w:tcPr>
          <w:p w14:paraId="77118FC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A0201060901扫描仪</w:t>
            </w:r>
          </w:p>
        </w:tc>
        <w:tc>
          <w:tcPr>
            <w:tcW w:w="3648" w:type="dxa"/>
            <w:vAlign w:val="center"/>
          </w:tcPr>
          <w:p w14:paraId="26DF56B9">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参照《复印机、打印机和传真机能效限定值及能效等级》（GB21521</w:t>
            </w:r>
          </w:p>
          <w:p w14:paraId="41469B2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中打印速度为15页/分的针式打印机相关要求</w:t>
            </w:r>
          </w:p>
        </w:tc>
      </w:tr>
      <w:tr w14:paraId="289E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69" w:type="dxa"/>
            <w:vAlign w:val="center"/>
          </w:tcPr>
          <w:p w14:paraId="4064A9C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w:t>
            </w:r>
          </w:p>
        </w:tc>
        <w:tc>
          <w:tcPr>
            <w:tcW w:w="1072" w:type="dxa"/>
            <w:vAlign w:val="center"/>
          </w:tcPr>
          <w:p w14:paraId="07E5008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A020202投影仪</w:t>
            </w:r>
          </w:p>
        </w:tc>
        <w:tc>
          <w:tcPr>
            <w:tcW w:w="2011" w:type="dxa"/>
            <w:vAlign w:val="center"/>
          </w:tcPr>
          <w:p w14:paraId="5CCDA73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7CA0D88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2ADBF5F3">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《投影机能效限定值及能效等级</w:t>
            </w:r>
          </w:p>
          <w:p w14:paraId="5EBD56E2">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（GB32028）</w:t>
            </w:r>
          </w:p>
        </w:tc>
      </w:tr>
      <w:tr w14:paraId="2124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9" w:type="dxa"/>
            <w:vAlign w:val="center"/>
          </w:tcPr>
          <w:p w14:paraId="6BF4CE6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3C912D8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4</w:t>
            </w:r>
          </w:p>
        </w:tc>
        <w:tc>
          <w:tcPr>
            <w:tcW w:w="1072" w:type="dxa"/>
            <w:vAlign w:val="center"/>
          </w:tcPr>
          <w:p w14:paraId="1CE3B1C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A020204多功能一体机</w:t>
            </w:r>
          </w:p>
        </w:tc>
        <w:tc>
          <w:tcPr>
            <w:tcW w:w="2011" w:type="dxa"/>
            <w:vAlign w:val="center"/>
          </w:tcPr>
          <w:p w14:paraId="227DE130">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58D5E9A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1EB98314">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《复印机、打印机和传真机能效限定值及能效等级》（GB21521）</w:t>
            </w:r>
          </w:p>
        </w:tc>
      </w:tr>
      <w:tr w14:paraId="660E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Align w:val="center"/>
          </w:tcPr>
          <w:p w14:paraId="64030B6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5</w:t>
            </w:r>
          </w:p>
        </w:tc>
        <w:tc>
          <w:tcPr>
            <w:tcW w:w="1072" w:type="dxa"/>
            <w:vAlign w:val="center"/>
          </w:tcPr>
          <w:p w14:paraId="307C45D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A020519泵</w:t>
            </w:r>
          </w:p>
        </w:tc>
        <w:tc>
          <w:tcPr>
            <w:tcW w:w="2011" w:type="dxa"/>
            <w:vAlign w:val="center"/>
          </w:tcPr>
          <w:p w14:paraId="7B21337E">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A02051901离心泵</w:t>
            </w:r>
          </w:p>
        </w:tc>
        <w:tc>
          <w:tcPr>
            <w:tcW w:w="1699" w:type="dxa"/>
            <w:vAlign w:val="center"/>
          </w:tcPr>
          <w:p w14:paraId="68EB6A14">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3FFC0092">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《清水离心泵能效限定值及节能评价值》（GB19762）</w:t>
            </w:r>
          </w:p>
        </w:tc>
      </w:tr>
      <w:tr w14:paraId="5A8B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69" w:type="dxa"/>
            <w:vMerge w:val="restart"/>
            <w:vAlign w:val="center"/>
          </w:tcPr>
          <w:p w14:paraId="6102DDE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7BA99C7D">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0258DFE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717DF03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6</w:t>
            </w:r>
          </w:p>
        </w:tc>
        <w:tc>
          <w:tcPr>
            <w:tcW w:w="1072" w:type="dxa"/>
            <w:vMerge w:val="restart"/>
            <w:vAlign w:val="center"/>
          </w:tcPr>
          <w:p w14:paraId="11E3DC9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1E9AD3D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A020523制冷空调设备</w:t>
            </w:r>
          </w:p>
        </w:tc>
        <w:tc>
          <w:tcPr>
            <w:tcW w:w="2011" w:type="dxa"/>
            <w:vMerge w:val="restart"/>
            <w:vAlign w:val="center"/>
          </w:tcPr>
          <w:p w14:paraId="7C6007D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★A02052301制冷压缩机</w:t>
            </w:r>
          </w:p>
        </w:tc>
        <w:tc>
          <w:tcPr>
            <w:tcW w:w="1699" w:type="dxa"/>
            <w:vAlign w:val="center"/>
          </w:tcPr>
          <w:p w14:paraId="106E12F8">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冷水机组</w:t>
            </w:r>
          </w:p>
        </w:tc>
        <w:tc>
          <w:tcPr>
            <w:tcW w:w="3648" w:type="dxa"/>
            <w:vAlign w:val="center"/>
          </w:tcPr>
          <w:p w14:paraId="3A0F25BB">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《冷水机组能效限定值及能效等级》（GB19577），《低环境温度空气源热泵（冷水）机组能效限定值及能效等级》（GB37480）</w:t>
            </w:r>
          </w:p>
        </w:tc>
      </w:tr>
      <w:tr w14:paraId="47E4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07EA97A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7F0DB18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270B6E4A">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5C69FC96">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水源热泵机组</w:t>
            </w:r>
          </w:p>
        </w:tc>
        <w:tc>
          <w:tcPr>
            <w:tcW w:w="3648" w:type="dxa"/>
            <w:vAlign w:val="center"/>
          </w:tcPr>
          <w:p w14:paraId="2B389B5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《水（地）源热泵机组能效限定值及能效等级》（GB30721）</w:t>
            </w:r>
          </w:p>
        </w:tc>
      </w:tr>
      <w:tr w14:paraId="0DD4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44D8E86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1F5EC3E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7F66BD7D">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089324F0">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648" w:type="dxa"/>
            <w:vAlign w:val="center"/>
          </w:tcPr>
          <w:p w14:paraId="5544C7DB">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《溴化锂吸收式冷水机组能效限</w:t>
            </w:r>
          </w:p>
          <w:p w14:paraId="7BD99BA2">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定值及能效等级》（GB29540）</w:t>
            </w:r>
          </w:p>
        </w:tc>
      </w:tr>
      <w:tr w14:paraId="4309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9" w:type="dxa"/>
            <w:vMerge w:val="continue"/>
            <w:vAlign w:val="center"/>
          </w:tcPr>
          <w:p w14:paraId="7EBC246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30C0B1D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restart"/>
            <w:vAlign w:val="center"/>
          </w:tcPr>
          <w:p w14:paraId="2F818B06">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★A02052305空调机组</w:t>
            </w:r>
          </w:p>
        </w:tc>
        <w:tc>
          <w:tcPr>
            <w:tcW w:w="1699" w:type="dxa"/>
            <w:vAlign w:val="center"/>
          </w:tcPr>
          <w:p w14:paraId="17078526">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多联式空调（热泵）机组(制冷量&gt;14000W)</w:t>
            </w:r>
          </w:p>
        </w:tc>
        <w:tc>
          <w:tcPr>
            <w:tcW w:w="3648" w:type="dxa"/>
            <w:vAlign w:val="center"/>
          </w:tcPr>
          <w:p w14:paraId="125E2E5D">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《多联式空调（热泵）机组能效限定值及能源效率等级》（GB21454）</w:t>
            </w:r>
          </w:p>
        </w:tc>
      </w:tr>
      <w:tr w14:paraId="2B2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69" w:type="dxa"/>
            <w:vMerge w:val="continue"/>
            <w:vAlign w:val="center"/>
          </w:tcPr>
          <w:p w14:paraId="6916055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7E7F495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1F6CA8DB">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630E4033">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单元式空气调节机(制冷量&gt;14000W)</w:t>
            </w:r>
          </w:p>
        </w:tc>
        <w:tc>
          <w:tcPr>
            <w:tcW w:w="3648" w:type="dxa"/>
            <w:vAlign w:val="center"/>
          </w:tcPr>
          <w:p w14:paraId="4DDCCBAD">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《单元式空气调节机能效限定值及能效等级》（GB19576）《风管送风式空调机组能效限定值及能效等级》（GB37479）</w:t>
            </w:r>
          </w:p>
        </w:tc>
      </w:tr>
      <w:tr w14:paraId="0335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74EA552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748FCD4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042AC64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★A02052309专用制冷、空调设备</w:t>
            </w:r>
          </w:p>
        </w:tc>
        <w:tc>
          <w:tcPr>
            <w:tcW w:w="1699" w:type="dxa"/>
            <w:vAlign w:val="center"/>
          </w:tcPr>
          <w:p w14:paraId="7F331648">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机房空调</w:t>
            </w:r>
          </w:p>
        </w:tc>
        <w:tc>
          <w:tcPr>
            <w:tcW w:w="3648" w:type="dxa"/>
            <w:vAlign w:val="center"/>
          </w:tcPr>
          <w:p w14:paraId="21CB792A">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《单元式空气调节机能效限定值及能效等级》（GB19576）</w:t>
            </w:r>
          </w:p>
        </w:tc>
      </w:tr>
      <w:tr w14:paraId="3358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69" w:type="dxa"/>
            <w:vMerge w:val="continue"/>
            <w:vAlign w:val="center"/>
          </w:tcPr>
          <w:p w14:paraId="396FA8B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008AE7C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5DC7B53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A02052399其他制冷空调设备</w:t>
            </w:r>
          </w:p>
        </w:tc>
        <w:tc>
          <w:tcPr>
            <w:tcW w:w="1699" w:type="dxa"/>
            <w:vAlign w:val="center"/>
          </w:tcPr>
          <w:p w14:paraId="0B3A26E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冷却塔</w:t>
            </w:r>
          </w:p>
        </w:tc>
        <w:tc>
          <w:tcPr>
            <w:tcW w:w="3648" w:type="dxa"/>
            <w:vAlign w:val="center"/>
          </w:tcPr>
          <w:p w14:paraId="31C4155A">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5FD5CEA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《机械通风冷却塔第1部分：中小型开式冷却塔》（GB/T7190.1）《机械通风冷却塔第2部分：大型开式冷却塔》（GB/T7190.2</w:t>
            </w:r>
          </w:p>
        </w:tc>
      </w:tr>
      <w:tr w14:paraId="7091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Align w:val="center"/>
          </w:tcPr>
          <w:p w14:paraId="33C6895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228A9D8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7</w:t>
            </w:r>
          </w:p>
        </w:tc>
        <w:tc>
          <w:tcPr>
            <w:tcW w:w="1072" w:type="dxa"/>
            <w:vAlign w:val="center"/>
          </w:tcPr>
          <w:p w14:paraId="28FD417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A020601电机</w:t>
            </w:r>
          </w:p>
        </w:tc>
        <w:tc>
          <w:tcPr>
            <w:tcW w:w="2011" w:type="dxa"/>
            <w:vAlign w:val="center"/>
          </w:tcPr>
          <w:p w14:paraId="6F2E06A8">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742CF84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2E7AA1AE">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《中小型三相异步电动机能效限定值及能效等级》（GB18613）</w:t>
            </w:r>
          </w:p>
        </w:tc>
      </w:tr>
      <w:tr w14:paraId="6C81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Align w:val="center"/>
          </w:tcPr>
          <w:p w14:paraId="5A5E3B2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213D7A5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8</w:t>
            </w:r>
          </w:p>
        </w:tc>
        <w:tc>
          <w:tcPr>
            <w:tcW w:w="1072" w:type="dxa"/>
            <w:vAlign w:val="center"/>
          </w:tcPr>
          <w:p w14:paraId="0108C14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A020602变压器</w:t>
            </w:r>
          </w:p>
        </w:tc>
        <w:tc>
          <w:tcPr>
            <w:tcW w:w="2011" w:type="dxa"/>
            <w:vAlign w:val="center"/>
          </w:tcPr>
          <w:p w14:paraId="19EA610D">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配电变压器</w:t>
            </w:r>
          </w:p>
        </w:tc>
        <w:tc>
          <w:tcPr>
            <w:tcW w:w="1699" w:type="dxa"/>
            <w:vAlign w:val="center"/>
          </w:tcPr>
          <w:p w14:paraId="4DE6B299">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12CB644A">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《三相配电变压器能效限定值及能效等级》（GB20052）</w:t>
            </w:r>
          </w:p>
        </w:tc>
      </w:tr>
      <w:tr w14:paraId="0F34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Align w:val="center"/>
          </w:tcPr>
          <w:p w14:paraId="68C3D19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3954662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9</w:t>
            </w:r>
          </w:p>
        </w:tc>
        <w:tc>
          <w:tcPr>
            <w:tcW w:w="1072" w:type="dxa"/>
            <w:vAlign w:val="center"/>
          </w:tcPr>
          <w:p w14:paraId="178615F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A020609镇流器</w:t>
            </w:r>
          </w:p>
        </w:tc>
        <w:tc>
          <w:tcPr>
            <w:tcW w:w="2011" w:type="dxa"/>
            <w:vAlign w:val="center"/>
          </w:tcPr>
          <w:p w14:paraId="0E8353B8">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管型荧光灯镇流器</w:t>
            </w:r>
          </w:p>
        </w:tc>
        <w:tc>
          <w:tcPr>
            <w:tcW w:w="1699" w:type="dxa"/>
            <w:vAlign w:val="center"/>
          </w:tcPr>
          <w:p w14:paraId="256D67FD">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7FA6E180">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《管形荧光灯镇流器能效限定值及能效等级》（GB17896）</w:t>
            </w:r>
          </w:p>
        </w:tc>
      </w:tr>
      <w:tr w14:paraId="5607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restart"/>
            <w:vAlign w:val="center"/>
          </w:tcPr>
          <w:p w14:paraId="6134E58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10</w:t>
            </w:r>
          </w:p>
        </w:tc>
        <w:tc>
          <w:tcPr>
            <w:tcW w:w="1072" w:type="dxa"/>
            <w:vMerge w:val="restart"/>
            <w:vAlign w:val="center"/>
          </w:tcPr>
          <w:p w14:paraId="7D516D8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A020618生活用电器</w:t>
            </w:r>
          </w:p>
        </w:tc>
        <w:tc>
          <w:tcPr>
            <w:tcW w:w="2011" w:type="dxa"/>
            <w:vAlign w:val="center"/>
          </w:tcPr>
          <w:p w14:paraId="0D3449E9">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A0206180101电冰箱</w:t>
            </w:r>
          </w:p>
        </w:tc>
        <w:tc>
          <w:tcPr>
            <w:tcW w:w="1699" w:type="dxa"/>
            <w:vAlign w:val="center"/>
          </w:tcPr>
          <w:p w14:paraId="13FEF8A4">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4887F961">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《家用电冰箱耗电量限定值及能效等级》（GB</w:t>
            </w:r>
            <w:r>
              <w:rPr>
                <w:rFonts w:hint="eastAsia" w:ascii="宋体" w:hAnsi="宋体" w:cs="宋体"/>
                <w:color w:val="auto"/>
                <w:kern w:val="2"/>
                <w:sz w:val="21"/>
                <w:szCs w:val="21"/>
                <w:highlight w:val="none"/>
                <w:lang w:eastAsia="zh-CN"/>
              </w:rPr>
              <w:tab/>
            </w:r>
            <w:r>
              <w:rPr>
                <w:rFonts w:hint="eastAsia" w:ascii="宋体" w:hAnsi="宋体" w:cs="宋体"/>
                <w:color w:val="auto"/>
                <w:kern w:val="2"/>
                <w:sz w:val="21"/>
                <w:szCs w:val="21"/>
                <w:highlight w:val="none"/>
                <w:lang w:eastAsia="zh-CN"/>
              </w:rPr>
              <w:t>12021.2）</w:t>
            </w:r>
          </w:p>
        </w:tc>
      </w:tr>
      <w:tr w14:paraId="043E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69" w:type="dxa"/>
            <w:vMerge w:val="continue"/>
            <w:vAlign w:val="center"/>
          </w:tcPr>
          <w:p w14:paraId="218CFC9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312F97D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restart"/>
            <w:vAlign w:val="center"/>
          </w:tcPr>
          <w:p w14:paraId="7ADFE90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★A0206180203空调机</w:t>
            </w:r>
          </w:p>
        </w:tc>
        <w:tc>
          <w:tcPr>
            <w:tcW w:w="1699" w:type="dxa"/>
            <w:vAlign w:val="center"/>
          </w:tcPr>
          <w:p w14:paraId="4462623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房间空气调节器</w:t>
            </w:r>
          </w:p>
        </w:tc>
        <w:tc>
          <w:tcPr>
            <w:tcW w:w="3648" w:type="dxa"/>
            <w:vAlign w:val="center"/>
          </w:tcPr>
          <w:p w14:paraId="5F7EF75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《转速可控型房间空气调节器能效限定值及能效等级》（GB21455-2013），待2019年修订发布后，按《房间空气调节器能效限定值及能效等级》（GB21455-2019实施。</w:t>
            </w:r>
          </w:p>
        </w:tc>
      </w:tr>
      <w:tr w14:paraId="104C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9" w:type="dxa"/>
            <w:vMerge w:val="continue"/>
            <w:vAlign w:val="center"/>
          </w:tcPr>
          <w:p w14:paraId="1C5E91B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2ECD1B4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243D5D10">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0DDC9B5B">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多联式空调（热泵）机组（制冷量≤ 14000W）</w:t>
            </w:r>
          </w:p>
        </w:tc>
        <w:tc>
          <w:tcPr>
            <w:tcW w:w="3648" w:type="dxa"/>
            <w:vAlign w:val="center"/>
          </w:tcPr>
          <w:p w14:paraId="6F86B2B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《多联式空调（热泵）机组能效限定值及能源效率等级》（GB21454</w:t>
            </w:r>
          </w:p>
        </w:tc>
      </w:tr>
      <w:tr w14:paraId="7621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69" w:type="dxa"/>
            <w:vMerge w:val="continue"/>
            <w:vAlign w:val="center"/>
          </w:tcPr>
          <w:p w14:paraId="7950AD0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5A93003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70DA441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7400050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单元式空气调节机(制冷量≤14000W)</w:t>
            </w:r>
          </w:p>
        </w:tc>
        <w:tc>
          <w:tcPr>
            <w:tcW w:w="3648" w:type="dxa"/>
            <w:vAlign w:val="center"/>
          </w:tcPr>
          <w:p w14:paraId="4B95FCA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《单元式空气调节机能效限定值及能源效率等级》（GB19576）《风管送风式空调机组能效限定值及能效等级》（GB37479）</w:t>
            </w:r>
          </w:p>
        </w:tc>
      </w:tr>
      <w:tr w14:paraId="3749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4D58E76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66062CA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39A1ACC8">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A0206180301洗衣机</w:t>
            </w:r>
          </w:p>
        </w:tc>
        <w:tc>
          <w:tcPr>
            <w:tcW w:w="1699" w:type="dxa"/>
            <w:vAlign w:val="center"/>
          </w:tcPr>
          <w:p w14:paraId="7776B74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65C9F6D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《电动洗衣机能效水效限定值及等级》（GB12021.4）</w:t>
            </w:r>
          </w:p>
        </w:tc>
      </w:tr>
      <w:tr w14:paraId="777E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53F63A5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7924C21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restart"/>
            <w:vAlign w:val="center"/>
          </w:tcPr>
          <w:p w14:paraId="63650A7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16FA7BA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2D6BE3C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2BDF1AF0">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73B20BD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5CBDCA6B">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A02061808热水器</w:t>
            </w:r>
          </w:p>
        </w:tc>
        <w:tc>
          <w:tcPr>
            <w:tcW w:w="1699" w:type="dxa"/>
            <w:vAlign w:val="center"/>
          </w:tcPr>
          <w:p w14:paraId="5C664916">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7DE2AF1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★电热水器</w:t>
            </w:r>
          </w:p>
        </w:tc>
        <w:tc>
          <w:tcPr>
            <w:tcW w:w="3648" w:type="dxa"/>
            <w:vAlign w:val="center"/>
          </w:tcPr>
          <w:p w14:paraId="63AEE86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《储水式电热水器能效限定值及能效等级》（GB21519）</w:t>
            </w:r>
          </w:p>
        </w:tc>
      </w:tr>
      <w:tr w14:paraId="05D3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9" w:type="dxa"/>
            <w:vMerge w:val="continue"/>
            <w:vAlign w:val="center"/>
          </w:tcPr>
          <w:p w14:paraId="065B95F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27360E2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73FF48E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7E092B69">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燃气热水器</w:t>
            </w:r>
          </w:p>
        </w:tc>
        <w:tc>
          <w:tcPr>
            <w:tcW w:w="3648" w:type="dxa"/>
            <w:vAlign w:val="center"/>
          </w:tcPr>
          <w:p w14:paraId="4248DC0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《家用燃气快速热水器和燃气采暖热水炉能效限定值及能效等级（GB20665）</w:t>
            </w:r>
          </w:p>
        </w:tc>
      </w:tr>
      <w:tr w14:paraId="4906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9" w:type="dxa"/>
            <w:vMerge w:val="continue"/>
            <w:vAlign w:val="center"/>
          </w:tcPr>
          <w:p w14:paraId="6DCCC09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34CD24B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3D3E23E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3E051DF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热泵热水器</w:t>
            </w:r>
          </w:p>
        </w:tc>
        <w:tc>
          <w:tcPr>
            <w:tcW w:w="3648" w:type="dxa"/>
            <w:vAlign w:val="center"/>
          </w:tcPr>
          <w:p w14:paraId="73DCF610">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《热泵热水机（器）能效限定值及能效等级》（GB29541）</w:t>
            </w:r>
          </w:p>
        </w:tc>
      </w:tr>
      <w:tr w14:paraId="49D8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2A329A6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0B66A20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Merge w:val="continue"/>
            <w:vAlign w:val="center"/>
          </w:tcPr>
          <w:p w14:paraId="586F3A1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647317B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太阳能热水系统</w:t>
            </w:r>
          </w:p>
        </w:tc>
        <w:tc>
          <w:tcPr>
            <w:tcW w:w="3648" w:type="dxa"/>
            <w:vAlign w:val="center"/>
          </w:tcPr>
          <w:p w14:paraId="4BD906C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《家用太阳能热水系统能效限定值及能效等级》（GB26969）</w:t>
            </w:r>
          </w:p>
        </w:tc>
      </w:tr>
      <w:tr w14:paraId="758C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restart"/>
            <w:vAlign w:val="center"/>
          </w:tcPr>
          <w:p w14:paraId="560AE94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11</w:t>
            </w:r>
          </w:p>
        </w:tc>
        <w:tc>
          <w:tcPr>
            <w:tcW w:w="1072" w:type="dxa"/>
            <w:vMerge w:val="restart"/>
            <w:vAlign w:val="center"/>
          </w:tcPr>
          <w:p w14:paraId="26207654">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A020619照明设备</w:t>
            </w:r>
          </w:p>
        </w:tc>
        <w:tc>
          <w:tcPr>
            <w:tcW w:w="2011" w:type="dxa"/>
            <w:vAlign w:val="center"/>
          </w:tcPr>
          <w:p w14:paraId="36A8DF83">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★普通照明用双端荧光灯</w:t>
            </w:r>
          </w:p>
        </w:tc>
        <w:tc>
          <w:tcPr>
            <w:tcW w:w="1699" w:type="dxa"/>
            <w:vAlign w:val="center"/>
          </w:tcPr>
          <w:p w14:paraId="2429788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7B829672">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《普通照明用双端荧光灯能效限定值及能效等级》（GB19043）</w:t>
            </w:r>
          </w:p>
        </w:tc>
      </w:tr>
      <w:tr w14:paraId="7AD9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573F04F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4F1423F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4F09BB3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LED道路/隧道照明产品</w:t>
            </w:r>
          </w:p>
        </w:tc>
        <w:tc>
          <w:tcPr>
            <w:tcW w:w="1699" w:type="dxa"/>
            <w:vAlign w:val="center"/>
          </w:tcPr>
          <w:p w14:paraId="0D42D789">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55CDFF4C">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《道路和隧道照明用LED灯具能效限定值及能效等级》（GB37478</w:t>
            </w:r>
          </w:p>
        </w:tc>
      </w:tr>
      <w:tr w14:paraId="44BC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3776396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4147049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5E6D723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1648B374">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LED筒灯</w:t>
            </w:r>
          </w:p>
        </w:tc>
        <w:tc>
          <w:tcPr>
            <w:tcW w:w="1699" w:type="dxa"/>
            <w:vAlign w:val="center"/>
          </w:tcPr>
          <w:p w14:paraId="33159E6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37CDB523">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《室内照明用LED产品能效限定值及能效等级》（GB30255）</w:t>
            </w:r>
          </w:p>
        </w:tc>
      </w:tr>
      <w:tr w14:paraId="1931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7611445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33363D6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2D8FF7F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普通照明用非定向自镇流LED灯</w:t>
            </w:r>
          </w:p>
        </w:tc>
        <w:tc>
          <w:tcPr>
            <w:tcW w:w="1699" w:type="dxa"/>
            <w:vAlign w:val="center"/>
          </w:tcPr>
          <w:p w14:paraId="11232EE4">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3A235E9D">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《室内照明用LED产品能效限定值及能效等级》（GB30255）</w:t>
            </w:r>
          </w:p>
        </w:tc>
      </w:tr>
      <w:tr w14:paraId="7A73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9" w:type="dxa"/>
            <w:vAlign w:val="center"/>
          </w:tcPr>
          <w:p w14:paraId="0561234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4CE43C03">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12</w:t>
            </w:r>
          </w:p>
        </w:tc>
        <w:tc>
          <w:tcPr>
            <w:tcW w:w="1072" w:type="dxa"/>
            <w:vAlign w:val="center"/>
          </w:tcPr>
          <w:p w14:paraId="6129C76D">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★A020910电视设备</w:t>
            </w:r>
          </w:p>
        </w:tc>
        <w:tc>
          <w:tcPr>
            <w:tcW w:w="2011" w:type="dxa"/>
            <w:vAlign w:val="center"/>
          </w:tcPr>
          <w:p w14:paraId="5594DD82">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A02091001普通电视设备（电视机）</w:t>
            </w:r>
          </w:p>
        </w:tc>
        <w:tc>
          <w:tcPr>
            <w:tcW w:w="1699" w:type="dxa"/>
            <w:vAlign w:val="center"/>
          </w:tcPr>
          <w:p w14:paraId="0463D388">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3883D7E4">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《平板电视能效限定值及能效等级》（GB24850）</w:t>
            </w:r>
          </w:p>
        </w:tc>
      </w:tr>
      <w:tr w14:paraId="127A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969" w:type="dxa"/>
            <w:vAlign w:val="center"/>
          </w:tcPr>
          <w:p w14:paraId="02D5B28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13</w:t>
            </w:r>
          </w:p>
        </w:tc>
        <w:tc>
          <w:tcPr>
            <w:tcW w:w="1072" w:type="dxa"/>
            <w:vAlign w:val="center"/>
          </w:tcPr>
          <w:p w14:paraId="5249C1D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★A020911视频设备</w:t>
            </w:r>
          </w:p>
        </w:tc>
        <w:tc>
          <w:tcPr>
            <w:tcW w:w="2011" w:type="dxa"/>
            <w:vAlign w:val="center"/>
          </w:tcPr>
          <w:p w14:paraId="5D6EC23C">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A02091107视频监控设备</w:t>
            </w:r>
          </w:p>
        </w:tc>
        <w:tc>
          <w:tcPr>
            <w:tcW w:w="1699" w:type="dxa"/>
            <w:vAlign w:val="center"/>
          </w:tcPr>
          <w:p w14:paraId="0F8B17BA">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监视器</w:t>
            </w:r>
          </w:p>
        </w:tc>
        <w:tc>
          <w:tcPr>
            <w:tcW w:w="3648" w:type="dxa"/>
            <w:vAlign w:val="center"/>
          </w:tcPr>
          <w:p w14:paraId="0B752308">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2531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9" w:type="dxa"/>
            <w:vAlign w:val="center"/>
          </w:tcPr>
          <w:p w14:paraId="1EA9985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3D078FF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14</w:t>
            </w:r>
          </w:p>
        </w:tc>
        <w:tc>
          <w:tcPr>
            <w:tcW w:w="1072" w:type="dxa"/>
            <w:vAlign w:val="center"/>
          </w:tcPr>
          <w:p w14:paraId="0047F49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A031210饮食炊事机械</w:t>
            </w:r>
          </w:p>
        </w:tc>
        <w:tc>
          <w:tcPr>
            <w:tcW w:w="2011" w:type="dxa"/>
            <w:vAlign w:val="center"/>
          </w:tcPr>
          <w:p w14:paraId="5BA34BB2">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w:t>
            </w:r>
          </w:p>
        </w:tc>
        <w:tc>
          <w:tcPr>
            <w:tcW w:w="1699" w:type="dxa"/>
            <w:vAlign w:val="center"/>
          </w:tcPr>
          <w:p w14:paraId="18AC1C23">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4D9322F2">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30A7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restart"/>
            <w:vAlign w:val="center"/>
          </w:tcPr>
          <w:p w14:paraId="1ECE2AD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15</w:t>
            </w:r>
          </w:p>
          <w:p w14:paraId="2D5BA4F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restart"/>
            <w:vAlign w:val="center"/>
          </w:tcPr>
          <w:p w14:paraId="10708BB9">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★A060805便器</w:t>
            </w:r>
          </w:p>
          <w:p w14:paraId="78E01C5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3C960F63">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p>
          <w:p w14:paraId="447FB15A">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w:t>
            </w:r>
          </w:p>
        </w:tc>
        <w:tc>
          <w:tcPr>
            <w:tcW w:w="1699" w:type="dxa"/>
            <w:vAlign w:val="center"/>
          </w:tcPr>
          <w:p w14:paraId="03FF49AA">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29A18854">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05AAFE6B">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F5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5B35C09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572C9B0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0DB5C958">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12635F0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蹲便器</w:t>
            </w:r>
          </w:p>
        </w:tc>
        <w:tc>
          <w:tcPr>
            <w:tcW w:w="1699" w:type="dxa"/>
            <w:vAlign w:val="center"/>
          </w:tcPr>
          <w:p w14:paraId="1E9E7D9B">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471AB32E">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《蹲便器用水效率限定值及用水效率等级》（GB30717）</w:t>
            </w:r>
          </w:p>
        </w:tc>
      </w:tr>
      <w:tr w14:paraId="46A9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vMerge w:val="continue"/>
            <w:vAlign w:val="center"/>
          </w:tcPr>
          <w:p w14:paraId="32A3966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1072" w:type="dxa"/>
            <w:vMerge w:val="continue"/>
            <w:vAlign w:val="center"/>
          </w:tcPr>
          <w:p w14:paraId="1347449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szCs w:val="21"/>
                <w:highlight w:val="none"/>
              </w:rPr>
            </w:pPr>
          </w:p>
        </w:tc>
        <w:tc>
          <w:tcPr>
            <w:tcW w:w="2011" w:type="dxa"/>
            <w:vAlign w:val="center"/>
          </w:tcPr>
          <w:p w14:paraId="38F3AB16">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p w14:paraId="64D74B32">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小便器</w:t>
            </w:r>
          </w:p>
        </w:tc>
        <w:tc>
          <w:tcPr>
            <w:tcW w:w="1699" w:type="dxa"/>
            <w:vAlign w:val="center"/>
          </w:tcPr>
          <w:p w14:paraId="6CE94D2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3BA69465">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r>
              <w:rPr>
                <w:rFonts w:hint="eastAsia" w:ascii="宋体" w:hAnsi="宋体" w:cs="宋体"/>
                <w:color w:val="auto"/>
                <w:szCs w:val="21"/>
                <w:highlight w:val="none"/>
              </w:rPr>
              <w:t>《小便器用水效率限定值及用水效率等级》（GB28377）</w:t>
            </w:r>
          </w:p>
        </w:tc>
      </w:tr>
      <w:tr w14:paraId="2B26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9" w:type="dxa"/>
            <w:vAlign w:val="center"/>
          </w:tcPr>
          <w:p w14:paraId="24109B9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16</w:t>
            </w:r>
          </w:p>
        </w:tc>
        <w:tc>
          <w:tcPr>
            <w:tcW w:w="1072" w:type="dxa"/>
            <w:vAlign w:val="center"/>
          </w:tcPr>
          <w:p w14:paraId="7B06F023">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★A060806水嘴</w:t>
            </w:r>
          </w:p>
        </w:tc>
        <w:tc>
          <w:tcPr>
            <w:tcW w:w="2011" w:type="dxa"/>
            <w:vAlign w:val="center"/>
          </w:tcPr>
          <w:p w14:paraId="4F37393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7B27028F">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511FFF3D">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《水嘴用水效率限定值及用水效率等级》（GB 25501）</w:t>
            </w:r>
          </w:p>
        </w:tc>
      </w:tr>
      <w:tr w14:paraId="1E4F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69" w:type="dxa"/>
            <w:vAlign w:val="center"/>
          </w:tcPr>
          <w:p w14:paraId="564B265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0F151494">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17</w:t>
            </w:r>
          </w:p>
        </w:tc>
        <w:tc>
          <w:tcPr>
            <w:tcW w:w="1072" w:type="dxa"/>
            <w:vAlign w:val="center"/>
          </w:tcPr>
          <w:p w14:paraId="1C01B52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A060807便器冲洗阀</w:t>
            </w:r>
          </w:p>
        </w:tc>
        <w:tc>
          <w:tcPr>
            <w:tcW w:w="2011" w:type="dxa"/>
            <w:vAlign w:val="center"/>
          </w:tcPr>
          <w:p w14:paraId="49492521">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386FEBB9">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518D3EB2">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《便器冲洗阀用水效率限定值及用水效率等级》（GB28379）</w:t>
            </w:r>
          </w:p>
        </w:tc>
      </w:tr>
      <w:tr w14:paraId="2C3F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9" w:type="dxa"/>
            <w:vAlign w:val="center"/>
          </w:tcPr>
          <w:p w14:paraId="3A68AA19">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p>
          <w:p w14:paraId="62B6DD2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18</w:t>
            </w:r>
          </w:p>
        </w:tc>
        <w:tc>
          <w:tcPr>
            <w:tcW w:w="1072" w:type="dxa"/>
            <w:vAlign w:val="center"/>
          </w:tcPr>
          <w:p w14:paraId="0614F04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A060810淋浴器</w:t>
            </w:r>
          </w:p>
        </w:tc>
        <w:tc>
          <w:tcPr>
            <w:tcW w:w="2011" w:type="dxa"/>
            <w:vAlign w:val="center"/>
          </w:tcPr>
          <w:p w14:paraId="33B1F9F7">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1699" w:type="dxa"/>
            <w:vAlign w:val="center"/>
          </w:tcPr>
          <w:p w14:paraId="6BCFFC3A">
            <w:pPr>
              <w:keepNext w:val="0"/>
              <w:keepLines w:val="0"/>
              <w:pageBreakBefore w:val="0"/>
              <w:widowControl w:val="0"/>
              <w:kinsoku/>
              <w:wordWrap/>
              <w:overflowPunct/>
              <w:topLinePunct w:val="0"/>
              <w:autoSpaceDE/>
              <w:autoSpaceDN/>
              <w:bidi w:val="0"/>
              <w:adjustRightInd/>
              <w:spacing w:line="240" w:lineRule="auto"/>
              <w:ind w:firstLine="0"/>
              <w:textAlignment w:val="auto"/>
              <w:rPr>
                <w:rFonts w:ascii="宋体" w:hAnsi="宋体" w:cs="宋体"/>
                <w:color w:val="auto"/>
                <w:szCs w:val="21"/>
                <w:highlight w:val="none"/>
              </w:rPr>
            </w:pPr>
          </w:p>
        </w:tc>
        <w:tc>
          <w:tcPr>
            <w:tcW w:w="3648" w:type="dxa"/>
            <w:vAlign w:val="center"/>
          </w:tcPr>
          <w:p w14:paraId="15BA2E1E">
            <w:pPr>
              <w:pStyle w:val="55"/>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《淋浴器用水效率限定值及用水效率等级》（GB28378）</w:t>
            </w:r>
          </w:p>
        </w:tc>
      </w:tr>
    </w:tbl>
    <w:p w14:paraId="3C80CE93">
      <w:pPr>
        <w:pStyle w:val="11"/>
        <w:keepNext w:val="0"/>
        <w:keepLines w:val="0"/>
        <w:pageBreakBefore w:val="0"/>
        <w:kinsoku/>
        <w:wordWrap/>
        <w:overflowPunct/>
        <w:topLinePunct w:val="0"/>
        <w:autoSpaceDE/>
        <w:autoSpaceDN/>
        <w:bidi w:val="0"/>
        <w:adjustRightInd/>
        <w:snapToGrid/>
        <w:spacing w:after="0"/>
        <w:ind w:firstLine="0"/>
        <w:textAlignment w:val="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4B958DF2">
      <w:pPr>
        <w:pStyle w:val="11"/>
        <w:keepNext w:val="0"/>
        <w:keepLines w:val="0"/>
        <w:pageBreakBefore w:val="0"/>
        <w:kinsoku/>
        <w:wordWrap/>
        <w:overflowPunct/>
        <w:topLinePunct w:val="0"/>
        <w:autoSpaceDE/>
        <w:autoSpaceDN/>
        <w:bidi w:val="0"/>
        <w:adjustRightInd/>
        <w:snapToGrid/>
        <w:spacing w:after="0"/>
        <w:ind w:firstLine="0"/>
        <w:textAlignment w:val="auto"/>
        <w:rPr>
          <w:rFonts w:ascii="宋体" w:hAnsi="宋体" w:cs="宋体"/>
          <w:color w:val="auto"/>
          <w:szCs w:val="21"/>
          <w:highlight w:val="none"/>
        </w:rPr>
      </w:pPr>
      <w:r>
        <w:rPr>
          <w:rFonts w:hint="eastAsia" w:ascii="宋体" w:hAnsi="宋体" w:cs="宋体"/>
          <w:color w:val="auto"/>
          <w:szCs w:val="21"/>
          <w:highlight w:val="none"/>
        </w:rPr>
        <w:t xml:space="preserve">    2.上述产品中认证标准发生变更的，依据原认证标准获得的、仍在有效期内的认证证书可使用至2019年6月1日。</w:t>
      </w:r>
    </w:p>
    <w:p w14:paraId="56CC52E0">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    3.以“★”标注的为政府强制采购产品。</w:t>
      </w:r>
    </w:p>
    <w:p w14:paraId="15BBC76A">
      <w:pPr>
        <w:pStyle w:val="14"/>
        <w:ind w:firstLine="1040"/>
        <w:rPr>
          <w:color w:val="auto"/>
          <w:highlight w:val="none"/>
        </w:rPr>
        <w:sectPr>
          <w:pgSz w:w="11906" w:h="16838"/>
          <w:pgMar w:top="1134" w:right="1134" w:bottom="1134" w:left="1134" w:header="720" w:footer="720" w:gutter="0"/>
          <w:cols w:space="720" w:num="1"/>
          <w:docGrid w:type="lines" w:linePitch="331" w:charSpace="0"/>
        </w:sectPr>
      </w:pPr>
    </w:p>
    <w:p w14:paraId="578CCD70">
      <w:pPr>
        <w:pStyle w:val="14"/>
        <w:ind w:firstLine="560"/>
        <w:rPr>
          <w:color w:val="auto"/>
          <w:sz w:val="28"/>
          <w:szCs w:val="28"/>
          <w:highlight w:val="none"/>
        </w:rPr>
      </w:pPr>
      <w:r>
        <w:rPr>
          <w:rFonts w:hint="eastAsia"/>
          <w:color w:val="auto"/>
          <w:sz w:val="28"/>
          <w:szCs w:val="28"/>
          <w:highlight w:val="none"/>
        </w:rPr>
        <w:t>附件4：</w:t>
      </w:r>
    </w:p>
    <w:p w14:paraId="3E8D838E">
      <w:pPr>
        <w:pStyle w:val="14"/>
        <w:ind w:firstLine="560"/>
        <w:jc w:val="center"/>
        <w:rPr>
          <w:color w:val="auto"/>
          <w:sz w:val="28"/>
          <w:szCs w:val="28"/>
          <w:highlight w:val="none"/>
        </w:rPr>
      </w:pPr>
      <w:bookmarkStart w:id="71" w:name="OLE_LINK38"/>
      <w:r>
        <w:rPr>
          <w:rFonts w:hint="eastAsia"/>
          <w:color w:val="auto"/>
          <w:sz w:val="28"/>
          <w:szCs w:val="28"/>
          <w:highlight w:val="none"/>
        </w:rPr>
        <w:t>中小微企业划型标准</w:t>
      </w:r>
    </w:p>
    <w:tbl>
      <w:tblPr>
        <w:tblStyle w:val="26"/>
        <w:tblW w:w="9118" w:type="dxa"/>
        <w:jc w:val="center"/>
        <w:tblLayout w:type="fixed"/>
        <w:tblCellMar>
          <w:top w:w="0" w:type="dxa"/>
          <w:left w:w="108" w:type="dxa"/>
          <w:bottom w:w="0" w:type="dxa"/>
          <w:right w:w="108" w:type="dxa"/>
        </w:tblCellMar>
      </w:tblPr>
      <w:tblGrid>
        <w:gridCol w:w="1944"/>
        <w:gridCol w:w="1580"/>
        <w:gridCol w:w="1043"/>
        <w:gridCol w:w="1850"/>
        <w:gridCol w:w="1644"/>
        <w:gridCol w:w="1057"/>
      </w:tblGrid>
      <w:tr w14:paraId="2FCC7F12">
        <w:tblPrEx>
          <w:tblCellMar>
            <w:top w:w="0" w:type="dxa"/>
            <w:left w:w="108" w:type="dxa"/>
            <w:bottom w:w="0" w:type="dxa"/>
            <w:right w:w="108" w:type="dxa"/>
          </w:tblCellMar>
        </w:tblPrEx>
        <w:trPr>
          <w:trHeight w:val="674" w:hRule="atLeast"/>
          <w:jc w:val="center"/>
        </w:trPr>
        <w:tc>
          <w:tcPr>
            <w:tcW w:w="1944" w:type="dxa"/>
            <w:tcBorders>
              <w:top w:val="single" w:color="auto" w:sz="4" w:space="0"/>
              <w:left w:val="single" w:color="auto" w:sz="4" w:space="0"/>
              <w:bottom w:val="single" w:color="auto" w:sz="4" w:space="0"/>
              <w:right w:val="single" w:color="auto" w:sz="4" w:space="0"/>
            </w:tcBorders>
            <w:vAlign w:val="center"/>
          </w:tcPr>
          <w:p w14:paraId="5F3CC7E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580" w:type="dxa"/>
            <w:tcBorders>
              <w:top w:val="single" w:color="auto" w:sz="4" w:space="0"/>
              <w:left w:val="nil"/>
              <w:bottom w:val="single" w:color="auto" w:sz="4" w:space="0"/>
              <w:right w:val="single" w:color="auto" w:sz="4" w:space="0"/>
            </w:tcBorders>
            <w:vAlign w:val="center"/>
          </w:tcPr>
          <w:p w14:paraId="5189F25C">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43" w:type="dxa"/>
            <w:tcBorders>
              <w:top w:val="single" w:color="auto" w:sz="4" w:space="0"/>
              <w:left w:val="nil"/>
              <w:bottom w:val="single" w:color="auto" w:sz="4" w:space="0"/>
              <w:right w:val="single" w:color="auto" w:sz="4" w:space="0"/>
            </w:tcBorders>
            <w:vAlign w:val="center"/>
          </w:tcPr>
          <w:p w14:paraId="68236FDD">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50" w:type="dxa"/>
            <w:tcBorders>
              <w:top w:val="single" w:color="auto" w:sz="4" w:space="0"/>
              <w:left w:val="nil"/>
              <w:bottom w:val="single" w:color="auto" w:sz="4" w:space="0"/>
              <w:right w:val="single" w:color="auto" w:sz="4" w:space="0"/>
            </w:tcBorders>
            <w:vAlign w:val="center"/>
          </w:tcPr>
          <w:p w14:paraId="77F3E8A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44" w:type="dxa"/>
            <w:tcBorders>
              <w:top w:val="single" w:color="auto" w:sz="4" w:space="0"/>
              <w:left w:val="nil"/>
              <w:bottom w:val="single" w:color="auto" w:sz="4" w:space="0"/>
              <w:right w:val="single" w:color="auto" w:sz="4" w:space="0"/>
            </w:tcBorders>
            <w:vAlign w:val="center"/>
          </w:tcPr>
          <w:p w14:paraId="43EAD84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57" w:type="dxa"/>
            <w:tcBorders>
              <w:top w:val="single" w:color="auto" w:sz="4" w:space="0"/>
              <w:left w:val="nil"/>
              <w:bottom w:val="single" w:color="auto" w:sz="4" w:space="0"/>
              <w:right w:val="single" w:color="auto" w:sz="4" w:space="0"/>
            </w:tcBorders>
            <w:vAlign w:val="center"/>
          </w:tcPr>
          <w:p w14:paraId="544DD4C5">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DFD3A07">
        <w:tblPrEx>
          <w:tblCellMar>
            <w:top w:w="0" w:type="dxa"/>
            <w:left w:w="108" w:type="dxa"/>
            <w:bottom w:w="0" w:type="dxa"/>
            <w:right w:w="108" w:type="dxa"/>
          </w:tblCellMar>
        </w:tblPrEx>
        <w:trPr>
          <w:trHeight w:val="342" w:hRule="atLeast"/>
          <w:jc w:val="center"/>
        </w:trPr>
        <w:tc>
          <w:tcPr>
            <w:tcW w:w="1944" w:type="dxa"/>
            <w:tcBorders>
              <w:top w:val="nil"/>
              <w:left w:val="single" w:color="auto" w:sz="4" w:space="0"/>
              <w:bottom w:val="single" w:color="auto" w:sz="4" w:space="0"/>
              <w:right w:val="single" w:color="auto" w:sz="4" w:space="0"/>
            </w:tcBorders>
            <w:vAlign w:val="center"/>
          </w:tcPr>
          <w:p w14:paraId="5E1579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80" w:type="dxa"/>
            <w:tcBorders>
              <w:top w:val="nil"/>
              <w:left w:val="nil"/>
              <w:bottom w:val="single" w:color="auto" w:sz="4" w:space="0"/>
              <w:right w:val="single" w:color="auto" w:sz="4" w:space="0"/>
            </w:tcBorders>
            <w:vAlign w:val="center"/>
          </w:tcPr>
          <w:p w14:paraId="45716B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0613A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21A04C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vAlign w:val="center"/>
          </w:tcPr>
          <w:p w14:paraId="0B25F9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57" w:type="dxa"/>
            <w:tcBorders>
              <w:top w:val="nil"/>
              <w:left w:val="nil"/>
              <w:bottom w:val="single" w:color="auto" w:sz="4" w:space="0"/>
              <w:right w:val="single" w:color="auto" w:sz="4" w:space="0"/>
            </w:tcBorders>
            <w:vAlign w:val="center"/>
          </w:tcPr>
          <w:p w14:paraId="6BC2AD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027797F">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29C25F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80" w:type="dxa"/>
            <w:tcBorders>
              <w:top w:val="nil"/>
              <w:left w:val="nil"/>
              <w:bottom w:val="single" w:color="auto" w:sz="4" w:space="0"/>
              <w:right w:val="single" w:color="auto" w:sz="4" w:space="0"/>
            </w:tcBorders>
            <w:vAlign w:val="center"/>
          </w:tcPr>
          <w:p w14:paraId="2B880D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3A9256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6EB8BC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29DED3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575F90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F123B3D">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7EE0B46">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056F94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36F9B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E6A8E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44" w:type="dxa"/>
            <w:tcBorders>
              <w:top w:val="nil"/>
              <w:left w:val="nil"/>
              <w:bottom w:val="single" w:color="auto" w:sz="4" w:space="0"/>
              <w:right w:val="single" w:color="auto" w:sz="4" w:space="0"/>
            </w:tcBorders>
            <w:vAlign w:val="center"/>
          </w:tcPr>
          <w:p w14:paraId="195156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57" w:type="dxa"/>
            <w:tcBorders>
              <w:top w:val="nil"/>
              <w:left w:val="nil"/>
              <w:bottom w:val="single" w:color="auto" w:sz="4" w:space="0"/>
              <w:right w:val="single" w:color="auto" w:sz="4" w:space="0"/>
            </w:tcBorders>
            <w:vAlign w:val="center"/>
          </w:tcPr>
          <w:p w14:paraId="634D29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CE23FD4">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5744B9B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80" w:type="dxa"/>
            <w:tcBorders>
              <w:top w:val="nil"/>
              <w:left w:val="nil"/>
              <w:bottom w:val="single" w:color="auto" w:sz="4" w:space="0"/>
              <w:right w:val="single" w:color="auto" w:sz="4" w:space="0"/>
            </w:tcBorders>
            <w:vAlign w:val="center"/>
          </w:tcPr>
          <w:p w14:paraId="429D01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0374BC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1B711A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44" w:type="dxa"/>
            <w:tcBorders>
              <w:top w:val="nil"/>
              <w:left w:val="nil"/>
              <w:bottom w:val="single" w:color="auto" w:sz="4" w:space="0"/>
              <w:right w:val="single" w:color="auto" w:sz="4" w:space="0"/>
            </w:tcBorders>
            <w:vAlign w:val="center"/>
          </w:tcPr>
          <w:p w14:paraId="0AD4BE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57" w:type="dxa"/>
            <w:tcBorders>
              <w:top w:val="nil"/>
              <w:left w:val="nil"/>
              <w:bottom w:val="single" w:color="auto" w:sz="4" w:space="0"/>
              <w:right w:val="single" w:color="auto" w:sz="4" w:space="0"/>
            </w:tcBorders>
            <w:vAlign w:val="center"/>
          </w:tcPr>
          <w:p w14:paraId="5F632A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27250F3">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7091E9DC">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2E776A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63A895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5EDDE4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44" w:type="dxa"/>
            <w:tcBorders>
              <w:top w:val="nil"/>
              <w:left w:val="nil"/>
              <w:bottom w:val="single" w:color="auto" w:sz="4" w:space="0"/>
              <w:right w:val="single" w:color="auto" w:sz="4" w:space="0"/>
            </w:tcBorders>
            <w:vAlign w:val="center"/>
          </w:tcPr>
          <w:p w14:paraId="490306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57" w:type="dxa"/>
            <w:tcBorders>
              <w:top w:val="nil"/>
              <w:left w:val="nil"/>
              <w:bottom w:val="single" w:color="auto" w:sz="4" w:space="0"/>
              <w:right w:val="single" w:color="auto" w:sz="4" w:space="0"/>
            </w:tcBorders>
            <w:vAlign w:val="center"/>
          </w:tcPr>
          <w:p w14:paraId="5B9A7A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BD21F09">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25FFA1E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80" w:type="dxa"/>
            <w:tcBorders>
              <w:top w:val="nil"/>
              <w:left w:val="nil"/>
              <w:bottom w:val="single" w:color="auto" w:sz="4" w:space="0"/>
              <w:right w:val="single" w:color="auto" w:sz="4" w:space="0"/>
            </w:tcBorders>
            <w:vAlign w:val="center"/>
          </w:tcPr>
          <w:p w14:paraId="283077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3933F0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498F90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44" w:type="dxa"/>
            <w:tcBorders>
              <w:top w:val="nil"/>
              <w:left w:val="nil"/>
              <w:bottom w:val="single" w:color="auto" w:sz="4" w:space="0"/>
              <w:right w:val="single" w:color="auto" w:sz="4" w:space="0"/>
            </w:tcBorders>
            <w:vAlign w:val="center"/>
          </w:tcPr>
          <w:p w14:paraId="6D55BF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57" w:type="dxa"/>
            <w:tcBorders>
              <w:top w:val="nil"/>
              <w:left w:val="nil"/>
              <w:bottom w:val="single" w:color="auto" w:sz="4" w:space="0"/>
              <w:right w:val="single" w:color="auto" w:sz="4" w:space="0"/>
            </w:tcBorders>
            <w:vAlign w:val="center"/>
          </w:tcPr>
          <w:p w14:paraId="002F65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9745EE3">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677B6FD9">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55FD2D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05A57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538FA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44" w:type="dxa"/>
            <w:tcBorders>
              <w:top w:val="nil"/>
              <w:left w:val="nil"/>
              <w:bottom w:val="single" w:color="auto" w:sz="4" w:space="0"/>
              <w:right w:val="single" w:color="auto" w:sz="4" w:space="0"/>
            </w:tcBorders>
            <w:vAlign w:val="center"/>
          </w:tcPr>
          <w:p w14:paraId="291108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57" w:type="dxa"/>
            <w:tcBorders>
              <w:top w:val="nil"/>
              <w:left w:val="nil"/>
              <w:bottom w:val="single" w:color="auto" w:sz="4" w:space="0"/>
              <w:right w:val="single" w:color="auto" w:sz="4" w:space="0"/>
            </w:tcBorders>
            <w:vAlign w:val="center"/>
          </w:tcPr>
          <w:p w14:paraId="45C027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CCAAB55">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3A4D23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80" w:type="dxa"/>
            <w:tcBorders>
              <w:top w:val="nil"/>
              <w:left w:val="nil"/>
              <w:bottom w:val="single" w:color="auto" w:sz="4" w:space="0"/>
              <w:right w:val="single" w:color="auto" w:sz="4" w:space="0"/>
            </w:tcBorders>
            <w:vAlign w:val="center"/>
          </w:tcPr>
          <w:p w14:paraId="01E675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62C761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55464C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44" w:type="dxa"/>
            <w:tcBorders>
              <w:top w:val="nil"/>
              <w:left w:val="nil"/>
              <w:bottom w:val="single" w:color="auto" w:sz="4" w:space="0"/>
              <w:right w:val="single" w:color="auto" w:sz="4" w:space="0"/>
            </w:tcBorders>
            <w:vAlign w:val="center"/>
          </w:tcPr>
          <w:p w14:paraId="18E8DC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57" w:type="dxa"/>
            <w:tcBorders>
              <w:top w:val="nil"/>
              <w:left w:val="nil"/>
              <w:bottom w:val="single" w:color="auto" w:sz="4" w:space="0"/>
              <w:right w:val="single" w:color="auto" w:sz="4" w:space="0"/>
            </w:tcBorders>
            <w:vAlign w:val="center"/>
          </w:tcPr>
          <w:p w14:paraId="7C6F6C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6A4A0C">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64A1E479">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17C5DD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C5BFE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A89FB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vAlign w:val="center"/>
          </w:tcPr>
          <w:p w14:paraId="6A5950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57" w:type="dxa"/>
            <w:tcBorders>
              <w:top w:val="nil"/>
              <w:left w:val="nil"/>
              <w:bottom w:val="single" w:color="auto" w:sz="4" w:space="0"/>
              <w:right w:val="single" w:color="auto" w:sz="4" w:space="0"/>
            </w:tcBorders>
            <w:vAlign w:val="center"/>
          </w:tcPr>
          <w:p w14:paraId="0B8D1D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AB58A3">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75E0221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80" w:type="dxa"/>
            <w:tcBorders>
              <w:top w:val="nil"/>
              <w:left w:val="nil"/>
              <w:bottom w:val="single" w:color="auto" w:sz="4" w:space="0"/>
              <w:right w:val="single" w:color="auto" w:sz="4" w:space="0"/>
            </w:tcBorders>
            <w:vAlign w:val="center"/>
          </w:tcPr>
          <w:p w14:paraId="78EBBC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52F624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29FF09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5FC667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1C8E39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50F007">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78AB7D96">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1F3D2C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40D9FE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49277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44" w:type="dxa"/>
            <w:tcBorders>
              <w:top w:val="nil"/>
              <w:left w:val="nil"/>
              <w:bottom w:val="single" w:color="auto" w:sz="4" w:space="0"/>
              <w:right w:val="single" w:color="auto" w:sz="4" w:space="0"/>
            </w:tcBorders>
            <w:vAlign w:val="center"/>
          </w:tcPr>
          <w:p w14:paraId="67782C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57" w:type="dxa"/>
            <w:tcBorders>
              <w:top w:val="nil"/>
              <w:left w:val="nil"/>
              <w:bottom w:val="single" w:color="auto" w:sz="4" w:space="0"/>
              <w:right w:val="single" w:color="auto" w:sz="4" w:space="0"/>
            </w:tcBorders>
            <w:vAlign w:val="center"/>
          </w:tcPr>
          <w:p w14:paraId="55715C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3F667B9">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4EB36A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80" w:type="dxa"/>
            <w:tcBorders>
              <w:top w:val="nil"/>
              <w:left w:val="nil"/>
              <w:bottom w:val="single" w:color="auto" w:sz="4" w:space="0"/>
              <w:right w:val="single" w:color="auto" w:sz="4" w:space="0"/>
            </w:tcBorders>
            <w:vAlign w:val="center"/>
          </w:tcPr>
          <w:p w14:paraId="35F098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56109A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24B495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44" w:type="dxa"/>
            <w:tcBorders>
              <w:top w:val="nil"/>
              <w:left w:val="nil"/>
              <w:bottom w:val="single" w:color="auto" w:sz="4" w:space="0"/>
              <w:right w:val="single" w:color="auto" w:sz="4" w:space="0"/>
            </w:tcBorders>
            <w:vAlign w:val="center"/>
          </w:tcPr>
          <w:p w14:paraId="3D7FF1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57" w:type="dxa"/>
            <w:tcBorders>
              <w:top w:val="nil"/>
              <w:left w:val="nil"/>
              <w:bottom w:val="single" w:color="auto" w:sz="4" w:space="0"/>
              <w:right w:val="single" w:color="auto" w:sz="4" w:space="0"/>
            </w:tcBorders>
            <w:vAlign w:val="center"/>
          </w:tcPr>
          <w:p w14:paraId="697EC1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D8C896B">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2236975">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1B4566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DB54B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1AB39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44" w:type="dxa"/>
            <w:tcBorders>
              <w:top w:val="nil"/>
              <w:left w:val="nil"/>
              <w:bottom w:val="single" w:color="auto" w:sz="4" w:space="0"/>
              <w:right w:val="single" w:color="auto" w:sz="4" w:space="0"/>
            </w:tcBorders>
            <w:vAlign w:val="center"/>
          </w:tcPr>
          <w:p w14:paraId="315F63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vAlign w:val="center"/>
          </w:tcPr>
          <w:p w14:paraId="14A50E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D250F6">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483AE7C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80" w:type="dxa"/>
            <w:tcBorders>
              <w:top w:val="nil"/>
              <w:left w:val="nil"/>
              <w:bottom w:val="single" w:color="auto" w:sz="4" w:space="0"/>
              <w:right w:val="single" w:color="auto" w:sz="4" w:space="0"/>
            </w:tcBorders>
            <w:vAlign w:val="center"/>
          </w:tcPr>
          <w:p w14:paraId="681C66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0C1F56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46DF4D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03D2BF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6639BB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3E0A8D8">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32D68C2C">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64934E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47ED1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35DD2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44" w:type="dxa"/>
            <w:tcBorders>
              <w:top w:val="nil"/>
              <w:left w:val="nil"/>
              <w:bottom w:val="single" w:color="auto" w:sz="4" w:space="0"/>
              <w:right w:val="single" w:color="auto" w:sz="4" w:space="0"/>
            </w:tcBorders>
            <w:vAlign w:val="center"/>
          </w:tcPr>
          <w:p w14:paraId="1F4FDB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752FA0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B00A2A">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4C31C15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80" w:type="dxa"/>
            <w:tcBorders>
              <w:top w:val="nil"/>
              <w:left w:val="nil"/>
              <w:bottom w:val="single" w:color="auto" w:sz="4" w:space="0"/>
              <w:right w:val="single" w:color="auto" w:sz="4" w:space="0"/>
            </w:tcBorders>
            <w:vAlign w:val="center"/>
          </w:tcPr>
          <w:p w14:paraId="012514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1775C3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0C8C7B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55D8A2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4C9EB4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B4D2E6">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6A05BB2">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3CEBEB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51FDEB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47094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vAlign w:val="center"/>
          </w:tcPr>
          <w:p w14:paraId="18B7DE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72EB38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43B27B">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348024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80" w:type="dxa"/>
            <w:tcBorders>
              <w:top w:val="nil"/>
              <w:left w:val="nil"/>
              <w:bottom w:val="single" w:color="auto" w:sz="4" w:space="0"/>
              <w:right w:val="single" w:color="auto" w:sz="4" w:space="0"/>
            </w:tcBorders>
            <w:vAlign w:val="center"/>
          </w:tcPr>
          <w:p w14:paraId="1605A7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5DC320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2BD64A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76B185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48A3D2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FA19A2">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31E5968">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0A290F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D2A16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3F0C44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vAlign w:val="center"/>
          </w:tcPr>
          <w:p w14:paraId="3BA013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0C2727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507F937">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484BB32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80" w:type="dxa"/>
            <w:tcBorders>
              <w:top w:val="nil"/>
              <w:left w:val="nil"/>
              <w:bottom w:val="single" w:color="auto" w:sz="4" w:space="0"/>
              <w:right w:val="single" w:color="auto" w:sz="4" w:space="0"/>
            </w:tcBorders>
            <w:vAlign w:val="center"/>
          </w:tcPr>
          <w:p w14:paraId="07497D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43E092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6ACDB7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44" w:type="dxa"/>
            <w:tcBorders>
              <w:top w:val="nil"/>
              <w:left w:val="nil"/>
              <w:bottom w:val="single" w:color="auto" w:sz="4" w:space="0"/>
              <w:right w:val="single" w:color="auto" w:sz="4" w:space="0"/>
            </w:tcBorders>
            <w:vAlign w:val="center"/>
          </w:tcPr>
          <w:p w14:paraId="3073A3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62FDDA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C0BEC8">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4F01145">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62CD97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49425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092E55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44" w:type="dxa"/>
            <w:tcBorders>
              <w:top w:val="nil"/>
              <w:left w:val="nil"/>
              <w:bottom w:val="single" w:color="auto" w:sz="4" w:space="0"/>
              <w:right w:val="single" w:color="auto" w:sz="4" w:space="0"/>
            </w:tcBorders>
            <w:vAlign w:val="center"/>
          </w:tcPr>
          <w:p w14:paraId="37947E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vAlign w:val="center"/>
          </w:tcPr>
          <w:p w14:paraId="1850A0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DFC4166">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7FEECB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80" w:type="dxa"/>
            <w:tcBorders>
              <w:top w:val="nil"/>
              <w:left w:val="nil"/>
              <w:bottom w:val="single" w:color="auto" w:sz="4" w:space="0"/>
              <w:right w:val="single" w:color="auto" w:sz="4" w:space="0"/>
            </w:tcBorders>
            <w:vAlign w:val="center"/>
          </w:tcPr>
          <w:p w14:paraId="7419B3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70E85B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0E5E94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621BAE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53B161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9191F1">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A242306">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501515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422DC6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0B4CEA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44" w:type="dxa"/>
            <w:tcBorders>
              <w:top w:val="nil"/>
              <w:left w:val="nil"/>
              <w:bottom w:val="single" w:color="auto" w:sz="4" w:space="0"/>
              <w:right w:val="single" w:color="auto" w:sz="4" w:space="0"/>
            </w:tcBorders>
            <w:vAlign w:val="center"/>
          </w:tcPr>
          <w:p w14:paraId="4280A6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57" w:type="dxa"/>
            <w:tcBorders>
              <w:top w:val="nil"/>
              <w:left w:val="nil"/>
              <w:bottom w:val="single" w:color="auto" w:sz="4" w:space="0"/>
              <w:right w:val="single" w:color="auto" w:sz="4" w:space="0"/>
            </w:tcBorders>
            <w:vAlign w:val="center"/>
          </w:tcPr>
          <w:p w14:paraId="19345D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71CE89">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7545A17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80" w:type="dxa"/>
            <w:tcBorders>
              <w:top w:val="nil"/>
              <w:left w:val="nil"/>
              <w:bottom w:val="single" w:color="auto" w:sz="4" w:space="0"/>
              <w:right w:val="single" w:color="auto" w:sz="4" w:space="0"/>
            </w:tcBorders>
            <w:vAlign w:val="center"/>
          </w:tcPr>
          <w:p w14:paraId="07F9C5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D4DF9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5D6CE8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44" w:type="dxa"/>
            <w:tcBorders>
              <w:top w:val="nil"/>
              <w:left w:val="nil"/>
              <w:bottom w:val="single" w:color="auto" w:sz="4" w:space="0"/>
              <w:right w:val="single" w:color="auto" w:sz="4" w:space="0"/>
            </w:tcBorders>
            <w:vAlign w:val="center"/>
          </w:tcPr>
          <w:p w14:paraId="65DBF3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57" w:type="dxa"/>
            <w:tcBorders>
              <w:top w:val="nil"/>
              <w:left w:val="nil"/>
              <w:bottom w:val="single" w:color="auto" w:sz="4" w:space="0"/>
              <w:right w:val="single" w:color="auto" w:sz="4" w:space="0"/>
            </w:tcBorders>
            <w:vAlign w:val="center"/>
          </w:tcPr>
          <w:p w14:paraId="4E7026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926E4CE">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8F3C2EC">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73D4CC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56D92A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319C0F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44" w:type="dxa"/>
            <w:tcBorders>
              <w:top w:val="nil"/>
              <w:left w:val="nil"/>
              <w:bottom w:val="single" w:color="auto" w:sz="4" w:space="0"/>
              <w:right w:val="single" w:color="auto" w:sz="4" w:space="0"/>
            </w:tcBorders>
            <w:vAlign w:val="center"/>
          </w:tcPr>
          <w:p w14:paraId="47A935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57" w:type="dxa"/>
            <w:tcBorders>
              <w:top w:val="nil"/>
              <w:left w:val="nil"/>
              <w:bottom w:val="single" w:color="auto" w:sz="4" w:space="0"/>
              <w:right w:val="single" w:color="auto" w:sz="4" w:space="0"/>
            </w:tcBorders>
            <w:vAlign w:val="center"/>
          </w:tcPr>
          <w:p w14:paraId="0C8856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5A83EE9">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5DFD8D5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80" w:type="dxa"/>
            <w:tcBorders>
              <w:top w:val="nil"/>
              <w:left w:val="nil"/>
              <w:bottom w:val="single" w:color="auto" w:sz="4" w:space="0"/>
              <w:right w:val="single" w:color="auto" w:sz="4" w:space="0"/>
            </w:tcBorders>
            <w:vAlign w:val="center"/>
          </w:tcPr>
          <w:p w14:paraId="17BABE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6C6BD6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6BFDC0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2BE945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57" w:type="dxa"/>
            <w:tcBorders>
              <w:top w:val="nil"/>
              <w:left w:val="nil"/>
              <w:bottom w:val="single" w:color="auto" w:sz="4" w:space="0"/>
              <w:right w:val="single" w:color="auto" w:sz="4" w:space="0"/>
            </w:tcBorders>
            <w:vAlign w:val="center"/>
          </w:tcPr>
          <w:p w14:paraId="1F8763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D4ED38E">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43E13184">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49CCDB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077CC0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EB739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44" w:type="dxa"/>
            <w:tcBorders>
              <w:top w:val="nil"/>
              <w:left w:val="nil"/>
              <w:bottom w:val="single" w:color="auto" w:sz="4" w:space="0"/>
              <w:right w:val="single" w:color="auto" w:sz="4" w:space="0"/>
            </w:tcBorders>
            <w:vAlign w:val="center"/>
          </w:tcPr>
          <w:p w14:paraId="5C1C5E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57" w:type="dxa"/>
            <w:tcBorders>
              <w:top w:val="nil"/>
              <w:left w:val="nil"/>
              <w:bottom w:val="single" w:color="auto" w:sz="4" w:space="0"/>
              <w:right w:val="single" w:color="auto" w:sz="4" w:space="0"/>
            </w:tcBorders>
            <w:vAlign w:val="center"/>
          </w:tcPr>
          <w:p w14:paraId="2585B1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8FA8BBB">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1F2CC6D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80" w:type="dxa"/>
            <w:tcBorders>
              <w:top w:val="nil"/>
              <w:left w:val="nil"/>
              <w:bottom w:val="single" w:color="auto" w:sz="4" w:space="0"/>
              <w:right w:val="single" w:color="auto" w:sz="4" w:space="0"/>
            </w:tcBorders>
            <w:vAlign w:val="center"/>
          </w:tcPr>
          <w:p w14:paraId="368138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11D8D1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6830CC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11B9D8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565144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A20FD7">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3AB6CC02">
            <w:pPr>
              <w:widowControl/>
              <w:jc w:val="center"/>
              <w:rPr>
                <w:rFonts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68478E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1F1D3E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B27B0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44" w:type="dxa"/>
            <w:tcBorders>
              <w:top w:val="nil"/>
              <w:left w:val="nil"/>
              <w:bottom w:val="single" w:color="auto" w:sz="4" w:space="0"/>
              <w:right w:val="single" w:color="auto" w:sz="4" w:space="0"/>
            </w:tcBorders>
            <w:vAlign w:val="center"/>
          </w:tcPr>
          <w:p w14:paraId="1DDD60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57" w:type="dxa"/>
            <w:tcBorders>
              <w:top w:val="nil"/>
              <w:left w:val="nil"/>
              <w:bottom w:val="single" w:color="auto" w:sz="4" w:space="0"/>
              <w:right w:val="single" w:color="auto" w:sz="4" w:space="0"/>
            </w:tcBorders>
            <w:vAlign w:val="center"/>
          </w:tcPr>
          <w:p w14:paraId="57D9BF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33E538A">
        <w:tblPrEx>
          <w:tblCellMar>
            <w:top w:w="0" w:type="dxa"/>
            <w:left w:w="108" w:type="dxa"/>
            <w:bottom w:w="0" w:type="dxa"/>
            <w:right w:w="108" w:type="dxa"/>
          </w:tblCellMar>
        </w:tblPrEx>
        <w:trPr>
          <w:trHeight w:val="352" w:hRule="atLeast"/>
          <w:jc w:val="center"/>
        </w:trPr>
        <w:tc>
          <w:tcPr>
            <w:tcW w:w="1944" w:type="dxa"/>
            <w:tcBorders>
              <w:top w:val="nil"/>
              <w:left w:val="single" w:color="auto" w:sz="4" w:space="0"/>
              <w:bottom w:val="single" w:color="auto" w:sz="4" w:space="0"/>
              <w:right w:val="single" w:color="auto" w:sz="4" w:space="0"/>
            </w:tcBorders>
            <w:vAlign w:val="center"/>
          </w:tcPr>
          <w:p w14:paraId="514233D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80" w:type="dxa"/>
            <w:tcBorders>
              <w:top w:val="nil"/>
              <w:left w:val="nil"/>
              <w:bottom w:val="single" w:color="auto" w:sz="4" w:space="0"/>
              <w:right w:val="single" w:color="auto" w:sz="4" w:space="0"/>
            </w:tcBorders>
            <w:vAlign w:val="center"/>
          </w:tcPr>
          <w:p w14:paraId="148EB3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32E18D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404D10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2CED73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686CF9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5CA4003">
      <w:pPr>
        <w:spacing w:before="165"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71"/>
    <w:p w14:paraId="184581E3">
      <w:pPr>
        <w:widowControl/>
        <w:spacing w:before="165"/>
        <w:ind w:firstLine="420"/>
        <w:jc w:val="left"/>
        <w:rPr>
          <w:rFonts w:ascii="宋体" w:hAnsi="宋体" w:cs="宋体"/>
          <w:color w:val="auto"/>
          <w:szCs w:val="20"/>
          <w:highlight w:val="none"/>
        </w:rPr>
        <w:sectPr>
          <w:pgSz w:w="11906" w:h="16838"/>
          <w:pgMar w:top="1134" w:right="1134" w:bottom="1134" w:left="1134" w:header="720" w:footer="720" w:gutter="0"/>
          <w:cols w:space="720" w:num="1"/>
          <w:docGrid w:type="lines" w:linePitch="331" w:charSpace="0"/>
        </w:sectPr>
      </w:pPr>
    </w:p>
    <w:p w14:paraId="0BEA9C21">
      <w:pPr>
        <w:widowControl/>
        <w:spacing w:before="120"/>
        <w:ind w:firstLine="400"/>
        <w:jc w:val="left"/>
        <w:rPr>
          <w:rFonts w:ascii="宋体" w:hAnsi="宋体" w:cs="宋体"/>
          <w:color w:val="auto"/>
          <w:sz w:val="20"/>
          <w:szCs w:val="20"/>
          <w:highlight w:val="none"/>
        </w:rPr>
      </w:pPr>
    </w:p>
    <w:p w14:paraId="5113F28E">
      <w:pPr>
        <w:pStyle w:val="2"/>
        <w:spacing w:before="120" w:after="0" w:line="240" w:lineRule="auto"/>
        <w:jc w:val="center"/>
        <w:rPr>
          <w:rFonts w:ascii="宋体" w:hAnsi="宋体" w:cs="宋体"/>
          <w:color w:val="auto"/>
          <w:highlight w:val="none"/>
        </w:rPr>
      </w:pPr>
      <w:bookmarkStart w:id="72" w:name="_Toc129703551"/>
      <w:bookmarkStart w:id="73" w:name="_Toc24264"/>
      <w:r>
        <w:rPr>
          <w:rFonts w:hint="eastAsia" w:ascii="宋体" w:hAnsi="宋体" w:cs="宋体"/>
          <w:color w:val="auto"/>
          <w:highlight w:val="none"/>
        </w:rPr>
        <w:t xml:space="preserve">第四章  </w:t>
      </w:r>
      <w:bookmarkStart w:id="74" w:name="_Hlk68601507"/>
      <w:r>
        <w:rPr>
          <w:rFonts w:hint="eastAsia" w:ascii="宋体" w:hAnsi="宋体" w:cs="宋体"/>
          <w:color w:val="auto"/>
          <w:highlight w:val="none"/>
        </w:rPr>
        <w:t>评审程序和评定成交的标准</w:t>
      </w:r>
      <w:bookmarkEnd w:id="72"/>
      <w:bookmarkEnd w:id="73"/>
      <w:bookmarkEnd w:id="74"/>
    </w:p>
    <w:p w14:paraId="6A4EC1A9">
      <w:pPr>
        <w:spacing w:before="120"/>
        <w:ind w:firstLine="643"/>
        <w:jc w:val="center"/>
        <w:rPr>
          <w:rFonts w:ascii="宋体" w:hAnsi="宋体" w:cs="宋体"/>
          <w:b/>
          <w:color w:val="auto"/>
          <w:sz w:val="32"/>
          <w:szCs w:val="32"/>
          <w:highlight w:val="none"/>
        </w:rPr>
      </w:pPr>
    </w:p>
    <w:p w14:paraId="37E0B961">
      <w:pPr>
        <w:spacing w:before="120"/>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03B42DDA">
      <w:pPr>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68C771F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3C2E3715">
      <w:pPr>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358F609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58D4C4AF">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谈判小组</w:t>
      </w:r>
      <w:r>
        <w:rPr>
          <w:rFonts w:hint="eastAsia" w:ascii="宋体" w:hAnsi="宋体" w:cs="宋体"/>
          <w:color w:val="auto"/>
          <w:szCs w:val="21"/>
          <w:highlight w:val="none"/>
        </w:rPr>
        <w:t>在资格审查结束前，对供应商进行信用查询。</w:t>
      </w:r>
    </w:p>
    <w:p w14:paraId="1C6AC2B3">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5EA831E9">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40F34C5">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F1D4A6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0DB1D11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4529D7C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供应商有下列情形之一的，资格审查不通过，其响应文件按无效处理：</w:t>
      </w:r>
    </w:p>
    <w:p w14:paraId="443B587B">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7D42AF2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0639A74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（3）响应文件中的资格证明文件缺少任一项“供应商须知前附表”资格证明文件规定的“必须提供”的文件资料的；</w:t>
      </w:r>
    </w:p>
    <w:p w14:paraId="2E1473E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430C095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7ACF0AB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2.4通过资格审查的合格供应商不足3家（本章3.7条规定除外）的，不得进入符合性审查环节，应当重新开展采购活动。</w:t>
      </w:r>
    </w:p>
    <w:p w14:paraId="46F38839">
      <w:pPr>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0D175C3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3.1谈判小组应当对符合资格的供应商的响应文件进行竞标报价、商务、技术等实质性要求符合性审查，以确定其是否满足谈判文件的实质性要求。</w:t>
      </w:r>
    </w:p>
    <w:p w14:paraId="0C26AAF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BC37A0">
      <w:pPr>
        <w:spacing w:before="120"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584A9DF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E4866E1">
      <w:pPr>
        <w:spacing w:before="120"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4E48C3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5B2BD3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A33027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0570C5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D76446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6C820E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7246310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9C89D1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621A2A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0CFDA7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54580F4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75EDC94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ADB638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6A3019F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4ED548B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7CE14A0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698CFBE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2467FF7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10）属于“供应商须知正文”第7.5条的情形的；</w:t>
      </w:r>
    </w:p>
    <w:p w14:paraId="0D47EFA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34F1D40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6A826A5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75"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5"/>
    </w:p>
    <w:p w14:paraId="1EF54FD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7EE9B89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73EE2AD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16）未响应谈判文件实质性要求；</w:t>
      </w:r>
    </w:p>
    <w:p w14:paraId="424EFD5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2A7B593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0C345C7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2B58C0A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76144BB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46D548C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3C47D1B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16269D2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14697D9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7DCA0F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5B73AF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3.8除本章3.7条规定的情形外，通过符合性审查的合格供应商不足3家的，不得进入谈判环节，应当重新开展采购活动。</w:t>
      </w:r>
    </w:p>
    <w:p w14:paraId="5A1F61F9">
      <w:pPr>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450E1E91">
      <w:pPr>
        <w:spacing w:before="12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29CEEBD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229F1F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0A6A513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17D9A51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4.5谈判中，谈判的任何一方不得透露与谈判有关的其他供应商的技术资料、价格和其他信息。</w:t>
      </w:r>
    </w:p>
    <w:p w14:paraId="1AD75A86">
      <w:pPr>
        <w:widowControl/>
        <w:tabs>
          <w:tab w:val="left" w:pos="540"/>
        </w:tabs>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w:t>
      </w:r>
    </w:p>
    <w:p w14:paraId="2890F3D2">
      <w:pPr>
        <w:tabs>
          <w:tab w:val="left" w:pos="2835"/>
        </w:tabs>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061F259B">
      <w:pPr>
        <w:spacing w:before="12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最后报价</w:t>
      </w:r>
    </w:p>
    <w:p w14:paraId="307A839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4D055F0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3783AB8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5.3最后报价是供应商响应文件的有效组成部分。</w:t>
      </w:r>
    </w:p>
    <w:p w14:paraId="12EEBE0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7C8159A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5.5供应商未在规定时间内提交最后报价的，视为退出谈判，其响应文件按无效处理。</w:t>
      </w:r>
    </w:p>
    <w:p w14:paraId="2866F47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5.6最后报价统一开启后，谈判小组对最后报价进行有效性、完整性和响应程度的审查。</w:t>
      </w:r>
    </w:p>
    <w:p w14:paraId="084D98B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5.7最后报价出现前后不一致的，按照本章第3.4条的规定修正。 </w:t>
      </w:r>
    </w:p>
    <w:p w14:paraId="377CAD0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5.8修正后的报价出现下列情形的，按无效响应处理：</w:t>
      </w:r>
    </w:p>
    <w:p w14:paraId="27BAA8F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3F195F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687D17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105B38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33BFF0F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71E1BD8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5.11最后报价结束后，谈判小组不得再与供应商进行任何形式的商谈。</w:t>
      </w:r>
    </w:p>
    <w:p w14:paraId="16C8FDF5">
      <w:pPr>
        <w:spacing w:before="120"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6. 最后报价评审</w:t>
      </w:r>
    </w:p>
    <w:p w14:paraId="1035E2FB">
      <w:pPr>
        <w:spacing w:before="120"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04BE46CB">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6C4E4D98">
      <w:pPr>
        <w:spacing w:line="360" w:lineRule="auto"/>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cs="宋体"/>
          <w:bCs/>
          <w:color w:val="auto"/>
          <w:kern w:val="0"/>
          <w:szCs w:val="21"/>
          <w:highlight w:val="none"/>
        </w:rPr>
        <w:t>、</w:t>
      </w:r>
      <w:r>
        <w:rPr>
          <w:rFonts w:hint="eastAsia"/>
          <w:color w:val="auto"/>
          <w:highlight w:val="none"/>
        </w:rPr>
        <w:t>《广西壮族自治区财政厅关于持续优化政府采购营商环境推动高质量发展的通知》（桂财采〔2024〕55号）的规定</w:t>
      </w:r>
      <w:r>
        <w:rPr>
          <w:rFonts w:hint="eastAsia" w:ascii="宋体" w:hAnsi="宋体" w:cs="宋体"/>
          <w:color w:val="auto"/>
          <w:szCs w:val="21"/>
          <w:highlight w:val="none"/>
        </w:rPr>
        <w:t>，供应商在其响应文件中提供《中小企业声明函》，</w:t>
      </w:r>
      <w:r>
        <w:rPr>
          <w:rFonts w:hint="eastAsia" w:ascii="宋体" w:hAnsi="宋体"/>
          <w:bCs/>
          <w:color w:val="auto"/>
          <w:szCs w:val="21"/>
          <w:highlight w:val="none"/>
        </w:rPr>
        <w:t>且其竞标全部货物由小微企业制造的</w:t>
      </w:r>
      <w:r>
        <w:rPr>
          <w:rFonts w:hint="eastAsia" w:ascii="宋体" w:hAnsi="宋体" w:cs="宋体"/>
          <w:color w:val="auto"/>
          <w:szCs w:val="21"/>
          <w:highlight w:val="none"/>
        </w:rPr>
        <w:t>，</w:t>
      </w:r>
      <w:r>
        <w:rPr>
          <w:rFonts w:hint="eastAsia" w:ascii="宋体" w:hAnsi="宋体"/>
          <w:bCs/>
          <w:color w:val="auto"/>
          <w:szCs w:val="21"/>
          <w:highlight w:val="none"/>
        </w:rPr>
        <w:t>对供应商的竞标报价给予10%的扣除，扣除后的价格为评审价，即评审价=竞标报价×（1-1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4%</w:t>
      </w:r>
      <w:r>
        <w:rPr>
          <w:rFonts w:hint="eastAsia" w:ascii="宋体" w:hAnsi="宋体"/>
          <w:bCs/>
          <w:color w:val="auto"/>
          <w:szCs w:val="21"/>
          <w:highlight w:val="none"/>
        </w:rPr>
        <w:t>的扣除，用扣除后的价格参加评审，扣除后的价格为评审价，即评审价=竞标报价×（1-</w:t>
      </w:r>
      <w:r>
        <w:rPr>
          <w:rFonts w:hint="eastAsia" w:ascii="宋体" w:hAnsi="宋体"/>
          <w:bCs/>
          <w:color w:val="auto"/>
          <w:szCs w:val="21"/>
          <w:highlight w:val="none"/>
          <w:u w:val="single"/>
        </w:rPr>
        <w:t>4</w:t>
      </w:r>
      <w:r>
        <w:rPr>
          <w:rFonts w:hint="eastAsia" w:ascii="宋体" w:hAnsi="宋体"/>
          <w:bCs/>
          <w:color w:val="auto"/>
          <w:szCs w:val="21"/>
          <w:highlight w:val="none"/>
        </w:rPr>
        <w:t>%）。</w:t>
      </w:r>
    </w:p>
    <w:p w14:paraId="4885E8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B66671C">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FBFEC41">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lang w:val="en-US" w:eastAsia="zh-CN"/>
        </w:rPr>
        <w:t>5</w:t>
      </w:r>
      <w:r>
        <w:rPr>
          <w:rFonts w:hint="eastAsia" w:ascii="宋体" w:hAnsi="宋体"/>
          <w:szCs w:val="21"/>
        </w:rPr>
        <w:t>本国产品政策性扣除计算方法。</w:t>
      </w:r>
    </w:p>
    <w:p w14:paraId="64039F80">
      <w:pPr>
        <w:spacing w:line="360" w:lineRule="auto"/>
        <w:ind w:firstLine="420" w:firstLineChars="200"/>
        <w:rPr>
          <w:rFonts w:hint="eastAsia" w:ascii="宋体" w:hAnsi="宋体"/>
          <w:szCs w:val="21"/>
        </w:rPr>
      </w:pPr>
      <w:r>
        <w:rPr>
          <w:rFonts w:hint="eastAsia" w:ascii="宋体" w:hAnsi="宋体"/>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DC663D0">
      <w:pPr>
        <w:spacing w:line="360" w:lineRule="auto"/>
        <w:ind w:firstLine="420" w:firstLineChars="200"/>
        <w:rPr>
          <w:rFonts w:ascii="宋体" w:hAnsi="宋体"/>
          <w:szCs w:val="21"/>
        </w:rPr>
      </w:pPr>
      <w:r>
        <w:rPr>
          <w:rFonts w:hint="eastAsia" w:ascii="宋体" w:hAnsi="宋体"/>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76" w:name="OLE_LINK4"/>
      <w:r>
        <w:rPr>
          <w:rFonts w:hint="eastAsia" w:hAnsi="宋体"/>
        </w:rPr>
        <w:t>未达到80%，不享受价格评审优惠。</w:t>
      </w:r>
      <w:bookmarkEnd w:id="76"/>
    </w:p>
    <w:p w14:paraId="0212AA7E">
      <w:pPr>
        <w:spacing w:line="360" w:lineRule="auto"/>
        <w:ind w:firstLine="420" w:firstLineChars="200"/>
        <w:rPr>
          <w:rFonts w:hint="eastAsia" w:ascii="宋体" w:hAnsi="宋体"/>
          <w:szCs w:val="21"/>
        </w:rPr>
      </w:pPr>
      <w:r>
        <w:rPr>
          <w:rFonts w:hint="eastAsia" w:hAnsi="宋体"/>
        </w:rPr>
        <w:t>如果所有参与竞争的供应商均可享受本国产品价格评审优惠，则统一不进行价格扣除。</w:t>
      </w:r>
    </w:p>
    <w:p w14:paraId="4E04C597">
      <w:pPr>
        <w:spacing w:line="360" w:lineRule="auto"/>
        <w:ind w:firstLine="420" w:firstLineChars="200"/>
        <w:rPr>
          <w:rFonts w:hint="eastAsia" w:ascii="宋体" w:hAnsi="宋体"/>
          <w:szCs w:val="21"/>
        </w:rPr>
      </w:pPr>
      <w:r>
        <w:rPr>
          <w:rFonts w:hint="eastAsia" w:ascii="宋体" w:hAnsi="宋体"/>
          <w:szCs w:val="21"/>
        </w:rPr>
        <w:t>供应商在其响应文件中提供《关于符合本国产品标准的声明函》或财政部会同有关部门规定的有关证明文件，出具符合要求的《声明函》或有关证明文件的，该产品视为本国产品。</w:t>
      </w:r>
    </w:p>
    <w:p w14:paraId="35198A86">
      <w:pPr>
        <w:spacing w:line="360" w:lineRule="auto"/>
        <w:ind w:firstLine="420" w:firstLineChars="200"/>
        <w:rPr>
          <w:rFonts w:hint="default" w:ascii="宋体" w:hAnsi="宋体" w:eastAsia="宋体" w:cs="宋体"/>
          <w:lang w:val="en-US" w:eastAsia="zh-CN"/>
        </w:rPr>
      </w:pPr>
      <w:r>
        <w:rPr>
          <w:rFonts w:hint="eastAsia" w:ascii="宋体" w:hAnsi="宋体"/>
          <w:szCs w:val="21"/>
        </w:rPr>
        <w:t>6</w:t>
      </w:r>
      <w:r>
        <w:rPr>
          <w:rFonts w:ascii="宋体" w:hAnsi="宋体"/>
          <w:szCs w:val="21"/>
        </w:rPr>
        <w:t>.</w:t>
      </w:r>
      <w:r>
        <w:rPr>
          <w:rFonts w:hint="eastAsia" w:ascii="宋体" w:hAnsi="宋体"/>
          <w:szCs w:val="21"/>
          <w:lang w:val="en-US" w:eastAsia="zh-CN"/>
        </w:rPr>
        <w:t>6</w:t>
      </w:r>
      <w:r>
        <w:rPr>
          <w:rFonts w:hint="eastAsia" w:ascii="宋体" w:hAnsi="宋体"/>
          <w:szCs w:val="21"/>
        </w:rPr>
        <w:t>中小企业政策性折扣与本国产品政策性折扣进行叠加计算，用扣除后的价格参加评审。即评审价=竞标报价-</w:t>
      </w:r>
      <w:r>
        <w:rPr>
          <w:rFonts w:hint="eastAsia" w:hAnsi="宋体" w:cs="Courier New"/>
          <w:bCs/>
        </w:rPr>
        <w:t>中小企业政策性</w:t>
      </w:r>
      <w:r>
        <w:rPr>
          <w:rFonts w:hint="eastAsia" w:ascii="宋体" w:hAnsi="宋体"/>
          <w:szCs w:val="21"/>
        </w:rPr>
        <w:t>折扣-本国产品政策性折扣，除上述情况外，评审价=竞标报价。</w:t>
      </w:r>
    </w:p>
    <w:p w14:paraId="55526F01">
      <w:pPr>
        <w:spacing w:line="360" w:lineRule="auto"/>
        <w:ind w:firstLine="420" w:firstLineChars="200"/>
        <w:rPr>
          <w:rFonts w:ascii="宋体" w:hAnsi="宋体" w:cs="宋体"/>
          <w:color w:val="auto"/>
          <w:highlight w:val="none"/>
        </w:rPr>
      </w:pPr>
      <w:r>
        <w:rPr>
          <w:rFonts w:ascii="宋体" w:hAnsi="宋体" w:cs="宋体"/>
        </w:rPr>
        <w:t>6.</w:t>
      </w:r>
      <w:r>
        <w:rPr>
          <w:rFonts w:hint="eastAsia" w:ascii="宋体" w:hAnsi="宋体" w:cs="宋体"/>
          <w:lang w:val="en-US" w:eastAsia="zh-CN"/>
        </w:rPr>
        <w:t>7</w:t>
      </w:r>
      <w:r>
        <w:rPr>
          <w:rFonts w:hint="eastAsia" w:ascii="宋体" w:hAnsi="宋体" w:cs="宋体"/>
        </w:rPr>
        <w:t>除上述情况外，评审价＝最后报价</w:t>
      </w:r>
      <w:r>
        <w:rPr>
          <w:rFonts w:hint="eastAsia" w:ascii="宋体" w:hAnsi="宋体" w:cs="宋体"/>
          <w:color w:val="auto"/>
          <w:highlight w:val="none"/>
        </w:rPr>
        <w:t>。</w:t>
      </w:r>
    </w:p>
    <w:p w14:paraId="63E2368D">
      <w:pPr>
        <w:spacing w:before="120" w:line="336" w:lineRule="auto"/>
        <w:ind w:firstLine="643"/>
        <w:jc w:val="center"/>
        <w:rPr>
          <w:rFonts w:ascii="宋体" w:hAnsi="宋体" w:cs="宋体"/>
          <w:b/>
          <w:color w:val="auto"/>
          <w:sz w:val="32"/>
          <w:szCs w:val="32"/>
          <w:highlight w:val="none"/>
        </w:rPr>
      </w:pPr>
    </w:p>
    <w:p w14:paraId="7AAF88FD">
      <w:pPr>
        <w:spacing w:before="120" w:line="336" w:lineRule="auto"/>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5D934731">
      <w:pPr>
        <w:spacing w:before="120" w:line="336"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 成交候选人推荐</w:t>
      </w:r>
    </w:p>
    <w:p w14:paraId="30135FB6">
      <w:pPr>
        <w:spacing w:before="120" w:line="336" w:lineRule="auto"/>
        <w:ind w:firstLine="420" w:firstLineChars="200"/>
        <w:rPr>
          <w:b/>
          <w:bCs/>
          <w:color w:val="auto"/>
          <w:spacing w:val="10"/>
          <w:kern w:val="0"/>
          <w:sz w:val="24"/>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5E7F9E18">
      <w:pPr>
        <w:pStyle w:val="67"/>
        <w:spacing w:before="120"/>
        <w:ind w:firstLine="520"/>
        <w:jc w:val="left"/>
        <w:rPr>
          <w:color w:val="auto"/>
          <w:highlight w:val="none"/>
        </w:rPr>
      </w:pPr>
      <w:r>
        <w:rPr>
          <w:rFonts w:hint="eastAsia"/>
          <w:color w:val="auto"/>
          <w:highlight w:val="none"/>
        </w:rPr>
        <w:t>附件：最后报价表格式</w:t>
      </w:r>
    </w:p>
    <w:p w14:paraId="3CF9632D">
      <w:pPr>
        <w:pStyle w:val="67"/>
        <w:spacing w:before="120"/>
        <w:ind w:firstLine="520"/>
        <w:rPr>
          <w:color w:val="auto"/>
          <w:highlight w:val="none"/>
        </w:rPr>
      </w:pPr>
      <w:r>
        <w:rPr>
          <w:rFonts w:hint="eastAsia"/>
          <w:color w:val="auto"/>
          <w:highlight w:val="none"/>
        </w:rPr>
        <w:t>最后报价表</w:t>
      </w:r>
    </w:p>
    <w:p w14:paraId="307F8844">
      <w:pPr>
        <w:pStyle w:val="67"/>
        <w:spacing w:before="120"/>
        <w:ind w:firstLine="520"/>
        <w:jc w:val="both"/>
        <w:rPr>
          <w:color w:val="auto"/>
          <w:highlight w:val="none"/>
        </w:rPr>
      </w:pPr>
      <w:r>
        <w:rPr>
          <w:rFonts w:hint="eastAsia"/>
          <w:color w:val="auto"/>
          <w:highlight w:val="none"/>
        </w:rPr>
        <w:t>项目名称：</w:t>
      </w:r>
    </w:p>
    <w:p w14:paraId="0420E153">
      <w:pPr>
        <w:pStyle w:val="67"/>
        <w:spacing w:before="120"/>
        <w:ind w:firstLine="520"/>
        <w:jc w:val="both"/>
        <w:rPr>
          <w:color w:val="auto"/>
          <w:highlight w:val="none"/>
        </w:rPr>
      </w:pPr>
      <w:r>
        <w:rPr>
          <w:rFonts w:hint="eastAsia"/>
          <w:color w:val="auto"/>
          <w:highlight w:val="none"/>
        </w:rPr>
        <w:t xml:space="preserve">项目编号：                             </w:t>
      </w:r>
      <w:r>
        <w:rPr>
          <w:rFonts w:hint="eastAsia"/>
          <w:color w:val="auto"/>
          <w:highlight w:val="none"/>
          <w:u w:val="single"/>
        </w:rPr>
        <w:t xml:space="preserve">     </w:t>
      </w:r>
      <w:r>
        <w:rPr>
          <w:rFonts w:hint="eastAsia"/>
          <w:color w:val="auto"/>
          <w:highlight w:val="none"/>
        </w:rPr>
        <w:t>分标</w:t>
      </w:r>
    </w:p>
    <w:tbl>
      <w:tblPr>
        <w:tblStyle w:val="2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04"/>
        <w:gridCol w:w="1215"/>
        <w:gridCol w:w="1020"/>
        <w:gridCol w:w="975"/>
        <w:gridCol w:w="1001"/>
        <w:gridCol w:w="1462"/>
        <w:gridCol w:w="1126"/>
      </w:tblGrid>
      <w:tr w14:paraId="7D0B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7D1BDDCE">
            <w:pPr>
              <w:pStyle w:val="67"/>
              <w:spacing w:before="120"/>
              <w:jc w:val="center"/>
              <w:rPr>
                <w:color w:val="auto"/>
                <w:highlight w:val="none"/>
              </w:rPr>
            </w:pPr>
            <w:r>
              <w:rPr>
                <w:rFonts w:hint="eastAsia"/>
                <w:color w:val="auto"/>
                <w:highlight w:val="none"/>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1D3A999A">
            <w:pPr>
              <w:pStyle w:val="67"/>
              <w:spacing w:before="120"/>
              <w:jc w:val="both"/>
              <w:rPr>
                <w:color w:val="auto"/>
                <w:highlight w:val="none"/>
              </w:rPr>
            </w:pPr>
            <w:r>
              <w:rPr>
                <w:rFonts w:hint="eastAsia"/>
                <w:color w:val="auto"/>
                <w:highlight w:val="none"/>
              </w:rPr>
              <w:t>标的名称</w:t>
            </w:r>
          </w:p>
        </w:tc>
        <w:tc>
          <w:tcPr>
            <w:tcW w:w="1215" w:type="dxa"/>
            <w:tcBorders>
              <w:top w:val="single" w:color="auto" w:sz="4" w:space="0"/>
              <w:left w:val="single" w:color="auto" w:sz="4" w:space="0"/>
              <w:bottom w:val="single" w:color="auto" w:sz="4" w:space="0"/>
              <w:right w:val="single" w:color="auto" w:sz="4" w:space="0"/>
            </w:tcBorders>
            <w:vAlign w:val="center"/>
          </w:tcPr>
          <w:p w14:paraId="2009F968">
            <w:pPr>
              <w:pStyle w:val="67"/>
              <w:spacing w:before="120"/>
              <w:jc w:val="both"/>
              <w:rPr>
                <w:color w:val="auto"/>
                <w:highlight w:val="none"/>
              </w:rPr>
            </w:pPr>
            <w:r>
              <w:rPr>
                <w:rFonts w:hint="eastAsia"/>
                <w:color w:val="auto"/>
                <w:highlight w:val="none"/>
              </w:rPr>
              <w:t>品牌</w:t>
            </w:r>
          </w:p>
        </w:tc>
        <w:tc>
          <w:tcPr>
            <w:tcW w:w="1020" w:type="dxa"/>
            <w:tcBorders>
              <w:top w:val="single" w:color="auto" w:sz="4" w:space="0"/>
              <w:left w:val="single" w:color="auto" w:sz="4" w:space="0"/>
              <w:bottom w:val="single" w:color="auto" w:sz="4" w:space="0"/>
              <w:right w:val="single" w:color="auto" w:sz="4" w:space="0"/>
            </w:tcBorders>
            <w:vAlign w:val="center"/>
          </w:tcPr>
          <w:p w14:paraId="64F1A985">
            <w:pPr>
              <w:pStyle w:val="67"/>
              <w:spacing w:before="120"/>
              <w:jc w:val="both"/>
              <w:rPr>
                <w:color w:val="auto"/>
                <w:highlight w:val="none"/>
              </w:rPr>
            </w:pPr>
            <w:r>
              <w:rPr>
                <w:rFonts w:hint="eastAsia"/>
                <w:color w:val="auto"/>
                <w:highlight w:val="none"/>
              </w:rPr>
              <w:t>型号</w:t>
            </w:r>
          </w:p>
        </w:tc>
        <w:tc>
          <w:tcPr>
            <w:tcW w:w="975" w:type="dxa"/>
            <w:tcBorders>
              <w:top w:val="single" w:color="auto" w:sz="4" w:space="0"/>
              <w:left w:val="single" w:color="auto" w:sz="4" w:space="0"/>
              <w:bottom w:val="single" w:color="auto" w:sz="4" w:space="0"/>
              <w:right w:val="single" w:color="auto" w:sz="4" w:space="0"/>
            </w:tcBorders>
            <w:vAlign w:val="center"/>
          </w:tcPr>
          <w:p w14:paraId="1275074F">
            <w:pPr>
              <w:pStyle w:val="67"/>
              <w:spacing w:before="120"/>
              <w:jc w:val="both"/>
              <w:rPr>
                <w:color w:val="auto"/>
                <w:highlight w:val="none"/>
              </w:rPr>
            </w:pPr>
            <w:r>
              <w:rPr>
                <w:rFonts w:hint="eastAsia"/>
                <w:color w:val="auto"/>
                <w:highlight w:val="none"/>
              </w:rPr>
              <w:t>数量</w:t>
            </w:r>
          </w:p>
        </w:tc>
        <w:tc>
          <w:tcPr>
            <w:tcW w:w="1001" w:type="dxa"/>
            <w:tcBorders>
              <w:top w:val="single" w:color="auto" w:sz="4" w:space="0"/>
              <w:left w:val="single" w:color="auto" w:sz="4" w:space="0"/>
              <w:bottom w:val="single" w:color="auto" w:sz="4" w:space="0"/>
              <w:right w:val="single" w:color="auto" w:sz="4" w:space="0"/>
            </w:tcBorders>
            <w:vAlign w:val="center"/>
          </w:tcPr>
          <w:p w14:paraId="5901C093">
            <w:pPr>
              <w:pStyle w:val="67"/>
              <w:spacing w:before="120"/>
              <w:jc w:val="both"/>
              <w:rPr>
                <w:color w:val="auto"/>
                <w:highlight w:val="none"/>
              </w:rPr>
            </w:pPr>
            <w:r>
              <w:rPr>
                <w:rFonts w:hint="eastAsia"/>
                <w:color w:val="auto"/>
                <w:highlight w:val="none"/>
              </w:rPr>
              <w:t>单位</w:t>
            </w:r>
          </w:p>
        </w:tc>
        <w:tc>
          <w:tcPr>
            <w:tcW w:w="1462" w:type="dxa"/>
            <w:tcBorders>
              <w:top w:val="single" w:color="auto" w:sz="4" w:space="0"/>
              <w:left w:val="single" w:color="auto" w:sz="4" w:space="0"/>
              <w:bottom w:val="single" w:color="auto" w:sz="4" w:space="0"/>
              <w:right w:val="single" w:color="auto" w:sz="4" w:space="0"/>
            </w:tcBorders>
            <w:vAlign w:val="center"/>
          </w:tcPr>
          <w:p w14:paraId="236FEBD4">
            <w:pPr>
              <w:pStyle w:val="67"/>
              <w:spacing w:before="120"/>
              <w:jc w:val="both"/>
              <w:rPr>
                <w:color w:val="auto"/>
                <w:highlight w:val="none"/>
              </w:rPr>
            </w:pPr>
            <w:r>
              <w:rPr>
                <w:rFonts w:hint="eastAsia"/>
                <w:color w:val="auto"/>
                <w:highlight w:val="none"/>
              </w:rPr>
              <w:t>单价</w:t>
            </w:r>
          </w:p>
        </w:tc>
        <w:tc>
          <w:tcPr>
            <w:tcW w:w="1126" w:type="dxa"/>
            <w:tcBorders>
              <w:top w:val="single" w:color="auto" w:sz="4" w:space="0"/>
              <w:left w:val="single" w:color="auto" w:sz="4" w:space="0"/>
              <w:bottom w:val="single" w:color="auto" w:sz="4" w:space="0"/>
              <w:right w:val="single" w:color="auto" w:sz="4" w:space="0"/>
            </w:tcBorders>
            <w:vAlign w:val="center"/>
          </w:tcPr>
          <w:p w14:paraId="531AEA1C">
            <w:pPr>
              <w:pStyle w:val="67"/>
              <w:spacing w:before="120"/>
              <w:jc w:val="both"/>
              <w:rPr>
                <w:color w:val="auto"/>
                <w:highlight w:val="none"/>
              </w:rPr>
            </w:pPr>
            <w:r>
              <w:rPr>
                <w:rFonts w:hint="eastAsia"/>
                <w:color w:val="auto"/>
                <w:highlight w:val="none"/>
              </w:rPr>
              <w:t>合价</w:t>
            </w:r>
          </w:p>
        </w:tc>
      </w:tr>
      <w:tr w14:paraId="0F57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14AA130F">
            <w:pPr>
              <w:pStyle w:val="67"/>
              <w:spacing w:before="120"/>
              <w:jc w:val="center"/>
              <w:rPr>
                <w:color w:val="auto"/>
                <w:highlight w:val="none"/>
              </w:rPr>
            </w:pPr>
            <w:r>
              <w:rPr>
                <w:rFonts w:hint="eastAsia"/>
                <w:color w:val="auto"/>
                <w:highlight w:val="none"/>
              </w:rPr>
              <w:t>1</w:t>
            </w:r>
          </w:p>
        </w:tc>
        <w:tc>
          <w:tcPr>
            <w:tcW w:w="1404" w:type="dxa"/>
            <w:tcBorders>
              <w:top w:val="single" w:color="auto" w:sz="4" w:space="0"/>
              <w:left w:val="single" w:color="auto" w:sz="4" w:space="0"/>
              <w:bottom w:val="single" w:color="auto" w:sz="4" w:space="0"/>
              <w:right w:val="single" w:color="auto" w:sz="4" w:space="0"/>
            </w:tcBorders>
            <w:vAlign w:val="center"/>
          </w:tcPr>
          <w:p w14:paraId="6EFAE77B">
            <w:pPr>
              <w:pStyle w:val="67"/>
              <w:spacing w:before="120"/>
              <w:ind w:firstLine="520"/>
              <w:rPr>
                <w:color w:val="auto"/>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1F3957D">
            <w:pPr>
              <w:pStyle w:val="67"/>
              <w:spacing w:before="120"/>
              <w:ind w:firstLine="520"/>
              <w:rPr>
                <w:color w:val="auto"/>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29128AE0">
            <w:pPr>
              <w:pStyle w:val="67"/>
              <w:spacing w:before="120"/>
              <w:ind w:firstLine="520"/>
              <w:rPr>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31F5962">
            <w:pPr>
              <w:pStyle w:val="67"/>
              <w:spacing w:before="120"/>
              <w:ind w:firstLine="520"/>
              <w:rPr>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5FDD5699">
            <w:pPr>
              <w:pStyle w:val="67"/>
              <w:spacing w:before="120"/>
              <w:ind w:firstLine="520"/>
              <w:rPr>
                <w:color w:val="auto"/>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5C068D02">
            <w:pPr>
              <w:pStyle w:val="67"/>
              <w:spacing w:before="120"/>
              <w:ind w:firstLine="520"/>
              <w:rPr>
                <w:color w:val="auto"/>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50826DBC">
            <w:pPr>
              <w:pStyle w:val="67"/>
              <w:spacing w:before="120"/>
              <w:ind w:firstLine="520"/>
              <w:rPr>
                <w:color w:val="auto"/>
                <w:highlight w:val="none"/>
              </w:rPr>
            </w:pPr>
          </w:p>
        </w:tc>
      </w:tr>
      <w:tr w14:paraId="4D7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6445DB37">
            <w:pPr>
              <w:pStyle w:val="67"/>
              <w:spacing w:before="120"/>
              <w:jc w:val="center"/>
              <w:rPr>
                <w:color w:val="auto"/>
                <w:highlight w:val="none"/>
              </w:rPr>
            </w:pPr>
            <w:r>
              <w:rPr>
                <w:rFonts w:hint="eastAsia"/>
                <w:color w:val="auto"/>
                <w:highlight w:val="none"/>
              </w:rPr>
              <w:t>2</w:t>
            </w:r>
          </w:p>
        </w:tc>
        <w:tc>
          <w:tcPr>
            <w:tcW w:w="1404" w:type="dxa"/>
            <w:tcBorders>
              <w:top w:val="single" w:color="auto" w:sz="4" w:space="0"/>
              <w:left w:val="single" w:color="auto" w:sz="4" w:space="0"/>
              <w:bottom w:val="single" w:color="auto" w:sz="4" w:space="0"/>
              <w:right w:val="single" w:color="auto" w:sz="4" w:space="0"/>
            </w:tcBorders>
            <w:vAlign w:val="center"/>
          </w:tcPr>
          <w:p w14:paraId="6554503A">
            <w:pPr>
              <w:pStyle w:val="67"/>
              <w:spacing w:before="120"/>
              <w:ind w:firstLine="520"/>
              <w:rPr>
                <w:color w:val="auto"/>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98B0DB4">
            <w:pPr>
              <w:pStyle w:val="67"/>
              <w:spacing w:before="120"/>
              <w:ind w:firstLine="520"/>
              <w:rPr>
                <w:color w:val="auto"/>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0D7EEE50">
            <w:pPr>
              <w:pStyle w:val="67"/>
              <w:spacing w:before="120"/>
              <w:ind w:firstLine="520"/>
              <w:rPr>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4C44264">
            <w:pPr>
              <w:pStyle w:val="67"/>
              <w:spacing w:before="120"/>
              <w:ind w:firstLine="520"/>
              <w:rPr>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421E226F">
            <w:pPr>
              <w:pStyle w:val="67"/>
              <w:spacing w:before="120"/>
              <w:ind w:firstLine="520"/>
              <w:rPr>
                <w:color w:val="auto"/>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666475B8">
            <w:pPr>
              <w:pStyle w:val="67"/>
              <w:spacing w:before="120"/>
              <w:ind w:firstLine="520"/>
              <w:rPr>
                <w:color w:val="auto"/>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25D74BD7">
            <w:pPr>
              <w:pStyle w:val="67"/>
              <w:spacing w:before="120"/>
              <w:ind w:firstLine="520"/>
              <w:rPr>
                <w:color w:val="auto"/>
                <w:highlight w:val="none"/>
              </w:rPr>
            </w:pPr>
          </w:p>
        </w:tc>
      </w:tr>
      <w:tr w14:paraId="1EEC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5BA467BE">
            <w:pPr>
              <w:pStyle w:val="67"/>
              <w:spacing w:before="120"/>
              <w:jc w:val="center"/>
              <w:rPr>
                <w:color w:val="auto"/>
                <w:highlight w:val="none"/>
              </w:rPr>
            </w:pPr>
            <w:r>
              <w:rPr>
                <w:rFonts w:hint="eastAsia"/>
                <w:color w:val="auto"/>
                <w:highlight w:val="none"/>
              </w:rPr>
              <w:t>3</w:t>
            </w:r>
          </w:p>
        </w:tc>
        <w:tc>
          <w:tcPr>
            <w:tcW w:w="1404" w:type="dxa"/>
            <w:tcBorders>
              <w:top w:val="single" w:color="auto" w:sz="4" w:space="0"/>
              <w:left w:val="single" w:color="auto" w:sz="4" w:space="0"/>
              <w:bottom w:val="single" w:color="auto" w:sz="4" w:space="0"/>
              <w:right w:val="single" w:color="auto" w:sz="4" w:space="0"/>
            </w:tcBorders>
            <w:vAlign w:val="center"/>
          </w:tcPr>
          <w:p w14:paraId="3E5EDB60">
            <w:pPr>
              <w:pStyle w:val="67"/>
              <w:spacing w:before="120"/>
              <w:ind w:firstLine="520"/>
              <w:rPr>
                <w:color w:val="auto"/>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510BB30">
            <w:pPr>
              <w:pStyle w:val="67"/>
              <w:spacing w:before="120"/>
              <w:ind w:firstLine="520"/>
              <w:rPr>
                <w:color w:val="auto"/>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69532784">
            <w:pPr>
              <w:pStyle w:val="67"/>
              <w:spacing w:before="120"/>
              <w:ind w:firstLine="520"/>
              <w:rPr>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45624DF">
            <w:pPr>
              <w:pStyle w:val="67"/>
              <w:spacing w:before="120"/>
              <w:ind w:firstLine="520"/>
              <w:rPr>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0932A8C3">
            <w:pPr>
              <w:pStyle w:val="67"/>
              <w:spacing w:before="120"/>
              <w:ind w:firstLine="520"/>
              <w:rPr>
                <w:color w:val="auto"/>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307F8544">
            <w:pPr>
              <w:pStyle w:val="67"/>
              <w:spacing w:before="120"/>
              <w:ind w:firstLine="520"/>
              <w:rPr>
                <w:color w:val="auto"/>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63F69532">
            <w:pPr>
              <w:pStyle w:val="67"/>
              <w:spacing w:before="120"/>
              <w:ind w:firstLine="520"/>
              <w:rPr>
                <w:color w:val="auto"/>
                <w:highlight w:val="none"/>
              </w:rPr>
            </w:pPr>
          </w:p>
        </w:tc>
      </w:tr>
      <w:tr w14:paraId="6F4F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03DADDA7">
            <w:pPr>
              <w:pStyle w:val="67"/>
              <w:spacing w:before="120"/>
              <w:jc w:val="center"/>
              <w:rPr>
                <w:color w:val="auto"/>
                <w:highlight w:val="none"/>
              </w:rPr>
            </w:pPr>
            <w:r>
              <w:rPr>
                <w:rFonts w:hint="eastAsia"/>
                <w:color w:val="auto"/>
                <w:highlight w:val="none"/>
              </w:rPr>
              <w:t>4</w:t>
            </w:r>
          </w:p>
        </w:tc>
        <w:tc>
          <w:tcPr>
            <w:tcW w:w="1404" w:type="dxa"/>
            <w:tcBorders>
              <w:top w:val="single" w:color="auto" w:sz="4" w:space="0"/>
              <w:left w:val="single" w:color="auto" w:sz="4" w:space="0"/>
              <w:bottom w:val="single" w:color="auto" w:sz="4" w:space="0"/>
              <w:right w:val="single" w:color="auto" w:sz="4" w:space="0"/>
            </w:tcBorders>
            <w:vAlign w:val="center"/>
          </w:tcPr>
          <w:p w14:paraId="28739AD5">
            <w:pPr>
              <w:pStyle w:val="67"/>
              <w:spacing w:before="120"/>
              <w:ind w:firstLine="520"/>
              <w:rPr>
                <w:color w:val="auto"/>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0481A50">
            <w:pPr>
              <w:pStyle w:val="67"/>
              <w:spacing w:before="120"/>
              <w:ind w:firstLine="520"/>
              <w:rPr>
                <w:color w:val="auto"/>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521AA44C">
            <w:pPr>
              <w:pStyle w:val="67"/>
              <w:spacing w:before="120"/>
              <w:ind w:firstLine="520"/>
              <w:rPr>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6A2919F">
            <w:pPr>
              <w:pStyle w:val="67"/>
              <w:spacing w:before="120"/>
              <w:ind w:firstLine="520"/>
              <w:rPr>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16702A82">
            <w:pPr>
              <w:pStyle w:val="67"/>
              <w:spacing w:before="120"/>
              <w:ind w:firstLine="520"/>
              <w:rPr>
                <w:color w:val="auto"/>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26985BE4">
            <w:pPr>
              <w:pStyle w:val="67"/>
              <w:spacing w:before="120"/>
              <w:ind w:firstLine="520"/>
              <w:rPr>
                <w:color w:val="auto"/>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67F4BE64">
            <w:pPr>
              <w:pStyle w:val="67"/>
              <w:spacing w:before="120"/>
              <w:ind w:firstLine="520"/>
              <w:rPr>
                <w:color w:val="auto"/>
                <w:highlight w:val="none"/>
              </w:rPr>
            </w:pPr>
          </w:p>
        </w:tc>
      </w:tr>
      <w:tr w14:paraId="3075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7748A740">
            <w:pPr>
              <w:pStyle w:val="67"/>
              <w:spacing w:before="120"/>
              <w:jc w:val="center"/>
              <w:rPr>
                <w:color w:val="auto"/>
                <w:highlight w:val="none"/>
              </w:rPr>
            </w:pPr>
            <w:r>
              <w:rPr>
                <w:rFonts w:hint="eastAsia"/>
                <w:color w:val="auto"/>
                <w:highlight w:val="none"/>
              </w:rPr>
              <w:t>……</w:t>
            </w:r>
          </w:p>
        </w:tc>
        <w:tc>
          <w:tcPr>
            <w:tcW w:w="1404" w:type="dxa"/>
            <w:tcBorders>
              <w:top w:val="single" w:color="auto" w:sz="4" w:space="0"/>
              <w:left w:val="single" w:color="auto" w:sz="4" w:space="0"/>
              <w:bottom w:val="single" w:color="auto" w:sz="4" w:space="0"/>
              <w:right w:val="single" w:color="auto" w:sz="4" w:space="0"/>
            </w:tcBorders>
            <w:vAlign w:val="center"/>
          </w:tcPr>
          <w:p w14:paraId="03489E87">
            <w:pPr>
              <w:pStyle w:val="67"/>
              <w:spacing w:before="120"/>
              <w:ind w:firstLine="520"/>
              <w:rPr>
                <w:color w:val="auto"/>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3FABACA">
            <w:pPr>
              <w:pStyle w:val="67"/>
              <w:spacing w:before="120"/>
              <w:ind w:firstLine="520"/>
              <w:rPr>
                <w:color w:val="auto"/>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0F9D2343">
            <w:pPr>
              <w:pStyle w:val="67"/>
              <w:spacing w:before="120"/>
              <w:ind w:firstLine="520"/>
              <w:rPr>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C3D2E82">
            <w:pPr>
              <w:pStyle w:val="67"/>
              <w:spacing w:before="120"/>
              <w:ind w:firstLine="520"/>
              <w:rPr>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26FFB449">
            <w:pPr>
              <w:pStyle w:val="67"/>
              <w:spacing w:before="120"/>
              <w:ind w:firstLine="520"/>
              <w:rPr>
                <w:color w:val="auto"/>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14:paraId="691859DC">
            <w:pPr>
              <w:pStyle w:val="67"/>
              <w:spacing w:before="120"/>
              <w:ind w:firstLine="520"/>
              <w:rPr>
                <w:color w:val="auto"/>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04554642">
            <w:pPr>
              <w:pStyle w:val="67"/>
              <w:spacing w:before="120"/>
              <w:ind w:firstLine="520"/>
              <w:rPr>
                <w:color w:val="auto"/>
                <w:highlight w:val="none"/>
              </w:rPr>
            </w:pPr>
          </w:p>
        </w:tc>
      </w:tr>
      <w:tr w14:paraId="6E8C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tcPr>
          <w:p w14:paraId="1617124E">
            <w:pPr>
              <w:pStyle w:val="67"/>
              <w:spacing w:before="120"/>
              <w:ind w:firstLine="520"/>
              <w:jc w:val="center"/>
              <w:rPr>
                <w:color w:val="auto"/>
                <w:highlight w:val="none"/>
              </w:rPr>
            </w:pPr>
            <w:r>
              <w:rPr>
                <w:rFonts w:hint="eastAsia"/>
                <w:color w:val="auto"/>
                <w:highlight w:val="none"/>
              </w:rPr>
              <w:t>总报价：人民币（大写）                       （￥             ）</w:t>
            </w:r>
          </w:p>
        </w:tc>
      </w:tr>
    </w:tbl>
    <w:p w14:paraId="017F4F12">
      <w:pPr>
        <w:pStyle w:val="67"/>
        <w:spacing w:before="120"/>
        <w:ind w:firstLine="520"/>
        <w:rPr>
          <w:color w:val="auto"/>
          <w:highlight w:val="none"/>
        </w:rPr>
      </w:pPr>
    </w:p>
    <w:p w14:paraId="576DBD34">
      <w:pPr>
        <w:spacing w:before="120" w:line="360" w:lineRule="auto"/>
        <w:ind w:right="480" w:firstLine="3045" w:firstLineChars="14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73E510B7">
      <w:pPr>
        <w:spacing w:before="120" w:line="360" w:lineRule="auto"/>
        <w:ind w:right="480" w:firstLine="5250" w:firstLineChars="2500"/>
        <w:contextualSpacing/>
        <w:rPr>
          <w:rFonts w:ascii="宋体" w:hAnsi="宋体" w:cs="宋体"/>
          <w:color w:val="auto"/>
          <w:szCs w:val="21"/>
          <w:highlight w:val="none"/>
        </w:rPr>
      </w:pPr>
      <w:r>
        <w:rPr>
          <w:rFonts w:hint="eastAsia" w:ascii="宋体" w:hAnsi="宋体" w:cs="宋体"/>
          <w:color w:val="auto"/>
          <w:szCs w:val="21"/>
          <w:highlight w:val="none"/>
        </w:rPr>
        <w:t>年    月    日</w:t>
      </w:r>
    </w:p>
    <w:p w14:paraId="14482D8D">
      <w:pPr>
        <w:pStyle w:val="67"/>
        <w:spacing w:before="120"/>
        <w:ind w:firstLine="520"/>
        <w:rPr>
          <w:color w:val="auto"/>
          <w:highlight w:val="none"/>
        </w:rPr>
      </w:pPr>
    </w:p>
    <w:p w14:paraId="3EFCA829">
      <w:pPr>
        <w:pStyle w:val="67"/>
        <w:spacing w:before="120"/>
        <w:ind w:firstLine="520"/>
        <w:rPr>
          <w:color w:val="auto"/>
          <w:highlight w:val="none"/>
        </w:rPr>
      </w:pPr>
    </w:p>
    <w:p w14:paraId="065BD430">
      <w:pPr>
        <w:pStyle w:val="67"/>
        <w:spacing w:before="120"/>
        <w:ind w:firstLine="520"/>
        <w:rPr>
          <w:color w:val="auto"/>
          <w:highlight w:val="none"/>
        </w:rPr>
      </w:pPr>
    </w:p>
    <w:p w14:paraId="7D9FB810">
      <w:pPr>
        <w:pStyle w:val="67"/>
        <w:spacing w:before="120"/>
        <w:ind w:firstLine="520"/>
        <w:rPr>
          <w:color w:val="auto"/>
          <w:highlight w:val="none"/>
        </w:rPr>
      </w:pPr>
    </w:p>
    <w:p w14:paraId="48645413">
      <w:pPr>
        <w:pStyle w:val="67"/>
        <w:spacing w:before="120"/>
        <w:ind w:firstLine="520"/>
        <w:rPr>
          <w:color w:val="auto"/>
          <w:highlight w:val="none"/>
        </w:rPr>
      </w:pPr>
    </w:p>
    <w:p w14:paraId="58E473D7">
      <w:pPr>
        <w:pStyle w:val="67"/>
        <w:spacing w:before="120"/>
        <w:ind w:firstLine="520"/>
        <w:rPr>
          <w:color w:val="auto"/>
          <w:highlight w:val="none"/>
        </w:rPr>
      </w:pPr>
    </w:p>
    <w:p w14:paraId="20DFCB68">
      <w:pPr>
        <w:pStyle w:val="67"/>
        <w:spacing w:before="120"/>
        <w:ind w:firstLine="520"/>
        <w:rPr>
          <w:color w:val="auto"/>
          <w:highlight w:val="none"/>
        </w:rPr>
      </w:pPr>
    </w:p>
    <w:p w14:paraId="167CC5B4">
      <w:pPr>
        <w:pStyle w:val="67"/>
        <w:spacing w:before="120"/>
        <w:ind w:firstLine="520"/>
        <w:rPr>
          <w:color w:val="auto"/>
          <w:highlight w:val="none"/>
        </w:rPr>
      </w:pPr>
    </w:p>
    <w:p w14:paraId="5A20B9F4">
      <w:pPr>
        <w:pStyle w:val="67"/>
        <w:spacing w:before="120"/>
        <w:ind w:firstLine="520"/>
        <w:rPr>
          <w:color w:val="auto"/>
          <w:highlight w:val="none"/>
        </w:rPr>
      </w:pPr>
    </w:p>
    <w:p w14:paraId="05F2A67E">
      <w:pPr>
        <w:pStyle w:val="67"/>
        <w:spacing w:before="120"/>
        <w:ind w:firstLine="520"/>
        <w:rPr>
          <w:color w:val="auto"/>
          <w:highlight w:val="none"/>
        </w:rPr>
      </w:pPr>
    </w:p>
    <w:p w14:paraId="2930A84A">
      <w:pPr>
        <w:pStyle w:val="67"/>
        <w:spacing w:before="120"/>
        <w:ind w:firstLine="520"/>
        <w:rPr>
          <w:color w:val="auto"/>
          <w:highlight w:val="none"/>
        </w:rPr>
      </w:pPr>
    </w:p>
    <w:p w14:paraId="558541C8">
      <w:pPr>
        <w:pStyle w:val="2"/>
        <w:spacing w:before="120"/>
        <w:jc w:val="center"/>
        <w:rPr>
          <w:rFonts w:ascii="宋体" w:hAnsi="宋体" w:cs="宋体"/>
          <w:color w:val="auto"/>
          <w:highlight w:val="none"/>
        </w:rPr>
      </w:pPr>
      <w:bookmarkStart w:id="77" w:name="_Toc27681"/>
      <w:bookmarkStart w:id="78" w:name="_Toc129703552"/>
      <w:r>
        <w:rPr>
          <w:rFonts w:hint="eastAsia" w:ascii="宋体" w:hAnsi="宋体" w:cs="宋体"/>
          <w:color w:val="auto"/>
          <w:highlight w:val="none"/>
        </w:rPr>
        <w:t>第五章 响应文件格式</w:t>
      </w:r>
      <w:bookmarkEnd w:id="77"/>
      <w:bookmarkEnd w:id="78"/>
    </w:p>
    <w:p w14:paraId="1D76C642">
      <w:pPr>
        <w:widowControl/>
        <w:spacing w:before="120"/>
        <w:ind w:firstLine="643"/>
        <w:jc w:val="left"/>
        <w:rPr>
          <w:rFonts w:ascii="宋体" w:hAnsi="宋体" w:cs="宋体"/>
          <w:b/>
          <w:color w:val="auto"/>
          <w:sz w:val="32"/>
          <w:szCs w:val="32"/>
          <w:highlight w:val="none"/>
        </w:rPr>
      </w:pPr>
      <w:r>
        <w:rPr>
          <w:rFonts w:ascii="宋体" w:hAnsi="宋体" w:cs="宋体"/>
          <w:b/>
          <w:color w:val="auto"/>
          <w:sz w:val="32"/>
          <w:szCs w:val="32"/>
          <w:highlight w:val="none"/>
        </w:rPr>
        <w:br w:type="page"/>
      </w:r>
    </w:p>
    <w:p w14:paraId="4C08F63D">
      <w:pPr>
        <w:spacing w:before="120"/>
        <w:ind w:firstLine="420"/>
        <w:rPr>
          <w:color w:val="auto"/>
          <w:highlight w:val="none"/>
        </w:rPr>
      </w:pPr>
    </w:p>
    <w:p w14:paraId="7699260B">
      <w:pPr>
        <w:spacing w:before="120"/>
        <w:ind w:firstLine="643"/>
        <w:rPr>
          <w:rFonts w:ascii="宋体" w:hAnsi="宋体" w:cs="宋体"/>
          <w:b/>
          <w:color w:val="auto"/>
          <w:sz w:val="32"/>
          <w:szCs w:val="32"/>
          <w:highlight w:val="none"/>
        </w:rPr>
      </w:pPr>
      <w:bookmarkStart w:id="79" w:name="_Toc71366060"/>
      <w:bookmarkStart w:id="80" w:name="_Toc71365382"/>
      <w:r>
        <w:rPr>
          <w:rFonts w:hint="eastAsia" w:ascii="宋体" w:hAnsi="宋体" w:cs="宋体"/>
          <w:b/>
          <w:color w:val="auto"/>
          <w:sz w:val="32"/>
          <w:szCs w:val="32"/>
          <w:highlight w:val="none"/>
        </w:rPr>
        <w:t>一、资格证明文件格式</w:t>
      </w:r>
      <w:bookmarkEnd w:id="79"/>
      <w:bookmarkEnd w:id="80"/>
    </w:p>
    <w:p w14:paraId="02E0D4BA">
      <w:pPr>
        <w:snapToGrid w:val="0"/>
        <w:spacing w:beforeLines="50" w:after="50" w:line="360" w:lineRule="auto"/>
        <w:ind w:firstLine="643"/>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7CF7533C">
      <w:pPr>
        <w:snapToGrid w:val="0"/>
        <w:spacing w:beforeLines="50" w:after="50"/>
        <w:ind w:firstLine="48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4540B593">
      <w:pPr>
        <w:snapToGrid w:val="0"/>
        <w:spacing w:beforeLines="50" w:after="50"/>
        <w:ind w:firstLine="88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3465F5DB">
      <w:pPr>
        <w:snapToGrid w:val="0"/>
        <w:spacing w:beforeLines="50" w:after="50"/>
        <w:ind w:firstLine="480"/>
        <w:rPr>
          <w:rFonts w:ascii="宋体" w:hAnsi="宋体" w:cs="宋体"/>
          <w:color w:val="auto"/>
          <w:sz w:val="24"/>
          <w:szCs w:val="20"/>
          <w:highlight w:val="none"/>
        </w:rPr>
      </w:pPr>
    </w:p>
    <w:p w14:paraId="0EF4AD77">
      <w:pPr>
        <w:snapToGrid w:val="0"/>
        <w:spacing w:beforeLines="50" w:after="50"/>
        <w:ind w:firstLine="88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66AAB6E6">
      <w:pPr>
        <w:snapToGrid w:val="0"/>
        <w:spacing w:beforeLines="50" w:after="50"/>
        <w:ind w:firstLine="480"/>
        <w:rPr>
          <w:rFonts w:ascii="宋体" w:hAnsi="宋体" w:cs="宋体"/>
          <w:bCs/>
          <w:color w:val="auto"/>
          <w:sz w:val="24"/>
          <w:szCs w:val="20"/>
          <w:highlight w:val="none"/>
        </w:rPr>
      </w:pPr>
    </w:p>
    <w:p w14:paraId="761255A4">
      <w:pPr>
        <w:snapToGrid w:val="0"/>
        <w:spacing w:beforeLines="50" w:after="50"/>
        <w:ind w:firstLine="480"/>
        <w:rPr>
          <w:rFonts w:ascii="宋体" w:hAnsi="宋体" w:cs="宋体"/>
          <w:bCs/>
          <w:color w:val="auto"/>
          <w:sz w:val="24"/>
          <w:szCs w:val="20"/>
          <w:highlight w:val="none"/>
        </w:rPr>
      </w:pPr>
    </w:p>
    <w:p w14:paraId="06A0F32C">
      <w:pPr>
        <w:snapToGrid w:val="0"/>
        <w:spacing w:beforeLines="50" w:after="50"/>
        <w:ind w:firstLine="480"/>
        <w:rPr>
          <w:rFonts w:ascii="宋体" w:hAnsi="宋体" w:cs="宋体"/>
          <w:bCs/>
          <w:color w:val="auto"/>
          <w:sz w:val="24"/>
          <w:szCs w:val="20"/>
          <w:highlight w:val="none"/>
        </w:rPr>
      </w:pPr>
    </w:p>
    <w:p w14:paraId="75D49B83">
      <w:pPr>
        <w:snapToGrid w:val="0"/>
        <w:spacing w:beforeLines="50" w:after="50"/>
        <w:ind w:firstLine="480"/>
        <w:rPr>
          <w:rFonts w:ascii="宋体" w:hAnsi="宋体" w:cs="宋体"/>
          <w:bCs/>
          <w:color w:val="auto"/>
          <w:sz w:val="24"/>
          <w:szCs w:val="20"/>
          <w:highlight w:val="none"/>
        </w:rPr>
      </w:pPr>
    </w:p>
    <w:p w14:paraId="40924F16">
      <w:pPr>
        <w:snapToGrid w:val="0"/>
        <w:spacing w:beforeLines="50" w:after="50"/>
        <w:ind w:firstLine="480"/>
        <w:rPr>
          <w:rFonts w:ascii="宋体" w:hAnsi="宋体" w:cs="宋体"/>
          <w:bCs/>
          <w:color w:val="auto"/>
          <w:sz w:val="24"/>
          <w:szCs w:val="20"/>
          <w:highlight w:val="none"/>
        </w:rPr>
      </w:pPr>
    </w:p>
    <w:p w14:paraId="7CA49201">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B2B9B1B">
      <w:pPr>
        <w:snapToGrid w:val="0"/>
        <w:spacing w:beforeLines="50" w:after="50"/>
        <w:ind w:firstLine="720" w:firstLineChars="225"/>
        <w:rPr>
          <w:rFonts w:ascii="宋体" w:hAnsi="宋体" w:cs="宋体"/>
          <w:bCs/>
          <w:color w:val="auto"/>
          <w:sz w:val="32"/>
          <w:szCs w:val="32"/>
          <w:highlight w:val="none"/>
        </w:rPr>
      </w:pPr>
    </w:p>
    <w:p w14:paraId="64C2E452">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1A1DDAC">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9F8911C">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91C153E">
      <w:pPr>
        <w:snapToGrid w:val="0"/>
        <w:spacing w:beforeLines="50" w:after="50"/>
        <w:ind w:firstLine="720" w:firstLineChars="225"/>
        <w:rPr>
          <w:rFonts w:ascii="宋体" w:hAnsi="宋体" w:cs="宋体"/>
          <w:bCs/>
          <w:color w:val="auto"/>
          <w:sz w:val="32"/>
          <w:szCs w:val="32"/>
          <w:highlight w:val="none"/>
        </w:rPr>
      </w:pPr>
    </w:p>
    <w:p w14:paraId="20C704C8">
      <w:pPr>
        <w:pStyle w:val="7"/>
        <w:snapToGrid w:val="0"/>
        <w:spacing w:before="12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69F62AE">
      <w:pPr>
        <w:snapToGrid w:val="0"/>
        <w:spacing w:beforeLines="50" w:after="50"/>
        <w:ind w:firstLine="640" w:firstLineChars="200"/>
        <w:rPr>
          <w:rFonts w:ascii="宋体" w:hAnsi="宋体" w:cs="宋体"/>
          <w:bCs/>
          <w:color w:val="auto"/>
          <w:sz w:val="32"/>
          <w:szCs w:val="32"/>
          <w:highlight w:val="none"/>
        </w:rPr>
      </w:pPr>
    </w:p>
    <w:p w14:paraId="3E3BF148">
      <w:pPr>
        <w:pStyle w:val="7"/>
        <w:snapToGrid w:val="0"/>
        <w:spacing w:before="120" w:after="50"/>
        <w:ind w:firstLine="720" w:firstLineChars="225"/>
        <w:rPr>
          <w:rFonts w:ascii="宋体" w:hAnsi="宋体" w:cs="宋体"/>
          <w:bCs/>
          <w:color w:val="auto"/>
          <w:sz w:val="32"/>
          <w:szCs w:val="32"/>
          <w:highlight w:val="none"/>
        </w:rPr>
      </w:pPr>
    </w:p>
    <w:p w14:paraId="475EA4F6">
      <w:pPr>
        <w:pStyle w:val="7"/>
        <w:snapToGrid w:val="0"/>
        <w:spacing w:before="120" w:after="50"/>
        <w:ind w:firstLine="720" w:firstLineChars="225"/>
        <w:rPr>
          <w:rFonts w:ascii="宋体" w:hAnsi="宋体" w:cs="宋体"/>
          <w:bCs/>
          <w:color w:val="auto"/>
          <w:sz w:val="32"/>
          <w:szCs w:val="32"/>
          <w:highlight w:val="none"/>
        </w:rPr>
      </w:pPr>
    </w:p>
    <w:p w14:paraId="1989C70A">
      <w:pPr>
        <w:pStyle w:val="7"/>
        <w:snapToGrid w:val="0"/>
        <w:spacing w:before="120" w:after="50"/>
        <w:ind w:firstLine="1280" w:firstLineChars="400"/>
        <w:rPr>
          <w:rFonts w:ascii="宋体" w:hAnsi="宋体" w:cs="宋体"/>
          <w:bCs/>
          <w:color w:val="auto"/>
          <w:sz w:val="32"/>
          <w:szCs w:val="32"/>
          <w:highlight w:val="none"/>
        </w:rPr>
      </w:pPr>
    </w:p>
    <w:p w14:paraId="504362B8">
      <w:pPr>
        <w:snapToGrid w:val="0"/>
        <w:spacing w:beforeLines="50" w:after="50"/>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AC0F796">
      <w:pPr>
        <w:snapToGrid w:val="0"/>
        <w:spacing w:beforeLines="50" w:after="50" w:line="360" w:lineRule="auto"/>
        <w:ind w:left="142" w:firstLine="480"/>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437AF31D">
      <w:pPr>
        <w:snapToGrid w:val="0"/>
        <w:spacing w:beforeLines="50" w:after="50"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03595014">
      <w:pPr>
        <w:snapToGrid w:val="0"/>
        <w:spacing w:beforeLines="50" w:after="50" w:line="360" w:lineRule="auto"/>
        <w:ind w:firstLine="48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5569DB4">
      <w:pPr>
        <w:spacing w:before="120" w:line="360" w:lineRule="auto"/>
        <w:ind w:firstLine="420"/>
        <w:rPr>
          <w:rFonts w:ascii="宋体" w:hAnsi="宋体" w:cs="宋体"/>
          <w:color w:val="auto"/>
          <w:szCs w:val="21"/>
          <w:highlight w:val="none"/>
        </w:rPr>
      </w:pPr>
    </w:p>
    <w:p w14:paraId="61FC6876">
      <w:pPr>
        <w:spacing w:before="120" w:line="360" w:lineRule="auto"/>
        <w:ind w:firstLine="420"/>
        <w:rPr>
          <w:rFonts w:ascii="宋体" w:hAnsi="宋体" w:cs="宋体"/>
          <w:color w:val="auto"/>
          <w:szCs w:val="21"/>
          <w:highlight w:val="none"/>
        </w:rPr>
      </w:pPr>
    </w:p>
    <w:p w14:paraId="54DB00B8">
      <w:pPr>
        <w:spacing w:before="120" w:line="360" w:lineRule="auto"/>
        <w:ind w:firstLine="420"/>
        <w:rPr>
          <w:rFonts w:ascii="宋体" w:hAnsi="宋体" w:cs="宋体"/>
          <w:color w:val="auto"/>
          <w:szCs w:val="21"/>
          <w:highlight w:val="none"/>
        </w:rPr>
      </w:pPr>
    </w:p>
    <w:p w14:paraId="1E2FBE3E">
      <w:pPr>
        <w:spacing w:before="120" w:line="360" w:lineRule="auto"/>
        <w:ind w:firstLine="420"/>
        <w:rPr>
          <w:rFonts w:ascii="宋体" w:hAnsi="宋体" w:cs="宋体"/>
          <w:color w:val="auto"/>
          <w:szCs w:val="21"/>
          <w:highlight w:val="none"/>
        </w:rPr>
      </w:pPr>
    </w:p>
    <w:p w14:paraId="4342DC53">
      <w:pPr>
        <w:spacing w:before="120" w:line="300" w:lineRule="auto"/>
        <w:ind w:firstLine="420"/>
        <w:rPr>
          <w:rFonts w:ascii="宋体" w:hAnsi="宋体" w:cs="宋体"/>
          <w:color w:val="auto"/>
          <w:szCs w:val="21"/>
          <w:highlight w:val="none"/>
        </w:rPr>
      </w:pPr>
    </w:p>
    <w:p w14:paraId="439F9FE8">
      <w:pPr>
        <w:spacing w:before="120" w:line="300" w:lineRule="auto"/>
        <w:ind w:firstLine="420"/>
        <w:rPr>
          <w:rFonts w:ascii="宋体" w:hAnsi="宋体" w:cs="宋体"/>
          <w:color w:val="auto"/>
          <w:szCs w:val="21"/>
          <w:highlight w:val="none"/>
        </w:rPr>
      </w:pPr>
    </w:p>
    <w:p w14:paraId="165236C0">
      <w:pPr>
        <w:spacing w:before="120" w:line="300" w:lineRule="auto"/>
        <w:ind w:firstLine="420"/>
        <w:rPr>
          <w:rFonts w:ascii="宋体" w:hAnsi="宋体" w:cs="宋体"/>
          <w:color w:val="auto"/>
          <w:szCs w:val="21"/>
          <w:highlight w:val="none"/>
        </w:rPr>
      </w:pPr>
    </w:p>
    <w:p w14:paraId="66F518D0">
      <w:pPr>
        <w:spacing w:before="120" w:line="300" w:lineRule="auto"/>
        <w:ind w:firstLine="420"/>
        <w:rPr>
          <w:rFonts w:ascii="宋体" w:hAnsi="宋体" w:cs="宋体"/>
          <w:color w:val="auto"/>
          <w:szCs w:val="21"/>
          <w:highlight w:val="none"/>
        </w:rPr>
      </w:pPr>
    </w:p>
    <w:p w14:paraId="21D7DA8F">
      <w:pPr>
        <w:spacing w:before="120" w:line="300" w:lineRule="auto"/>
        <w:ind w:firstLine="420"/>
        <w:rPr>
          <w:rFonts w:ascii="宋体" w:hAnsi="宋体" w:cs="宋体"/>
          <w:color w:val="auto"/>
          <w:szCs w:val="21"/>
          <w:highlight w:val="none"/>
        </w:rPr>
      </w:pPr>
    </w:p>
    <w:p w14:paraId="4AC351D4">
      <w:pPr>
        <w:spacing w:before="120" w:line="300" w:lineRule="auto"/>
        <w:ind w:firstLine="420"/>
        <w:rPr>
          <w:rFonts w:ascii="宋体" w:hAnsi="宋体" w:cs="宋体"/>
          <w:color w:val="auto"/>
          <w:szCs w:val="21"/>
          <w:highlight w:val="none"/>
        </w:rPr>
      </w:pPr>
    </w:p>
    <w:p w14:paraId="0189626E">
      <w:pPr>
        <w:spacing w:before="120" w:line="300" w:lineRule="auto"/>
        <w:ind w:firstLine="420"/>
        <w:rPr>
          <w:rFonts w:ascii="宋体" w:hAnsi="宋体" w:cs="宋体"/>
          <w:color w:val="auto"/>
          <w:szCs w:val="21"/>
          <w:highlight w:val="none"/>
        </w:rPr>
      </w:pPr>
    </w:p>
    <w:p w14:paraId="0CEE2D5E">
      <w:pPr>
        <w:spacing w:before="120" w:line="300" w:lineRule="auto"/>
        <w:ind w:firstLine="420"/>
        <w:rPr>
          <w:rFonts w:ascii="宋体" w:hAnsi="宋体" w:cs="宋体"/>
          <w:color w:val="auto"/>
          <w:szCs w:val="21"/>
          <w:highlight w:val="none"/>
        </w:rPr>
      </w:pPr>
    </w:p>
    <w:p w14:paraId="73C5E05A">
      <w:pPr>
        <w:spacing w:before="120" w:line="300" w:lineRule="auto"/>
        <w:ind w:firstLine="420"/>
        <w:rPr>
          <w:rFonts w:ascii="宋体" w:hAnsi="宋体" w:cs="宋体"/>
          <w:color w:val="auto"/>
          <w:szCs w:val="21"/>
          <w:highlight w:val="none"/>
        </w:rPr>
      </w:pPr>
    </w:p>
    <w:p w14:paraId="53589613">
      <w:pPr>
        <w:spacing w:before="120" w:line="300" w:lineRule="auto"/>
        <w:ind w:firstLine="420"/>
        <w:rPr>
          <w:rFonts w:ascii="宋体" w:hAnsi="宋体" w:cs="宋体"/>
          <w:color w:val="auto"/>
          <w:szCs w:val="21"/>
          <w:highlight w:val="none"/>
        </w:rPr>
      </w:pPr>
    </w:p>
    <w:p w14:paraId="4570B460">
      <w:pPr>
        <w:spacing w:before="120" w:line="300" w:lineRule="auto"/>
        <w:ind w:firstLine="420"/>
        <w:rPr>
          <w:rFonts w:ascii="宋体" w:hAnsi="宋体" w:cs="宋体"/>
          <w:color w:val="auto"/>
          <w:szCs w:val="21"/>
          <w:highlight w:val="none"/>
        </w:rPr>
      </w:pPr>
    </w:p>
    <w:p w14:paraId="3E0D37AB">
      <w:pPr>
        <w:spacing w:before="120" w:line="320" w:lineRule="exact"/>
        <w:ind w:firstLine="420"/>
        <w:jc w:val="left"/>
        <w:rPr>
          <w:rFonts w:ascii="宋体" w:hAnsi="宋体" w:cs="宋体"/>
          <w:color w:val="auto"/>
          <w:szCs w:val="21"/>
          <w:highlight w:val="none"/>
        </w:rPr>
      </w:pPr>
    </w:p>
    <w:p w14:paraId="7E774738">
      <w:pPr>
        <w:snapToGrid w:val="0"/>
        <w:spacing w:beforeLines="50" w:after="50"/>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供应商直接控股、管理关系信息表</w:t>
      </w:r>
    </w:p>
    <w:p w14:paraId="427B4B8A">
      <w:pPr>
        <w:snapToGrid w:val="0"/>
        <w:spacing w:beforeLines="50" w:after="50"/>
        <w:ind w:firstLine="643"/>
        <w:jc w:val="center"/>
        <w:rPr>
          <w:rFonts w:ascii="宋体" w:hAnsi="宋体" w:cs="宋体"/>
          <w:b/>
          <w:color w:val="auto"/>
          <w:sz w:val="32"/>
          <w:szCs w:val="32"/>
          <w:highlight w:val="none"/>
        </w:rPr>
      </w:pPr>
    </w:p>
    <w:p w14:paraId="16451F08">
      <w:pPr>
        <w:snapToGrid w:val="0"/>
        <w:spacing w:beforeLines="50" w:after="50"/>
        <w:ind w:firstLine="422"/>
        <w:jc w:val="center"/>
        <w:rPr>
          <w:rFonts w:ascii="宋体" w:hAnsi="宋体" w:cs="宋体"/>
          <w:b/>
          <w:color w:val="auto"/>
          <w:szCs w:val="21"/>
          <w:highlight w:val="none"/>
        </w:rPr>
      </w:pPr>
      <w:r>
        <w:rPr>
          <w:rFonts w:hint="eastAsia" w:ascii="宋体" w:hAnsi="宋体" w:cs="宋体"/>
          <w:b/>
          <w:color w:val="auto"/>
          <w:szCs w:val="21"/>
          <w:highlight w:val="none"/>
        </w:rPr>
        <w:t>供应商直接控股股东信息表</w:t>
      </w:r>
    </w:p>
    <w:p w14:paraId="2629D679">
      <w:pPr>
        <w:snapToGrid w:val="0"/>
        <w:spacing w:before="120" w:afterLines="50"/>
        <w:ind w:firstLine="422"/>
        <w:jc w:val="center"/>
        <w:rPr>
          <w:rFonts w:ascii="宋体" w:hAnsi="宋体" w:cs="宋体"/>
          <w:b/>
          <w:color w:val="auto"/>
          <w:szCs w:val="21"/>
          <w:highlight w:val="none"/>
        </w:rPr>
      </w:pPr>
    </w:p>
    <w:tbl>
      <w:tblPr>
        <w:tblStyle w:val="26"/>
        <w:tblW w:w="9775" w:type="dxa"/>
        <w:jc w:val="center"/>
        <w:shd w:val="clear" w:color="auto" w:fill="FBFBFB"/>
        <w:tblLayout w:type="fixed"/>
        <w:tblCellMar>
          <w:top w:w="0" w:type="dxa"/>
          <w:left w:w="0" w:type="dxa"/>
          <w:bottom w:w="0" w:type="dxa"/>
          <w:right w:w="0" w:type="dxa"/>
        </w:tblCellMar>
      </w:tblPr>
      <w:tblGrid>
        <w:gridCol w:w="719"/>
        <w:gridCol w:w="2818"/>
        <w:gridCol w:w="1456"/>
        <w:gridCol w:w="4074"/>
        <w:gridCol w:w="708"/>
      </w:tblGrid>
      <w:tr w14:paraId="5BAC4609">
        <w:tblPrEx>
          <w:tblCellMar>
            <w:top w:w="0" w:type="dxa"/>
            <w:left w:w="0" w:type="dxa"/>
            <w:bottom w:w="0" w:type="dxa"/>
            <w:right w:w="0" w:type="dxa"/>
          </w:tblCellMar>
        </w:tblPrEx>
        <w:trPr>
          <w:tblHeader/>
          <w:jc w:val="center"/>
        </w:trPr>
        <w:tc>
          <w:tcPr>
            <w:tcW w:w="71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6746EA">
            <w:pPr>
              <w:widowControl/>
              <w:spacing w:before="120"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8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9C9B66">
            <w:pPr>
              <w:widowControl/>
              <w:spacing w:before="120" w:line="360" w:lineRule="auto"/>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2D202E">
            <w:pPr>
              <w:widowControl/>
              <w:spacing w:before="120"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07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3CDC0A">
            <w:pPr>
              <w:widowControl/>
              <w:spacing w:before="120" w:line="360" w:lineRule="auto"/>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7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CCDEFDF">
            <w:pPr>
              <w:widowControl/>
              <w:spacing w:before="120"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2FAFB87">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737A7C">
            <w:pPr>
              <w:widowControl/>
              <w:spacing w:before="120" w:line="360" w:lineRule="auto"/>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22F898">
            <w:pPr>
              <w:widowControl/>
              <w:spacing w:before="120" w:line="360" w:lineRule="auto"/>
              <w:ind w:firstLine="420"/>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55DFEE">
            <w:pPr>
              <w:widowControl/>
              <w:spacing w:before="120" w:line="360" w:lineRule="auto"/>
              <w:ind w:firstLine="420"/>
              <w:jc w:val="center"/>
              <w:rPr>
                <w:rFonts w:ascii="宋体" w:hAnsi="宋体" w:cs="宋体"/>
                <w:color w:val="auto"/>
                <w:kern w:val="0"/>
                <w:szCs w:val="21"/>
                <w:highlight w:val="none"/>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7AA99B">
            <w:pPr>
              <w:widowControl/>
              <w:spacing w:before="120" w:line="360" w:lineRule="auto"/>
              <w:ind w:firstLine="420"/>
              <w:jc w:val="center"/>
              <w:rPr>
                <w:rFonts w:ascii="宋体" w:hAnsi="宋体" w:cs="宋体"/>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49B422">
            <w:pPr>
              <w:widowControl/>
              <w:spacing w:before="120" w:line="360" w:lineRule="auto"/>
              <w:ind w:firstLine="420"/>
              <w:jc w:val="center"/>
              <w:rPr>
                <w:rFonts w:ascii="宋体" w:hAnsi="宋体" w:cs="宋体"/>
                <w:color w:val="auto"/>
                <w:kern w:val="0"/>
                <w:szCs w:val="21"/>
                <w:highlight w:val="none"/>
              </w:rPr>
            </w:pPr>
          </w:p>
        </w:tc>
      </w:tr>
      <w:tr w14:paraId="5B7E1156">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059ECA">
            <w:pPr>
              <w:widowControl/>
              <w:spacing w:before="120" w:line="360" w:lineRule="auto"/>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983B23">
            <w:pPr>
              <w:widowControl/>
              <w:spacing w:before="120" w:line="360" w:lineRule="auto"/>
              <w:ind w:firstLine="420"/>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A02317">
            <w:pPr>
              <w:widowControl/>
              <w:spacing w:before="120" w:line="360" w:lineRule="auto"/>
              <w:ind w:firstLine="420"/>
              <w:jc w:val="center"/>
              <w:rPr>
                <w:rFonts w:ascii="宋体" w:hAnsi="宋体" w:cs="宋体"/>
                <w:color w:val="auto"/>
                <w:kern w:val="0"/>
                <w:szCs w:val="21"/>
                <w:highlight w:val="none"/>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66AE2">
            <w:pPr>
              <w:widowControl/>
              <w:spacing w:before="120" w:line="360" w:lineRule="auto"/>
              <w:ind w:firstLine="420"/>
              <w:jc w:val="center"/>
              <w:rPr>
                <w:rFonts w:ascii="宋体" w:hAnsi="宋体" w:cs="宋体"/>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F0CA2">
            <w:pPr>
              <w:widowControl/>
              <w:spacing w:before="120" w:line="360" w:lineRule="auto"/>
              <w:ind w:firstLine="420"/>
              <w:jc w:val="center"/>
              <w:rPr>
                <w:rFonts w:ascii="宋体" w:hAnsi="宋体" w:cs="宋体"/>
                <w:color w:val="auto"/>
                <w:kern w:val="0"/>
                <w:szCs w:val="21"/>
                <w:highlight w:val="none"/>
              </w:rPr>
            </w:pPr>
          </w:p>
        </w:tc>
      </w:tr>
      <w:tr w14:paraId="17B4787D">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5FD969">
            <w:pPr>
              <w:widowControl/>
              <w:spacing w:before="120" w:line="360" w:lineRule="auto"/>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4DE18B">
            <w:pPr>
              <w:widowControl/>
              <w:spacing w:before="120" w:line="360" w:lineRule="auto"/>
              <w:ind w:firstLine="420"/>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9DC29F">
            <w:pPr>
              <w:widowControl/>
              <w:spacing w:before="120" w:line="360" w:lineRule="auto"/>
              <w:ind w:firstLine="420"/>
              <w:jc w:val="center"/>
              <w:rPr>
                <w:rFonts w:ascii="宋体" w:hAnsi="宋体" w:cs="宋体"/>
                <w:color w:val="auto"/>
                <w:kern w:val="0"/>
                <w:szCs w:val="21"/>
                <w:highlight w:val="none"/>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D7E2E1">
            <w:pPr>
              <w:widowControl/>
              <w:spacing w:before="120" w:line="360" w:lineRule="auto"/>
              <w:ind w:firstLine="420"/>
              <w:jc w:val="center"/>
              <w:rPr>
                <w:rFonts w:ascii="宋体" w:hAnsi="宋体" w:cs="宋体"/>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059BD5">
            <w:pPr>
              <w:widowControl/>
              <w:spacing w:before="120" w:line="360" w:lineRule="auto"/>
              <w:ind w:firstLine="420"/>
              <w:jc w:val="center"/>
              <w:rPr>
                <w:rFonts w:ascii="宋体" w:hAnsi="宋体" w:cs="宋体"/>
                <w:color w:val="auto"/>
                <w:kern w:val="0"/>
                <w:szCs w:val="21"/>
                <w:highlight w:val="none"/>
              </w:rPr>
            </w:pPr>
          </w:p>
        </w:tc>
      </w:tr>
      <w:tr w14:paraId="72BCCD03">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1C0F2B">
            <w:pPr>
              <w:widowControl/>
              <w:spacing w:before="120"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E14971">
            <w:pPr>
              <w:widowControl/>
              <w:spacing w:before="120" w:line="360" w:lineRule="auto"/>
              <w:ind w:firstLine="420"/>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0E1687">
            <w:pPr>
              <w:widowControl/>
              <w:spacing w:before="120" w:line="360" w:lineRule="auto"/>
              <w:ind w:firstLine="420"/>
              <w:jc w:val="center"/>
              <w:rPr>
                <w:rFonts w:ascii="宋体" w:hAnsi="宋体" w:cs="宋体"/>
                <w:color w:val="auto"/>
                <w:kern w:val="0"/>
                <w:szCs w:val="21"/>
                <w:highlight w:val="none"/>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B22FBC">
            <w:pPr>
              <w:widowControl/>
              <w:spacing w:before="120" w:line="360" w:lineRule="auto"/>
              <w:ind w:firstLine="420"/>
              <w:jc w:val="center"/>
              <w:rPr>
                <w:rFonts w:ascii="宋体" w:hAnsi="宋体" w:cs="宋体"/>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6C8DC">
            <w:pPr>
              <w:widowControl/>
              <w:spacing w:before="120" w:line="360" w:lineRule="auto"/>
              <w:ind w:firstLine="420"/>
              <w:jc w:val="center"/>
              <w:rPr>
                <w:rFonts w:ascii="宋体" w:hAnsi="宋体" w:cs="宋体"/>
                <w:color w:val="auto"/>
                <w:kern w:val="0"/>
                <w:szCs w:val="21"/>
                <w:highlight w:val="none"/>
              </w:rPr>
            </w:pPr>
          </w:p>
        </w:tc>
      </w:tr>
    </w:tbl>
    <w:p w14:paraId="70237D48">
      <w:pPr>
        <w:spacing w:before="120"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注：</w:t>
      </w:r>
    </w:p>
    <w:p w14:paraId="5D085356">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71CF18">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ADFAD0D">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2A4142CC">
      <w:pPr>
        <w:spacing w:before="120" w:line="360" w:lineRule="auto"/>
        <w:ind w:firstLine="420" w:firstLineChars="200"/>
        <w:jc w:val="left"/>
        <w:rPr>
          <w:rFonts w:ascii="宋体" w:hAnsi="宋体" w:cs="宋体"/>
          <w:color w:val="auto"/>
          <w:szCs w:val="21"/>
          <w:highlight w:val="none"/>
        </w:rPr>
      </w:pPr>
    </w:p>
    <w:p w14:paraId="28DFDA5F">
      <w:pPr>
        <w:spacing w:before="120" w:line="360" w:lineRule="auto"/>
        <w:ind w:firstLine="420" w:firstLineChars="200"/>
        <w:jc w:val="left"/>
        <w:rPr>
          <w:rFonts w:ascii="宋体" w:hAnsi="宋体" w:cs="宋体"/>
          <w:color w:val="auto"/>
          <w:szCs w:val="21"/>
          <w:highlight w:val="none"/>
        </w:rPr>
      </w:pPr>
    </w:p>
    <w:p w14:paraId="44D1AC6A">
      <w:pPr>
        <w:spacing w:before="120" w:line="360" w:lineRule="auto"/>
        <w:ind w:right="480" w:firstLine="42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2111271A">
      <w:pPr>
        <w:spacing w:before="120" w:line="360" w:lineRule="auto"/>
        <w:ind w:right="480" w:firstLine="2625" w:firstLineChars="12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355AA05F">
      <w:pPr>
        <w:spacing w:before="120" w:line="360" w:lineRule="auto"/>
        <w:ind w:right="480" w:firstLine="4620" w:firstLineChars="2200"/>
        <w:contextualSpacing/>
        <w:rPr>
          <w:rFonts w:ascii="宋体" w:hAnsi="宋体" w:cs="宋体"/>
          <w:color w:val="auto"/>
          <w:szCs w:val="21"/>
          <w:highlight w:val="none"/>
        </w:rPr>
      </w:pPr>
      <w:r>
        <w:rPr>
          <w:rFonts w:hint="eastAsia" w:ascii="宋体" w:hAnsi="宋体" w:cs="宋体"/>
          <w:color w:val="auto"/>
          <w:szCs w:val="21"/>
          <w:highlight w:val="none"/>
        </w:rPr>
        <w:t>年    月    日</w:t>
      </w:r>
    </w:p>
    <w:p w14:paraId="2FFC9402">
      <w:pPr>
        <w:snapToGrid w:val="0"/>
        <w:spacing w:before="12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37A0A42">
      <w:pPr>
        <w:snapToGrid w:val="0"/>
        <w:spacing w:before="120"/>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376AF607">
      <w:pPr>
        <w:snapToGrid w:val="0"/>
        <w:spacing w:before="120"/>
        <w:ind w:firstLine="643"/>
        <w:jc w:val="center"/>
        <w:rPr>
          <w:rFonts w:ascii="宋体" w:hAnsi="宋体" w:cs="宋体"/>
          <w:b/>
          <w:color w:val="auto"/>
          <w:sz w:val="32"/>
          <w:szCs w:val="32"/>
          <w:highlight w:val="none"/>
        </w:rPr>
      </w:pPr>
    </w:p>
    <w:tbl>
      <w:tblPr>
        <w:tblStyle w:val="26"/>
        <w:tblW w:w="9648" w:type="dxa"/>
        <w:jc w:val="center"/>
        <w:shd w:val="clear" w:color="auto" w:fill="FBFBFB"/>
        <w:tblLayout w:type="fixed"/>
        <w:tblCellMar>
          <w:top w:w="0" w:type="dxa"/>
          <w:left w:w="0" w:type="dxa"/>
          <w:bottom w:w="0" w:type="dxa"/>
          <w:right w:w="0" w:type="dxa"/>
        </w:tblCellMar>
      </w:tblPr>
      <w:tblGrid>
        <w:gridCol w:w="809"/>
        <w:gridCol w:w="3598"/>
        <w:gridCol w:w="3553"/>
        <w:gridCol w:w="1688"/>
      </w:tblGrid>
      <w:tr w14:paraId="17295D58">
        <w:tblPrEx>
          <w:tblCellMar>
            <w:top w:w="0" w:type="dxa"/>
            <w:left w:w="0" w:type="dxa"/>
            <w:bottom w:w="0" w:type="dxa"/>
            <w:right w:w="0" w:type="dxa"/>
          </w:tblCellMar>
        </w:tblPrEx>
        <w:trPr>
          <w:tblHeader/>
          <w:jc w:val="center"/>
        </w:trPr>
        <w:tc>
          <w:tcPr>
            <w:tcW w:w="80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88DF5B">
            <w:pPr>
              <w:widowControl/>
              <w:spacing w:before="120"/>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59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A3B1BC">
            <w:pPr>
              <w:widowControl/>
              <w:spacing w:before="120"/>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C291E3">
            <w:pPr>
              <w:widowControl/>
              <w:spacing w:before="120"/>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33DADA">
            <w:pPr>
              <w:widowControl/>
              <w:spacing w:before="120"/>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EB702B9">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0B7DD">
            <w:pPr>
              <w:widowControl/>
              <w:wordWrap w:val="0"/>
              <w:spacing w:before="120" w:line="20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384348">
            <w:pPr>
              <w:widowControl/>
              <w:wordWrap w:val="0"/>
              <w:spacing w:before="120" w:line="200" w:lineRule="atLeast"/>
              <w:ind w:firstLine="420"/>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8148A9">
            <w:pPr>
              <w:widowControl/>
              <w:wordWrap w:val="0"/>
              <w:spacing w:before="120" w:line="200" w:lineRule="atLeast"/>
              <w:ind w:firstLine="420"/>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7FE199">
            <w:pPr>
              <w:widowControl/>
              <w:wordWrap w:val="0"/>
              <w:spacing w:before="120" w:line="200" w:lineRule="atLeast"/>
              <w:ind w:firstLine="420"/>
              <w:jc w:val="center"/>
              <w:rPr>
                <w:rFonts w:ascii="宋体" w:hAnsi="宋体" w:cs="宋体"/>
                <w:color w:val="auto"/>
                <w:kern w:val="0"/>
                <w:szCs w:val="21"/>
                <w:highlight w:val="none"/>
              </w:rPr>
            </w:pPr>
          </w:p>
        </w:tc>
      </w:tr>
      <w:tr w14:paraId="32F60F30">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C30F6">
            <w:pPr>
              <w:widowControl/>
              <w:wordWrap w:val="0"/>
              <w:spacing w:before="120" w:line="20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4E982">
            <w:pPr>
              <w:widowControl/>
              <w:wordWrap w:val="0"/>
              <w:spacing w:before="120" w:line="200" w:lineRule="atLeast"/>
              <w:ind w:firstLine="420"/>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2696F0">
            <w:pPr>
              <w:widowControl/>
              <w:wordWrap w:val="0"/>
              <w:spacing w:before="120" w:line="200" w:lineRule="atLeast"/>
              <w:ind w:firstLine="420"/>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220B1C">
            <w:pPr>
              <w:widowControl/>
              <w:wordWrap w:val="0"/>
              <w:spacing w:before="120" w:line="200" w:lineRule="atLeast"/>
              <w:ind w:firstLine="420"/>
              <w:jc w:val="center"/>
              <w:rPr>
                <w:rFonts w:ascii="宋体" w:hAnsi="宋体" w:cs="宋体"/>
                <w:color w:val="auto"/>
                <w:kern w:val="0"/>
                <w:szCs w:val="21"/>
                <w:highlight w:val="none"/>
              </w:rPr>
            </w:pPr>
          </w:p>
        </w:tc>
      </w:tr>
      <w:tr w14:paraId="173DC669">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B8D52A">
            <w:pPr>
              <w:widowControl/>
              <w:wordWrap w:val="0"/>
              <w:spacing w:before="120" w:line="200" w:lineRule="atLeas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CD87B5">
            <w:pPr>
              <w:widowControl/>
              <w:wordWrap w:val="0"/>
              <w:spacing w:before="120" w:line="200" w:lineRule="atLeast"/>
              <w:ind w:firstLine="420"/>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8C249C">
            <w:pPr>
              <w:widowControl/>
              <w:wordWrap w:val="0"/>
              <w:spacing w:before="120" w:line="200" w:lineRule="atLeast"/>
              <w:ind w:firstLine="420"/>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92F5AB">
            <w:pPr>
              <w:widowControl/>
              <w:wordWrap w:val="0"/>
              <w:spacing w:before="120" w:line="200" w:lineRule="atLeast"/>
              <w:ind w:firstLine="420"/>
              <w:jc w:val="center"/>
              <w:rPr>
                <w:rFonts w:ascii="宋体" w:hAnsi="宋体" w:cs="宋体"/>
                <w:color w:val="auto"/>
                <w:kern w:val="0"/>
                <w:szCs w:val="21"/>
                <w:highlight w:val="none"/>
              </w:rPr>
            </w:pPr>
          </w:p>
        </w:tc>
      </w:tr>
      <w:tr w14:paraId="244B3080">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724C1">
            <w:pPr>
              <w:widowControl/>
              <w:wordWrap w:val="0"/>
              <w:spacing w:before="120" w:line="200" w:lineRule="atLeas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24323A">
            <w:pPr>
              <w:widowControl/>
              <w:wordWrap w:val="0"/>
              <w:spacing w:before="120" w:line="200" w:lineRule="atLeast"/>
              <w:ind w:firstLine="420"/>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1EB5C5">
            <w:pPr>
              <w:widowControl/>
              <w:wordWrap w:val="0"/>
              <w:spacing w:before="120" w:line="200" w:lineRule="atLeast"/>
              <w:ind w:firstLine="420"/>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677642">
            <w:pPr>
              <w:widowControl/>
              <w:wordWrap w:val="0"/>
              <w:spacing w:before="120" w:line="200" w:lineRule="atLeast"/>
              <w:ind w:firstLine="420"/>
              <w:jc w:val="center"/>
              <w:rPr>
                <w:rFonts w:ascii="宋体" w:hAnsi="宋体" w:cs="宋体"/>
                <w:color w:val="auto"/>
                <w:kern w:val="0"/>
                <w:szCs w:val="21"/>
                <w:highlight w:val="none"/>
              </w:rPr>
            </w:pPr>
          </w:p>
        </w:tc>
      </w:tr>
    </w:tbl>
    <w:p w14:paraId="641DBEC1">
      <w:pPr>
        <w:spacing w:before="120"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注：</w:t>
      </w:r>
    </w:p>
    <w:p w14:paraId="381A3090">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6D12E33">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7DD08814">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3BBB5EC9">
      <w:pPr>
        <w:spacing w:before="120" w:line="360" w:lineRule="auto"/>
        <w:ind w:firstLine="420"/>
        <w:jc w:val="left"/>
        <w:rPr>
          <w:rFonts w:ascii="宋体" w:hAnsi="宋体" w:cs="宋体"/>
          <w:color w:val="auto"/>
          <w:szCs w:val="21"/>
          <w:highlight w:val="none"/>
        </w:rPr>
      </w:pPr>
    </w:p>
    <w:p w14:paraId="12B8FCE5">
      <w:pPr>
        <w:spacing w:before="120" w:line="360" w:lineRule="auto"/>
        <w:ind w:firstLine="420"/>
        <w:jc w:val="left"/>
        <w:rPr>
          <w:rFonts w:ascii="宋体" w:hAnsi="宋体" w:cs="宋体"/>
          <w:color w:val="auto"/>
          <w:szCs w:val="21"/>
          <w:highlight w:val="none"/>
        </w:rPr>
      </w:pPr>
    </w:p>
    <w:p w14:paraId="25036697">
      <w:pPr>
        <w:spacing w:before="120" w:line="360" w:lineRule="auto"/>
        <w:ind w:firstLine="420"/>
        <w:jc w:val="left"/>
        <w:rPr>
          <w:rFonts w:ascii="宋体" w:hAnsi="宋体" w:cs="宋体"/>
          <w:color w:val="auto"/>
          <w:szCs w:val="21"/>
          <w:highlight w:val="none"/>
        </w:rPr>
      </w:pPr>
    </w:p>
    <w:p w14:paraId="5CC80BA6">
      <w:pPr>
        <w:spacing w:before="120" w:line="360" w:lineRule="auto"/>
        <w:ind w:firstLine="420"/>
        <w:jc w:val="left"/>
        <w:rPr>
          <w:rFonts w:ascii="宋体" w:hAnsi="宋体" w:cs="宋体"/>
          <w:color w:val="auto"/>
          <w:szCs w:val="21"/>
          <w:highlight w:val="none"/>
        </w:rPr>
      </w:pPr>
    </w:p>
    <w:p w14:paraId="32246A38">
      <w:pPr>
        <w:spacing w:before="120" w:line="360" w:lineRule="auto"/>
        <w:ind w:firstLine="420"/>
        <w:jc w:val="left"/>
        <w:rPr>
          <w:rFonts w:ascii="宋体" w:hAnsi="宋体" w:cs="宋体"/>
          <w:color w:val="auto"/>
          <w:szCs w:val="21"/>
          <w:highlight w:val="none"/>
        </w:rPr>
      </w:pPr>
    </w:p>
    <w:p w14:paraId="0E19AD6E">
      <w:pPr>
        <w:spacing w:before="120" w:line="360" w:lineRule="auto"/>
        <w:ind w:firstLine="420"/>
        <w:jc w:val="left"/>
        <w:rPr>
          <w:rFonts w:ascii="宋体" w:hAnsi="宋体" w:cs="宋体"/>
          <w:color w:val="auto"/>
          <w:szCs w:val="21"/>
          <w:highlight w:val="none"/>
        </w:rPr>
      </w:pPr>
    </w:p>
    <w:p w14:paraId="313AD692">
      <w:pPr>
        <w:spacing w:before="120" w:line="360" w:lineRule="auto"/>
        <w:ind w:right="480" w:firstLine="42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w:t>
      </w:r>
      <w:bookmarkStart w:id="81" w:name="OLE_LINK19"/>
      <w:r>
        <w:rPr>
          <w:rFonts w:hint="eastAsia" w:ascii="宋体" w:hAnsi="宋体" w:cs="宋体"/>
          <w:color w:val="auto"/>
          <w:szCs w:val="21"/>
          <w:highlight w:val="none"/>
        </w:rPr>
        <w:t>法定代表人或者委托代理人（签字或者电子签名）</w:t>
      </w:r>
      <w:bookmarkEnd w:id="81"/>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9C3CC72">
      <w:pPr>
        <w:spacing w:before="120" w:line="360" w:lineRule="auto"/>
        <w:ind w:right="480" w:firstLine="2940" w:firstLineChars="14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5F49CE50">
      <w:pPr>
        <w:spacing w:before="120" w:line="360" w:lineRule="auto"/>
        <w:ind w:right="480" w:firstLine="210" w:firstLineChars="1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544BE385">
      <w:pPr>
        <w:spacing w:before="120" w:line="500" w:lineRule="exact"/>
        <w:jc w:val="center"/>
        <w:rPr>
          <w:rFonts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竞标声明</w:t>
      </w:r>
    </w:p>
    <w:p w14:paraId="64927323">
      <w:pPr>
        <w:spacing w:before="120" w:line="320" w:lineRule="exact"/>
        <w:ind w:firstLine="480"/>
        <w:jc w:val="center"/>
        <w:rPr>
          <w:rFonts w:ascii="宋体" w:hAnsi="宋体" w:cs="宋体"/>
          <w:color w:val="auto"/>
          <w:sz w:val="24"/>
          <w:szCs w:val="20"/>
          <w:highlight w:val="none"/>
        </w:rPr>
      </w:pPr>
    </w:p>
    <w:p w14:paraId="6DD14B81">
      <w:pPr>
        <w:spacing w:before="120" w:line="440" w:lineRule="exact"/>
        <w:ind w:firstLine="420"/>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5F018106">
      <w:pPr>
        <w:wordWrap w:val="0"/>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BE127E">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432F21AC">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5694FBCE">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2619AEF7">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6DBA0119">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507BF7D9">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14:paraId="76D536A3">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73638AEB">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（4）响应谈判文件规定的竞标有效期。</w:t>
      </w:r>
    </w:p>
    <w:p w14:paraId="7E94AF88">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15A567B">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1F43853">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29C9EFC">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E17DA18">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623741A1">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282CE498">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67BD5FE">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E514B73">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43D532A">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18A7721">
      <w:pPr>
        <w:spacing w:before="1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7DEF851">
      <w:pPr>
        <w:pStyle w:val="14"/>
        <w:ind w:firstLine="420"/>
        <w:rPr>
          <w:rFonts w:hAnsi="宋体" w:cs="宋体"/>
          <w:color w:val="auto"/>
          <w:kern w:val="2"/>
          <w:sz w:val="21"/>
          <w:szCs w:val="21"/>
          <w:highlight w:val="none"/>
          <w:u w:val="single"/>
        </w:rPr>
      </w:pPr>
      <w:r>
        <w:rPr>
          <w:rFonts w:hint="eastAsia" w:hAnsi="宋体" w:cs="宋体"/>
          <w:color w:val="auto"/>
          <w:kern w:val="2"/>
          <w:sz w:val="21"/>
          <w:szCs w:val="21"/>
          <w:highlight w:val="none"/>
        </w:rPr>
        <w:t>7.与本谈判有关的一切正式往来信函请寄：</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邮政编号：</w:t>
      </w:r>
      <w:r>
        <w:rPr>
          <w:rFonts w:hint="eastAsia" w:hAnsi="宋体" w:cs="宋体"/>
          <w:color w:val="auto"/>
          <w:kern w:val="2"/>
          <w:sz w:val="21"/>
          <w:szCs w:val="21"/>
          <w:highlight w:val="none"/>
          <w:u w:val="single"/>
        </w:rPr>
        <w:t xml:space="preserve">    </w:t>
      </w:r>
    </w:p>
    <w:p w14:paraId="07957276">
      <w:pPr>
        <w:pStyle w:val="14"/>
        <w:ind w:firstLine="420"/>
        <w:rPr>
          <w:color w:val="auto"/>
          <w:highlight w:val="none"/>
        </w:rPr>
      </w:pPr>
      <w:r>
        <w:rPr>
          <w:rFonts w:hint="eastAsia" w:hAnsi="宋体" w:cs="宋体"/>
          <w:color w:val="auto"/>
          <w:kern w:val="2"/>
          <w:sz w:val="21"/>
          <w:szCs w:val="21"/>
          <w:highlight w:val="none"/>
        </w:rPr>
        <w:t>电话/传真：</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 xml:space="preserve"> 电子邮箱：</w:t>
      </w:r>
      <w:r>
        <w:rPr>
          <w:rFonts w:hint="eastAsia" w:hAnsi="宋体" w:cs="宋体"/>
          <w:color w:val="auto"/>
          <w:kern w:val="2"/>
          <w:sz w:val="21"/>
          <w:szCs w:val="21"/>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14:paraId="44E3E1EF">
      <w:pPr>
        <w:pStyle w:val="13"/>
        <w:tabs>
          <w:tab w:val="left" w:pos="939"/>
        </w:tabs>
        <w:spacing w:before="120" w:line="440" w:lineRule="exact"/>
        <w:ind w:left="0" w:leftChars="0" w:firstLine="315" w:firstLineChars="15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帐号/行号：</w:t>
      </w:r>
      <w:r>
        <w:rPr>
          <w:rFonts w:hint="eastAsia" w:ascii="宋体" w:hAnsi="宋体" w:cs="宋体"/>
          <w:color w:val="auto"/>
          <w:szCs w:val="21"/>
          <w:highlight w:val="none"/>
          <w:u w:val="single"/>
        </w:rPr>
        <w:t xml:space="preserve">           </w:t>
      </w:r>
    </w:p>
    <w:p w14:paraId="2DFE2202">
      <w:pPr>
        <w:pStyle w:val="13"/>
        <w:tabs>
          <w:tab w:val="left" w:pos="939"/>
        </w:tabs>
        <w:spacing w:before="120" w:line="440" w:lineRule="exact"/>
        <w:ind w:left="0" w:leftChars="0" w:firstLine="315" w:firstLineChars="150"/>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5FB6E11E">
      <w:pPr>
        <w:pStyle w:val="13"/>
        <w:tabs>
          <w:tab w:val="left" w:pos="939"/>
        </w:tabs>
        <w:spacing w:before="120" w:line="440" w:lineRule="exact"/>
        <w:ind w:left="0" w:leftChars="0"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73E26C84">
      <w:pPr>
        <w:spacing w:before="120" w:line="440" w:lineRule="exact"/>
        <w:ind w:firstLine="422"/>
        <w:jc w:val="left"/>
        <w:rPr>
          <w:rFonts w:ascii="宋体" w:hAnsi="宋体" w:cs="宋体"/>
          <w:b/>
          <w:color w:val="auto"/>
          <w:szCs w:val="21"/>
          <w:highlight w:val="none"/>
        </w:rPr>
      </w:pPr>
      <w:r>
        <w:rPr>
          <w:rFonts w:hint="eastAsia" w:ascii="宋体" w:hAnsi="宋体" w:cs="宋体"/>
          <w:b/>
          <w:color w:val="auto"/>
          <w:szCs w:val="21"/>
          <w:highlight w:val="none"/>
        </w:rPr>
        <w:t>注：如为联合体竞标，盖章处须加盖联合体牵头人电子签章并由联合体牵头人法定代表人分别签字或者盖章或者电子签名，否则响应文件按无效处理。</w:t>
      </w:r>
    </w:p>
    <w:p w14:paraId="270C5085">
      <w:pPr>
        <w:spacing w:before="120" w:line="440" w:lineRule="exact"/>
        <w:ind w:firstLine="420"/>
        <w:jc w:val="left"/>
        <w:rPr>
          <w:rFonts w:ascii="宋体" w:hAnsi="宋体" w:cs="宋体"/>
          <w:color w:val="auto"/>
          <w:szCs w:val="21"/>
          <w:highlight w:val="none"/>
        </w:rPr>
      </w:pPr>
    </w:p>
    <w:p w14:paraId="214FEEDE">
      <w:pPr>
        <w:spacing w:before="120" w:line="440" w:lineRule="exact"/>
        <w:ind w:firstLine="1575" w:firstLineChars="750"/>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96B462A">
      <w:pPr>
        <w:spacing w:before="120" w:line="440" w:lineRule="exact"/>
        <w:ind w:firstLine="3780" w:firstLineChars="1800"/>
        <w:rPr>
          <w:rFonts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736039C">
      <w:pPr>
        <w:spacing w:before="120" w:line="440" w:lineRule="exact"/>
        <w:ind w:firstLine="210" w:firstLineChars="1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年    月    日 </w:t>
      </w:r>
    </w:p>
    <w:p w14:paraId="3CCF3621">
      <w:pPr>
        <w:pStyle w:val="7"/>
        <w:overflowPunct w:val="0"/>
        <w:spacing w:before="120" w:line="520" w:lineRule="exact"/>
        <w:ind w:firstLine="640"/>
        <w:jc w:val="center"/>
        <w:rPr>
          <w:rFonts w:ascii="宋体" w:hAnsi="宋体" w:cs="宋体"/>
          <w:color w:val="auto"/>
          <w:sz w:val="32"/>
          <w:szCs w:val="32"/>
          <w:highlight w:val="none"/>
        </w:rPr>
        <w:sectPr>
          <w:pgSz w:w="11910" w:h="16840"/>
          <w:pgMar w:top="1340" w:right="1500" w:bottom="280" w:left="1680" w:header="720" w:footer="720" w:gutter="0"/>
          <w:cols w:space="720" w:num="1"/>
        </w:sectPr>
      </w:pPr>
      <w:r>
        <w:rPr>
          <w:rFonts w:hint="eastAsia" w:ascii="宋体" w:hAnsi="宋体" w:cs="宋体"/>
          <w:color w:val="auto"/>
          <w:sz w:val="32"/>
          <w:szCs w:val="32"/>
          <w:highlight w:val="none"/>
        </w:rPr>
        <w:br w:type="page"/>
      </w:r>
    </w:p>
    <w:p w14:paraId="4546DA66">
      <w:pPr>
        <w:pStyle w:val="7"/>
        <w:overflowPunct w:val="0"/>
        <w:spacing w:before="120" w:line="520" w:lineRule="exact"/>
        <w:ind w:firstLine="482"/>
        <w:jc w:val="center"/>
        <w:rPr>
          <w:rFonts w:ascii="宋体" w:hAnsi="宋体" w:cs="宋体"/>
          <w:color w:val="auto"/>
          <w:sz w:val="32"/>
          <w:szCs w:val="32"/>
          <w:highlight w:val="none"/>
        </w:rPr>
      </w:pPr>
      <w:r>
        <w:rPr>
          <w:rFonts w:hint="eastAsia" w:ascii="宋体" w:hAnsi="宋体" w:cs="宋体"/>
          <w:b/>
          <w:color w:val="auto"/>
          <w:sz w:val="24"/>
          <w:szCs w:val="24"/>
          <w:highlight w:val="none"/>
        </w:rPr>
        <w:t>4.</w:t>
      </w:r>
      <w:r>
        <w:rPr>
          <w:rFonts w:hint="eastAsia" w:ascii="宋体" w:hAnsi="宋体" w:cs="宋体"/>
          <w:color w:val="auto"/>
          <w:sz w:val="32"/>
          <w:szCs w:val="32"/>
          <w:highlight w:val="none"/>
        </w:rPr>
        <w:t>联合体竞标协议书（如有）</w:t>
      </w:r>
    </w:p>
    <w:p w14:paraId="300CDE64">
      <w:pPr>
        <w:pStyle w:val="7"/>
        <w:overflowPunct w:val="0"/>
        <w:spacing w:before="120" w:line="360" w:lineRule="auto"/>
        <w:ind w:firstLine="480"/>
        <w:rPr>
          <w:rFonts w:ascii="宋体" w:hAnsi="宋体" w:cs="宋体"/>
          <w:color w:val="auto"/>
          <w:sz w:val="24"/>
          <w:szCs w:val="24"/>
          <w:highlight w:val="none"/>
        </w:rPr>
      </w:pPr>
    </w:p>
    <w:p w14:paraId="4FE2F1B9">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（项目名称）采购项目竞标。现就联合体竞标事宜订立如下协议。</w:t>
      </w:r>
    </w:p>
    <w:p w14:paraId="668F57A4">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2FCA2832">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5E1C3518">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2128E3BC">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7B6986">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pacing w:val="-6"/>
          <w:szCs w:val="21"/>
          <w:highlight w:val="none"/>
        </w:rPr>
        <w:t>协议书自所有成员单位法定代表人或者其委托代理人签字或者盖单位章之日起生效，合同履行完毕后自动失效。</w:t>
      </w:r>
    </w:p>
    <w:p w14:paraId="32712CA8">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rPr>
        <w:t>6.本协议书一式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份，联合体成员和采购人各执一份。</w:t>
      </w:r>
    </w:p>
    <w:p w14:paraId="217829D7">
      <w:pPr>
        <w:pStyle w:val="7"/>
        <w:overflowPunct w:val="0"/>
        <w:spacing w:before="120" w:line="360" w:lineRule="auto"/>
        <w:ind w:firstLineChars="200"/>
        <w:rPr>
          <w:rFonts w:ascii="宋体" w:hAnsi="宋体" w:cs="宋体"/>
          <w:color w:val="auto"/>
          <w:szCs w:val="21"/>
          <w:highlight w:val="none"/>
        </w:rPr>
      </w:pPr>
      <w:r>
        <w:rPr>
          <w:rFonts w:hint="eastAsia" w:ascii="宋体" w:hAnsi="宋体" w:cs="宋体"/>
          <w:color w:val="auto"/>
          <w:szCs w:val="21"/>
          <w:highlight w:val="none"/>
        </w:rPr>
        <w:t>注：本协议书应附法定代表人身份证明书；有委托代理的，应附权委托书（格式自拟）。</w:t>
      </w:r>
    </w:p>
    <w:p w14:paraId="4A431E59">
      <w:pPr>
        <w:pStyle w:val="7"/>
        <w:overflowPunct w:val="0"/>
        <w:spacing w:before="120" w:line="360" w:lineRule="auto"/>
        <w:ind w:firstLine="367" w:firstLineChars="175"/>
        <w:rPr>
          <w:rFonts w:ascii="宋体" w:hAnsi="宋体" w:cs="宋体"/>
          <w:color w:val="auto"/>
          <w:szCs w:val="21"/>
          <w:highlight w:val="none"/>
        </w:rPr>
      </w:pPr>
    </w:p>
    <w:p w14:paraId="6121B8FD">
      <w:pPr>
        <w:pStyle w:val="7"/>
        <w:overflowPunct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联合体牵头人名称（电子签章）：</w:t>
      </w:r>
    </w:p>
    <w:p w14:paraId="15496135">
      <w:pPr>
        <w:pStyle w:val="7"/>
        <w:overflowPunct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54C62F28">
      <w:pPr>
        <w:pStyle w:val="7"/>
        <w:overflowPunct w:val="0"/>
        <w:spacing w:before="120" w:line="360" w:lineRule="auto"/>
        <w:rPr>
          <w:rFonts w:ascii="宋体" w:hAnsi="宋体" w:cs="宋体"/>
          <w:color w:val="auto"/>
          <w:szCs w:val="21"/>
          <w:highlight w:val="none"/>
        </w:rPr>
      </w:pPr>
    </w:p>
    <w:p w14:paraId="58AE6897">
      <w:pPr>
        <w:pStyle w:val="7"/>
        <w:overflowPunct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4BE870CD">
      <w:pPr>
        <w:pStyle w:val="7"/>
        <w:overflowPunct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00E6BD74">
      <w:pPr>
        <w:pStyle w:val="7"/>
        <w:overflowPunct w:val="0"/>
        <w:spacing w:before="120" w:line="360" w:lineRule="auto"/>
        <w:rPr>
          <w:rFonts w:ascii="宋体" w:hAnsi="宋体" w:cs="宋体"/>
          <w:color w:val="auto"/>
          <w:szCs w:val="21"/>
          <w:highlight w:val="none"/>
        </w:rPr>
      </w:pPr>
    </w:p>
    <w:p w14:paraId="18E81916">
      <w:pPr>
        <w:pStyle w:val="7"/>
        <w:overflowPunct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0992D8BA">
      <w:pPr>
        <w:pStyle w:val="7"/>
        <w:overflowPunct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11DEC1F8">
      <w:pPr>
        <w:pStyle w:val="7"/>
        <w:overflowPunct w:val="0"/>
        <w:spacing w:before="120" w:line="360" w:lineRule="auto"/>
        <w:rPr>
          <w:rFonts w:ascii="宋体" w:hAnsi="宋体" w:cs="宋体"/>
          <w:color w:val="auto"/>
          <w:szCs w:val="21"/>
          <w:highlight w:val="none"/>
        </w:rPr>
      </w:pPr>
      <w:r>
        <w:rPr>
          <w:rFonts w:hint="eastAsia" w:ascii="宋体" w:hAnsi="宋体" w:cs="宋体"/>
          <w:color w:val="auto"/>
          <w:szCs w:val="21"/>
          <w:highlight w:val="none"/>
        </w:rPr>
        <w:t>……</w:t>
      </w:r>
    </w:p>
    <w:p w14:paraId="5E52528A">
      <w:pPr>
        <w:spacing w:before="120" w:line="360" w:lineRule="auto"/>
        <w:ind w:firstLine="420"/>
        <w:jc w:val="right"/>
        <w:rPr>
          <w:rFonts w:ascii="宋体" w:hAnsi="宋体" w:cs="宋体"/>
          <w:color w:val="auto"/>
          <w:sz w:val="24"/>
          <w:highlight w:val="none"/>
        </w:rPr>
      </w:pPr>
      <w:r>
        <w:rPr>
          <w:rFonts w:hint="eastAsia" w:ascii="宋体" w:hAnsi="宋体" w:cs="宋体"/>
          <w:color w:val="auto"/>
          <w:szCs w:val="21"/>
          <w:highlight w:val="none"/>
        </w:rPr>
        <w:t xml:space="preserve">日期：    年   月   日 </w:t>
      </w:r>
    </w:p>
    <w:p w14:paraId="19D4E9CA">
      <w:pPr>
        <w:spacing w:before="120" w:line="360" w:lineRule="auto"/>
        <w:ind w:right="420" w:firstLine="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48E365F3">
      <w:pPr>
        <w:snapToGrid w:val="0"/>
        <w:spacing w:beforeLines="50" w:after="50" w:line="360" w:lineRule="auto"/>
        <w:ind w:firstLine="643"/>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79EEE224">
      <w:pPr>
        <w:snapToGrid w:val="0"/>
        <w:spacing w:beforeLines="50" w:after="50"/>
        <w:ind w:firstLine="48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A440A27">
      <w:pPr>
        <w:snapToGrid w:val="0"/>
        <w:spacing w:beforeLines="50" w:after="50"/>
        <w:ind w:firstLine="88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32C9AF75">
      <w:pPr>
        <w:snapToGrid w:val="0"/>
        <w:spacing w:beforeLines="50" w:after="50"/>
        <w:ind w:firstLine="480"/>
        <w:rPr>
          <w:rFonts w:ascii="宋体" w:hAnsi="宋体" w:cs="宋体"/>
          <w:color w:val="auto"/>
          <w:sz w:val="24"/>
          <w:szCs w:val="20"/>
          <w:highlight w:val="none"/>
        </w:rPr>
      </w:pPr>
    </w:p>
    <w:p w14:paraId="097A5970">
      <w:pPr>
        <w:snapToGrid w:val="0"/>
        <w:spacing w:beforeLines="50" w:after="50"/>
        <w:ind w:firstLine="480"/>
        <w:rPr>
          <w:rFonts w:ascii="宋体" w:hAnsi="宋体" w:cs="宋体"/>
          <w:color w:val="auto"/>
          <w:sz w:val="24"/>
          <w:szCs w:val="20"/>
          <w:highlight w:val="none"/>
        </w:rPr>
      </w:pPr>
    </w:p>
    <w:p w14:paraId="57A3E35D">
      <w:pPr>
        <w:snapToGrid w:val="0"/>
        <w:spacing w:beforeLines="50" w:after="50"/>
        <w:ind w:firstLine="88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15182DED">
      <w:pPr>
        <w:snapToGrid w:val="0"/>
        <w:spacing w:beforeLines="50" w:after="50"/>
        <w:ind w:firstLine="480"/>
        <w:rPr>
          <w:rFonts w:ascii="宋体" w:hAnsi="宋体" w:cs="宋体"/>
          <w:bCs/>
          <w:color w:val="auto"/>
          <w:sz w:val="24"/>
          <w:szCs w:val="20"/>
          <w:highlight w:val="none"/>
        </w:rPr>
      </w:pPr>
    </w:p>
    <w:p w14:paraId="739C9852">
      <w:pPr>
        <w:snapToGrid w:val="0"/>
        <w:spacing w:beforeLines="50" w:after="50"/>
        <w:ind w:firstLine="480"/>
        <w:rPr>
          <w:rFonts w:ascii="宋体" w:hAnsi="宋体" w:cs="宋体"/>
          <w:bCs/>
          <w:color w:val="auto"/>
          <w:sz w:val="24"/>
          <w:szCs w:val="20"/>
          <w:highlight w:val="none"/>
        </w:rPr>
      </w:pPr>
    </w:p>
    <w:p w14:paraId="7DFA8DC2">
      <w:pPr>
        <w:snapToGrid w:val="0"/>
        <w:spacing w:beforeLines="50" w:after="50"/>
        <w:ind w:firstLine="480"/>
        <w:rPr>
          <w:rFonts w:ascii="宋体" w:hAnsi="宋体" w:cs="宋体"/>
          <w:bCs/>
          <w:color w:val="auto"/>
          <w:sz w:val="24"/>
          <w:szCs w:val="20"/>
          <w:highlight w:val="none"/>
        </w:rPr>
      </w:pPr>
    </w:p>
    <w:p w14:paraId="08DD8C09">
      <w:pPr>
        <w:snapToGrid w:val="0"/>
        <w:spacing w:beforeLines="50" w:after="50"/>
        <w:ind w:firstLine="480"/>
        <w:rPr>
          <w:rFonts w:ascii="宋体" w:hAnsi="宋体" w:cs="宋体"/>
          <w:bCs/>
          <w:color w:val="auto"/>
          <w:sz w:val="24"/>
          <w:szCs w:val="20"/>
          <w:highlight w:val="none"/>
        </w:rPr>
      </w:pPr>
    </w:p>
    <w:p w14:paraId="57DB5EA5">
      <w:pPr>
        <w:snapToGrid w:val="0"/>
        <w:spacing w:beforeLines="50" w:after="50"/>
        <w:ind w:firstLine="480"/>
        <w:rPr>
          <w:rFonts w:ascii="宋体" w:hAnsi="宋体" w:cs="宋体"/>
          <w:bCs/>
          <w:color w:val="auto"/>
          <w:sz w:val="24"/>
          <w:szCs w:val="20"/>
          <w:highlight w:val="none"/>
        </w:rPr>
      </w:pPr>
    </w:p>
    <w:p w14:paraId="215D3FB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8C34361">
      <w:pPr>
        <w:snapToGrid w:val="0"/>
        <w:spacing w:beforeLines="50" w:after="50"/>
        <w:ind w:firstLine="720" w:firstLineChars="225"/>
        <w:rPr>
          <w:rFonts w:ascii="宋体" w:hAnsi="宋体" w:cs="宋体"/>
          <w:bCs/>
          <w:color w:val="auto"/>
          <w:sz w:val="32"/>
          <w:szCs w:val="32"/>
          <w:highlight w:val="none"/>
        </w:rPr>
      </w:pPr>
    </w:p>
    <w:p w14:paraId="55397130">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94F6A0F">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52115E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154BC96">
      <w:pPr>
        <w:snapToGrid w:val="0"/>
        <w:spacing w:beforeLines="50" w:after="50"/>
        <w:ind w:firstLine="720" w:firstLineChars="225"/>
        <w:rPr>
          <w:rFonts w:ascii="宋体" w:hAnsi="宋体" w:cs="宋体"/>
          <w:bCs/>
          <w:color w:val="auto"/>
          <w:sz w:val="32"/>
          <w:szCs w:val="32"/>
          <w:highlight w:val="none"/>
        </w:rPr>
      </w:pPr>
    </w:p>
    <w:p w14:paraId="0F19DC95">
      <w:pPr>
        <w:pStyle w:val="7"/>
        <w:snapToGrid w:val="0"/>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41F14AA">
      <w:pPr>
        <w:pStyle w:val="7"/>
        <w:snapToGrid w:val="0"/>
        <w:spacing w:before="120" w:after="50"/>
        <w:ind w:firstLine="640" w:firstLineChars="200"/>
        <w:rPr>
          <w:rFonts w:ascii="宋体" w:hAnsi="宋体" w:cs="宋体"/>
          <w:bCs/>
          <w:color w:val="auto"/>
          <w:sz w:val="32"/>
          <w:szCs w:val="32"/>
          <w:highlight w:val="none"/>
        </w:rPr>
      </w:pPr>
    </w:p>
    <w:p w14:paraId="4A99BC64">
      <w:pPr>
        <w:pStyle w:val="7"/>
        <w:snapToGrid w:val="0"/>
        <w:spacing w:before="120" w:after="50"/>
        <w:ind w:firstLine="720" w:firstLineChars="225"/>
        <w:rPr>
          <w:rFonts w:ascii="宋体" w:hAnsi="宋体" w:cs="宋体"/>
          <w:bCs/>
          <w:color w:val="auto"/>
          <w:sz w:val="32"/>
          <w:szCs w:val="32"/>
          <w:highlight w:val="none"/>
        </w:rPr>
      </w:pPr>
    </w:p>
    <w:p w14:paraId="32F38FE6">
      <w:pPr>
        <w:pStyle w:val="7"/>
        <w:snapToGrid w:val="0"/>
        <w:spacing w:before="120" w:after="50"/>
        <w:ind w:firstLine="640"/>
        <w:rPr>
          <w:rFonts w:ascii="宋体" w:hAnsi="宋体" w:cs="宋体"/>
          <w:bCs/>
          <w:color w:val="auto"/>
          <w:sz w:val="32"/>
          <w:szCs w:val="32"/>
          <w:highlight w:val="none"/>
        </w:rPr>
      </w:pPr>
    </w:p>
    <w:p w14:paraId="1FA3C662">
      <w:pPr>
        <w:pStyle w:val="7"/>
        <w:snapToGrid w:val="0"/>
        <w:spacing w:before="120" w:after="50"/>
        <w:ind w:firstLine="1280" w:firstLineChars="400"/>
        <w:rPr>
          <w:rFonts w:ascii="宋体" w:hAnsi="宋体" w:cs="宋体"/>
          <w:bCs/>
          <w:color w:val="auto"/>
          <w:sz w:val="32"/>
          <w:szCs w:val="32"/>
          <w:highlight w:val="none"/>
        </w:rPr>
      </w:pPr>
    </w:p>
    <w:p w14:paraId="4722732E">
      <w:pPr>
        <w:snapToGrid w:val="0"/>
        <w:spacing w:beforeLines="50" w:after="50"/>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5E3D121">
      <w:pPr>
        <w:snapToGrid w:val="0"/>
        <w:spacing w:beforeLines="50" w:after="50" w:line="360" w:lineRule="auto"/>
        <w:ind w:left="142" w:firstLine="420"/>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0FCCBBD7">
      <w:pPr>
        <w:tabs>
          <w:tab w:val="left" w:pos="3479"/>
        </w:tabs>
        <w:spacing w:before="120" w:line="52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根据谈判文件规定及供应商提供的材料自行编写目录（部分格式后附）。</w:t>
      </w:r>
    </w:p>
    <w:p w14:paraId="51EA95B1">
      <w:pPr>
        <w:tabs>
          <w:tab w:val="left" w:pos="3479"/>
        </w:tabs>
        <w:spacing w:before="120" w:line="520" w:lineRule="exact"/>
        <w:ind w:firstLine="420"/>
        <w:jc w:val="center"/>
        <w:rPr>
          <w:rFonts w:ascii="宋体" w:hAnsi="宋体" w:cs="宋体"/>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Cs/>
          <w:color w:val="auto"/>
          <w:sz w:val="44"/>
          <w:szCs w:val="44"/>
          <w:highlight w:val="none"/>
        </w:rPr>
        <w:t>竞  标  报  价  表</w:t>
      </w:r>
    </w:p>
    <w:p w14:paraId="2BA67A54">
      <w:pPr>
        <w:spacing w:before="120" w:line="520" w:lineRule="exact"/>
        <w:ind w:firstLine="640"/>
        <w:jc w:val="center"/>
        <w:rPr>
          <w:rFonts w:ascii="宋体" w:hAnsi="宋体" w:cs="宋体"/>
          <w:bCs/>
          <w:color w:val="auto"/>
          <w:sz w:val="32"/>
          <w:szCs w:val="32"/>
          <w:highlight w:val="none"/>
        </w:rPr>
      </w:pPr>
    </w:p>
    <w:p w14:paraId="5D52F705">
      <w:pPr>
        <w:snapToGrid w:val="0"/>
        <w:spacing w:before="120" w:after="50" w:line="360" w:lineRule="auto"/>
        <w:ind w:firstLine="42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分标（如有）：</w:t>
      </w:r>
      <w:r>
        <w:rPr>
          <w:rFonts w:hint="eastAsia" w:ascii="宋体" w:hAnsi="宋体" w:cs="宋体"/>
          <w:color w:val="auto"/>
          <w:szCs w:val="21"/>
          <w:highlight w:val="none"/>
          <w:u w:val="single"/>
        </w:rPr>
        <w:t xml:space="preserve">            </w:t>
      </w:r>
    </w:p>
    <w:p w14:paraId="4C928212">
      <w:pPr>
        <w:snapToGrid w:val="0"/>
        <w:spacing w:before="120" w:after="50"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7BD90A6">
      <w:pPr>
        <w:snapToGrid w:val="0"/>
        <w:spacing w:before="120" w:after="50" w:line="360" w:lineRule="auto"/>
        <w:ind w:firstLine="420"/>
        <w:rPr>
          <w:rFonts w:ascii="宋体" w:hAnsi="宋体" w:cs="宋体"/>
          <w:color w:val="auto"/>
          <w:szCs w:val="21"/>
          <w:highlight w:val="none"/>
        </w:rPr>
      </w:pPr>
      <w:r>
        <w:rPr>
          <w:rFonts w:hint="eastAsia" w:ascii="宋体" w:hAnsi="宋体" w:cs="宋体"/>
          <w:color w:val="auto"/>
          <w:szCs w:val="21"/>
          <w:highlight w:val="none"/>
        </w:rPr>
        <w:t>单位：元</w:t>
      </w:r>
    </w:p>
    <w:tbl>
      <w:tblPr>
        <w:tblStyle w:val="26"/>
        <w:tblW w:w="10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066"/>
        <w:gridCol w:w="1005"/>
        <w:gridCol w:w="870"/>
        <w:gridCol w:w="1066"/>
        <w:gridCol w:w="1201"/>
        <w:gridCol w:w="1096"/>
        <w:gridCol w:w="1096"/>
        <w:gridCol w:w="780"/>
        <w:gridCol w:w="1319"/>
      </w:tblGrid>
      <w:tr w14:paraId="5203C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3F28D3A4">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097D254F">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08CEF592">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数量及单位</w:t>
            </w:r>
          </w:p>
          <w:p w14:paraId="22DB51D1">
            <w:pPr>
              <w:spacing w:before="120"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①</w:t>
            </w:r>
          </w:p>
        </w:tc>
        <w:tc>
          <w:tcPr>
            <w:tcW w:w="870" w:type="dxa"/>
            <w:tcBorders>
              <w:top w:val="single" w:color="auto" w:sz="4" w:space="0"/>
              <w:left w:val="single" w:color="auto" w:sz="4" w:space="0"/>
              <w:bottom w:val="single" w:color="auto" w:sz="4" w:space="0"/>
              <w:right w:val="single" w:color="auto" w:sz="4" w:space="0"/>
            </w:tcBorders>
            <w:vAlign w:val="center"/>
          </w:tcPr>
          <w:p w14:paraId="2093F003">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品牌</w:t>
            </w:r>
          </w:p>
        </w:tc>
        <w:tc>
          <w:tcPr>
            <w:tcW w:w="1066" w:type="dxa"/>
            <w:tcBorders>
              <w:top w:val="single" w:color="auto" w:sz="4" w:space="0"/>
              <w:left w:val="single" w:color="auto" w:sz="4" w:space="0"/>
              <w:bottom w:val="single" w:color="auto" w:sz="4" w:space="0"/>
              <w:right w:val="single" w:color="auto" w:sz="4" w:space="0"/>
            </w:tcBorders>
            <w:vAlign w:val="center"/>
          </w:tcPr>
          <w:p w14:paraId="1153BDED">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规格型号</w:t>
            </w:r>
          </w:p>
        </w:tc>
        <w:tc>
          <w:tcPr>
            <w:tcW w:w="1201" w:type="dxa"/>
            <w:tcBorders>
              <w:top w:val="single" w:color="auto" w:sz="4" w:space="0"/>
              <w:left w:val="single" w:color="auto" w:sz="4" w:space="0"/>
              <w:bottom w:val="single" w:color="auto" w:sz="4" w:space="0"/>
              <w:right w:val="single" w:color="auto" w:sz="4" w:space="0"/>
            </w:tcBorders>
            <w:vAlign w:val="center"/>
          </w:tcPr>
          <w:p w14:paraId="640B96BF">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生产厂家</w:t>
            </w:r>
          </w:p>
        </w:tc>
        <w:tc>
          <w:tcPr>
            <w:tcW w:w="1096" w:type="dxa"/>
            <w:tcBorders>
              <w:top w:val="single" w:color="auto" w:sz="4" w:space="0"/>
              <w:left w:val="single" w:color="auto" w:sz="4" w:space="0"/>
              <w:bottom w:val="single" w:color="auto" w:sz="4" w:space="0"/>
              <w:right w:val="single" w:color="auto" w:sz="4" w:space="0"/>
            </w:tcBorders>
            <w:vAlign w:val="center"/>
          </w:tcPr>
          <w:p w14:paraId="2B8220CB">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国别</w:t>
            </w:r>
          </w:p>
        </w:tc>
        <w:tc>
          <w:tcPr>
            <w:tcW w:w="1096" w:type="dxa"/>
            <w:tcBorders>
              <w:top w:val="single" w:color="auto" w:sz="4" w:space="0"/>
              <w:left w:val="single" w:color="auto" w:sz="4" w:space="0"/>
              <w:bottom w:val="single" w:color="auto" w:sz="4" w:space="0"/>
              <w:right w:val="single" w:color="auto" w:sz="4" w:space="0"/>
            </w:tcBorders>
            <w:vAlign w:val="center"/>
          </w:tcPr>
          <w:p w14:paraId="1DC98F98">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vAlign w:val="center"/>
          </w:tcPr>
          <w:p w14:paraId="609EB774">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单价</w:t>
            </w:r>
          </w:p>
          <w:p w14:paraId="20F251D0">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②</w:t>
            </w:r>
          </w:p>
        </w:tc>
        <w:tc>
          <w:tcPr>
            <w:tcW w:w="1319" w:type="dxa"/>
            <w:tcBorders>
              <w:top w:val="single" w:color="auto" w:sz="4" w:space="0"/>
              <w:left w:val="single" w:color="auto" w:sz="4" w:space="0"/>
              <w:bottom w:val="single" w:color="auto" w:sz="4" w:space="0"/>
              <w:right w:val="single" w:color="auto" w:sz="4" w:space="0"/>
            </w:tcBorders>
            <w:vAlign w:val="center"/>
          </w:tcPr>
          <w:p w14:paraId="00EA0FBD">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竞标报价</w:t>
            </w:r>
          </w:p>
          <w:p w14:paraId="43A57FA3">
            <w:pPr>
              <w:spacing w:before="120" w:line="360" w:lineRule="auto"/>
              <w:rPr>
                <w:rFonts w:ascii="宋体" w:hAnsi="宋体" w:cs="宋体"/>
                <w:b/>
                <w:bCs/>
                <w:color w:val="auto"/>
                <w:szCs w:val="21"/>
                <w:highlight w:val="none"/>
              </w:rPr>
            </w:pPr>
            <w:r>
              <w:rPr>
                <w:rFonts w:hint="eastAsia" w:ascii="宋体" w:hAnsi="宋体" w:cs="宋体"/>
                <w:b/>
                <w:bCs/>
                <w:color w:val="auto"/>
                <w:szCs w:val="21"/>
                <w:highlight w:val="none"/>
              </w:rPr>
              <w:t>③=①×②</w:t>
            </w:r>
          </w:p>
        </w:tc>
      </w:tr>
      <w:tr w14:paraId="71695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402062CC">
            <w:pPr>
              <w:spacing w:before="120"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066" w:type="dxa"/>
            <w:tcBorders>
              <w:top w:val="single" w:color="auto" w:sz="4" w:space="0"/>
              <w:left w:val="single" w:color="auto" w:sz="4" w:space="0"/>
              <w:bottom w:val="single" w:color="auto" w:sz="4" w:space="0"/>
              <w:right w:val="single" w:color="auto" w:sz="4" w:space="0"/>
            </w:tcBorders>
            <w:vAlign w:val="center"/>
          </w:tcPr>
          <w:p w14:paraId="102FC451">
            <w:pPr>
              <w:spacing w:before="120" w:line="360" w:lineRule="auto"/>
              <w:ind w:firstLine="420"/>
              <w:jc w:val="center"/>
              <w:rPr>
                <w:rFonts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ECA2EAA">
            <w:pPr>
              <w:spacing w:before="120" w:line="360" w:lineRule="auto"/>
              <w:ind w:firstLine="420"/>
              <w:jc w:val="center"/>
              <w:rPr>
                <w:rFonts w:ascii="宋体" w:hAnsi="宋体" w:cs="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2E6F79A">
            <w:pPr>
              <w:spacing w:before="120" w:line="360" w:lineRule="auto"/>
              <w:ind w:firstLine="420"/>
              <w:jc w:val="center"/>
              <w:rPr>
                <w:rFonts w:ascii="宋体" w:hAnsi="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56D4BED1">
            <w:pPr>
              <w:spacing w:before="120" w:line="360" w:lineRule="auto"/>
              <w:ind w:firstLine="420"/>
              <w:jc w:val="center"/>
              <w:rPr>
                <w:rFonts w:ascii="宋体" w:hAnsi="宋体" w:cs="宋体"/>
                <w:color w:val="auto"/>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6DBF9847">
            <w:pPr>
              <w:spacing w:before="120" w:line="360" w:lineRule="auto"/>
              <w:ind w:firstLine="420"/>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tcPr>
          <w:p w14:paraId="1F5DEA91">
            <w:pPr>
              <w:spacing w:before="120" w:line="360" w:lineRule="auto"/>
              <w:ind w:firstLine="420"/>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30EB0E07">
            <w:pPr>
              <w:spacing w:before="120" w:line="360" w:lineRule="auto"/>
              <w:ind w:firstLine="420"/>
              <w:jc w:val="center"/>
              <w:rPr>
                <w:rFonts w:ascii="宋体" w:hAnsi="宋体" w:cs="宋体"/>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60802232">
            <w:pPr>
              <w:spacing w:before="120" w:line="360" w:lineRule="auto"/>
              <w:ind w:firstLine="420"/>
              <w:jc w:val="center"/>
              <w:rPr>
                <w:rFonts w:ascii="宋体" w:hAnsi="宋体" w:cs="宋体"/>
                <w:color w:val="auto"/>
                <w:szCs w:val="21"/>
                <w:highlight w:val="none"/>
              </w:rPr>
            </w:pPr>
          </w:p>
        </w:tc>
        <w:tc>
          <w:tcPr>
            <w:tcW w:w="1319" w:type="dxa"/>
            <w:tcBorders>
              <w:top w:val="single" w:color="auto" w:sz="4" w:space="0"/>
              <w:left w:val="single" w:color="auto" w:sz="4" w:space="0"/>
              <w:bottom w:val="single" w:color="auto" w:sz="4" w:space="0"/>
              <w:right w:val="single" w:color="auto" w:sz="4" w:space="0"/>
            </w:tcBorders>
            <w:vAlign w:val="center"/>
          </w:tcPr>
          <w:p w14:paraId="478EC62E">
            <w:pPr>
              <w:spacing w:before="120" w:line="360" w:lineRule="auto"/>
              <w:ind w:firstLine="420"/>
              <w:jc w:val="center"/>
              <w:rPr>
                <w:rFonts w:ascii="宋体" w:hAnsi="宋体" w:cs="宋体"/>
                <w:color w:val="auto"/>
                <w:szCs w:val="21"/>
                <w:highlight w:val="none"/>
              </w:rPr>
            </w:pPr>
          </w:p>
        </w:tc>
      </w:tr>
      <w:tr w14:paraId="31F56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1064F4ED">
            <w:pPr>
              <w:spacing w:before="120"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066" w:type="dxa"/>
            <w:tcBorders>
              <w:top w:val="single" w:color="auto" w:sz="4" w:space="0"/>
              <w:left w:val="single" w:color="auto" w:sz="4" w:space="0"/>
              <w:bottom w:val="single" w:color="auto" w:sz="4" w:space="0"/>
              <w:right w:val="single" w:color="auto" w:sz="4" w:space="0"/>
            </w:tcBorders>
            <w:vAlign w:val="center"/>
          </w:tcPr>
          <w:p w14:paraId="7C5AC2EF">
            <w:pPr>
              <w:spacing w:before="120" w:line="360" w:lineRule="auto"/>
              <w:ind w:firstLine="420"/>
              <w:jc w:val="center"/>
              <w:rPr>
                <w:rFonts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D7FB213">
            <w:pPr>
              <w:spacing w:before="120" w:line="360" w:lineRule="auto"/>
              <w:ind w:firstLine="420"/>
              <w:jc w:val="center"/>
              <w:rPr>
                <w:rFonts w:ascii="宋体" w:hAnsi="宋体" w:cs="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319C1E79">
            <w:pPr>
              <w:spacing w:before="120" w:line="360" w:lineRule="auto"/>
              <w:ind w:firstLine="420"/>
              <w:jc w:val="center"/>
              <w:rPr>
                <w:rFonts w:ascii="宋体" w:hAnsi="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4BC5150F">
            <w:pPr>
              <w:spacing w:before="120" w:line="360" w:lineRule="auto"/>
              <w:ind w:firstLine="420"/>
              <w:jc w:val="center"/>
              <w:rPr>
                <w:rFonts w:ascii="宋体" w:hAnsi="宋体" w:cs="宋体"/>
                <w:color w:val="auto"/>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21109D9D">
            <w:pPr>
              <w:spacing w:before="120" w:line="360" w:lineRule="auto"/>
              <w:ind w:firstLine="420"/>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tcPr>
          <w:p w14:paraId="2FF676C0">
            <w:pPr>
              <w:spacing w:before="120" w:line="360" w:lineRule="auto"/>
              <w:ind w:firstLine="420"/>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5BF316F">
            <w:pPr>
              <w:spacing w:before="120" w:line="360" w:lineRule="auto"/>
              <w:ind w:firstLine="420"/>
              <w:jc w:val="center"/>
              <w:rPr>
                <w:rFonts w:ascii="宋体" w:hAnsi="宋体" w:cs="宋体"/>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5FDBC5E5">
            <w:pPr>
              <w:spacing w:before="120" w:line="360" w:lineRule="auto"/>
              <w:ind w:firstLine="420"/>
              <w:jc w:val="center"/>
              <w:rPr>
                <w:rFonts w:ascii="宋体" w:hAnsi="宋体" w:cs="宋体"/>
                <w:color w:val="auto"/>
                <w:szCs w:val="21"/>
                <w:highlight w:val="none"/>
              </w:rPr>
            </w:pPr>
          </w:p>
        </w:tc>
        <w:tc>
          <w:tcPr>
            <w:tcW w:w="1319" w:type="dxa"/>
            <w:tcBorders>
              <w:top w:val="single" w:color="auto" w:sz="4" w:space="0"/>
              <w:left w:val="single" w:color="auto" w:sz="4" w:space="0"/>
              <w:bottom w:val="single" w:color="auto" w:sz="4" w:space="0"/>
              <w:right w:val="single" w:color="auto" w:sz="4" w:space="0"/>
            </w:tcBorders>
            <w:vAlign w:val="center"/>
          </w:tcPr>
          <w:p w14:paraId="19214BC8">
            <w:pPr>
              <w:spacing w:before="120" w:line="360" w:lineRule="auto"/>
              <w:ind w:firstLine="420"/>
              <w:jc w:val="center"/>
              <w:rPr>
                <w:rFonts w:ascii="宋体" w:hAnsi="宋体" w:cs="宋体"/>
                <w:color w:val="auto"/>
                <w:szCs w:val="21"/>
                <w:highlight w:val="none"/>
              </w:rPr>
            </w:pPr>
          </w:p>
        </w:tc>
      </w:tr>
      <w:tr w14:paraId="0F9AC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488EE06D">
            <w:pPr>
              <w:spacing w:before="120"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401732A5">
            <w:pPr>
              <w:spacing w:before="120" w:line="360" w:lineRule="auto"/>
              <w:ind w:firstLine="420"/>
              <w:jc w:val="center"/>
              <w:rPr>
                <w:rFonts w:ascii="宋体" w:hAnsi="宋体" w:cs="宋体"/>
                <w:color w:val="auto"/>
                <w:szCs w:val="21"/>
                <w:highlight w:val="none"/>
              </w:rPr>
            </w:pPr>
            <w:r>
              <w:rPr>
                <w:rFonts w:hint="eastAsia" w:ascii="宋体" w:hAnsi="宋体" w:cs="宋体"/>
                <w:color w:val="auto"/>
                <w:szCs w:val="21"/>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27B000BB">
            <w:pPr>
              <w:spacing w:before="120" w:line="360" w:lineRule="auto"/>
              <w:ind w:firstLine="420"/>
              <w:jc w:val="center"/>
              <w:rPr>
                <w:rFonts w:ascii="宋体" w:hAnsi="宋体" w:cs="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2B65534">
            <w:pPr>
              <w:spacing w:before="120" w:line="360" w:lineRule="auto"/>
              <w:ind w:firstLine="420"/>
              <w:jc w:val="center"/>
              <w:rPr>
                <w:rFonts w:ascii="宋体" w:hAnsi="宋体" w:cs="宋体"/>
                <w:color w:val="auto"/>
                <w:szCs w:val="21"/>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52360E5B">
            <w:pPr>
              <w:spacing w:before="120" w:line="360" w:lineRule="auto"/>
              <w:ind w:firstLine="420"/>
              <w:jc w:val="center"/>
              <w:rPr>
                <w:rFonts w:ascii="宋体" w:hAnsi="宋体" w:cs="宋体"/>
                <w:color w:val="auto"/>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2696191D">
            <w:pPr>
              <w:spacing w:before="120" w:line="360" w:lineRule="auto"/>
              <w:ind w:firstLine="420"/>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tcPr>
          <w:p w14:paraId="43408A0F">
            <w:pPr>
              <w:spacing w:before="120" w:line="360" w:lineRule="auto"/>
              <w:ind w:firstLine="420"/>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42D82400">
            <w:pPr>
              <w:spacing w:before="120" w:line="360" w:lineRule="auto"/>
              <w:ind w:firstLine="420"/>
              <w:jc w:val="center"/>
              <w:rPr>
                <w:rFonts w:ascii="宋体" w:hAnsi="宋体" w:cs="宋体"/>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817A33D">
            <w:pPr>
              <w:spacing w:before="120" w:line="360" w:lineRule="auto"/>
              <w:ind w:firstLine="420"/>
              <w:jc w:val="center"/>
              <w:rPr>
                <w:rFonts w:ascii="宋体" w:hAnsi="宋体" w:cs="宋体"/>
                <w:color w:val="auto"/>
                <w:szCs w:val="21"/>
                <w:highlight w:val="none"/>
              </w:rPr>
            </w:pPr>
          </w:p>
        </w:tc>
        <w:tc>
          <w:tcPr>
            <w:tcW w:w="1319" w:type="dxa"/>
            <w:tcBorders>
              <w:top w:val="single" w:color="auto" w:sz="4" w:space="0"/>
              <w:left w:val="single" w:color="auto" w:sz="4" w:space="0"/>
              <w:bottom w:val="single" w:color="auto" w:sz="4" w:space="0"/>
              <w:right w:val="single" w:color="auto" w:sz="4" w:space="0"/>
            </w:tcBorders>
            <w:vAlign w:val="center"/>
          </w:tcPr>
          <w:p w14:paraId="7B24A98A">
            <w:pPr>
              <w:spacing w:before="120" w:line="360" w:lineRule="auto"/>
              <w:ind w:firstLine="420"/>
              <w:jc w:val="center"/>
              <w:rPr>
                <w:rFonts w:ascii="宋体" w:hAnsi="宋体" w:cs="宋体"/>
                <w:color w:val="auto"/>
                <w:szCs w:val="21"/>
                <w:highlight w:val="none"/>
              </w:rPr>
            </w:pPr>
          </w:p>
        </w:tc>
      </w:tr>
      <w:tr w14:paraId="28649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10105" w:type="dxa"/>
            <w:gridSpan w:val="10"/>
            <w:tcBorders>
              <w:top w:val="single" w:color="auto" w:sz="4" w:space="0"/>
              <w:left w:val="single" w:color="auto" w:sz="4" w:space="0"/>
              <w:bottom w:val="single" w:color="auto" w:sz="4" w:space="0"/>
              <w:right w:val="single" w:color="auto" w:sz="4" w:space="0"/>
            </w:tcBorders>
          </w:tcPr>
          <w:p w14:paraId="05A0A895">
            <w:pPr>
              <w:snapToGrid w:val="0"/>
              <w:spacing w:before="120" w:after="50" w:line="360" w:lineRule="auto"/>
              <w:ind w:firstLine="420"/>
              <w:rPr>
                <w:rFonts w:ascii="宋体" w:hAnsi="宋体" w:cs="宋体"/>
                <w:color w:val="auto"/>
                <w:szCs w:val="21"/>
                <w:highlight w:val="none"/>
              </w:rPr>
            </w:pPr>
            <w:r>
              <w:rPr>
                <w:rFonts w:hint="eastAsia" w:ascii="宋体" w:hAnsi="宋体" w:cs="宋体"/>
                <w:color w:val="auto"/>
                <w:szCs w:val="21"/>
                <w:highlight w:val="none"/>
              </w:rPr>
              <w:t>合计金额大写：人民币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62BE774">
            <w:pPr>
              <w:snapToGrid w:val="0"/>
              <w:spacing w:before="120" w:after="50"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63E011B2">
      <w:pPr>
        <w:spacing w:before="120"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57EE8028">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以上竞标报价表中“标的名称、数量及单位、品牌、规格型号、制造商、原产地、参数性能、指标及配置”必须如实填写完整，品牌、规格型号没有则填无，填写有缺漏</w:t>
      </w:r>
      <w:r>
        <w:rPr>
          <w:rFonts w:hint="eastAsia" w:ascii="宋体" w:hAnsi="宋体" w:cs="宋体"/>
          <w:bCs/>
          <w:color w:val="auto"/>
          <w:szCs w:val="21"/>
          <w:highlight w:val="none"/>
        </w:rPr>
        <w:t>的，</w:t>
      </w:r>
      <w:r>
        <w:rPr>
          <w:rFonts w:hint="eastAsia" w:ascii="宋体" w:hAnsi="宋体" w:cs="宋体"/>
          <w:b/>
          <w:color w:val="auto"/>
          <w:szCs w:val="21"/>
          <w:highlight w:val="none"/>
        </w:rPr>
        <w:t>其响应文件按无效处理。</w:t>
      </w:r>
    </w:p>
    <w:p w14:paraId="4AB99B19">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64BC21E0">
      <w:pPr>
        <w:spacing w:before="120" w:line="360" w:lineRule="auto"/>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39CE5E7B">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4.谈判文件中列明采购专用耗材的，应按谈判文件规定的耗材量或者按耗材的常规试用量提供报价。</w:t>
      </w:r>
    </w:p>
    <w:p w14:paraId="6E3955FD">
      <w:pPr>
        <w:spacing w:before="120" w:line="360" w:lineRule="auto"/>
        <w:ind w:firstLine="420" w:firstLineChars="200"/>
        <w:jc w:val="left"/>
        <w:rPr>
          <w:rFonts w:ascii="宋体" w:hAnsi="宋体" w:cs="宋体"/>
          <w:i/>
          <w:color w:val="auto"/>
          <w:szCs w:val="21"/>
          <w:highlight w:val="none"/>
        </w:rPr>
      </w:pPr>
      <w:r>
        <w:rPr>
          <w:rFonts w:hint="eastAsia" w:ascii="宋体" w:hAnsi="宋体" w:cs="宋体"/>
          <w:color w:val="auto"/>
          <w:szCs w:val="21"/>
          <w:highlight w:val="none"/>
        </w:rPr>
        <w:t>5.如为联合体竞标，“供应商名称”处必须列明联合体各方名称，标注联合体牵头人名称，</w:t>
      </w:r>
      <w:r>
        <w:rPr>
          <w:rFonts w:hint="eastAsia" w:ascii="宋体" w:hAnsi="宋体" w:cs="宋体"/>
          <w:b/>
          <w:color w:val="auto"/>
          <w:szCs w:val="21"/>
          <w:highlight w:val="none"/>
        </w:rPr>
        <w:t>否则其响应文件按无效处理。</w:t>
      </w:r>
    </w:p>
    <w:p w14:paraId="36ADE8D2">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6.如为联合体竞标，</w:t>
      </w:r>
      <w:r>
        <w:rPr>
          <w:rFonts w:hint="eastAsia" w:ascii="宋体" w:hAnsi="宋体" w:cs="宋体"/>
          <w:color w:val="auto"/>
          <w:spacing w:val="-6"/>
          <w:szCs w:val="21"/>
          <w:highlight w:val="none"/>
        </w:rPr>
        <w:t xml:space="preserve"> 盖章处须加盖联合体牵头人电子签章</w:t>
      </w:r>
      <w:r>
        <w:rPr>
          <w:rFonts w:hint="eastAsia" w:ascii="宋体" w:hAnsi="宋体" w:cs="宋体"/>
          <w:color w:val="auto"/>
          <w:szCs w:val="21"/>
          <w:highlight w:val="none"/>
        </w:rPr>
        <w:t>，</w:t>
      </w:r>
      <w:r>
        <w:rPr>
          <w:rFonts w:hint="eastAsia" w:ascii="宋体" w:hAnsi="宋体" w:cs="宋体"/>
          <w:b/>
          <w:color w:val="auto"/>
          <w:szCs w:val="21"/>
          <w:highlight w:val="none"/>
        </w:rPr>
        <w:t>否则其响应文件按无效处理。</w:t>
      </w:r>
    </w:p>
    <w:p w14:paraId="246119E0">
      <w:pPr>
        <w:spacing w:before="120"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7.</w:t>
      </w:r>
      <w:r>
        <w:rPr>
          <w:rFonts w:hint="eastAsia" w:ascii="宋体" w:hAnsi="宋体" w:cs="宋体"/>
          <w:color w:val="auto"/>
          <w:spacing w:val="-6"/>
          <w:szCs w:val="21"/>
          <w:highlight w:val="none"/>
        </w:rPr>
        <w:t>如有多分标，分别列明各分标的报价表，</w:t>
      </w:r>
      <w:r>
        <w:rPr>
          <w:rFonts w:hint="eastAsia" w:ascii="宋体" w:hAnsi="宋体" w:cs="宋体"/>
          <w:b/>
          <w:color w:val="auto"/>
          <w:spacing w:val="-6"/>
          <w:szCs w:val="21"/>
          <w:highlight w:val="none"/>
        </w:rPr>
        <w:t>否则其响应文件按无效处理。</w:t>
      </w:r>
    </w:p>
    <w:p w14:paraId="39110737">
      <w:pPr>
        <w:spacing w:before="120"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 xml:space="preserve">法定代表人或者委托代理人（签字或者电子签名）：                    </w:t>
      </w:r>
    </w:p>
    <w:p w14:paraId="58863BD9">
      <w:pPr>
        <w:spacing w:before="120"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44329CA5">
      <w:pPr>
        <w:spacing w:before="120" w:line="360" w:lineRule="auto"/>
        <w:ind w:right="-817" w:rightChars="-389" w:firstLine="420"/>
        <w:contextualSpacing/>
        <w:rPr>
          <w:rFonts w:ascii="宋体" w:hAnsi="宋体" w:cs="宋体"/>
          <w:b/>
          <w:color w:val="auto"/>
          <w:szCs w:val="21"/>
          <w:highlight w:val="none"/>
        </w:rPr>
      </w:pPr>
      <w:r>
        <w:rPr>
          <w:rFonts w:hint="eastAsia" w:ascii="宋体" w:hAnsi="宋体" w:cs="宋体"/>
          <w:color w:val="auto"/>
          <w:szCs w:val="21"/>
          <w:highlight w:val="none"/>
        </w:rPr>
        <w:t xml:space="preserve">                      日期：   年   月   日</w:t>
      </w:r>
    </w:p>
    <w:p w14:paraId="22A4D468">
      <w:pPr>
        <w:spacing w:before="120" w:line="360" w:lineRule="auto"/>
        <w:ind w:right="420" w:firstLine="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57CE049C">
      <w:pPr>
        <w:snapToGrid w:val="0"/>
        <w:spacing w:beforeLines="50" w:after="50" w:line="360" w:lineRule="auto"/>
        <w:ind w:firstLine="643"/>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566312FA">
      <w:pPr>
        <w:snapToGrid w:val="0"/>
        <w:spacing w:beforeLines="50" w:after="50"/>
        <w:ind w:firstLine="48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260BB46">
      <w:pPr>
        <w:snapToGrid w:val="0"/>
        <w:spacing w:beforeLines="50" w:after="50"/>
        <w:ind w:firstLine="88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362CF1CE">
      <w:pPr>
        <w:snapToGrid w:val="0"/>
        <w:spacing w:beforeLines="50" w:after="50"/>
        <w:ind w:firstLine="480"/>
        <w:rPr>
          <w:rFonts w:ascii="宋体" w:hAnsi="宋体" w:cs="宋体"/>
          <w:color w:val="auto"/>
          <w:sz w:val="24"/>
          <w:szCs w:val="20"/>
          <w:highlight w:val="none"/>
        </w:rPr>
      </w:pPr>
    </w:p>
    <w:p w14:paraId="79DD3512">
      <w:pPr>
        <w:snapToGrid w:val="0"/>
        <w:spacing w:beforeLines="50" w:after="50"/>
        <w:ind w:firstLine="480"/>
        <w:rPr>
          <w:rFonts w:ascii="宋体" w:hAnsi="宋体" w:cs="宋体"/>
          <w:color w:val="auto"/>
          <w:sz w:val="24"/>
          <w:szCs w:val="20"/>
          <w:highlight w:val="none"/>
        </w:rPr>
      </w:pPr>
    </w:p>
    <w:p w14:paraId="6138BD6D">
      <w:pPr>
        <w:snapToGrid w:val="0"/>
        <w:spacing w:beforeLines="50" w:after="50"/>
        <w:ind w:firstLine="88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73AF28D1">
      <w:pPr>
        <w:snapToGrid w:val="0"/>
        <w:spacing w:beforeLines="50" w:after="50"/>
        <w:ind w:firstLine="480"/>
        <w:rPr>
          <w:rFonts w:ascii="宋体" w:hAnsi="宋体" w:cs="宋体"/>
          <w:bCs/>
          <w:color w:val="auto"/>
          <w:sz w:val="24"/>
          <w:szCs w:val="20"/>
          <w:highlight w:val="none"/>
        </w:rPr>
      </w:pPr>
    </w:p>
    <w:p w14:paraId="127CF65F">
      <w:pPr>
        <w:snapToGrid w:val="0"/>
        <w:spacing w:beforeLines="50" w:after="50"/>
        <w:ind w:firstLine="480"/>
        <w:rPr>
          <w:rFonts w:ascii="宋体" w:hAnsi="宋体" w:cs="宋体"/>
          <w:bCs/>
          <w:color w:val="auto"/>
          <w:sz w:val="24"/>
          <w:szCs w:val="20"/>
          <w:highlight w:val="none"/>
        </w:rPr>
      </w:pPr>
    </w:p>
    <w:p w14:paraId="7B5451D2">
      <w:pPr>
        <w:snapToGrid w:val="0"/>
        <w:spacing w:beforeLines="50" w:after="50"/>
        <w:ind w:firstLine="480"/>
        <w:rPr>
          <w:rFonts w:ascii="宋体" w:hAnsi="宋体" w:cs="宋体"/>
          <w:bCs/>
          <w:color w:val="auto"/>
          <w:sz w:val="24"/>
          <w:szCs w:val="20"/>
          <w:highlight w:val="none"/>
        </w:rPr>
      </w:pPr>
    </w:p>
    <w:p w14:paraId="71183F99">
      <w:pPr>
        <w:snapToGrid w:val="0"/>
        <w:spacing w:beforeLines="50" w:after="50"/>
        <w:ind w:firstLine="480"/>
        <w:rPr>
          <w:rFonts w:ascii="宋体" w:hAnsi="宋体" w:cs="宋体"/>
          <w:bCs/>
          <w:color w:val="auto"/>
          <w:sz w:val="24"/>
          <w:szCs w:val="20"/>
          <w:highlight w:val="none"/>
        </w:rPr>
      </w:pPr>
    </w:p>
    <w:p w14:paraId="0DF22D39">
      <w:pPr>
        <w:snapToGrid w:val="0"/>
        <w:spacing w:beforeLines="50" w:after="50"/>
        <w:ind w:firstLine="480"/>
        <w:rPr>
          <w:rFonts w:ascii="宋体" w:hAnsi="宋体" w:cs="宋体"/>
          <w:bCs/>
          <w:color w:val="auto"/>
          <w:sz w:val="24"/>
          <w:szCs w:val="20"/>
          <w:highlight w:val="none"/>
        </w:rPr>
      </w:pPr>
    </w:p>
    <w:p w14:paraId="6148908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5555EC5">
      <w:pPr>
        <w:snapToGrid w:val="0"/>
        <w:spacing w:beforeLines="50" w:after="50"/>
        <w:ind w:firstLine="720" w:firstLineChars="225"/>
        <w:rPr>
          <w:rFonts w:ascii="宋体" w:hAnsi="宋体" w:cs="宋体"/>
          <w:bCs/>
          <w:color w:val="auto"/>
          <w:sz w:val="32"/>
          <w:szCs w:val="32"/>
          <w:highlight w:val="none"/>
        </w:rPr>
      </w:pPr>
    </w:p>
    <w:p w14:paraId="2130B50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A72422E">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5F940B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FA5B814">
      <w:pPr>
        <w:snapToGrid w:val="0"/>
        <w:spacing w:beforeLines="50" w:after="50"/>
        <w:ind w:firstLine="720" w:firstLineChars="225"/>
        <w:rPr>
          <w:rFonts w:ascii="宋体" w:hAnsi="宋体" w:cs="宋体"/>
          <w:bCs/>
          <w:color w:val="auto"/>
          <w:sz w:val="32"/>
          <w:szCs w:val="32"/>
          <w:highlight w:val="none"/>
        </w:rPr>
      </w:pPr>
    </w:p>
    <w:p w14:paraId="7C37C1DC">
      <w:pPr>
        <w:pStyle w:val="7"/>
        <w:snapToGrid w:val="0"/>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BEED214">
      <w:pPr>
        <w:pStyle w:val="7"/>
        <w:snapToGrid w:val="0"/>
        <w:spacing w:before="120" w:after="50"/>
        <w:ind w:firstLine="640" w:firstLineChars="200"/>
        <w:rPr>
          <w:rFonts w:ascii="宋体" w:hAnsi="宋体" w:cs="宋体"/>
          <w:bCs/>
          <w:color w:val="auto"/>
          <w:sz w:val="32"/>
          <w:szCs w:val="32"/>
          <w:highlight w:val="none"/>
        </w:rPr>
      </w:pPr>
    </w:p>
    <w:p w14:paraId="099C23EA">
      <w:pPr>
        <w:pStyle w:val="7"/>
        <w:snapToGrid w:val="0"/>
        <w:spacing w:before="120" w:after="50"/>
        <w:ind w:firstLine="720" w:firstLineChars="225"/>
        <w:rPr>
          <w:rFonts w:ascii="宋体" w:hAnsi="宋体" w:cs="宋体"/>
          <w:bCs/>
          <w:color w:val="auto"/>
          <w:sz w:val="32"/>
          <w:szCs w:val="32"/>
          <w:highlight w:val="none"/>
        </w:rPr>
      </w:pPr>
    </w:p>
    <w:p w14:paraId="27174BB6">
      <w:pPr>
        <w:pStyle w:val="7"/>
        <w:snapToGrid w:val="0"/>
        <w:spacing w:before="120" w:after="50"/>
        <w:ind w:firstLine="640"/>
        <w:rPr>
          <w:rFonts w:ascii="宋体" w:hAnsi="宋体" w:cs="宋体"/>
          <w:bCs/>
          <w:color w:val="auto"/>
          <w:sz w:val="32"/>
          <w:szCs w:val="32"/>
          <w:highlight w:val="none"/>
        </w:rPr>
      </w:pPr>
    </w:p>
    <w:p w14:paraId="5D06FEC4">
      <w:pPr>
        <w:pStyle w:val="7"/>
        <w:snapToGrid w:val="0"/>
        <w:spacing w:before="120" w:after="50"/>
        <w:ind w:firstLine="1280" w:firstLineChars="400"/>
        <w:rPr>
          <w:rFonts w:ascii="宋体" w:hAnsi="宋体" w:cs="宋体"/>
          <w:bCs/>
          <w:color w:val="auto"/>
          <w:sz w:val="32"/>
          <w:szCs w:val="32"/>
          <w:highlight w:val="none"/>
        </w:rPr>
      </w:pPr>
    </w:p>
    <w:p w14:paraId="339C6D1C">
      <w:pPr>
        <w:snapToGrid w:val="0"/>
        <w:spacing w:beforeLines="50" w:after="50"/>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C06380A">
      <w:pPr>
        <w:snapToGrid w:val="0"/>
        <w:spacing w:beforeLines="50" w:after="50" w:line="360" w:lineRule="auto"/>
        <w:ind w:left="142" w:firstLine="480"/>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8390BC1">
      <w:pPr>
        <w:snapToGrid w:val="0"/>
        <w:spacing w:beforeLines="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根据谈判文件规定及供应商提供的材料自行编写目录（部分格式后附）。</w:t>
      </w:r>
    </w:p>
    <w:p w14:paraId="07DE38BB">
      <w:pPr>
        <w:spacing w:before="120" w:line="400" w:lineRule="exact"/>
        <w:ind w:firstLine="640"/>
        <w:rPr>
          <w:rFonts w:ascii="宋体" w:hAnsi="宋体" w:cs="宋体"/>
          <w:color w:val="auto"/>
          <w:sz w:val="32"/>
          <w:szCs w:val="32"/>
          <w:highlight w:val="none"/>
        </w:rPr>
      </w:pPr>
    </w:p>
    <w:p w14:paraId="1A585F0B">
      <w:pPr>
        <w:spacing w:before="120" w:line="520" w:lineRule="exact"/>
        <w:ind w:firstLine="880"/>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2163EE2">
      <w:pPr>
        <w:spacing w:before="120" w:line="360" w:lineRule="auto"/>
        <w:ind w:firstLine="640" w:firstLineChars="200"/>
        <w:rPr>
          <w:rFonts w:ascii="宋体" w:hAnsi="宋体" w:cs="宋体"/>
          <w:color w:val="auto"/>
          <w:sz w:val="32"/>
          <w:szCs w:val="32"/>
          <w:highlight w:val="none"/>
        </w:rPr>
      </w:pPr>
    </w:p>
    <w:p w14:paraId="2F611911">
      <w:pPr>
        <w:spacing w:before="12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63726F9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732E7A6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F07CF9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51437D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635E671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597C44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3081005F">
      <w:pPr>
        <w:spacing w:before="12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21E698A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365FF7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C2FEBF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049B85E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304A11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366EB22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8DDC86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14C9CEB5">
      <w:pPr>
        <w:spacing w:before="120" w:line="360" w:lineRule="auto"/>
        <w:ind w:firstLine="420" w:firstLineChars="200"/>
        <w:rPr>
          <w:rFonts w:ascii="宋体" w:hAnsi="宋体" w:cs="宋体"/>
          <w:color w:val="auto"/>
          <w:szCs w:val="21"/>
          <w:highlight w:val="none"/>
        </w:rPr>
      </w:pPr>
    </w:p>
    <w:p w14:paraId="1CE19EAF">
      <w:pPr>
        <w:spacing w:before="12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6B71F3DC">
      <w:pPr>
        <w:spacing w:before="120" w:line="360" w:lineRule="auto"/>
        <w:ind w:firstLine="420"/>
        <w:rPr>
          <w:rFonts w:ascii="宋体" w:hAnsi="宋体" w:cs="宋体"/>
          <w:color w:val="auto"/>
          <w:szCs w:val="21"/>
          <w:highlight w:val="none"/>
        </w:rPr>
      </w:pPr>
    </w:p>
    <w:p w14:paraId="0AC32822">
      <w:pPr>
        <w:spacing w:before="120" w:line="360" w:lineRule="auto"/>
        <w:ind w:firstLine="3150" w:firstLineChars="1500"/>
        <w:rPr>
          <w:rFonts w:ascii="宋体" w:hAnsi="宋体" w:cs="宋体"/>
          <w:color w:val="auto"/>
          <w:szCs w:val="21"/>
          <w:highlight w:val="none"/>
        </w:rPr>
      </w:pPr>
      <w:r>
        <w:rPr>
          <w:rFonts w:hint="eastAsia" w:ascii="宋体" w:hAnsi="宋体" w:cs="宋体"/>
          <w:color w:val="auto"/>
          <w:szCs w:val="21"/>
          <w:highlight w:val="none"/>
        </w:rPr>
        <w:t>供应商（电子签章）：</w:t>
      </w:r>
    </w:p>
    <w:p w14:paraId="35277AD3">
      <w:pPr>
        <w:spacing w:before="120"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76B87721">
      <w:pPr>
        <w:spacing w:beforeLines="100" w:afterLines="50" w:line="520" w:lineRule="exact"/>
        <w:ind w:firstLine="88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13CE3AD0">
      <w:pPr>
        <w:spacing w:before="120" w:line="360" w:lineRule="auto"/>
        <w:ind w:left="540" w:firstLine="640"/>
        <w:contextualSpacing/>
        <w:rPr>
          <w:rFonts w:ascii="宋体" w:hAnsi="宋体" w:cs="宋体"/>
          <w:color w:val="auto"/>
          <w:sz w:val="32"/>
          <w:szCs w:val="32"/>
          <w:highlight w:val="none"/>
        </w:rPr>
      </w:pPr>
    </w:p>
    <w:p w14:paraId="42FA9FBE">
      <w:pPr>
        <w:spacing w:before="120" w:line="360" w:lineRule="auto"/>
        <w:ind w:left="540" w:firstLine="420"/>
        <w:contextualSpacing/>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628478B">
      <w:pPr>
        <w:spacing w:before="120" w:line="360" w:lineRule="auto"/>
        <w:ind w:left="540" w:firstLine="420"/>
        <w:contextualSpacing/>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A1487A3">
      <w:pPr>
        <w:spacing w:before="120" w:line="360" w:lineRule="auto"/>
        <w:ind w:left="540" w:firstLine="420"/>
        <w:contextualSpacing/>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167798F2">
      <w:pPr>
        <w:spacing w:before="120" w:line="360" w:lineRule="auto"/>
        <w:ind w:left="540" w:firstLine="420"/>
        <w:contextualSpacing/>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6F65FE5C">
      <w:pPr>
        <w:spacing w:before="120" w:line="360" w:lineRule="auto"/>
        <w:ind w:left="540" w:firstLine="420"/>
        <w:contextualSpacing/>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241FC32C">
      <w:pPr>
        <w:spacing w:before="120" w:line="360" w:lineRule="auto"/>
        <w:ind w:left="540" w:firstLine="420"/>
        <w:contextualSpacing/>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的法定代表人。</w:t>
      </w:r>
    </w:p>
    <w:p w14:paraId="244CC90E">
      <w:pPr>
        <w:spacing w:before="120" w:line="360" w:lineRule="auto"/>
        <w:ind w:left="540" w:firstLine="420"/>
        <w:contextualSpacing/>
        <w:rPr>
          <w:rFonts w:ascii="宋体" w:hAnsi="宋体" w:cs="宋体"/>
          <w:color w:val="auto"/>
          <w:szCs w:val="21"/>
          <w:highlight w:val="none"/>
        </w:rPr>
      </w:pPr>
      <w:r>
        <w:rPr>
          <w:rFonts w:hint="eastAsia" w:ascii="宋体" w:hAnsi="宋体" w:cs="宋体"/>
          <w:color w:val="auto"/>
          <w:szCs w:val="21"/>
          <w:highlight w:val="none"/>
        </w:rPr>
        <w:t>特此证明。</w:t>
      </w:r>
    </w:p>
    <w:p w14:paraId="1118D5B8">
      <w:pPr>
        <w:spacing w:before="120" w:line="360" w:lineRule="auto"/>
        <w:ind w:left="540" w:firstLine="420"/>
        <w:contextualSpacing/>
        <w:rPr>
          <w:rFonts w:ascii="宋体" w:hAnsi="宋体" w:cs="宋体"/>
          <w:color w:val="auto"/>
          <w:szCs w:val="21"/>
          <w:highlight w:val="none"/>
        </w:rPr>
      </w:pPr>
    </w:p>
    <w:p w14:paraId="5F4306F8">
      <w:pPr>
        <w:spacing w:before="120" w:line="360" w:lineRule="auto"/>
        <w:ind w:left="540" w:firstLine="420"/>
        <w:contextualSpacing/>
        <w:rPr>
          <w:rFonts w:ascii="宋体" w:hAnsi="宋体" w:cs="宋体"/>
          <w:color w:val="auto"/>
          <w:szCs w:val="21"/>
          <w:highlight w:val="none"/>
        </w:rPr>
      </w:pPr>
    </w:p>
    <w:p w14:paraId="43210390">
      <w:pPr>
        <w:spacing w:before="120" w:line="360" w:lineRule="auto"/>
        <w:ind w:left="540" w:firstLine="420"/>
        <w:contextualSpacing/>
        <w:rPr>
          <w:rFonts w:ascii="宋体" w:hAnsi="宋体" w:cs="宋体"/>
          <w:color w:val="auto"/>
          <w:szCs w:val="21"/>
          <w:highlight w:val="none"/>
        </w:rPr>
      </w:pPr>
    </w:p>
    <w:p w14:paraId="2D92CE1C">
      <w:pPr>
        <w:spacing w:before="120" w:line="360" w:lineRule="auto"/>
        <w:ind w:left="540" w:firstLine="420"/>
        <w:contextualSpacing/>
        <w:rPr>
          <w:rFonts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5E081BB3">
      <w:pPr>
        <w:spacing w:before="120" w:line="360" w:lineRule="auto"/>
        <w:ind w:left="540" w:firstLine="420"/>
        <w:contextualSpacing/>
        <w:rPr>
          <w:rFonts w:ascii="宋体" w:hAnsi="宋体" w:cs="宋体"/>
          <w:color w:val="auto"/>
          <w:szCs w:val="21"/>
          <w:highlight w:val="none"/>
        </w:rPr>
      </w:pPr>
    </w:p>
    <w:p w14:paraId="4FBFA5BA">
      <w:pPr>
        <w:spacing w:before="120" w:line="360" w:lineRule="auto"/>
        <w:ind w:left="540" w:firstLine="420"/>
        <w:contextualSpacing/>
        <w:jc w:val="right"/>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4CB7A592">
      <w:pPr>
        <w:spacing w:before="120"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F31A0D6">
      <w:pPr>
        <w:spacing w:before="120" w:line="360" w:lineRule="auto"/>
        <w:ind w:firstLine="422"/>
        <w:jc w:val="center"/>
        <w:rPr>
          <w:rFonts w:ascii="宋体" w:hAnsi="宋体" w:cs="宋体"/>
          <w:b/>
          <w:color w:val="auto"/>
          <w:szCs w:val="21"/>
          <w:highlight w:val="none"/>
        </w:rPr>
      </w:pPr>
    </w:p>
    <w:p w14:paraId="3A073D45">
      <w:pPr>
        <w:spacing w:before="120"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注：自然人竞标的无需提供，联合体竞标的只需牵头人出具。</w:t>
      </w:r>
    </w:p>
    <w:p w14:paraId="223451E8">
      <w:pPr>
        <w:adjustRightInd w:val="0"/>
        <w:snapToGrid w:val="0"/>
        <w:spacing w:before="120" w:line="300" w:lineRule="auto"/>
        <w:ind w:firstLine="422"/>
        <w:jc w:val="left"/>
        <w:rPr>
          <w:rFonts w:ascii="宋体" w:hAnsi="宋体" w:cs="宋体"/>
          <w:b/>
          <w:color w:val="auto"/>
          <w:szCs w:val="21"/>
          <w:highlight w:val="none"/>
        </w:rPr>
      </w:pPr>
    </w:p>
    <w:p w14:paraId="770D2009">
      <w:pPr>
        <w:spacing w:before="120" w:line="520" w:lineRule="exact"/>
        <w:ind w:firstLine="880"/>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32"/>
          <w:szCs w:val="32"/>
          <w:highlight w:val="none"/>
        </w:rPr>
        <w:t>授权委托书</w:t>
      </w:r>
    </w:p>
    <w:p w14:paraId="3ABA65CE">
      <w:pPr>
        <w:spacing w:before="120" w:line="520" w:lineRule="exact"/>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65821843">
      <w:pPr>
        <w:spacing w:before="120" w:line="520" w:lineRule="exact"/>
        <w:ind w:firstLine="640"/>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268EA3A9">
      <w:pPr>
        <w:spacing w:before="120" w:line="360" w:lineRule="auto"/>
        <w:ind w:firstLine="640"/>
        <w:rPr>
          <w:rFonts w:ascii="宋体" w:hAnsi="宋体" w:cs="宋体"/>
          <w:color w:val="auto"/>
          <w:sz w:val="32"/>
          <w:szCs w:val="32"/>
          <w:highlight w:val="none"/>
        </w:rPr>
      </w:pPr>
    </w:p>
    <w:p w14:paraId="5184FE4C">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A1045B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2BDE91E8">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14F8D42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17BD5FB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1E2346B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5CA1A59B">
      <w:pPr>
        <w:spacing w:before="120" w:line="360" w:lineRule="auto"/>
        <w:ind w:firstLine="420"/>
        <w:rPr>
          <w:rFonts w:ascii="宋体" w:hAnsi="宋体" w:cs="宋体"/>
          <w:color w:val="auto"/>
          <w:szCs w:val="21"/>
          <w:highlight w:val="none"/>
        </w:rPr>
      </w:pPr>
    </w:p>
    <w:p w14:paraId="48F9E103">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委托代理人（签字或者电子签名）：     法定代表人（签字或者盖章或者电子签名）：                    </w:t>
      </w:r>
    </w:p>
    <w:p w14:paraId="760E279C">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7650FB2C">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w:t>
      </w:r>
    </w:p>
    <w:p w14:paraId="7CB8EE86">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供应商（电子签章）：                      </w:t>
      </w:r>
    </w:p>
    <w:p w14:paraId="263AEDE6">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0DCA1CF8">
      <w:pPr>
        <w:spacing w:before="120" w:line="360" w:lineRule="auto"/>
        <w:ind w:firstLine="420"/>
        <w:rPr>
          <w:rFonts w:ascii="宋体" w:hAnsi="宋体" w:cs="宋体"/>
          <w:color w:val="auto"/>
          <w:szCs w:val="21"/>
          <w:highlight w:val="none"/>
        </w:rPr>
      </w:pPr>
    </w:p>
    <w:p w14:paraId="256E5DE5">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5DD82F24">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2.法人、其他组织竞标时“我方”是指“我单位”，自然人竞标时“我方”是指“本人”。</w:t>
      </w:r>
    </w:p>
    <w:p w14:paraId="4C02DAAA">
      <w:pPr>
        <w:spacing w:before="120" w:line="360" w:lineRule="auto"/>
        <w:ind w:firstLine="420" w:firstLineChars="200"/>
        <w:jc w:val="left"/>
        <w:rPr>
          <w:rFonts w:ascii="宋体" w:hAnsi="宋体" w:cs="宋体"/>
          <w:color w:val="auto"/>
          <w:szCs w:val="21"/>
          <w:highlight w:val="none"/>
        </w:rPr>
      </w:pPr>
    </w:p>
    <w:p w14:paraId="67711699">
      <w:pPr>
        <w:spacing w:before="120" w:line="520" w:lineRule="exact"/>
        <w:jc w:val="center"/>
        <w:rPr>
          <w:rFonts w:ascii="宋体" w:hAnsi="宋体" w:cs="宋体"/>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2"/>
          <w:szCs w:val="32"/>
          <w:highlight w:val="none"/>
        </w:rPr>
        <w:t>授权委托书</w:t>
      </w:r>
    </w:p>
    <w:p w14:paraId="3088CDBA">
      <w:pPr>
        <w:spacing w:before="120"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00E72264">
      <w:pPr>
        <w:spacing w:before="120"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14:paraId="57560183">
      <w:pPr>
        <w:spacing w:before="120" w:line="360" w:lineRule="auto"/>
        <w:ind w:firstLine="640"/>
        <w:rPr>
          <w:rFonts w:ascii="宋体" w:hAnsi="宋体" w:cs="宋体"/>
          <w:color w:val="auto"/>
          <w:sz w:val="32"/>
          <w:szCs w:val="32"/>
          <w:highlight w:val="none"/>
        </w:rPr>
      </w:pPr>
    </w:p>
    <w:p w14:paraId="2B33E709">
      <w:pPr>
        <w:spacing w:before="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（联合体其他成员名称）签订的《联合体竞标协议书》的内容，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（姓名）为联合委托代理人，并代表我方全权办理针对上述项目的所有采购程序和环节的具体事务和签署相关文件。</w:t>
      </w:r>
    </w:p>
    <w:p w14:paraId="5FA5BD6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我方对委托代理人的签字或者电子签名事项负全部责任。</w:t>
      </w:r>
    </w:p>
    <w:p w14:paraId="28DA194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4640637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03FB293D">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附：法定代表人身份证明书及委托代理人有效身份证正反面复印件</w:t>
      </w:r>
    </w:p>
    <w:p w14:paraId="1FA2BA4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p>
    <w:p w14:paraId="6D1BEDDA">
      <w:pPr>
        <w:spacing w:before="120"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牵头人（电子签章）：</w:t>
      </w:r>
    </w:p>
    <w:p w14:paraId="0D0BC2A0">
      <w:pPr>
        <w:spacing w:before="120"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232FC094">
      <w:pPr>
        <w:spacing w:before="120" w:line="360" w:lineRule="auto"/>
        <w:ind w:firstLine="420"/>
        <w:rPr>
          <w:rFonts w:ascii="宋体" w:hAnsi="宋体" w:cs="宋体"/>
          <w:color w:val="auto"/>
          <w:szCs w:val="21"/>
          <w:highlight w:val="none"/>
        </w:rPr>
      </w:pPr>
    </w:p>
    <w:p w14:paraId="3F8382D1">
      <w:pPr>
        <w:spacing w:before="120"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被授权人（签字或者电子签名）：</w:t>
      </w:r>
    </w:p>
    <w:p w14:paraId="4A59C055">
      <w:pPr>
        <w:spacing w:before="120"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21F84698">
      <w:pPr>
        <w:spacing w:before="120" w:line="360" w:lineRule="auto"/>
        <w:ind w:firstLine="420"/>
        <w:rPr>
          <w:rFonts w:ascii="宋体" w:hAnsi="宋体" w:cs="宋体"/>
          <w:color w:val="auto"/>
          <w:szCs w:val="21"/>
          <w:highlight w:val="none"/>
        </w:rPr>
      </w:pPr>
    </w:p>
    <w:p w14:paraId="042FBF78">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4210B195">
      <w:pPr>
        <w:spacing w:before="120"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2.法人、其他组织竞标时“我方”是指“我单位”，自然人竞标时“我方”是指“本人”。</w:t>
      </w:r>
    </w:p>
    <w:p w14:paraId="56E0E60C">
      <w:pPr>
        <w:spacing w:before="120" w:line="500" w:lineRule="exact"/>
        <w:ind w:firstLine="640"/>
        <w:jc w:val="center"/>
        <w:rPr>
          <w:rFonts w:ascii="宋体" w:hAnsi="宋体" w:cs="宋体"/>
          <w:bCs/>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Cs/>
          <w:color w:val="auto"/>
          <w:sz w:val="32"/>
          <w:szCs w:val="32"/>
          <w:highlight w:val="none"/>
        </w:rPr>
        <w:t>商务要求偏离表格式</w:t>
      </w:r>
    </w:p>
    <w:p w14:paraId="0F8F7045">
      <w:pPr>
        <w:spacing w:before="120" w:line="500" w:lineRule="exact"/>
        <w:ind w:firstLine="480"/>
        <w:jc w:val="center"/>
        <w:rPr>
          <w:rFonts w:ascii="宋体" w:hAnsi="宋体" w:cs="宋体"/>
          <w:b/>
          <w:iCs/>
          <w:color w:val="auto"/>
          <w:sz w:val="24"/>
          <w:highlight w:val="none"/>
        </w:rPr>
      </w:pPr>
      <w:r>
        <w:rPr>
          <w:rFonts w:hint="eastAsia" w:ascii="宋体" w:hAnsi="宋体" w:cs="宋体"/>
          <w:bCs/>
          <w:iCs/>
          <w:color w:val="auto"/>
          <w:sz w:val="24"/>
          <w:highlight w:val="none"/>
        </w:rPr>
        <w:t>（注：按采购需求具体条款修改）</w:t>
      </w:r>
    </w:p>
    <w:p w14:paraId="7FA29630">
      <w:pPr>
        <w:snapToGrid w:val="0"/>
        <w:spacing w:before="120"/>
        <w:ind w:firstLine="480"/>
        <w:jc w:val="left"/>
        <w:rPr>
          <w:rFonts w:ascii="宋体" w:hAnsi="宋体" w:cs="宋体"/>
          <w:color w:val="auto"/>
          <w:sz w:val="24"/>
          <w:highlight w:val="none"/>
        </w:rPr>
      </w:pPr>
    </w:p>
    <w:p w14:paraId="60F61B93">
      <w:pPr>
        <w:pStyle w:val="14"/>
        <w:ind w:firstLine="480"/>
        <w:rPr>
          <w:color w:val="auto"/>
          <w:highlight w:val="none"/>
        </w:rPr>
      </w:pPr>
      <w:r>
        <w:rPr>
          <w:rFonts w:hint="eastAsia"/>
          <w:color w:val="auto"/>
          <w:sz w:val="24"/>
          <w:szCs w:val="24"/>
          <w:highlight w:val="none"/>
        </w:rPr>
        <w:t xml:space="preserve">所竞分标：     </w:t>
      </w:r>
      <w:r>
        <w:rPr>
          <w:rFonts w:hint="eastAsia"/>
          <w:color w:val="auto"/>
          <w:highlight w:val="none"/>
        </w:rPr>
        <w:t xml:space="preserve">         </w:t>
      </w:r>
    </w:p>
    <w:tbl>
      <w:tblPr>
        <w:tblStyle w:val="26"/>
        <w:tblpPr w:leftFromText="180" w:rightFromText="180" w:vertAnchor="text" w:horzAnchor="margin" w:tblpY="311"/>
        <w:tblOverlap w:val="never"/>
        <w:tblW w:w="93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9"/>
        <w:gridCol w:w="2669"/>
        <w:gridCol w:w="2634"/>
        <w:gridCol w:w="1830"/>
      </w:tblGrid>
      <w:tr w14:paraId="28C48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9" w:type="dxa"/>
            <w:tcBorders>
              <w:top w:val="single" w:color="auto" w:sz="4" w:space="0"/>
              <w:left w:val="single" w:color="auto" w:sz="4" w:space="0"/>
              <w:bottom w:val="single" w:color="auto" w:sz="4" w:space="0"/>
              <w:right w:val="single" w:color="auto" w:sz="4" w:space="0"/>
            </w:tcBorders>
            <w:vAlign w:val="center"/>
          </w:tcPr>
          <w:p w14:paraId="14543918">
            <w:pPr>
              <w:snapToGrid w:val="0"/>
              <w:spacing w:beforeLines="50" w:line="360" w:lineRule="auto"/>
              <w:ind w:firstLine="420"/>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669" w:type="dxa"/>
            <w:tcBorders>
              <w:top w:val="single" w:color="auto" w:sz="4" w:space="0"/>
              <w:left w:val="single" w:color="auto" w:sz="4" w:space="0"/>
              <w:bottom w:val="single" w:color="auto" w:sz="4" w:space="0"/>
              <w:right w:val="single" w:color="auto" w:sz="4" w:space="0"/>
            </w:tcBorders>
            <w:vAlign w:val="center"/>
          </w:tcPr>
          <w:p w14:paraId="309ED2D5">
            <w:pPr>
              <w:snapToGrid w:val="0"/>
              <w:spacing w:beforeLines="50" w:line="360" w:lineRule="auto"/>
              <w:ind w:firstLine="420"/>
              <w:jc w:val="center"/>
              <w:rPr>
                <w:rFonts w:ascii="宋体" w:hAnsi="宋体" w:cs="宋体"/>
                <w:color w:val="auto"/>
                <w:szCs w:val="21"/>
                <w:highlight w:val="none"/>
              </w:rPr>
            </w:pPr>
            <w:r>
              <w:rPr>
                <w:rFonts w:hint="eastAsia" w:ascii="宋体" w:hAnsi="宋体" w:cs="宋体"/>
                <w:color w:val="auto"/>
                <w:szCs w:val="21"/>
                <w:highlight w:val="none"/>
              </w:rPr>
              <w:t>谈判文件商务要求</w:t>
            </w:r>
          </w:p>
        </w:tc>
        <w:tc>
          <w:tcPr>
            <w:tcW w:w="2634" w:type="dxa"/>
            <w:tcBorders>
              <w:top w:val="single" w:color="auto" w:sz="4" w:space="0"/>
              <w:left w:val="single" w:color="auto" w:sz="4" w:space="0"/>
              <w:bottom w:val="single" w:color="auto" w:sz="4" w:space="0"/>
              <w:right w:val="single" w:color="auto" w:sz="4" w:space="0"/>
            </w:tcBorders>
            <w:vAlign w:val="center"/>
          </w:tcPr>
          <w:p w14:paraId="79332CD2">
            <w:pPr>
              <w:snapToGrid w:val="0"/>
              <w:spacing w:beforeLines="50" w:line="360" w:lineRule="auto"/>
              <w:ind w:firstLine="420"/>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830" w:type="dxa"/>
            <w:tcBorders>
              <w:top w:val="single" w:color="auto" w:sz="4" w:space="0"/>
              <w:left w:val="single" w:color="auto" w:sz="4" w:space="0"/>
              <w:bottom w:val="single" w:color="auto" w:sz="4" w:space="0"/>
              <w:right w:val="single" w:color="auto" w:sz="4" w:space="0"/>
            </w:tcBorders>
            <w:vAlign w:val="center"/>
          </w:tcPr>
          <w:p w14:paraId="25EA9A9F">
            <w:pPr>
              <w:snapToGrid w:val="0"/>
              <w:spacing w:beforeLines="50" w:line="360" w:lineRule="auto"/>
              <w:ind w:firstLine="420"/>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8362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9" w:type="dxa"/>
            <w:tcBorders>
              <w:top w:val="single" w:color="auto" w:sz="4" w:space="0"/>
              <w:left w:val="single" w:color="auto" w:sz="4" w:space="0"/>
              <w:bottom w:val="single" w:color="auto" w:sz="4" w:space="0"/>
              <w:right w:val="single" w:color="auto" w:sz="4" w:space="0"/>
            </w:tcBorders>
            <w:vAlign w:val="center"/>
          </w:tcPr>
          <w:p w14:paraId="0C3E8197">
            <w:pPr>
              <w:spacing w:before="120"/>
              <w:ind w:firstLine="420"/>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6A4D3C73">
            <w:pPr>
              <w:spacing w:before="120"/>
              <w:ind w:firstLine="420"/>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26A76D83">
            <w:pPr>
              <w:snapToGrid w:val="0"/>
              <w:spacing w:beforeLines="50" w:line="360" w:lineRule="auto"/>
              <w:ind w:firstLine="420"/>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26685D54">
            <w:pPr>
              <w:snapToGrid w:val="0"/>
              <w:spacing w:beforeLines="50" w:line="360" w:lineRule="auto"/>
              <w:ind w:firstLine="420"/>
              <w:jc w:val="center"/>
              <w:rPr>
                <w:rFonts w:ascii="宋体" w:hAnsi="宋体" w:cs="宋体"/>
                <w:color w:val="auto"/>
                <w:szCs w:val="21"/>
                <w:highlight w:val="none"/>
              </w:rPr>
            </w:pPr>
          </w:p>
        </w:tc>
      </w:tr>
      <w:tr w14:paraId="762BB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9" w:type="dxa"/>
            <w:tcBorders>
              <w:top w:val="single" w:color="auto" w:sz="4" w:space="0"/>
              <w:left w:val="single" w:color="auto" w:sz="4" w:space="0"/>
              <w:bottom w:val="single" w:color="auto" w:sz="4" w:space="0"/>
              <w:right w:val="single" w:color="auto" w:sz="4" w:space="0"/>
            </w:tcBorders>
            <w:vAlign w:val="center"/>
          </w:tcPr>
          <w:p w14:paraId="7A1590F5">
            <w:pPr>
              <w:spacing w:before="120"/>
              <w:ind w:firstLine="420"/>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7136EA8C">
            <w:pPr>
              <w:spacing w:before="120"/>
              <w:ind w:firstLine="420"/>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1E6B53C1">
            <w:pPr>
              <w:snapToGrid w:val="0"/>
              <w:spacing w:beforeLines="50" w:line="360" w:lineRule="auto"/>
              <w:ind w:left="43" w:firstLine="420"/>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6F3440DA">
            <w:pPr>
              <w:snapToGrid w:val="0"/>
              <w:spacing w:beforeLines="50" w:line="360" w:lineRule="auto"/>
              <w:ind w:left="43" w:firstLine="420"/>
              <w:jc w:val="center"/>
              <w:rPr>
                <w:rFonts w:ascii="宋体" w:hAnsi="宋体" w:cs="宋体"/>
                <w:color w:val="auto"/>
                <w:szCs w:val="21"/>
                <w:highlight w:val="none"/>
              </w:rPr>
            </w:pPr>
          </w:p>
        </w:tc>
      </w:tr>
      <w:tr w14:paraId="7928C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0E18588E">
            <w:pPr>
              <w:snapToGrid w:val="0"/>
              <w:spacing w:beforeLines="50" w:line="360" w:lineRule="auto"/>
              <w:ind w:firstLine="420"/>
              <w:jc w:val="center"/>
              <w:rPr>
                <w:rFonts w:ascii="宋体" w:hAnsi="宋体" w:cs="宋体"/>
                <w:color w:val="auto"/>
                <w:szCs w:val="21"/>
                <w:highlight w:val="none"/>
              </w:rPr>
            </w:pPr>
            <w:r>
              <w:rPr>
                <w:rFonts w:hint="eastAsia" w:ascii="宋体" w:hAnsi="宋体" w:cs="宋体"/>
                <w:color w:val="auto"/>
                <w:szCs w:val="21"/>
                <w:highlight w:val="none"/>
              </w:rPr>
              <w:t>…</w:t>
            </w:r>
          </w:p>
        </w:tc>
        <w:tc>
          <w:tcPr>
            <w:tcW w:w="2669" w:type="dxa"/>
            <w:tcBorders>
              <w:top w:val="single" w:color="auto" w:sz="4" w:space="0"/>
              <w:left w:val="single" w:color="auto" w:sz="4" w:space="0"/>
              <w:bottom w:val="single" w:color="auto" w:sz="4" w:space="0"/>
              <w:right w:val="single" w:color="auto" w:sz="4" w:space="0"/>
            </w:tcBorders>
            <w:vAlign w:val="center"/>
          </w:tcPr>
          <w:p w14:paraId="4A94CC34">
            <w:pPr>
              <w:snapToGrid w:val="0"/>
              <w:spacing w:beforeLines="50" w:line="360" w:lineRule="auto"/>
              <w:ind w:firstLine="420"/>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051309B5">
            <w:pPr>
              <w:snapToGrid w:val="0"/>
              <w:spacing w:beforeLines="50" w:line="360" w:lineRule="auto"/>
              <w:ind w:firstLine="420"/>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0537D312">
            <w:pPr>
              <w:snapToGrid w:val="0"/>
              <w:spacing w:beforeLines="50" w:line="360" w:lineRule="auto"/>
              <w:ind w:firstLine="420"/>
              <w:jc w:val="center"/>
              <w:rPr>
                <w:rFonts w:ascii="宋体" w:hAnsi="宋体" w:cs="宋体"/>
                <w:color w:val="auto"/>
                <w:szCs w:val="21"/>
                <w:highlight w:val="none"/>
              </w:rPr>
            </w:pPr>
          </w:p>
        </w:tc>
      </w:tr>
    </w:tbl>
    <w:p w14:paraId="347D1075">
      <w:pPr>
        <w:pStyle w:val="10"/>
        <w:spacing w:before="120"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8E954A7">
      <w:pPr>
        <w:pStyle w:val="10"/>
        <w:spacing w:before="120"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说明：应对照谈判文件“第三章 采购需求”中的商务要求逐条明确响应，并作出偏离说明。</w:t>
      </w:r>
    </w:p>
    <w:p w14:paraId="2B3DFB2E">
      <w:pPr>
        <w:pStyle w:val="10"/>
        <w:spacing w:before="120"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2.供应商应根据自身的承诺，对照谈判文件要求在“偏离说明”中注明“正偏离”、“负偏离”或者“无偏离”。既不属于“正偏离”也不属于“负偏离”即为“无偏离”。</w:t>
      </w:r>
    </w:p>
    <w:p w14:paraId="0D8520E1">
      <w:pPr>
        <w:spacing w:before="120" w:line="360" w:lineRule="auto"/>
        <w:ind w:firstLine="420"/>
        <w:jc w:val="left"/>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不按照要求填写响应内容的或者仅填写“满足或者响应”的，均按无效竞标处理。</w:t>
      </w:r>
    </w:p>
    <w:p w14:paraId="4455737F">
      <w:pPr>
        <w:spacing w:before="120" w:line="360" w:lineRule="auto"/>
        <w:ind w:firstLine="420"/>
        <w:jc w:val="left"/>
        <w:rPr>
          <w:rFonts w:ascii="宋体" w:hAnsi="宋体" w:cs="宋体"/>
          <w:color w:val="auto"/>
          <w:szCs w:val="21"/>
          <w:highlight w:val="none"/>
          <w:u w:val="single"/>
        </w:rPr>
      </w:pPr>
    </w:p>
    <w:p w14:paraId="3621A8DA">
      <w:pPr>
        <w:spacing w:before="120" w:line="360" w:lineRule="auto"/>
        <w:ind w:right="-817" w:rightChars="-389" w:firstLine="420"/>
        <w:contextualSpacing/>
        <w:rPr>
          <w:rFonts w:ascii="宋体" w:hAnsi="宋体" w:cs="宋体"/>
          <w:color w:val="auto"/>
          <w:szCs w:val="21"/>
          <w:highlight w:val="none"/>
        </w:rPr>
      </w:pPr>
    </w:p>
    <w:p w14:paraId="208E72BB">
      <w:pPr>
        <w:spacing w:before="120" w:line="360" w:lineRule="auto"/>
        <w:ind w:right="-817" w:rightChars="-389" w:firstLine="420"/>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3720353C">
      <w:pPr>
        <w:spacing w:before="120"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54959875">
      <w:pPr>
        <w:spacing w:before="120"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日期：   年   月   日</w:t>
      </w:r>
    </w:p>
    <w:p w14:paraId="3D4C1693">
      <w:pPr>
        <w:adjustRightInd w:val="0"/>
        <w:snapToGrid w:val="0"/>
        <w:spacing w:before="120" w:line="520" w:lineRule="exact"/>
        <w:ind w:firstLine="7040" w:firstLineChars="1600"/>
        <w:jc w:val="center"/>
        <w:rPr>
          <w:rFonts w:ascii="宋体" w:hAnsi="宋体" w:cs="宋体"/>
          <w:bCs/>
          <w:color w:val="auto"/>
          <w:sz w:val="44"/>
          <w:szCs w:val="44"/>
          <w:highlight w:val="none"/>
        </w:rPr>
      </w:pPr>
    </w:p>
    <w:p w14:paraId="0052C6EF">
      <w:pPr>
        <w:adjustRightInd w:val="0"/>
        <w:snapToGrid w:val="0"/>
        <w:spacing w:before="120" w:line="520" w:lineRule="exact"/>
        <w:ind w:firstLine="880"/>
        <w:jc w:val="center"/>
        <w:rPr>
          <w:rFonts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32"/>
          <w:szCs w:val="32"/>
          <w:highlight w:val="none"/>
        </w:rPr>
        <w:t>货物配置清单</w:t>
      </w:r>
    </w:p>
    <w:p w14:paraId="478612F7">
      <w:pPr>
        <w:spacing w:before="120" w:line="300" w:lineRule="auto"/>
        <w:ind w:firstLine="420"/>
        <w:rPr>
          <w:rFonts w:ascii="宋体" w:hAnsi="宋体" w:cs="宋体"/>
          <w:color w:val="auto"/>
          <w:szCs w:val="21"/>
          <w:highlight w:val="none"/>
        </w:rPr>
      </w:pPr>
    </w:p>
    <w:p w14:paraId="62D27D41">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111A58C">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8D81FB3">
      <w:pPr>
        <w:spacing w:before="120"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所竞分标：</w:t>
      </w:r>
      <w:r>
        <w:rPr>
          <w:rFonts w:hint="eastAsia" w:ascii="宋体" w:hAnsi="宋体" w:cs="宋体"/>
          <w:color w:val="auto"/>
          <w:szCs w:val="21"/>
          <w:highlight w:val="none"/>
          <w:u w:val="single"/>
        </w:rPr>
        <w:t xml:space="preserve">                 </w:t>
      </w:r>
    </w:p>
    <w:tbl>
      <w:tblPr>
        <w:tblStyle w:val="26"/>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147"/>
        <w:gridCol w:w="942"/>
        <w:gridCol w:w="912"/>
        <w:gridCol w:w="1821"/>
        <w:gridCol w:w="1270"/>
        <w:gridCol w:w="752"/>
        <w:gridCol w:w="1526"/>
      </w:tblGrid>
      <w:tr w14:paraId="6AD96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2E1AC9B">
            <w:pPr>
              <w:snapToGrid w:val="0"/>
              <w:spacing w:before="120" w:after="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D4E913B">
            <w:pPr>
              <w:snapToGrid w:val="0"/>
              <w:spacing w:before="120" w:after="50"/>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42" w:type="dxa"/>
            <w:tcBorders>
              <w:top w:val="single" w:color="auto" w:sz="4" w:space="0"/>
              <w:left w:val="single" w:color="auto" w:sz="4" w:space="0"/>
              <w:bottom w:val="single" w:color="auto" w:sz="4" w:space="0"/>
              <w:right w:val="single" w:color="auto" w:sz="4" w:space="0"/>
            </w:tcBorders>
            <w:vAlign w:val="center"/>
          </w:tcPr>
          <w:p w14:paraId="0A6F2AF7">
            <w:pPr>
              <w:snapToGrid w:val="0"/>
              <w:spacing w:before="120" w:after="50"/>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912" w:type="dxa"/>
            <w:tcBorders>
              <w:top w:val="single" w:color="auto" w:sz="4" w:space="0"/>
              <w:left w:val="single" w:color="auto" w:sz="4" w:space="0"/>
              <w:bottom w:val="single" w:color="auto" w:sz="4" w:space="0"/>
              <w:right w:val="single" w:color="auto" w:sz="4" w:space="0"/>
            </w:tcBorders>
            <w:vAlign w:val="center"/>
          </w:tcPr>
          <w:p w14:paraId="6E6D540D">
            <w:pPr>
              <w:snapToGrid w:val="0"/>
              <w:spacing w:before="120" w:after="50"/>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1821" w:type="dxa"/>
            <w:tcBorders>
              <w:top w:val="single" w:color="auto" w:sz="4" w:space="0"/>
              <w:left w:val="single" w:color="auto" w:sz="4" w:space="0"/>
              <w:bottom w:val="single" w:color="auto" w:sz="4" w:space="0"/>
              <w:right w:val="single" w:color="auto" w:sz="4" w:space="0"/>
            </w:tcBorders>
            <w:vAlign w:val="center"/>
          </w:tcPr>
          <w:p w14:paraId="40EA67A2">
            <w:pPr>
              <w:snapToGrid w:val="0"/>
              <w:spacing w:before="120" w:after="50"/>
              <w:ind w:firstLine="420"/>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vAlign w:val="center"/>
          </w:tcPr>
          <w:p w14:paraId="6E0002D9">
            <w:pPr>
              <w:snapToGrid w:val="0"/>
              <w:spacing w:before="120" w:after="50"/>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752" w:type="dxa"/>
            <w:tcBorders>
              <w:top w:val="single" w:color="auto" w:sz="4" w:space="0"/>
              <w:left w:val="single" w:color="auto" w:sz="4" w:space="0"/>
              <w:bottom w:val="single" w:color="auto" w:sz="4" w:space="0"/>
              <w:right w:val="single" w:color="auto" w:sz="4" w:space="0"/>
            </w:tcBorders>
            <w:vAlign w:val="center"/>
          </w:tcPr>
          <w:p w14:paraId="2AEB5B4B">
            <w:pPr>
              <w:snapToGrid w:val="0"/>
              <w:spacing w:before="120" w:after="50"/>
              <w:jc w:val="center"/>
              <w:rPr>
                <w:rFonts w:ascii="宋体" w:hAnsi="宋体" w:cs="宋体"/>
                <w:color w:val="auto"/>
                <w:szCs w:val="21"/>
                <w:highlight w:val="none"/>
              </w:rPr>
            </w:pPr>
            <w:r>
              <w:rPr>
                <w:rFonts w:hint="eastAsia" w:ascii="宋体" w:hAnsi="宋体" w:cs="宋体"/>
                <w:color w:val="auto"/>
                <w:szCs w:val="21"/>
                <w:highlight w:val="none"/>
              </w:rPr>
              <w:t>国别</w:t>
            </w:r>
          </w:p>
        </w:tc>
        <w:tc>
          <w:tcPr>
            <w:tcW w:w="1526" w:type="dxa"/>
            <w:tcBorders>
              <w:top w:val="single" w:color="auto" w:sz="4" w:space="0"/>
              <w:left w:val="single" w:color="auto" w:sz="4" w:space="0"/>
              <w:bottom w:val="single" w:color="auto" w:sz="4" w:space="0"/>
              <w:right w:val="single" w:color="auto" w:sz="4" w:space="0"/>
            </w:tcBorders>
            <w:vAlign w:val="center"/>
          </w:tcPr>
          <w:p w14:paraId="69E62A3E">
            <w:pPr>
              <w:snapToGrid w:val="0"/>
              <w:spacing w:before="120" w:after="50"/>
              <w:jc w:val="center"/>
              <w:rPr>
                <w:rFonts w:ascii="宋体" w:hAnsi="宋体" w:cs="宋体"/>
                <w:color w:val="auto"/>
                <w:szCs w:val="21"/>
                <w:highlight w:val="none"/>
              </w:rPr>
            </w:pPr>
            <w:r>
              <w:rPr>
                <w:rFonts w:hint="eastAsia" w:ascii="宋体" w:hAnsi="宋体" w:cs="宋体"/>
                <w:color w:val="auto"/>
                <w:szCs w:val="21"/>
                <w:highlight w:val="none"/>
              </w:rPr>
              <w:t>参数性能、指标及配置</w:t>
            </w:r>
          </w:p>
        </w:tc>
      </w:tr>
      <w:tr w14:paraId="1F671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95066D2">
            <w:pPr>
              <w:snapToGrid w:val="0"/>
              <w:spacing w:before="120" w:after="50"/>
              <w:ind w:firstLine="420"/>
              <w:jc w:val="cente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0A6F994">
            <w:pPr>
              <w:snapToGrid w:val="0"/>
              <w:spacing w:before="120" w:after="50"/>
              <w:ind w:firstLine="420"/>
              <w:jc w:val="center"/>
              <w:rPr>
                <w:rFonts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14:paraId="70C6C356">
            <w:pPr>
              <w:snapToGrid w:val="0"/>
              <w:spacing w:before="120" w:after="50"/>
              <w:ind w:firstLine="42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3997DD30">
            <w:pPr>
              <w:snapToGrid w:val="0"/>
              <w:spacing w:before="120" w:after="50"/>
              <w:ind w:firstLine="42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09BE5381">
            <w:pPr>
              <w:snapToGrid w:val="0"/>
              <w:spacing w:before="120" w:after="50"/>
              <w:ind w:firstLine="42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23C5BB1C">
            <w:pPr>
              <w:snapToGrid w:val="0"/>
              <w:spacing w:before="120" w:after="50"/>
              <w:ind w:firstLine="42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43255B87">
            <w:pPr>
              <w:snapToGrid w:val="0"/>
              <w:spacing w:before="120" w:after="50"/>
              <w:ind w:firstLine="42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ADE4DF4">
            <w:pPr>
              <w:snapToGrid w:val="0"/>
              <w:spacing w:before="120" w:after="50"/>
              <w:ind w:firstLine="420"/>
              <w:jc w:val="center"/>
              <w:rPr>
                <w:rFonts w:ascii="宋体" w:hAnsi="宋体" w:cs="宋体"/>
                <w:color w:val="auto"/>
                <w:szCs w:val="21"/>
                <w:highlight w:val="none"/>
              </w:rPr>
            </w:pPr>
          </w:p>
        </w:tc>
      </w:tr>
      <w:tr w14:paraId="26EAA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07589E7">
            <w:pPr>
              <w:snapToGrid w:val="0"/>
              <w:spacing w:before="120" w:after="50"/>
              <w:ind w:firstLine="420"/>
              <w:jc w:val="cente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E1E4E1B">
            <w:pPr>
              <w:snapToGrid w:val="0"/>
              <w:spacing w:before="120" w:after="50"/>
              <w:ind w:firstLine="420"/>
              <w:jc w:val="center"/>
              <w:rPr>
                <w:rFonts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14:paraId="2F187D3B">
            <w:pPr>
              <w:snapToGrid w:val="0"/>
              <w:spacing w:before="120" w:after="50"/>
              <w:ind w:firstLine="42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F427E9F">
            <w:pPr>
              <w:snapToGrid w:val="0"/>
              <w:spacing w:before="120" w:after="50"/>
              <w:ind w:firstLine="42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1FC04B1F">
            <w:pPr>
              <w:snapToGrid w:val="0"/>
              <w:spacing w:before="120" w:after="50"/>
              <w:ind w:firstLine="42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4F596257">
            <w:pPr>
              <w:snapToGrid w:val="0"/>
              <w:spacing w:before="120" w:after="50"/>
              <w:ind w:firstLine="42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4D3E22E6">
            <w:pPr>
              <w:snapToGrid w:val="0"/>
              <w:spacing w:before="120" w:after="50"/>
              <w:ind w:firstLine="42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2D02DDC">
            <w:pPr>
              <w:snapToGrid w:val="0"/>
              <w:spacing w:before="120" w:after="50"/>
              <w:ind w:firstLine="420"/>
              <w:jc w:val="center"/>
              <w:rPr>
                <w:rFonts w:ascii="宋体" w:hAnsi="宋体" w:cs="宋体"/>
                <w:color w:val="auto"/>
                <w:szCs w:val="21"/>
                <w:highlight w:val="none"/>
              </w:rPr>
            </w:pPr>
          </w:p>
        </w:tc>
      </w:tr>
      <w:tr w14:paraId="76835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B222B06">
            <w:pPr>
              <w:snapToGrid w:val="0"/>
              <w:spacing w:before="120" w:after="50"/>
              <w:ind w:firstLine="420"/>
              <w:jc w:val="cente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101C349">
            <w:pPr>
              <w:snapToGrid w:val="0"/>
              <w:spacing w:before="120" w:after="50"/>
              <w:ind w:firstLine="420"/>
              <w:jc w:val="center"/>
              <w:rPr>
                <w:rFonts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14:paraId="5AD0EBE0">
            <w:pPr>
              <w:snapToGrid w:val="0"/>
              <w:spacing w:before="120" w:after="50"/>
              <w:ind w:firstLine="42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4E1FEC4F">
            <w:pPr>
              <w:snapToGrid w:val="0"/>
              <w:spacing w:before="120" w:after="50"/>
              <w:ind w:firstLine="42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002BF621">
            <w:pPr>
              <w:snapToGrid w:val="0"/>
              <w:spacing w:before="120" w:after="50"/>
              <w:ind w:firstLine="42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5D44834B">
            <w:pPr>
              <w:snapToGrid w:val="0"/>
              <w:spacing w:before="120" w:after="50"/>
              <w:ind w:firstLine="42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26B27F41">
            <w:pPr>
              <w:snapToGrid w:val="0"/>
              <w:spacing w:before="120" w:after="50"/>
              <w:ind w:firstLine="42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C9C512E">
            <w:pPr>
              <w:snapToGrid w:val="0"/>
              <w:spacing w:before="120" w:after="50"/>
              <w:ind w:firstLine="420"/>
              <w:jc w:val="center"/>
              <w:rPr>
                <w:rFonts w:ascii="宋体" w:hAnsi="宋体" w:cs="宋体"/>
                <w:color w:val="auto"/>
                <w:szCs w:val="21"/>
                <w:highlight w:val="none"/>
              </w:rPr>
            </w:pPr>
          </w:p>
        </w:tc>
      </w:tr>
    </w:tbl>
    <w:p w14:paraId="6A6B232A">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备注：</w:t>
      </w:r>
    </w:p>
    <w:p w14:paraId="4FA2A0B6">
      <w:pPr>
        <w:tabs>
          <w:tab w:val="left" w:pos="1065"/>
        </w:tabs>
        <w:adjustRightInd w:val="0"/>
        <w:spacing w:before="120"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cs="宋体"/>
          <w:b/>
          <w:color w:val="auto"/>
          <w:szCs w:val="21"/>
          <w:highlight w:val="none"/>
        </w:rPr>
        <w:t>。</w:t>
      </w:r>
      <w:r>
        <w:rPr>
          <w:rFonts w:hint="eastAsia" w:ascii="宋体" w:hAnsi="宋体" w:cs="宋体"/>
          <w:color w:val="auto"/>
          <w:szCs w:val="21"/>
          <w:highlight w:val="none"/>
        </w:rPr>
        <w:t>标的名称、数量及单位、品牌必须与“竞标报价表”一致，</w:t>
      </w:r>
      <w:r>
        <w:rPr>
          <w:rFonts w:hint="eastAsia" w:ascii="宋体" w:hAnsi="宋体" w:cs="宋体"/>
          <w:bCs/>
          <w:color w:val="auto"/>
          <w:szCs w:val="21"/>
          <w:highlight w:val="none"/>
        </w:rPr>
        <w:t>否则响应文件按无效处理</w:t>
      </w:r>
      <w:r>
        <w:rPr>
          <w:rFonts w:hint="eastAsia" w:ascii="宋体" w:hAnsi="宋体" w:cs="宋体"/>
          <w:b/>
          <w:color w:val="auto"/>
          <w:szCs w:val="21"/>
          <w:highlight w:val="none"/>
        </w:rPr>
        <w:t>。</w:t>
      </w:r>
      <w:r>
        <w:rPr>
          <w:rFonts w:hint="eastAsia" w:ascii="宋体" w:hAnsi="宋体" w:cs="宋体"/>
          <w:color w:val="auto"/>
          <w:szCs w:val="21"/>
          <w:highlight w:val="none"/>
        </w:rPr>
        <w:tab/>
      </w:r>
    </w:p>
    <w:p w14:paraId="4BD40030">
      <w:pPr>
        <w:adjustRightInd w:val="0"/>
        <w:spacing w:before="120" w:line="360" w:lineRule="auto"/>
        <w:ind w:firstLine="420"/>
        <w:jc w:val="left"/>
        <w:rPr>
          <w:rFonts w:ascii="宋体" w:hAnsi="宋体" w:cs="宋体"/>
          <w:color w:val="auto"/>
          <w:szCs w:val="21"/>
          <w:highlight w:val="none"/>
        </w:rPr>
      </w:pPr>
    </w:p>
    <w:p w14:paraId="2EDB25D3">
      <w:pPr>
        <w:adjustRightInd w:val="0"/>
        <w:spacing w:before="120" w:line="360" w:lineRule="auto"/>
        <w:ind w:firstLine="420"/>
        <w:jc w:val="left"/>
        <w:rPr>
          <w:rFonts w:ascii="宋体" w:hAnsi="宋体" w:cs="宋体"/>
          <w:color w:val="auto"/>
          <w:szCs w:val="21"/>
          <w:highlight w:val="none"/>
        </w:rPr>
      </w:pPr>
    </w:p>
    <w:p w14:paraId="08E6C17D">
      <w:pPr>
        <w:adjustRightInd w:val="0"/>
        <w:spacing w:before="120" w:line="360" w:lineRule="auto"/>
        <w:ind w:firstLine="420"/>
        <w:jc w:val="left"/>
        <w:rPr>
          <w:rFonts w:ascii="宋体" w:hAnsi="宋体" w:cs="宋体"/>
          <w:color w:val="auto"/>
          <w:szCs w:val="21"/>
          <w:highlight w:val="none"/>
        </w:rPr>
      </w:pPr>
    </w:p>
    <w:p w14:paraId="54AEFC4E">
      <w:pPr>
        <w:spacing w:before="120" w:line="360" w:lineRule="auto"/>
        <w:ind w:right="-817" w:rightChars="-389" w:firstLine="420"/>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5227CEFD">
      <w:pPr>
        <w:spacing w:before="120"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6497D25E">
      <w:pPr>
        <w:spacing w:before="120" w:line="360" w:lineRule="auto"/>
        <w:ind w:right="-817" w:rightChars="-389" w:firstLine="2520" w:firstLineChars="1200"/>
        <w:contextualSpacing/>
        <w:rPr>
          <w:rFonts w:ascii="宋体" w:hAnsi="宋体" w:cs="宋体"/>
          <w:b/>
          <w:color w:val="auto"/>
          <w:szCs w:val="21"/>
          <w:highlight w:val="none"/>
        </w:rPr>
      </w:pPr>
      <w:r>
        <w:rPr>
          <w:rFonts w:hint="eastAsia" w:ascii="宋体" w:hAnsi="宋体" w:cs="宋体"/>
          <w:color w:val="auto"/>
          <w:szCs w:val="21"/>
          <w:highlight w:val="none"/>
        </w:rPr>
        <w:t>日期：   年   月   日</w:t>
      </w:r>
    </w:p>
    <w:p w14:paraId="4D15DA97">
      <w:pPr>
        <w:adjustRightInd w:val="0"/>
        <w:snapToGrid w:val="0"/>
        <w:spacing w:before="120" w:line="300" w:lineRule="auto"/>
        <w:ind w:firstLine="420"/>
        <w:rPr>
          <w:rFonts w:ascii="宋体" w:hAnsi="宋体" w:cs="宋体"/>
          <w:color w:val="auto"/>
          <w:szCs w:val="21"/>
          <w:highlight w:val="none"/>
          <w:u w:val="single"/>
        </w:rPr>
      </w:pPr>
    </w:p>
    <w:p w14:paraId="1E8D414D">
      <w:pPr>
        <w:adjustRightInd w:val="0"/>
        <w:snapToGrid w:val="0"/>
        <w:spacing w:before="120" w:line="300" w:lineRule="auto"/>
        <w:ind w:firstLine="420"/>
        <w:rPr>
          <w:rFonts w:ascii="宋体" w:hAnsi="宋体" w:cs="宋体"/>
          <w:color w:val="auto"/>
          <w:szCs w:val="21"/>
          <w:highlight w:val="none"/>
          <w:u w:val="single"/>
        </w:rPr>
      </w:pPr>
    </w:p>
    <w:p w14:paraId="24CAB96E">
      <w:pPr>
        <w:adjustRightInd w:val="0"/>
        <w:snapToGrid w:val="0"/>
        <w:spacing w:before="120" w:line="300" w:lineRule="auto"/>
        <w:ind w:firstLine="420"/>
        <w:rPr>
          <w:rFonts w:ascii="宋体" w:hAnsi="宋体" w:cs="宋体"/>
          <w:color w:val="auto"/>
          <w:szCs w:val="21"/>
          <w:highlight w:val="none"/>
          <w:u w:val="single"/>
        </w:rPr>
      </w:pPr>
    </w:p>
    <w:p w14:paraId="2C068FE5">
      <w:pPr>
        <w:adjustRightInd w:val="0"/>
        <w:snapToGrid w:val="0"/>
        <w:spacing w:before="120" w:line="300" w:lineRule="auto"/>
        <w:ind w:firstLine="420"/>
        <w:rPr>
          <w:rFonts w:ascii="宋体" w:hAnsi="宋体" w:cs="宋体"/>
          <w:color w:val="auto"/>
          <w:szCs w:val="21"/>
          <w:highlight w:val="none"/>
          <w:u w:val="single"/>
        </w:rPr>
      </w:pPr>
    </w:p>
    <w:p w14:paraId="77497DD9">
      <w:pPr>
        <w:adjustRightInd w:val="0"/>
        <w:snapToGrid w:val="0"/>
        <w:spacing w:before="120" w:line="300" w:lineRule="auto"/>
        <w:ind w:firstLine="420"/>
        <w:rPr>
          <w:rFonts w:ascii="宋体" w:hAnsi="宋体" w:cs="宋体"/>
          <w:color w:val="auto"/>
          <w:szCs w:val="21"/>
          <w:highlight w:val="none"/>
          <w:u w:val="single"/>
        </w:rPr>
      </w:pPr>
    </w:p>
    <w:p w14:paraId="5C43A48C">
      <w:pPr>
        <w:adjustRightInd w:val="0"/>
        <w:snapToGrid w:val="0"/>
        <w:spacing w:before="120" w:line="300" w:lineRule="auto"/>
        <w:ind w:firstLine="420"/>
        <w:rPr>
          <w:rFonts w:ascii="宋体" w:hAnsi="宋体" w:cs="宋体"/>
          <w:color w:val="auto"/>
          <w:szCs w:val="21"/>
          <w:highlight w:val="none"/>
          <w:u w:val="single"/>
        </w:rPr>
      </w:pPr>
    </w:p>
    <w:p w14:paraId="73AD4FE8">
      <w:pPr>
        <w:adjustRightInd w:val="0"/>
        <w:snapToGrid w:val="0"/>
        <w:spacing w:before="120" w:line="300" w:lineRule="auto"/>
        <w:ind w:firstLine="420"/>
        <w:rPr>
          <w:rFonts w:ascii="宋体" w:hAnsi="宋体" w:cs="宋体"/>
          <w:color w:val="auto"/>
          <w:szCs w:val="21"/>
          <w:highlight w:val="none"/>
          <w:u w:val="single"/>
        </w:rPr>
      </w:pPr>
    </w:p>
    <w:p w14:paraId="1ADB822F">
      <w:pPr>
        <w:adjustRightInd w:val="0"/>
        <w:snapToGrid w:val="0"/>
        <w:spacing w:before="120" w:line="300" w:lineRule="auto"/>
        <w:ind w:firstLine="420"/>
        <w:rPr>
          <w:rFonts w:ascii="宋体" w:hAnsi="宋体" w:cs="宋体"/>
          <w:color w:val="auto"/>
          <w:szCs w:val="21"/>
          <w:highlight w:val="none"/>
          <w:u w:val="single"/>
        </w:rPr>
      </w:pPr>
    </w:p>
    <w:p w14:paraId="11CD464B">
      <w:pPr>
        <w:adjustRightInd w:val="0"/>
        <w:snapToGrid w:val="0"/>
        <w:spacing w:before="120" w:line="300" w:lineRule="auto"/>
        <w:ind w:firstLine="880"/>
        <w:jc w:val="center"/>
        <w:rPr>
          <w:rFonts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32"/>
          <w:szCs w:val="32"/>
          <w:highlight w:val="none"/>
        </w:rPr>
        <w:t>技术要求偏离表</w:t>
      </w:r>
    </w:p>
    <w:p w14:paraId="5BBE9E9C">
      <w:pPr>
        <w:spacing w:before="120" w:line="520" w:lineRule="exact"/>
        <w:ind w:firstLine="640"/>
        <w:rPr>
          <w:rFonts w:ascii="宋体" w:hAnsi="宋体" w:cs="宋体"/>
          <w:color w:val="auto"/>
          <w:sz w:val="32"/>
          <w:szCs w:val="32"/>
          <w:highlight w:val="none"/>
        </w:rPr>
      </w:pPr>
    </w:p>
    <w:p w14:paraId="29847A73">
      <w:pPr>
        <w:spacing w:before="120"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4148B508">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190943CE">
      <w:pPr>
        <w:spacing w:before="120"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分标号：</w:t>
      </w:r>
      <w:r>
        <w:rPr>
          <w:rFonts w:hint="eastAsia" w:ascii="宋体" w:hAnsi="宋体" w:cs="宋体"/>
          <w:color w:val="auto"/>
          <w:szCs w:val="21"/>
          <w:highlight w:val="none"/>
          <w:u w:val="single"/>
        </w:rPr>
        <w:t xml:space="preserve">                       </w:t>
      </w:r>
    </w:p>
    <w:tbl>
      <w:tblPr>
        <w:tblStyle w:val="26"/>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
        <w:gridCol w:w="918"/>
        <w:gridCol w:w="3048"/>
        <w:gridCol w:w="2743"/>
        <w:gridCol w:w="1497"/>
      </w:tblGrid>
      <w:tr w14:paraId="51B1CA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4" w:space="0"/>
              <w:left w:val="single" w:color="auto" w:sz="4" w:space="0"/>
              <w:bottom w:val="single" w:color="auto" w:sz="6" w:space="0"/>
              <w:right w:val="single" w:color="auto" w:sz="6" w:space="0"/>
            </w:tcBorders>
            <w:vAlign w:val="center"/>
          </w:tcPr>
          <w:p w14:paraId="68F87400">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918" w:type="dxa"/>
            <w:tcBorders>
              <w:top w:val="single" w:color="auto" w:sz="4" w:space="0"/>
              <w:left w:val="single" w:color="auto" w:sz="6" w:space="0"/>
              <w:bottom w:val="single" w:color="auto" w:sz="6" w:space="0"/>
              <w:right w:val="single" w:color="auto" w:sz="4" w:space="0"/>
            </w:tcBorders>
            <w:vAlign w:val="center"/>
          </w:tcPr>
          <w:p w14:paraId="1D49ABAE">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3048" w:type="dxa"/>
            <w:tcBorders>
              <w:top w:val="single" w:color="auto" w:sz="4" w:space="0"/>
              <w:left w:val="single" w:color="auto" w:sz="4" w:space="0"/>
              <w:bottom w:val="single" w:color="auto" w:sz="6" w:space="0"/>
              <w:right w:val="single" w:color="auto" w:sz="6" w:space="0"/>
            </w:tcBorders>
            <w:vAlign w:val="center"/>
          </w:tcPr>
          <w:p w14:paraId="7342223B">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谈判文件要求</w:t>
            </w:r>
          </w:p>
        </w:tc>
        <w:tc>
          <w:tcPr>
            <w:tcW w:w="2743" w:type="dxa"/>
            <w:tcBorders>
              <w:top w:val="single" w:color="auto" w:sz="4" w:space="0"/>
              <w:left w:val="single" w:color="auto" w:sz="6" w:space="0"/>
              <w:bottom w:val="single" w:color="auto" w:sz="6" w:space="0"/>
              <w:right w:val="single" w:color="auto" w:sz="6" w:space="0"/>
            </w:tcBorders>
            <w:vAlign w:val="center"/>
          </w:tcPr>
          <w:p w14:paraId="3D12E7F9">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竞标响应</w:t>
            </w:r>
          </w:p>
        </w:tc>
        <w:tc>
          <w:tcPr>
            <w:tcW w:w="1497" w:type="dxa"/>
            <w:tcBorders>
              <w:top w:val="single" w:color="auto" w:sz="4" w:space="0"/>
              <w:left w:val="single" w:color="auto" w:sz="6" w:space="0"/>
              <w:bottom w:val="single" w:color="auto" w:sz="6" w:space="0"/>
              <w:right w:val="single" w:color="auto" w:sz="4" w:space="0"/>
            </w:tcBorders>
            <w:vAlign w:val="center"/>
          </w:tcPr>
          <w:p w14:paraId="5A7DF54A">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偏离说明</w:t>
            </w:r>
          </w:p>
        </w:tc>
      </w:tr>
      <w:tr w14:paraId="232DF9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4F080BC">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918" w:type="dxa"/>
            <w:tcBorders>
              <w:top w:val="single" w:color="auto" w:sz="6" w:space="0"/>
              <w:left w:val="single" w:color="auto" w:sz="6" w:space="0"/>
              <w:bottom w:val="single" w:color="auto" w:sz="6" w:space="0"/>
              <w:right w:val="single" w:color="auto" w:sz="4" w:space="0"/>
            </w:tcBorders>
            <w:vAlign w:val="center"/>
          </w:tcPr>
          <w:p w14:paraId="7ABB7190">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3048" w:type="dxa"/>
            <w:tcBorders>
              <w:top w:val="single" w:color="auto" w:sz="6" w:space="0"/>
              <w:left w:val="single" w:color="auto" w:sz="4" w:space="0"/>
              <w:bottom w:val="single" w:color="auto" w:sz="6" w:space="0"/>
              <w:right w:val="single" w:color="auto" w:sz="6" w:space="0"/>
            </w:tcBorders>
            <w:vAlign w:val="center"/>
          </w:tcPr>
          <w:p w14:paraId="4FB29610">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5A22A98D">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724F7982">
            <w:pPr>
              <w:pStyle w:val="12"/>
              <w:spacing w:before="120" w:line="360" w:lineRule="auto"/>
              <w:ind w:firstLine="0" w:firstLineChars="0"/>
              <w:jc w:val="center"/>
              <w:rPr>
                <w:rFonts w:ascii="宋体" w:hAnsi="宋体" w:eastAsia="宋体" w:cs="宋体"/>
                <w:color w:val="auto"/>
                <w:kern w:val="2"/>
                <w:sz w:val="21"/>
                <w:szCs w:val="21"/>
                <w:highlight w:val="none"/>
              </w:rPr>
            </w:pPr>
          </w:p>
        </w:tc>
      </w:tr>
      <w:tr w14:paraId="70F9A2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7EB583D4">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918" w:type="dxa"/>
            <w:tcBorders>
              <w:top w:val="single" w:color="auto" w:sz="6" w:space="0"/>
              <w:left w:val="single" w:color="auto" w:sz="6" w:space="0"/>
              <w:bottom w:val="single" w:color="auto" w:sz="6" w:space="0"/>
              <w:right w:val="single" w:color="auto" w:sz="4" w:space="0"/>
            </w:tcBorders>
            <w:vAlign w:val="center"/>
          </w:tcPr>
          <w:p w14:paraId="543B03B5">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3048" w:type="dxa"/>
            <w:tcBorders>
              <w:top w:val="single" w:color="auto" w:sz="6" w:space="0"/>
              <w:left w:val="single" w:color="auto" w:sz="4" w:space="0"/>
              <w:bottom w:val="single" w:color="auto" w:sz="6" w:space="0"/>
              <w:right w:val="single" w:color="auto" w:sz="6" w:space="0"/>
            </w:tcBorders>
            <w:vAlign w:val="center"/>
          </w:tcPr>
          <w:p w14:paraId="52A3E3E3">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426CB7A9">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13A84381">
            <w:pPr>
              <w:pStyle w:val="12"/>
              <w:spacing w:before="120" w:line="360" w:lineRule="auto"/>
              <w:ind w:firstLine="0" w:firstLineChars="0"/>
              <w:jc w:val="center"/>
              <w:rPr>
                <w:rFonts w:ascii="宋体" w:hAnsi="宋体" w:eastAsia="宋体" w:cs="宋体"/>
                <w:color w:val="auto"/>
                <w:kern w:val="2"/>
                <w:sz w:val="21"/>
                <w:szCs w:val="21"/>
                <w:highlight w:val="none"/>
              </w:rPr>
            </w:pPr>
          </w:p>
        </w:tc>
      </w:tr>
      <w:tr w14:paraId="7BE92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63C333A">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918" w:type="dxa"/>
            <w:tcBorders>
              <w:top w:val="single" w:color="auto" w:sz="6" w:space="0"/>
              <w:left w:val="single" w:color="auto" w:sz="6" w:space="0"/>
              <w:bottom w:val="single" w:color="auto" w:sz="6" w:space="0"/>
              <w:right w:val="single" w:color="auto" w:sz="4" w:space="0"/>
            </w:tcBorders>
            <w:vAlign w:val="center"/>
          </w:tcPr>
          <w:p w14:paraId="41873BCC">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3048" w:type="dxa"/>
            <w:tcBorders>
              <w:top w:val="single" w:color="auto" w:sz="6" w:space="0"/>
              <w:left w:val="single" w:color="auto" w:sz="4" w:space="0"/>
              <w:bottom w:val="single" w:color="auto" w:sz="6" w:space="0"/>
              <w:right w:val="single" w:color="auto" w:sz="6" w:space="0"/>
            </w:tcBorders>
            <w:vAlign w:val="center"/>
          </w:tcPr>
          <w:p w14:paraId="327D9D5D">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00E675C6">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001A5636">
            <w:pPr>
              <w:pStyle w:val="12"/>
              <w:spacing w:before="120" w:line="360" w:lineRule="auto"/>
              <w:ind w:firstLine="0" w:firstLineChars="0"/>
              <w:jc w:val="center"/>
              <w:rPr>
                <w:rFonts w:ascii="宋体" w:hAnsi="宋体" w:eastAsia="宋体" w:cs="宋体"/>
                <w:color w:val="auto"/>
                <w:kern w:val="2"/>
                <w:sz w:val="21"/>
                <w:szCs w:val="21"/>
                <w:highlight w:val="none"/>
              </w:rPr>
            </w:pPr>
          </w:p>
        </w:tc>
      </w:tr>
      <w:tr w14:paraId="3E94B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BB0D535">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918" w:type="dxa"/>
            <w:tcBorders>
              <w:top w:val="single" w:color="auto" w:sz="6" w:space="0"/>
              <w:left w:val="single" w:color="auto" w:sz="6" w:space="0"/>
              <w:bottom w:val="single" w:color="auto" w:sz="6" w:space="0"/>
              <w:right w:val="single" w:color="auto" w:sz="4" w:space="0"/>
            </w:tcBorders>
            <w:vAlign w:val="center"/>
          </w:tcPr>
          <w:p w14:paraId="45D4D0F4">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3048" w:type="dxa"/>
            <w:tcBorders>
              <w:top w:val="single" w:color="auto" w:sz="6" w:space="0"/>
              <w:left w:val="single" w:color="auto" w:sz="4" w:space="0"/>
              <w:bottom w:val="single" w:color="auto" w:sz="6" w:space="0"/>
              <w:right w:val="single" w:color="auto" w:sz="6" w:space="0"/>
            </w:tcBorders>
            <w:vAlign w:val="center"/>
          </w:tcPr>
          <w:p w14:paraId="37F59BBE">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3F241C2A">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1E621C33">
            <w:pPr>
              <w:pStyle w:val="12"/>
              <w:spacing w:before="120" w:line="360" w:lineRule="auto"/>
              <w:ind w:firstLine="0" w:firstLineChars="0"/>
              <w:jc w:val="center"/>
              <w:rPr>
                <w:rFonts w:ascii="宋体" w:hAnsi="宋体" w:eastAsia="宋体" w:cs="宋体"/>
                <w:color w:val="auto"/>
                <w:kern w:val="2"/>
                <w:sz w:val="21"/>
                <w:szCs w:val="21"/>
                <w:highlight w:val="none"/>
              </w:rPr>
            </w:pPr>
          </w:p>
        </w:tc>
      </w:tr>
      <w:tr w14:paraId="34BA8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21B9044">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918" w:type="dxa"/>
            <w:tcBorders>
              <w:top w:val="single" w:color="auto" w:sz="6" w:space="0"/>
              <w:left w:val="single" w:color="auto" w:sz="6" w:space="0"/>
              <w:bottom w:val="single" w:color="auto" w:sz="6" w:space="0"/>
              <w:right w:val="single" w:color="auto" w:sz="4" w:space="0"/>
            </w:tcBorders>
            <w:vAlign w:val="center"/>
          </w:tcPr>
          <w:p w14:paraId="52DD2FEA">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3048" w:type="dxa"/>
            <w:tcBorders>
              <w:top w:val="single" w:color="auto" w:sz="6" w:space="0"/>
              <w:left w:val="single" w:color="auto" w:sz="4" w:space="0"/>
              <w:bottom w:val="single" w:color="auto" w:sz="6" w:space="0"/>
              <w:right w:val="single" w:color="auto" w:sz="6" w:space="0"/>
            </w:tcBorders>
            <w:vAlign w:val="center"/>
          </w:tcPr>
          <w:p w14:paraId="667B2ECB">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1D3C3E59">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2AC49883">
            <w:pPr>
              <w:pStyle w:val="12"/>
              <w:spacing w:before="120" w:line="360" w:lineRule="auto"/>
              <w:ind w:firstLine="0" w:firstLineChars="0"/>
              <w:jc w:val="center"/>
              <w:rPr>
                <w:rFonts w:ascii="宋体" w:hAnsi="宋体" w:eastAsia="宋体" w:cs="宋体"/>
                <w:color w:val="auto"/>
                <w:kern w:val="2"/>
                <w:sz w:val="21"/>
                <w:szCs w:val="21"/>
                <w:highlight w:val="none"/>
              </w:rPr>
            </w:pPr>
          </w:p>
        </w:tc>
      </w:tr>
      <w:tr w14:paraId="37E693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 w:type="dxa"/>
            <w:tcBorders>
              <w:top w:val="single" w:color="auto" w:sz="6" w:space="0"/>
              <w:left w:val="single" w:color="auto" w:sz="4" w:space="0"/>
              <w:bottom w:val="single" w:color="auto" w:sz="4" w:space="0"/>
              <w:right w:val="single" w:color="auto" w:sz="6" w:space="0"/>
            </w:tcBorders>
            <w:vAlign w:val="center"/>
          </w:tcPr>
          <w:p w14:paraId="27A1B248">
            <w:pPr>
              <w:pStyle w:val="12"/>
              <w:spacing w:before="120"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918" w:type="dxa"/>
            <w:tcBorders>
              <w:top w:val="single" w:color="auto" w:sz="6" w:space="0"/>
              <w:left w:val="single" w:color="auto" w:sz="6" w:space="0"/>
              <w:bottom w:val="single" w:color="auto" w:sz="4" w:space="0"/>
              <w:right w:val="single" w:color="auto" w:sz="4" w:space="0"/>
            </w:tcBorders>
            <w:vAlign w:val="center"/>
          </w:tcPr>
          <w:p w14:paraId="26D76A94">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3048" w:type="dxa"/>
            <w:tcBorders>
              <w:top w:val="single" w:color="auto" w:sz="6" w:space="0"/>
              <w:left w:val="single" w:color="auto" w:sz="4" w:space="0"/>
              <w:bottom w:val="single" w:color="auto" w:sz="4" w:space="0"/>
              <w:right w:val="single" w:color="auto" w:sz="6" w:space="0"/>
            </w:tcBorders>
            <w:vAlign w:val="center"/>
          </w:tcPr>
          <w:p w14:paraId="1EF624FA">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4" w:space="0"/>
              <w:right w:val="single" w:color="auto" w:sz="6" w:space="0"/>
            </w:tcBorders>
            <w:vAlign w:val="center"/>
          </w:tcPr>
          <w:p w14:paraId="44BD0A5E">
            <w:pPr>
              <w:pStyle w:val="12"/>
              <w:spacing w:before="120"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4" w:space="0"/>
              <w:right w:val="single" w:color="auto" w:sz="4" w:space="0"/>
            </w:tcBorders>
            <w:vAlign w:val="center"/>
          </w:tcPr>
          <w:p w14:paraId="5B0ED3E5">
            <w:pPr>
              <w:pStyle w:val="12"/>
              <w:spacing w:before="120" w:line="360" w:lineRule="auto"/>
              <w:ind w:firstLine="0" w:firstLineChars="0"/>
              <w:jc w:val="center"/>
              <w:rPr>
                <w:rFonts w:ascii="宋体" w:hAnsi="宋体" w:eastAsia="宋体" w:cs="宋体"/>
                <w:color w:val="auto"/>
                <w:kern w:val="2"/>
                <w:sz w:val="21"/>
                <w:szCs w:val="21"/>
                <w:highlight w:val="none"/>
              </w:rPr>
            </w:pPr>
          </w:p>
        </w:tc>
      </w:tr>
    </w:tbl>
    <w:p w14:paraId="68790B30">
      <w:pPr>
        <w:pStyle w:val="12"/>
        <w:spacing w:before="120"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4DDABF6">
      <w:pPr>
        <w:pStyle w:val="12"/>
        <w:spacing w:before="120"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说明：应对照谈判文件“第三章 采购需求”中的技术要求逐条实质性响应，并作出偏离说明。</w:t>
      </w:r>
    </w:p>
    <w:p w14:paraId="609C234C">
      <w:pPr>
        <w:pStyle w:val="12"/>
        <w:spacing w:before="120"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2.供应商应根据竞标设备的性能指标，对照谈判文件要求，在“偏离说明”中注明“正偏离”、“负偏离”或者“无偏离”。既不属于“正偏离”也不属于“负偏离”即为“无偏离”。</w:t>
      </w:r>
    </w:p>
    <w:p w14:paraId="2164BF90">
      <w:pPr>
        <w:pStyle w:val="12"/>
        <w:spacing w:before="120"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142F9BBE">
      <w:pPr>
        <w:pStyle w:val="12"/>
        <w:spacing w:before="120"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 如技术要求偏离表中的竞标响应与佐证材料不一致的，以佐证材料为准。</w:t>
      </w:r>
    </w:p>
    <w:p w14:paraId="75841516">
      <w:pPr>
        <w:spacing w:before="12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不按照要求填写响应内容的或者仅填写“满足或者响应”的，均按无效竞标处理。</w:t>
      </w:r>
    </w:p>
    <w:p w14:paraId="5BDD23B6">
      <w:pPr>
        <w:pStyle w:val="12"/>
        <w:spacing w:before="120" w:line="360" w:lineRule="auto"/>
        <w:ind w:firstLine="0" w:firstLineChars="0"/>
        <w:rPr>
          <w:rFonts w:ascii="宋体" w:hAnsi="宋体" w:eastAsia="宋体" w:cs="宋体"/>
          <w:color w:val="auto"/>
          <w:sz w:val="21"/>
          <w:szCs w:val="21"/>
          <w:highlight w:val="none"/>
        </w:rPr>
      </w:pPr>
    </w:p>
    <w:p w14:paraId="36C916E8">
      <w:pPr>
        <w:spacing w:before="120" w:line="360" w:lineRule="auto"/>
        <w:ind w:right="-817" w:rightChars="-389" w:firstLine="420"/>
        <w:contextualSpacing/>
        <w:rPr>
          <w:rFonts w:ascii="宋体" w:hAnsi="宋体" w:cs="宋体"/>
          <w:color w:val="auto"/>
          <w:szCs w:val="21"/>
          <w:highlight w:val="none"/>
        </w:rPr>
      </w:pPr>
    </w:p>
    <w:p w14:paraId="0C0EFABB">
      <w:pPr>
        <w:spacing w:before="120" w:line="360" w:lineRule="auto"/>
        <w:ind w:right="-817" w:rightChars="-389" w:firstLine="420"/>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0539D416">
      <w:pPr>
        <w:spacing w:before="120"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69B0A0BD">
      <w:pPr>
        <w:spacing w:before="120"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日期：   年   月   日</w:t>
      </w:r>
    </w:p>
    <w:p w14:paraId="5F841285">
      <w:pPr>
        <w:spacing w:before="120" w:line="300" w:lineRule="auto"/>
        <w:ind w:firstLine="482"/>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01E23B78">
      <w:pPr>
        <w:adjustRightInd w:val="0"/>
        <w:snapToGrid w:val="0"/>
        <w:spacing w:before="120" w:line="300" w:lineRule="auto"/>
        <w:jc w:val="center"/>
        <w:rPr>
          <w:rFonts w:ascii="宋体" w:hAnsi="宋体" w:cs="宋体"/>
          <w:bCs/>
          <w:color w:val="auto"/>
          <w:sz w:val="32"/>
          <w:szCs w:val="32"/>
          <w:highlight w:val="none"/>
        </w:rPr>
      </w:pPr>
      <w:bookmarkStart w:id="82" w:name="_Toc71365383"/>
      <w:bookmarkStart w:id="83" w:name="_Toc71366061"/>
      <w:r>
        <w:rPr>
          <w:rFonts w:hint="eastAsia" w:ascii="宋体" w:hAnsi="宋体" w:cs="宋体"/>
          <w:bCs/>
          <w:color w:val="auto"/>
          <w:sz w:val="32"/>
          <w:szCs w:val="32"/>
          <w:highlight w:val="none"/>
        </w:rPr>
        <w:t>中小企业声明函（货物）</w:t>
      </w:r>
      <w:bookmarkEnd w:id="82"/>
      <w:bookmarkEnd w:id="83"/>
    </w:p>
    <w:p w14:paraId="2C1F1B71">
      <w:pPr>
        <w:spacing w:before="120"/>
        <w:ind w:firstLine="420"/>
        <w:rPr>
          <w:rFonts w:ascii="宋体" w:hAnsi="宋体" w:cs="宋体"/>
          <w:color w:val="auto"/>
          <w:szCs w:val="21"/>
          <w:highlight w:val="none"/>
        </w:rPr>
      </w:pPr>
    </w:p>
    <w:p w14:paraId="2ADFC376">
      <w:pPr>
        <w:pStyle w:val="11"/>
        <w:spacing w:before="120" w:after="0" w:line="360" w:lineRule="auto"/>
        <w:ind w:left="-426" w:right="142" w:firstLine="42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09ECFA2D">
      <w:pPr>
        <w:tabs>
          <w:tab w:val="left" w:pos="1384"/>
          <w:tab w:val="left" w:pos="4562"/>
          <w:tab w:val="left" w:pos="6803"/>
        </w:tabs>
        <w:spacing w:before="120" w:line="360" w:lineRule="auto"/>
        <w:ind w:left="-426" w:right="-58" w:firstLine="420"/>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2F13AAA2">
      <w:pPr>
        <w:tabs>
          <w:tab w:val="left" w:pos="1065"/>
          <w:tab w:val="left" w:pos="6477"/>
        </w:tabs>
        <w:spacing w:before="120" w:line="360" w:lineRule="auto"/>
        <w:ind w:left="-426" w:right="-58" w:firstLine="42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670CDC67">
      <w:pPr>
        <w:pStyle w:val="11"/>
        <w:spacing w:before="120" w:after="0" w:line="360" w:lineRule="auto"/>
        <w:ind w:left="142" w:right="142"/>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59A91519">
      <w:pPr>
        <w:pStyle w:val="11"/>
        <w:spacing w:before="120" w:after="0" w:line="360" w:lineRule="auto"/>
        <w:ind w:left="-405" w:leftChars="-193" w:right="142" w:firstLine="396" w:firstLineChars="189"/>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598B10BE">
      <w:pPr>
        <w:pStyle w:val="11"/>
        <w:spacing w:before="120" w:after="0" w:line="360" w:lineRule="auto"/>
        <w:ind w:left="-426" w:right="142" w:firstLine="420"/>
        <w:contextualSpacing/>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7FDCE07">
      <w:pPr>
        <w:pStyle w:val="11"/>
        <w:spacing w:before="120" w:after="0" w:line="360" w:lineRule="auto"/>
        <w:ind w:left="3960" w:right="1808"/>
        <w:contextualSpacing/>
        <w:rPr>
          <w:rFonts w:ascii="宋体" w:hAnsi="宋体" w:cs="宋体"/>
          <w:color w:val="auto"/>
          <w:szCs w:val="21"/>
          <w:highlight w:val="none"/>
        </w:rPr>
      </w:pPr>
    </w:p>
    <w:p w14:paraId="774CB96B">
      <w:pPr>
        <w:pStyle w:val="11"/>
        <w:spacing w:before="120" w:after="0" w:line="360" w:lineRule="auto"/>
        <w:ind w:left="3960" w:right="1808"/>
        <w:contextualSpacing/>
        <w:rPr>
          <w:rFonts w:ascii="宋体" w:hAnsi="宋体" w:cs="宋体"/>
          <w:color w:val="auto"/>
          <w:szCs w:val="21"/>
          <w:highlight w:val="none"/>
        </w:rPr>
      </w:pPr>
      <w:r>
        <w:rPr>
          <w:rFonts w:hint="eastAsia" w:ascii="宋体" w:hAnsi="宋体" w:cs="宋体"/>
          <w:color w:val="auto"/>
          <w:szCs w:val="21"/>
          <w:highlight w:val="none"/>
        </w:rPr>
        <w:t xml:space="preserve">企业名称（章）： </w:t>
      </w:r>
    </w:p>
    <w:p w14:paraId="313E44EC">
      <w:pPr>
        <w:pStyle w:val="11"/>
        <w:spacing w:before="120" w:after="0" w:line="360" w:lineRule="auto"/>
        <w:ind w:left="3960" w:right="1808"/>
        <w:contextualSpacing/>
        <w:rPr>
          <w:rFonts w:ascii="宋体" w:hAnsi="宋体" w:cs="宋体"/>
          <w:color w:val="auto"/>
          <w:szCs w:val="21"/>
          <w:highlight w:val="none"/>
        </w:rPr>
      </w:pPr>
      <w:r>
        <w:rPr>
          <w:rFonts w:hint="eastAsia" w:ascii="宋体" w:hAnsi="宋体" w:cs="宋体"/>
          <w:color w:val="auto"/>
          <w:szCs w:val="21"/>
          <w:highlight w:val="none"/>
        </w:rPr>
        <w:t>日 期：</w:t>
      </w:r>
    </w:p>
    <w:p w14:paraId="609E3789">
      <w:pPr>
        <w:pStyle w:val="11"/>
        <w:spacing w:before="120" w:after="0" w:line="360" w:lineRule="auto"/>
        <w:ind w:left="3960" w:right="1808"/>
        <w:contextualSpacing/>
        <w:rPr>
          <w:rFonts w:ascii="宋体" w:hAnsi="宋体" w:cs="宋体"/>
          <w:color w:val="auto"/>
          <w:szCs w:val="21"/>
          <w:highlight w:val="none"/>
        </w:rPr>
      </w:pPr>
    </w:p>
    <w:p w14:paraId="0B678B05">
      <w:pPr>
        <w:spacing w:before="120"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F3BD441">
      <w:pPr>
        <w:spacing w:before="120" w:line="360" w:lineRule="auto"/>
        <w:jc w:val="center"/>
        <w:rPr>
          <w:rFonts w:ascii="宋体" w:hAnsi="宋体" w:cs="宋体"/>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2"/>
          <w:szCs w:val="32"/>
          <w:highlight w:val="none"/>
        </w:rPr>
        <w:t>残疾人福利性单位声明函</w:t>
      </w:r>
    </w:p>
    <w:p w14:paraId="25CFC88E">
      <w:pPr>
        <w:spacing w:before="120" w:line="520" w:lineRule="exact"/>
        <w:ind w:firstLine="640"/>
        <w:rPr>
          <w:rFonts w:ascii="宋体" w:hAnsi="宋体" w:cs="宋体"/>
          <w:color w:val="auto"/>
          <w:sz w:val="32"/>
          <w:szCs w:val="32"/>
          <w:highlight w:val="none"/>
        </w:rPr>
      </w:pPr>
    </w:p>
    <w:p w14:paraId="3240247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E1BA1D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E9C62D7">
      <w:pPr>
        <w:spacing w:before="120" w:line="360" w:lineRule="auto"/>
        <w:ind w:firstLine="420"/>
        <w:rPr>
          <w:rFonts w:ascii="宋体" w:hAnsi="宋体" w:cs="宋体"/>
          <w:color w:val="auto"/>
          <w:szCs w:val="21"/>
          <w:highlight w:val="none"/>
        </w:rPr>
      </w:pPr>
    </w:p>
    <w:p w14:paraId="0A8AE2A3">
      <w:pPr>
        <w:spacing w:before="120" w:line="360" w:lineRule="auto"/>
        <w:ind w:firstLine="420"/>
        <w:rPr>
          <w:rFonts w:ascii="宋体" w:hAnsi="宋体" w:cs="宋体"/>
          <w:color w:val="auto"/>
          <w:szCs w:val="21"/>
          <w:highlight w:val="none"/>
        </w:rPr>
      </w:pPr>
    </w:p>
    <w:p w14:paraId="5466C87D">
      <w:pPr>
        <w:spacing w:before="120" w:line="360" w:lineRule="auto"/>
        <w:ind w:firstLine="420"/>
        <w:rPr>
          <w:rFonts w:ascii="宋体" w:hAnsi="宋体" w:cs="宋体"/>
          <w:color w:val="auto"/>
          <w:szCs w:val="21"/>
          <w:highlight w:val="none"/>
        </w:rPr>
      </w:pPr>
    </w:p>
    <w:p w14:paraId="237C999A">
      <w:pPr>
        <w:spacing w:before="120" w:line="360" w:lineRule="auto"/>
        <w:ind w:firstLine="2100" w:firstLineChars="1000"/>
        <w:rPr>
          <w:rFonts w:ascii="宋体" w:hAnsi="宋体" w:cs="宋体"/>
          <w:color w:val="auto"/>
          <w:szCs w:val="21"/>
          <w:highlight w:val="none"/>
        </w:rPr>
      </w:pPr>
      <w:r>
        <w:rPr>
          <w:rFonts w:hint="eastAsia" w:ascii="宋体" w:hAnsi="宋体" w:cs="宋体"/>
          <w:color w:val="auto"/>
          <w:szCs w:val="21"/>
          <w:highlight w:val="none"/>
        </w:rPr>
        <w:t>单位名称（盖章）：</w:t>
      </w:r>
    </w:p>
    <w:p w14:paraId="404CECC9">
      <w:pPr>
        <w:spacing w:before="120" w:line="360" w:lineRule="auto"/>
        <w:ind w:firstLine="3150" w:firstLineChars="1500"/>
        <w:rPr>
          <w:rFonts w:ascii="宋体" w:hAnsi="宋体" w:cs="宋体"/>
          <w:color w:val="auto"/>
          <w:szCs w:val="21"/>
          <w:highlight w:val="none"/>
        </w:rPr>
      </w:pPr>
      <w:r>
        <w:rPr>
          <w:rFonts w:hint="eastAsia" w:ascii="宋体" w:hAnsi="宋体" w:cs="宋体"/>
          <w:color w:val="auto"/>
          <w:szCs w:val="21"/>
          <w:highlight w:val="none"/>
        </w:rPr>
        <w:t>日  期：</w:t>
      </w:r>
    </w:p>
    <w:p w14:paraId="74FF1E05">
      <w:pPr>
        <w:spacing w:before="120" w:line="360" w:lineRule="auto"/>
        <w:ind w:firstLine="420"/>
        <w:rPr>
          <w:rFonts w:ascii="宋体" w:hAnsi="宋体" w:cs="宋体"/>
          <w:color w:val="auto"/>
          <w:szCs w:val="21"/>
          <w:highlight w:val="none"/>
        </w:rPr>
      </w:pPr>
    </w:p>
    <w:p w14:paraId="4CF58363">
      <w:pPr>
        <w:spacing w:before="120" w:line="360" w:lineRule="auto"/>
        <w:ind w:firstLine="420"/>
        <w:rPr>
          <w:rFonts w:ascii="宋体" w:hAnsi="宋体" w:cs="宋体"/>
          <w:color w:val="auto"/>
          <w:szCs w:val="21"/>
          <w:highlight w:val="none"/>
        </w:rPr>
      </w:pPr>
    </w:p>
    <w:p w14:paraId="6F82CCE6">
      <w:pPr>
        <w:spacing w:before="120" w:line="360" w:lineRule="auto"/>
        <w:ind w:firstLine="420"/>
        <w:rPr>
          <w:rFonts w:ascii="宋体" w:hAnsi="宋体" w:cs="宋体"/>
          <w:color w:val="auto"/>
          <w:szCs w:val="21"/>
          <w:highlight w:val="none"/>
        </w:rPr>
      </w:pPr>
    </w:p>
    <w:p w14:paraId="580AC2C9">
      <w:pPr>
        <w:spacing w:before="12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2685601">
      <w:pPr>
        <w:spacing w:before="120" w:line="360" w:lineRule="auto"/>
        <w:ind w:firstLine="420"/>
        <w:rPr>
          <w:rFonts w:hint="eastAsia" w:ascii="宋体" w:hAnsi="宋体" w:cs="宋体"/>
          <w:color w:val="auto"/>
          <w:szCs w:val="21"/>
          <w:highlight w:val="none"/>
        </w:rPr>
      </w:pPr>
    </w:p>
    <w:p w14:paraId="79937157">
      <w:pPr>
        <w:spacing w:before="120" w:line="360" w:lineRule="auto"/>
        <w:ind w:firstLine="420"/>
        <w:rPr>
          <w:rFonts w:hint="eastAsia" w:ascii="宋体" w:hAnsi="宋体" w:cs="宋体"/>
          <w:color w:val="auto"/>
          <w:szCs w:val="21"/>
          <w:highlight w:val="none"/>
        </w:rPr>
      </w:pPr>
    </w:p>
    <w:p w14:paraId="116040AC">
      <w:pPr>
        <w:spacing w:before="120" w:line="360" w:lineRule="auto"/>
        <w:ind w:firstLine="420"/>
        <w:rPr>
          <w:rFonts w:hint="eastAsia" w:ascii="宋体" w:hAnsi="宋体" w:cs="宋体"/>
          <w:color w:val="auto"/>
          <w:szCs w:val="21"/>
          <w:highlight w:val="none"/>
        </w:rPr>
      </w:pPr>
    </w:p>
    <w:p w14:paraId="7B53CB38">
      <w:pPr>
        <w:spacing w:before="120" w:line="360" w:lineRule="auto"/>
        <w:ind w:firstLine="420"/>
        <w:rPr>
          <w:rFonts w:hint="eastAsia" w:ascii="宋体" w:hAnsi="宋体" w:cs="宋体"/>
          <w:color w:val="auto"/>
          <w:szCs w:val="21"/>
          <w:highlight w:val="none"/>
        </w:rPr>
      </w:pPr>
    </w:p>
    <w:p w14:paraId="54FC3C90">
      <w:pPr>
        <w:spacing w:before="120" w:line="360" w:lineRule="auto"/>
        <w:ind w:firstLine="420"/>
        <w:rPr>
          <w:rFonts w:hint="eastAsia" w:ascii="宋体" w:hAnsi="宋体" w:cs="宋体"/>
          <w:color w:val="auto"/>
          <w:szCs w:val="21"/>
          <w:highlight w:val="none"/>
        </w:rPr>
      </w:pPr>
    </w:p>
    <w:p w14:paraId="05FFFE96">
      <w:pPr>
        <w:spacing w:before="120" w:line="360" w:lineRule="auto"/>
        <w:ind w:firstLine="420"/>
        <w:rPr>
          <w:rFonts w:hint="eastAsia" w:ascii="宋体" w:hAnsi="宋体" w:cs="宋体"/>
          <w:color w:val="auto"/>
          <w:szCs w:val="21"/>
          <w:highlight w:val="none"/>
        </w:rPr>
      </w:pPr>
    </w:p>
    <w:p w14:paraId="1F85F650">
      <w:pPr>
        <w:spacing w:before="120" w:line="360" w:lineRule="auto"/>
        <w:ind w:firstLine="420"/>
        <w:rPr>
          <w:rFonts w:hint="eastAsia" w:ascii="宋体" w:hAnsi="宋体" w:cs="宋体"/>
          <w:color w:val="auto"/>
          <w:szCs w:val="21"/>
          <w:highlight w:val="none"/>
        </w:rPr>
      </w:pPr>
    </w:p>
    <w:p w14:paraId="11CA2ADD">
      <w:pPr>
        <w:spacing w:before="120" w:line="360" w:lineRule="auto"/>
        <w:ind w:firstLine="420"/>
        <w:rPr>
          <w:rFonts w:hint="eastAsia" w:ascii="宋体" w:hAnsi="宋体" w:cs="宋体"/>
          <w:color w:val="auto"/>
          <w:szCs w:val="21"/>
          <w:highlight w:val="none"/>
        </w:rPr>
      </w:pPr>
    </w:p>
    <w:p w14:paraId="74DBB495">
      <w:pPr>
        <w:spacing w:before="120" w:line="360" w:lineRule="auto"/>
        <w:ind w:firstLine="420"/>
        <w:rPr>
          <w:rFonts w:hint="eastAsia" w:ascii="宋体" w:hAnsi="宋体" w:cs="宋体"/>
          <w:color w:val="auto"/>
          <w:szCs w:val="21"/>
          <w:highlight w:val="none"/>
        </w:rPr>
      </w:pPr>
    </w:p>
    <w:p w14:paraId="0FA7BF47">
      <w:pPr>
        <w:spacing w:before="120" w:line="360" w:lineRule="auto"/>
        <w:ind w:firstLine="420"/>
        <w:rPr>
          <w:rFonts w:hint="eastAsia" w:ascii="宋体" w:hAnsi="宋体" w:cs="宋体"/>
          <w:color w:val="auto"/>
          <w:szCs w:val="21"/>
          <w:highlight w:val="none"/>
        </w:rPr>
      </w:pPr>
    </w:p>
    <w:p w14:paraId="7A85271A">
      <w:pPr>
        <w:spacing w:before="120" w:line="360" w:lineRule="auto"/>
        <w:ind w:firstLine="420"/>
        <w:rPr>
          <w:rFonts w:hint="eastAsia" w:ascii="宋体" w:hAnsi="宋体" w:cs="宋体"/>
          <w:color w:val="auto"/>
          <w:szCs w:val="21"/>
          <w:highlight w:val="none"/>
        </w:rPr>
      </w:pPr>
    </w:p>
    <w:p w14:paraId="305B3B47">
      <w:pPr>
        <w:widowControl/>
        <w:shd w:val="clear" w:color="auto" w:fill="FFFFFF"/>
        <w:jc w:val="center"/>
        <w:rPr>
          <w:rFonts w:ascii="宋体" w:hAnsi="宋体" w:cs="宋体"/>
          <w:kern w:val="0"/>
          <w:sz w:val="36"/>
          <w:szCs w:val="36"/>
        </w:rPr>
      </w:pPr>
      <w:r>
        <w:rPr>
          <w:rFonts w:hint="eastAsia" w:ascii="宋体" w:hAnsi="宋体" w:cs="宋体"/>
          <w:b/>
          <w:bCs/>
          <w:kern w:val="0"/>
          <w:sz w:val="36"/>
          <w:szCs w:val="36"/>
        </w:rPr>
        <w:t>关于符合本国产品标准的声明函</w:t>
      </w:r>
    </w:p>
    <w:p w14:paraId="22D19E6C">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 </w:t>
      </w:r>
    </w:p>
    <w:p w14:paraId="4AC61583">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本公司（单位）郑重声明，根据《国务院办公厅关于在政府采购中实施本国产品标准及相关政策的通知》（国办发〔2025〕34号）的规定，本公司（单位）提供的以下产品属于本国产品。具体情况如下：</w:t>
      </w:r>
    </w:p>
    <w:p w14:paraId="59E652DC">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i/>
          <w:iCs/>
          <w:kern w:val="0"/>
          <w:sz w:val="24"/>
        </w:rPr>
        <w:t>（产品名称1）</w:t>
      </w:r>
      <w:r>
        <w:rPr>
          <w:rFonts w:hint="eastAsia" w:ascii="宋体" w:hAnsi="宋体" w:cs="宋体"/>
          <w:i/>
          <w:iCs/>
          <w:kern w:val="0"/>
          <w:sz w:val="18"/>
          <w:szCs w:val="18"/>
          <w:vertAlign w:val="superscript"/>
        </w:rPr>
        <w:t>1</w:t>
      </w:r>
      <w:r>
        <w:rPr>
          <w:rFonts w:hint="eastAsia" w:ascii="宋体" w:hAnsi="宋体" w:cs="宋体"/>
          <w:kern w:val="0"/>
          <w:sz w:val="24"/>
        </w:rPr>
        <w:t>，生产厂为</w:t>
      </w:r>
      <w:r>
        <w:rPr>
          <w:rFonts w:hint="eastAsia" w:ascii="宋体" w:hAnsi="宋体" w:cs="宋体"/>
          <w:i/>
          <w:iCs/>
          <w:kern w:val="0"/>
          <w:sz w:val="24"/>
        </w:rPr>
        <w:t>（厂名）</w:t>
      </w:r>
      <w:r>
        <w:rPr>
          <w:rFonts w:hint="eastAsia" w:ascii="宋体" w:hAnsi="宋体" w:cs="宋体"/>
          <w:i/>
          <w:iCs/>
          <w:kern w:val="0"/>
          <w:sz w:val="18"/>
          <w:szCs w:val="18"/>
          <w:vertAlign w:val="superscript"/>
        </w:rPr>
        <w:t>2</w:t>
      </w:r>
      <w:r>
        <w:rPr>
          <w:rFonts w:hint="eastAsia" w:ascii="宋体" w:hAnsi="宋体" w:cs="宋体"/>
          <w:kern w:val="0"/>
          <w:sz w:val="24"/>
        </w:rPr>
        <w:t>，厂址为</w:t>
      </w:r>
      <w:r>
        <w:rPr>
          <w:rFonts w:hint="eastAsia" w:ascii="宋体" w:hAnsi="宋体" w:cs="宋体"/>
          <w:i/>
          <w:iCs/>
          <w:kern w:val="0"/>
          <w:sz w:val="24"/>
        </w:rPr>
        <w:t>（生产厂址）</w:t>
      </w:r>
      <w:r>
        <w:rPr>
          <w:rFonts w:hint="eastAsia" w:ascii="宋体" w:hAnsi="宋体" w:cs="宋体"/>
          <w:kern w:val="0"/>
          <w:sz w:val="24"/>
        </w:rPr>
        <w:t>。</w:t>
      </w:r>
      <w:r>
        <w:rPr>
          <w:rFonts w:hint="eastAsia" w:ascii="宋体" w:hAnsi="宋体" w:cs="宋体"/>
          <w:i/>
          <w:iCs/>
          <w:kern w:val="0"/>
          <w:sz w:val="24"/>
        </w:rPr>
        <w:t>（产品名称1）</w:t>
      </w:r>
      <w:r>
        <w:rPr>
          <w:rFonts w:hint="eastAsia" w:ascii="宋体" w:hAnsi="宋体" w:cs="宋体"/>
          <w:kern w:val="0"/>
          <w:sz w:val="24"/>
        </w:rPr>
        <w:t>的中国境内生产的组件成本占比≥</w:t>
      </w:r>
      <w:r>
        <w:rPr>
          <w:rFonts w:hint="eastAsia" w:ascii="宋体" w:hAnsi="宋体" w:cs="宋体"/>
          <w:i/>
          <w:iCs/>
          <w:kern w:val="0"/>
          <w:sz w:val="24"/>
        </w:rPr>
        <w:t>（规定比例）</w:t>
      </w:r>
      <w:r>
        <w:rPr>
          <w:rFonts w:hint="eastAsia" w:ascii="宋体" w:hAnsi="宋体" w:cs="宋体"/>
          <w:i/>
          <w:iCs/>
          <w:kern w:val="0"/>
          <w:sz w:val="18"/>
          <w:szCs w:val="18"/>
          <w:vertAlign w:val="superscript"/>
        </w:rPr>
        <w:t>3</w:t>
      </w:r>
      <w:r>
        <w:rPr>
          <w:rFonts w:hint="eastAsia" w:ascii="宋体" w:hAnsi="宋体" w:cs="宋体"/>
          <w:kern w:val="0"/>
          <w:sz w:val="24"/>
        </w:rPr>
        <w:t>。</w:t>
      </w:r>
      <w:r>
        <w:rPr>
          <w:rFonts w:hint="eastAsia" w:ascii="宋体" w:hAnsi="宋体" w:cs="宋体"/>
          <w:i/>
          <w:iCs/>
          <w:kern w:val="0"/>
          <w:sz w:val="24"/>
        </w:rPr>
        <w:t>（产品名称1）</w:t>
      </w:r>
      <w:r>
        <w:rPr>
          <w:rFonts w:hint="eastAsia" w:ascii="宋体" w:hAnsi="宋体" w:cs="宋体"/>
          <w:kern w:val="0"/>
          <w:sz w:val="24"/>
        </w:rPr>
        <w:t>的</w:t>
      </w:r>
      <w:r>
        <w:rPr>
          <w:rFonts w:hint="eastAsia" w:ascii="宋体" w:hAnsi="宋体" w:cs="宋体"/>
          <w:i/>
          <w:iCs/>
          <w:kern w:val="0"/>
          <w:sz w:val="24"/>
        </w:rPr>
        <w:t>（关键组件）</w:t>
      </w:r>
      <w:r>
        <w:rPr>
          <w:rFonts w:hint="eastAsia" w:ascii="宋体" w:hAnsi="宋体" w:cs="宋体"/>
          <w:i/>
          <w:iCs/>
          <w:kern w:val="0"/>
          <w:sz w:val="18"/>
          <w:szCs w:val="18"/>
          <w:vertAlign w:val="superscript"/>
        </w:rPr>
        <w:t>4</w:t>
      </w:r>
      <w:r>
        <w:rPr>
          <w:rFonts w:hint="eastAsia" w:ascii="宋体" w:hAnsi="宋体" w:cs="宋体"/>
          <w:kern w:val="0"/>
          <w:sz w:val="24"/>
        </w:rPr>
        <w:t>在中国境内生产。</w:t>
      </w:r>
      <w:r>
        <w:rPr>
          <w:rFonts w:hint="eastAsia" w:ascii="宋体" w:hAnsi="宋体" w:cs="宋体"/>
          <w:i/>
          <w:iCs/>
          <w:kern w:val="0"/>
          <w:sz w:val="24"/>
        </w:rPr>
        <w:t>（产品名称1）</w:t>
      </w:r>
      <w:r>
        <w:rPr>
          <w:rFonts w:hint="eastAsia" w:ascii="宋体" w:hAnsi="宋体" w:cs="宋体"/>
          <w:kern w:val="0"/>
          <w:sz w:val="24"/>
        </w:rPr>
        <w:t>的</w:t>
      </w:r>
      <w:r>
        <w:rPr>
          <w:rFonts w:hint="eastAsia" w:ascii="宋体" w:hAnsi="宋体" w:cs="宋体"/>
          <w:i/>
          <w:iCs/>
          <w:kern w:val="0"/>
          <w:sz w:val="24"/>
        </w:rPr>
        <w:t>（关键工序）</w:t>
      </w:r>
      <w:r>
        <w:rPr>
          <w:rFonts w:hint="eastAsia" w:ascii="宋体" w:hAnsi="宋体" w:cs="宋体"/>
          <w:i/>
          <w:iCs/>
          <w:kern w:val="0"/>
          <w:sz w:val="18"/>
          <w:szCs w:val="18"/>
          <w:vertAlign w:val="superscript"/>
        </w:rPr>
        <w:t>5</w:t>
      </w:r>
      <w:r>
        <w:rPr>
          <w:rFonts w:hint="eastAsia" w:ascii="宋体" w:hAnsi="宋体" w:cs="宋体"/>
          <w:kern w:val="0"/>
          <w:sz w:val="24"/>
        </w:rPr>
        <w:t>在中国境内完成。</w:t>
      </w:r>
    </w:p>
    <w:p w14:paraId="0A1BB271">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i/>
          <w:iCs/>
          <w:kern w:val="0"/>
          <w:sz w:val="24"/>
        </w:rPr>
        <w:t>（产品名称2）</w:t>
      </w:r>
      <w:r>
        <w:rPr>
          <w:rFonts w:hint="eastAsia" w:ascii="宋体" w:hAnsi="宋体" w:cs="宋体"/>
          <w:kern w:val="0"/>
          <w:sz w:val="24"/>
        </w:rPr>
        <w:t>，生产厂为</w:t>
      </w:r>
      <w:r>
        <w:rPr>
          <w:rFonts w:hint="eastAsia" w:ascii="宋体" w:hAnsi="宋体" w:cs="宋体"/>
          <w:i/>
          <w:iCs/>
          <w:kern w:val="0"/>
          <w:sz w:val="24"/>
        </w:rPr>
        <w:t>（厂名）</w:t>
      </w:r>
      <w:r>
        <w:rPr>
          <w:rFonts w:hint="eastAsia" w:ascii="宋体" w:hAnsi="宋体" w:cs="宋体"/>
          <w:kern w:val="0"/>
          <w:sz w:val="24"/>
        </w:rPr>
        <w:t>，厂址为</w:t>
      </w:r>
      <w:r>
        <w:rPr>
          <w:rFonts w:hint="eastAsia" w:ascii="宋体" w:hAnsi="宋体" w:cs="宋体"/>
          <w:i/>
          <w:iCs/>
          <w:kern w:val="0"/>
          <w:sz w:val="24"/>
        </w:rPr>
        <w:t>（生产厂址）</w:t>
      </w:r>
      <w:r>
        <w:rPr>
          <w:rFonts w:hint="eastAsia" w:ascii="宋体" w:hAnsi="宋体" w:cs="宋体"/>
          <w:kern w:val="0"/>
          <w:sz w:val="24"/>
        </w:rPr>
        <w:t>。</w:t>
      </w:r>
      <w:r>
        <w:rPr>
          <w:rFonts w:hint="eastAsia" w:ascii="宋体" w:hAnsi="宋体" w:cs="宋体"/>
          <w:i/>
          <w:iCs/>
          <w:kern w:val="0"/>
          <w:sz w:val="24"/>
        </w:rPr>
        <w:t>（产品名称2）</w:t>
      </w:r>
      <w:r>
        <w:rPr>
          <w:rFonts w:hint="eastAsia" w:ascii="宋体" w:hAnsi="宋体" w:cs="宋体"/>
          <w:kern w:val="0"/>
          <w:sz w:val="24"/>
        </w:rPr>
        <w:t>的中国境内生产的组件成本占比≥</w:t>
      </w:r>
      <w:r>
        <w:rPr>
          <w:rFonts w:hint="eastAsia" w:ascii="宋体" w:hAnsi="宋体" w:cs="宋体"/>
          <w:i/>
          <w:iCs/>
          <w:kern w:val="0"/>
          <w:sz w:val="24"/>
        </w:rPr>
        <w:t>（规定比例）</w:t>
      </w:r>
      <w:r>
        <w:rPr>
          <w:rFonts w:hint="eastAsia" w:ascii="宋体" w:hAnsi="宋体" w:cs="宋体"/>
          <w:kern w:val="0"/>
          <w:sz w:val="24"/>
        </w:rPr>
        <w:t>。</w:t>
      </w:r>
      <w:r>
        <w:rPr>
          <w:rFonts w:hint="eastAsia" w:ascii="宋体" w:hAnsi="宋体" w:cs="宋体"/>
          <w:i/>
          <w:iCs/>
          <w:kern w:val="0"/>
          <w:sz w:val="24"/>
        </w:rPr>
        <w:t>（产品名称2）</w:t>
      </w:r>
      <w:r>
        <w:rPr>
          <w:rFonts w:hint="eastAsia" w:ascii="宋体" w:hAnsi="宋体" w:cs="宋体"/>
          <w:kern w:val="0"/>
          <w:sz w:val="24"/>
        </w:rPr>
        <w:t>的</w:t>
      </w:r>
      <w:r>
        <w:rPr>
          <w:rFonts w:hint="eastAsia" w:ascii="宋体" w:hAnsi="宋体" w:cs="宋体"/>
          <w:i/>
          <w:iCs/>
          <w:kern w:val="0"/>
          <w:sz w:val="24"/>
        </w:rPr>
        <w:t>（关键组件）</w:t>
      </w:r>
      <w:r>
        <w:rPr>
          <w:rFonts w:hint="eastAsia" w:ascii="宋体" w:hAnsi="宋体" w:cs="宋体"/>
          <w:kern w:val="0"/>
          <w:sz w:val="24"/>
        </w:rPr>
        <w:t>在中国境内生产。</w:t>
      </w:r>
      <w:r>
        <w:rPr>
          <w:rFonts w:hint="eastAsia" w:ascii="宋体" w:hAnsi="宋体" w:cs="宋体"/>
          <w:i/>
          <w:iCs/>
          <w:kern w:val="0"/>
          <w:sz w:val="24"/>
        </w:rPr>
        <w:t>（产品名称2）</w:t>
      </w:r>
      <w:r>
        <w:rPr>
          <w:rFonts w:hint="eastAsia" w:ascii="宋体" w:hAnsi="宋体" w:cs="宋体"/>
          <w:kern w:val="0"/>
          <w:sz w:val="24"/>
        </w:rPr>
        <w:t>的</w:t>
      </w:r>
      <w:r>
        <w:rPr>
          <w:rFonts w:hint="eastAsia" w:ascii="宋体" w:hAnsi="宋体" w:cs="宋体"/>
          <w:i/>
          <w:iCs/>
          <w:kern w:val="0"/>
          <w:sz w:val="24"/>
        </w:rPr>
        <w:t>（关键工序）</w:t>
      </w:r>
      <w:r>
        <w:rPr>
          <w:rFonts w:hint="eastAsia" w:ascii="宋体" w:hAnsi="宋体" w:cs="宋体"/>
          <w:kern w:val="0"/>
          <w:sz w:val="24"/>
        </w:rPr>
        <w:t>在中国境内完成。</w:t>
      </w:r>
    </w:p>
    <w:p w14:paraId="166D288D">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w:t>
      </w:r>
    </w:p>
    <w:p w14:paraId="00390E34">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本公司（单位）对上述声明内容的真实性负责。如有虚假，愿承担相应法律责任。</w:t>
      </w:r>
    </w:p>
    <w:p w14:paraId="580D4272">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 </w:t>
      </w:r>
    </w:p>
    <w:p w14:paraId="65CB9DB8">
      <w:pPr>
        <w:widowControl/>
        <w:shd w:val="clear" w:color="auto" w:fill="FFFFFF"/>
        <w:spacing w:before="30" w:after="30"/>
        <w:jc w:val="right"/>
        <w:rPr>
          <w:rFonts w:hint="eastAsia" w:ascii="宋体" w:hAnsi="宋体" w:cs="宋体"/>
          <w:kern w:val="0"/>
          <w:sz w:val="24"/>
        </w:rPr>
      </w:pPr>
      <w:r>
        <w:rPr>
          <w:rFonts w:hint="eastAsia" w:ascii="宋体" w:hAnsi="宋体" w:cs="宋体"/>
          <w:kern w:val="0"/>
          <w:sz w:val="24"/>
        </w:rPr>
        <w:t>公司（单位）名称（盖章）：　        </w:t>
      </w:r>
    </w:p>
    <w:p w14:paraId="59C0923F">
      <w:pPr>
        <w:widowControl/>
        <w:shd w:val="clear" w:color="auto" w:fill="FFFFFF"/>
        <w:jc w:val="right"/>
        <w:rPr>
          <w:rFonts w:hint="eastAsia" w:ascii="宋体" w:hAnsi="宋体" w:cs="宋体"/>
          <w:kern w:val="0"/>
          <w:sz w:val="24"/>
        </w:rPr>
      </w:pPr>
      <w:r>
        <w:rPr>
          <w:rFonts w:hint="eastAsia" w:ascii="宋体" w:hAnsi="宋体" w:cs="宋体"/>
          <w:kern w:val="0"/>
          <w:sz w:val="24"/>
        </w:rPr>
        <w:t>日期：　     年　  月　  日         </w:t>
      </w:r>
    </w:p>
    <w:p w14:paraId="17A94792">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__________________</w:t>
      </w:r>
    </w:p>
    <w:p w14:paraId="04331373">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1.产品如有型号，请在“产品名称”栏一并填写。</w:t>
      </w:r>
    </w:p>
    <w:p w14:paraId="2A0E88E6">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2.生产厂名与厂址应与生产厂营业执照载明的相关信息保持一致。</w:t>
      </w:r>
    </w:p>
    <w:p w14:paraId="1EF203F4">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3.该产品的中国境内生产的组件成本占比相关要求实施前，“规定比例”栏可不填，下同。</w:t>
      </w:r>
    </w:p>
    <w:p w14:paraId="6E9C380A">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4.该产品的关键组件要求实施前，“关键组件”栏可不填，下同。</w:t>
      </w:r>
    </w:p>
    <w:p w14:paraId="222A6BE4">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5.该产品的关键工序要求实施前，“关键工序”栏可不填，下同。</w:t>
      </w:r>
    </w:p>
    <w:p w14:paraId="237A79EB">
      <w:pPr>
        <w:spacing w:before="120" w:line="360" w:lineRule="auto"/>
        <w:jc w:val="both"/>
        <w:rPr>
          <w:rFonts w:hint="eastAsia" w:ascii="宋体" w:hAnsi="宋体" w:cs="宋体"/>
          <w:color w:val="auto"/>
          <w:szCs w:val="21"/>
          <w:highlight w:val="none"/>
        </w:rPr>
      </w:pPr>
      <w:r>
        <w:rPr>
          <w:rFonts w:hint="eastAsia" w:ascii="宋体" w:hAnsi="宋体" w:cs="宋体"/>
          <w:szCs w:val="21"/>
        </w:rPr>
        <w:br w:type="page"/>
      </w:r>
    </w:p>
    <w:p w14:paraId="6CB9BE3D">
      <w:pPr>
        <w:spacing w:before="120" w:line="360" w:lineRule="auto"/>
        <w:jc w:val="center"/>
        <w:rPr>
          <w:rFonts w:ascii="宋体" w:hAnsi="宋体" w:cs="宋体"/>
          <w:b/>
          <w:bCs/>
          <w:color w:val="auto"/>
          <w:sz w:val="32"/>
          <w:szCs w:val="32"/>
          <w:highlight w:val="none"/>
        </w:rPr>
      </w:pPr>
      <w:r>
        <w:rPr>
          <w:rFonts w:hint="eastAsia" w:ascii="宋体" w:hAnsi="宋体" w:cs="宋体"/>
          <w:color w:val="auto"/>
          <w:sz w:val="32"/>
          <w:szCs w:val="32"/>
          <w:highlight w:val="none"/>
        </w:rPr>
        <w:t>质疑函（格式）</w:t>
      </w:r>
    </w:p>
    <w:p w14:paraId="0F347AE0">
      <w:pPr>
        <w:spacing w:before="120" w:line="360" w:lineRule="auto"/>
        <w:ind w:firstLine="643"/>
        <w:jc w:val="center"/>
        <w:rPr>
          <w:rFonts w:ascii="宋体" w:hAnsi="宋体" w:cs="宋体"/>
          <w:b/>
          <w:bCs/>
          <w:color w:val="auto"/>
          <w:sz w:val="32"/>
          <w:szCs w:val="32"/>
          <w:highlight w:val="none"/>
        </w:rPr>
      </w:pPr>
    </w:p>
    <w:p w14:paraId="7C6C04E3">
      <w:pPr>
        <w:pStyle w:val="14"/>
        <w:spacing w:line="360" w:lineRule="auto"/>
        <w:ind w:firstLine="420"/>
        <w:rPr>
          <w:color w:val="auto"/>
          <w:sz w:val="21"/>
          <w:szCs w:val="21"/>
          <w:highlight w:val="none"/>
        </w:rPr>
      </w:pPr>
      <w:r>
        <w:rPr>
          <w:rFonts w:hint="eastAsia"/>
          <w:color w:val="auto"/>
          <w:sz w:val="21"/>
          <w:szCs w:val="21"/>
          <w:highlight w:val="none"/>
        </w:rPr>
        <w:t>一、质疑供应商基本信息：</w:t>
      </w:r>
    </w:p>
    <w:p w14:paraId="24695A2D">
      <w:pPr>
        <w:pStyle w:val="14"/>
        <w:spacing w:line="360" w:lineRule="auto"/>
        <w:ind w:firstLine="420"/>
        <w:rPr>
          <w:color w:val="auto"/>
          <w:sz w:val="21"/>
          <w:szCs w:val="21"/>
          <w:highlight w:val="none"/>
        </w:rPr>
      </w:pPr>
      <w:r>
        <w:rPr>
          <w:rFonts w:hint="eastAsia"/>
          <w:color w:val="auto"/>
          <w:sz w:val="21"/>
          <w:szCs w:val="21"/>
          <w:highlight w:val="none"/>
        </w:rPr>
        <w:t xml:space="preserve">质疑供应商：                                                                             </w:t>
      </w:r>
    </w:p>
    <w:p w14:paraId="507EAA4E">
      <w:pPr>
        <w:pStyle w:val="14"/>
        <w:spacing w:line="360" w:lineRule="auto"/>
        <w:ind w:firstLine="420"/>
        <w:rPr>
          <w:color w:val="auto"/>
          <w:sz w:val="21"/>
          <w:szCs w:val="21"/>
          <w:highlight w:val="none"/>
        </w:rPr>
      </w:pPr>
      <w:r>
        <w:rPr>
          <w:rFonts w:hint="eastAsia"/>
          <w:color w:val="auto"/>
          <w:sz w:val="21"/>
          <w:szCs w:val="21"/>
          <w:highlight w:val="none"/>
        </w:rPr>
        <w:t xml:space="preserve">地址：                                          邮编：                                   </w:t>
      </w:r>
    </w:p>
    <w:p w14:paraId="3A15AAD3">
      <w:pPr>
        <w:pStyle w:val="14"/>
        <w:spacing w:line="360" w:lineRule="auto"/>
        <w:ind w:firstLine="420"/>
        <w:rPr>
          <w:color w:val="auto"/>
          <w:sz w:val="21"/>
          <w:szCs w:val="21"/>
          <w:highlight w:val="none"/>
        </w:rPr>
      </w:pPr>
      <w:r>
        <w:rPr>
          <w:rFonts w:hint="eastAsia"/>
          <w:color w:val="auto"/>
          <w:sz w:val="21"/>
          <w:szCs w:val="21"/>
          <w:highlight w:val="none"/>
        </w:rPr>
        <w:t xml:space="preserve">联系人：                                    联系电话：                  </w:t>
      </w:r>
    </w:p>
    <w:p w14:paraId="32D5255A">
      <w:pPr>
        <w:pStyle w:val="14"/>
        <w:spacing w:line="360" w:lineRule="auto"/>
        <w:ind w:firstLine="420"/>
        <w:rPr>
          <w:color w:val="auto"/>
          <w:sz w:val="21"/>
          <w:szCs w:val="21"/>
          <w:highlight w:val="none"/>
        </w:rPr>
      </w:pPr>
      <w:r>
        <w:rPr>
          <w:rFonts w:hint="eastAsia"/>
          <w:color w:val="auto"/>
          <w:sz w:val="21"/>
          <w:szCs w:val="21"/>
          <w:highlight w:val="none"/>
        </w:rPr>
        <w:t xml:space="preserve">授权代表：                                                              </w:t>
      </w:r>
    </w:p>
    <w:p w14:paraId="5E21C34B">
      <w:pPr>
        <w:pStyle w:val="14"/>
        <w:spacing w:line="360" w:lineRule="auto"/>
        <w:ind w:firstLine="420"/>
        <w:rPr>
          <w:color w:val="auto"/>
          <w:sz w:val="21"/>
          <w:szCs w:val="21"/>
          <w:highlight w:val="none"/>
        </w:rPr>
      </w:pPr>
      <w:r>
        <w:rPr>
          <w:rFonts w:hint="eastAsia"/>
          <w:color w:val="auto"/>
          <w:sz w:val="21"/>
          <w:szCs w:val="21"/>
          <w:highlight w:val="none"/>
        </w:rPr>
        <w:t xml:space="preserve">联系电话：                                                              </w:t>
      </w:r>
    </w:p>
    <w:p w14:paraId="6C6C5983">
      <w:pPr>
        <w:pStyle w:val="14"/>
        <w:spacing w:line="360" w:lineRule="auto"/>
        <w:ind w:firstLine="420"/>
        <w:rPr>
          <w:color w:val="auto"/>
          <w:sz w:val="21"/>
          <w:szCs w:val="21"/>
          <w:highlight w:val="none"/>
        </w:rPr>
      </w:pPr>
      <w:r>
        <w:rPr>
          <w:rFonts w:hint="eastAsia"/>
          <w:color w:val="auto"/>
          <w:sz w:val="21"/>
          <w:szCs w:val="21"/>
          <w:highlight w:val="none"/>
        </w:rPr>
        <w:t xml:space="preserve">地址：                                          邮编：                       </w:t>
      </w:r>
    </w:p>
    <w:p w14:paraId="71054254">
      <w:pPr>
        <w:pStyle w:val="14"/>
        <w:spacing w:line="360" w:lineRule="auto"/>
        <w:ind w:firstLine="420"/>
        <w:rPr>
          <w:color w:val="auto"/>
          <w:sz w:val="21"/>
          <w:szCs w:val="21"/>
          <w:highlight w:val="none"/>
        </w:rPr>
      </w:pPr>
      <w:r>
        <w:rPr>
          <w:rFonts w:hint="eastAsia"/>
          <w:color w:val="auto"/>
          <w:sz w:val="21"/>
          <w:szCs w:val="21"/>
          <w:highlight w:val="none"/>
        </w:rPr>
        <w:t>二、质疑项目基本情况：</w:t>
      </w:r>
    </w:p>
    <w:p w14:paraId="60F6DAE9">
      <w:pPr>
        <w:pStyle w:val="14"/>
        <w:spacing w:line="360" w:lineRule="auto"/>
        <w:ind w:firstLine="420"/>
        <w:rPr>
          <w:color w:val="auto"/>
          <w:sz w:val="21"/>
          <w:szCs w:val="21"/>
          <w:highlight w:val="none"/>
        </w:rPr>
      </w:pPr>
      <w:r>
        <w:rPr>
          <w:rFonts w:hint="eastAsia"/>
          <w:color w:val="auto"/>
          <w:sz w:val="21"/>
          <w:szCs w:val="21"/>
          <w:highlight w:val="none"/>
        </w:rPr>
        <w:t xml:space="preserve">质疑项目的名称：                                                        </w:t>
      </w:r>
    </w:p>
    <w:p w14:paraId="31A95A91">
      <w:pPr>
        <w:pStyle w:val="14"/>
        <w:spacing w:line="360" w:lineRule="auto"/>
        <w:ind w:firstLine="420"/>
        <w:rPr>
          <w:color w:val="auto"/>
          <w:sz w:val="21"/>
          <w:szCs w:val="21"/>
          <w:highlight w:val="none"/>
        </w:rPr>
      </w:pPr>
      <w:r>
        <w:rPr>
          <w:rFonts w:hint="eastAsia"/>
          <w:color w:val="auto"/>
          <w:sz w:val="21"/>
          <w:szCs w:val="21"/>
          <w:highlight w:val="none"/>
        </w:rPr>
        <w:t xml:space="preserve">质疑项目的编号：                                                        </w:t>
      </w:r>
    </w:p>
    <w:p w14:paraId="77114AAD">
      <w:pPr>
        <w:pStyle w:val="14"/>
        <w:spacing w:line="360" w:lineRule="auto"/>
        <w:ind w:firstLine="420"/>
        <w:rPr>
          <w:color w:val="auto"/>
          <w:sz w:val="21"/>
          <w:szCs w:val="21"/>
          <w:highlight w:val="none"/>
        </w:rPr>
      </w:pPr>
      <w:r>
        <w:rPr>
          <w:rFonts w:hint="eastAsia"/>
          <w:color w:val="auto"/>
          <w:sz w:val="21"/>
          <w:szCs w:val="21"/>
          <w:highlight w:val="none"/>
        </w:rPr>
        <w:t xml:space="preserve">采购人名称：                                                            </w:t>
      </w:r>
    </w:p>
    <w:p w14:paraId="47CCFD46">
      <w:pPr>
        <w:pStyle w:val="14"/>
        <w:spacing w:line="360" w:lineRule="auto"/>
        <w:ind w:firstLine="420"/>
        <w:rPr>
          <w:color w:val="auto"/>
          <w:sz w:val="21"/>
          <w:szCs w:val="21"/>
          <w:highlight w:val="none"/>
        </w:rPr>
      </w:pPr>
      <w:r>
        <w:rPr>
          <w:rFonts w:hint="eastAsia"/>
          <w:color w:val="auto"/>
          <w:sz w:val="21"/>
          <w:szCs w:val="21"/>
          <w:highlight w:val="none"/>
        </w:rPr>
        <w:t>质疑事项：</w:t>
      </w:r>
    </w:p>
    <w:p w14:paraId="73E165DE">
      <w:pPr>
        <w:pStyle w:val="14"/>
        <w:spacing w:line="360" w:lineRule="auto"/>
        <w:ind w:firstLine="420"/>
        <w:rPr>
          <w:color w:val="auto"/>
          <w:sz w:val="21"/>
          <w:szCs w:val="21"/>
          <w:highlight w:val="none"/>
        </w:rPr>
      </w:pPr>
      <w:r>
        <w:rPr>
          <w:rFonts w:hint="eastAsia"/>
          <w:color w:val="auto"/>
          <w:sz w:val="21"/>
          <w:szCs w:val="21"/>
          <w:highlight w:val="none"/>
        </w:rPr>
        <w:t xml:space="preserve">□采购文件   采购文件获取日期：                                          </w:t>
      </w:r>
    </w:p>
    <w:p w14:paraId="020D663B">
      <w:pPr>
        <w:pStyle w:val="14"/>
        <w:spacing w:line="360" w:lineRule="auto"/>
        <w:ind w:firstLine="420"/>
        <w:rPr>
          <w:color w:val="auto"/>
          <w:sz w:val="21"/>
          <w:szCs w:val="21"/>
          <w:highlight w:val="none"/>
        </w:rPr>
      </w:pPr>
      <w:r>
        <w:rPr>
          <w:rFonts w:hint="eastAsia"/>
          <w:color w:val="auto"/>
          <w:sz w:val="21"/>
          <w:szCs w:val="21"/>
          <w:highlight w:val="none"/>
        </w:rPr>
        <w:t xml:space="preserve">□采购过程   </w:t>
      </w:r>
    </w:p>
    <w:p w14:paraId="378D5ED8">
      <w:pPr>
        <w:pStyle w:val="14"/>
        <w:spacing w:line="360" w:lineRule="auto"/>
        <w:ind w:firstLine="420"/>
        <w:rPr>
          <w:bCs/>
          <w:color w:val="auto"/>
          <w:sz w:val="21"/>
          <w:szCs w:val="21"/>
          <w:highlight w:val="none"/>
          <w:u w:val="single"/>
        </w:rPr>
      </w:pPr>
      <w:r>
        <w:rPr>
          <w:rFonts w:hint="eastAsia"/>
          <w:color w:val="auto"/>
          <w:sz w:val="21"/>
          <w:szCs w:val="21"/>
          <w:highlight w:val="none"/>
        </w:rPr>
        <w:t xml:space="preserve">□成交结果   </w:t>
      </w:r>
    </w:p>
    <w:p w14:paraId="590F3881">
      <w:pPr>
        <w:pStyle w:val="14"/>
        <w:spacing w:line="360" w:lineRule="auto"/>
        <w:ind w:firstLine="420"/>
        <w:rPr>
          <w:color w:val="auto"/>
          <w:sz w:val="21"/>
          <w:szCs w:val="21"/>
          <w:highlight w:val="none"/>
        </w:rPr>
      </w:pPr>
      <w:r>
        <w:rPr>
          <w:rFonts w:hint="eastAsia"/>
          <w:color w:val="auto"/>
          <w:sz w:val="21"/>
          <w:szCs w:val="21"/>
          <w:highlight w:val="none"/>
        </w:rPr>
        <w:t>三、质疑事项具体内容</w:t>
      </w:r>
    </w:p>
    <w:p w14:paraId="33A6F895">
      <w:pPr>
        <w:pStyle w:val="14"/>
        <w:spacing w:line="360" w:lineRule="auto"/>
        <w:ind w:firstLine="420"/>
        <w:rPr>
          <w:color w:val="auto"/>
          <w:sz w:val="21"/>
          <w:szCs w:val="21"/>
          <w:highlight w:val="none"/>
        </w:rPr>
      </w:pPr>
      <w:r>
        <w:rPr>
          <w:rFonts w:hint="eastAsia"/>
          <w:color w:val="auto"/>
          <w:sz w:val="21"/>
          <w:szCs w:val="21"/>
          <w:highlight w:val="none"/>
        </w:rPr>
        <w:t xml:space="preserve">质疑事项1：                                                             </w:t>
      </w:r>
    </w:p>
    <w:p w14:paraId="4B62A361">
      <w:pPr>
        <w:pStyle w:val="14"/>
        <w:spacing w:line="360" w:lineRule="auto"/>
        <w:ind w:firstLine="420"/>
        <w:rPr>
          <w:color w:val="auto"/>
          <w:sz w:val="21"/>
          <w:szCs w:val="21"/>
          <w:highlight w:val="none"/>
        </w:rPr>
      </w:pPr>
      <w:r>
        <w:rPr>
          <w:rFonts w:hint="eastAsia"/>
          <w:color w:val="auto"/>
          <w:sz w:val="21"/>
          <w:szCs w:val="21"/>
          <w:highlight w:val="none"/>
        </w:rPr>
        <w:t xml:space="preserve">事实依据：                                                              </w:t>
      </w:r>
    </w:p>
    <w:p w14:paraId="4086693C">
      <w:pPr>
        <w:pStyle w:val="14"/>
        <w:spacing w:line="360" w:lineRule="auto"/>
        <w:ind w:firstLine="420"/>
        <w:rPr>
          <w:color w:val="auto"/>
          <w:sz w:val="21"/>
          <w:szCs w:val="21"/>
          <w:highlight w:val="none"/>
        </w:rPr>
      </w:pPr>
      <w:r>
        <w:rPr>
          <w:rFonts w:hint="eastAsia"/>
          <w:color w:val="auto"/>
          <w:sz w:val="21"/>
          <w:szCs w:val="21"/>
          <w:highlight w:val="none"/>
        </w:rPr>
        <w:t xml:space="preserve">法律依据：                                                 </w:t>
      </w:r>
      <w:r>
        <w:rPr>
          <w:rFonts w:hint="eastAsia"/>
          <w:bCs/>
          <w:color w:val="auto"/>
          <w:sz w:val="21"/>
          <w:szCs w:val="21"/>
          <w:highlight w:val="none"/>
        </w:rPr>
        <w:t xml:space="preserve">             </w:t>
      </w:r>
    </w:p>
    <w:p w14:paraId="2BA94C19">
      <w:pPr>
        <w:pStyle w:val="14"/>
        <w:spacing w:line="360" w:lineRule="auto"/>
        <w:ind w:firstLine="420"/>
        <w:rPr>
          <w:color w:val="auto"/>
          <w:sz w:val="21"/>
          <w:szCs w:val="21"/>
          <w:highlight w:val="none"/>
        </w:rPr>
      </w:pPr>
      <w:r>
        <w:rPr>
          <w:rFonts w:hint="eastAsia"/>
          <w:color w:val="auto"/>
          <w:sz w:val="21"/>
          <w:szCs w:val="21"/>
          <w:highlight w:val="none"/>
        </w:rPr>
        <w:t>质疑事项2</w:t>
      </w:r>
    </w:p>
    <w:p w14:paraId="0E77D357">
      <w:pPr>
        <w:pStyle w:val="14"/>
        <w:spacing w:line="360" w:lineRule="auto"/>
        <w:ind w:firstLine="420"/>
        <w:rPr>
          <w:color w:val="auto"/>
          <w:sz w:val="21"/>
          <w:szCs w:val="21"/>
          <w:highlight w:val="none"/>
        </w:rPr>
      </w:pPr>
      <w:r>
        <w:rPr>
          <w:rFonts w:hint="eastAsia"/>
          <w:color w:val="auto"/>
          <w:sz w:val="21"/>
          <w:szCs w:val="21"/>
          <w:highlight w:val="none"/>
        </w:rPr>
        <w:t>……</w:t>
      </w:r>
    </w:p>
    <w:p w14:paraId="58960FD2">
      <w:pPr>
        <w:pStyle w:val="14"/>
        <w:spacing w:line="360" w:lineRule="auto"/>
        <w:ind w:firstLine="420"/>
        <w:rPr>
          <w:color w:val="auto"/>
          <w:sz w:val="21"/>
          <w:szCs w:val="21"/>
          <w:highlight w:val="none"/>
        </w:rPr>
      </w:pPr>
      <w:r>
        <w:rPr>
          <w:rFonts w:hint="eastAsia"/>
          <w:color w:val="auto"/>
          <w:sz w:val="21"/>
          <w:szCs w:val="21"/>
          <w:highlight w:val="none"/>
        </w:rPr>
        <w:t>四、与质疑事项相关的质疑请求：</w:t>
      </w:r>
    </w:p>
    <w:p w14:paraId="4B39C79A">
      <w:pPr>
        <w:pStyle w:val="14"/>
        <w:spacing w:line="360" w:lineRule="auto"/>
        <w:ind w:firstLine="420"/>
        <w:rPr>
          <w:color w:val="auto"/>
          <w:sz w:val="21"/>
          <w:szCs w:val="21"/>
          <w:highlight w:val="none"/>
        </w:rPr>
      </w:pPr>
      <w:r>
        <w:rPr>
          <w:rFonts w:hint="eastAsia"/>
          <w:color w:val="auto"/>
          <w:sz w:val="21"/>
          <w:szCs w:val="21"/>
          <w:highlight w:val="none"/>
        </w:rPr>
        <w:t xml:space="preserve">请求：                                                                 </w:t>
      </w:r>
    </w:p>
    <w:p w14:paraId="52A88E60">
      <w:pPr>
        <w:pStyle w:val="14"/>
        <w:spacing w:line="360" w:lineRule="auto"/>
        <w:ind w:firstLine="420"/>
        <w:rPr>
          <w:color w:val="auto"/>
          <w:sz w:val="21"/>
          <w:szCs w:val="21"/>
          <w:highlight w:val="none"/>
        </w:rPr>
      </w:pPr>
    </w:p>
    <w:p w14:paraId="0DFCB9B2">
      <w:pPr>
        <w:pStyle w:val="14"/>
        <w:spacing w:line="360" w:lineRule="auto"/>
        <w:ind w:firstLine="420"/>
        <w:rPr>
          <w:color w:val="auto"/>
          <w:sz w:val="21"/>
          <w:szCs w:val="21"/>
          <w:highlight w:val="none"/>
        </w:rPr>
      </w:pPr>
      <w:r>
        <w:rPr>
          <w:rFonts w:hint="eastAsia"/>
          <w:color w:val="auto"/>
          <w:sz w:val="21"/>
          <w:szCs w:val="21"/>
          <w:highlight w:val="none"/>
        </w:rPr>
        <w:t>签字（签章）：                                       公章：</w:t>
      </w:r>
    </w:p>
    <w:p w14:paraId="01CA11FE">
      <w:pPr>
        <w:pStyle w:val="14"/>
        <w:spacing w:line="360" w:lineRule="auto"/>
        <w:ind w:firstLine="420"/>
        <w:rPr>
          <w:color w:val="auto"/>
          <w:sz w:val="21"/>
          <w:szCs w:val="21"/>
          <w:highlight w:val="none"/>
        </w:rPr>
      </w:pPr>
    </w:p>
    <w:p w14:paraId="1CF2B228">
      <w:pPr>
        <w:pStyle w:val="14"/>
        <w:spacing w:line="360" w:lineRule="auto"/>
        <w:ind w:firstLine="420"/>
        <w:rPr>
          <w:color w:val="auto"/>
          <w:sz w:val="21"/>
          <w:szCs w:val="21"/>
          <w:highlight w:val="none"/>
        </w:rPr>
      </w:pPr>
      <w:r>
        <w:rPr>
          <w:rFonts w:hint="eastAsia"/>
          <w:color w:val="auto"/>
          <w:sz w:val="21"/>
          <w:szCs w:val="21"/>
          <w:highlight w:val="none"/>
        </w:rPr>
        <w:t>日期：</w:t>
      </w:r>
    </w:p>
    <w:p w14:paraId="43CC7E0A">
      <w:pPr>
        <w:pStyle w:val="14"/>
        <w:spacing w:line="360" w:lineRule="auto"/>
        <w:ind w:firstLine="420"/>
        <w:rPr>
          <w:color w:val="auto"/>
          <w:sz w:val="21"/>
          <w:szCs w:val="21"/>
          <w:highlight w:val="none"/>
        </w:rPr>
      </w:pPr>
    </w:p>
    <w:p w14:paraId="025B05DE">
      <w:pPr>
        <w:pStyle w:val="14"/>
        <w:spacing w:line="360" w:lineRule="auto"/>
        <w:ind w:firstLine="420"/>
        <w:rPr>
          <w:color w:val="auto"/>
          <w:sz w:val="21"/>
          <w:szCs w:val="21"/>
          <w:highlight w:val="none"/>
        </w:rPr>
      </w:pPr>
      <w:r>
        <w:rPr>
          <w:rFonts w:hint="eastAsia"/>
          <w:color w:val="auto"/>
          <w:sz w:val="21"/>
          <w:szCs w:val="21"/>
          <w:highlight w:val="none"/>
        </w:rPr>
        <w:t>说明：</w:t>
      </w:r>
    </w:p>
    <w:p w14:paraId="0A132C46">
      <w:pPr>
        <w:pStyle w:val="14"/>
        <w:spacing w:line="360" w:lineRule="auto"/>
        <w:ind w:firstLine="420"/>
        <w:rPr>
          <w:bCs/>
          <w:color w:val="auto"/>
          <w:sz w:val="21"/>
          <w:szCs w:val="21"/>
          <w:highlight w:val="none"/>
        </w:rPr>
      </w:pPr>
      <w:r>
        <w:rPr>
          <w:rFonts w:hint="eastAsia"/>
          <w:color w:val="auto"/>
          <w:sz w:val="21"/>
          <w:szCs w:val="21"/>
          <w:highlight w:val="none"/>
        </w:rPr>
        <w:t>1.供应商提出质疑时，应提交质疑函和必要的证明材料</w:t>
      </w:r>
      <w:r>
        <w:rPr>
          <w:rFonts w:hint="eastAsia"/>
          <w:bCs/>
          <w:color w:val="auto"/>
          <w:sz w:val="21"/>
          <w:szCs w:val="21"/>
          <w:highlight w:val="none"/>
        </w:rPr>
        <w:t>。</w:t>
      </w:r>
    </w:p>
    <w:p w14:paraId="2E5311B5">
      <w:pPr>
        <w:pStyle w:val="14"/>
        <w:spacing w:line="360" w:lineRule="auto"/>
        <w:ind w:firstLine="420"/>
        <w:rPr>
          <w:color w:val="auto"/>
          <w:sz w:val="21"/>
          <w:szCs w:val="21"/>
          <w:highlight w:val="none"/>
        </w:rPr>
      </w:pPr>
      <w:r>
        <w:rPr>
          <w:rFonts w:hint="eastAsia"/>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7631863">
      <w:pPr>
        <w:pStyle w:val="14"/>
        <w:spacing w:line="360" w:lineRule="auto"/>
        <w:ind w:firstLine="420"/>
        <w:rPr>
          <w:color w:val="auto"/>
          <w:sz w:val="21"/>
          <w:szCs w:val="21"/>
          <w:highlight w:val="none"/>
        </w:rPr>
      </w:pPr>
      <w:r>
        <w:rPr>
          <w:rFonts w:hint="eastAsia"/>
          <w:color w:val="auto"/>
          <w:sz w:val="21"/>
          <w:szCs w:val="21"/>
          <w:highlight w:val="none"/>
        </w:rPr>
        <w:t>3.质疑函的质疑事项应具体、明确，并有必要的事实依据和法律依据。</w:t>
      </w:r>
    </w:p>
    <w:p w14:paraId="75EE77E1">
      <w:pPr>
        <w:pStyle w:val="14"/>
        <w:spacing w:line="360" w:lineRule="auto"/>
        <w:ind w:firstLine="420"/>
        <w:rPr>
          <w:color w:val="auto"/>
          <w:sz w:val="21"/>
          <w:szCs w:val="21"/>
          <w:highlight w:val="none"/>
        </w:rPr>
      </w:pPr>
      <w:r>
        <w:rPr>
          <w:rFonts w:hint="eastAsia"/>
          <w:color w:val="auto"/>
          <w:sz w:val="21"/>
          <w:szCs w:val="21"/>
          <w:highlight w:val="none"/>
        </w:rPr>
        <w:t>4.质疑函的质疑请求应与质疑事项相关。</w:t>
      </w:r>
    </w:p>
    <w:p w14:paraId="63FD6786">
      <w:pPr>
        <w:pStyle w:val="14"/>
        <w:spacing w:line="360" w:lineRule="auto"/>
        <w:ind w:firstLine="420"/>
        <w:rPr>
          <w:color w:val="auto"/>
          <w:sz w:val="21"/>
          <w:szCs w:val="21"/>
          <w:highlight w:val="none"/>
        </w:rPr>
      </w:pPr>
      <w:r>
        <w:rPr>
          <w:rFonts w:hint="eastAsia"/>
          <w:color w:val="auto"/>
          <w:sz w:val="21"/>
          <w:szCs w:val="21"/>
          <w:highlight w:val="none"/>
        </w:rPr>
        <w:t>5.质疑供应商为法人或者其他组织的，质疑函应由法定代表人、主要负责人，或者其授权代表签字或者盖章，并加盖公章。</w:t>
      </w:r>
    </w:p>
    <w:p w14:paraId="2B671C75">
      <w:pPr>
        <w:pStyle w:val="2"/>
        <w:spacing w:before="120"/>
        <w:ind w:firstLine="880"/>
        <w:jc w:val="center"/>
        <w:rPr>
          <w:rFonts w:ascii="宋体" w:hAnsi="宋体" w:cs="宋体"/>
          <w:b w:val="0"/>
          <w:bCs w:val="0"/>
          <w:color w:val="auto"/>
          <w:highlight w:val="none"/>
        </w:rPr>
      </w:pPr>
      <w:bookmarkStart w:id="84" w:name="_Toc129703553"/>
      <w:bookmarkStart w:id="85" w:name="_Toc3096"/>
    </w:p>
    <w:p w14:paraId="503BC305">
      <w:pPr>
        <w:rPr>
          <w:rFonts w:ascii="宋体" w:hAnsi="宋体" w:cs="宋体"/>
          <w:color w:val="auto"/>
          <w:highlight w:val="none"/>
        </w:rPr>
      </w:pPr>
      <w:r>
        <w:rPr>
          <w:rFonts w:hint="eastAsia" w:ascii="宋体" w:hAnsi="宋体" w:cs="宋体"/>
          <w:color w:val="auto"/>
          <w:highlight w:val="none"/>
        </w:rPr>
        <w:br w:type="page"/>
      </w:r>
    </w:p>
    <w:p w14:paraId="3F61FBC2">
      <w:pPr>
        <w:pStyle w:val="2"/>
        <w:spacing w:before="120"/>
        <w:ind w:firstLine="883"/>
        <w:jc w:val="center"/>
        <w:rPr>
          <w:rFonts w:ascii="宋体" w:hAnsi="宋体" w:cs="宋体"/>
          <w:color w:val="auto"/>
          <w:highlight w:val="none"/>
        </w:rPr>
      </w:pPr>
    </w:p>
    <w:p w14:paraId="710089F0">
      <w:pPr>
        <w:pStyle w:val="2"/>
        <w:spacing w:before="120"/>
        <w:ind w:firstLine="883"/>
        <w:jc w:val="center"/>
        <w:rPr>
          <w:rFonts w:ascii="宋体" w:hAnsi="宋体" w:cs="宋体"/>
          <w:color w:val="auto"/>
          <w:highlight w:val="none"/>
        </w:rPr>
      </w:pPr>
    </w:p>
    <w:p w14:paraId="573B000B">
      <w:pPr>
        <w:pStyle w:val="2"/>
        <w:spacing w:before="120"/>
        <w:jc w:val="center"/>
        <w:rPr>
          <w:rFonts w:ascii="宋体" w:hAnsi="宋体" w:cs="宋体"/>
          <w:color w:val="auto"/>
          <w:highlight w:val="none"/>
        </w:rPr>
        <w:sectPr>
          <w:footerReference r:id="rId8" w:type="first"/>
          <w:pgSz w:w="11910" w:h="16840"/>
          <w:pgMar w:top="1340" w:right="1500" w:bottom="1338" w:left="1502" w:header="720" w:footer="720" w:gutter="0"/>
          <w:cols w:space="720" w:num="1"/>
        </w:sectPr>
      </w:pPr>
      <w:r>
        <w:rPr>
          <w:rFonts w:hint="eastAsia" w:ascii="宋体" w:hAnsi="宋体" w:cs="宋体"/>
          <w:color w:val="auto"/>
          <w:highlight w:val="none"/>
        </w:rPr>
        <w:t>第六章 合同文本</w:t>
      </w:r>
      <w:bookmarkEnd w:id="84"/>
      <w:bookmarkEnd w:id="85"/>
    </w:p>
    <w:p w14:paraId="00919864">
      <w:pPr>
        <w:snapToGrid w:val="0"/>
        <w:spacing w:before="120" w:line="400" w:lineRule="exact"/>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4A06AE83">
      <w:pPr>
        <w:snapToGrid w:val="0"/>
        <w:spacing w:before="120" w:line="400" w:lineRule="exact"/>
        <w:ind w:firstLine="643"/>
        <w:jc w:val="center"/>
        <w:rPr>
          <w:rFonts w:ascii="宋体" w:hAnsi="宋体"/>
          <w:b/>
          <w:bCs/>
          <w:color w:val="auto"/>
          <w:sz w:val="32"/>
          <w:szCs w:val="32"/>
          <w:highlight w:val="none"/>
        </w:rPr>
      </w:pPr>
      <w:r>
        <w:rPr>
          <w:rFonts w:hint="eastAsia" w:ascii="宋体" w:hAnsi="宋体"/>
          <w:b/>
          <w:color w:val="auto"/>
          <w:sz w:val="32"/>
          <w:szCs w:val="32"/>
          <w:highlight w:val="none"/>
        </w:rPr>
        <w:t>文本</w:t>
      </w:r>
    </w:p>
    <w:p w14:paraId="18B67E77">
      <w:pPr>
        <w:snapToGrid w:val="0"/>
        <w:spacing w:line="400" w:lineRule="exact"/>
        <w:ind w:right="480" w:firstLine="5040" w:firstLineChars="2400"/>
        <w:rPr>
          <w:rFonts w:ascii="宋体" w:hAnsi="宋体"/>
          <w:bCs/>
          <w:color w:val="auto"/>
          <w:szCs w:val="21"/>
          <w:highlight w:val="none"/>
        </w:rPr>
      </w:pPr>
      <w:r>
        <w:rPr>
          <w:rFonts w:hint="eastAsia" w:ascii="宋体" w:hAnsi="宋体"/>
          <w:bCs/>
          <w:color w:val="auto"/>
          <w:szCs w:val="21"/>
          <w:highlight w:val="none"/>
        </w:rPr>
        <w:t>合同编号：</w:t>
      </w:r>
    </w:p>
    <w:p w14:paraId="75FC1380">
      <w:pPr>
        <w:snapToGrid w:val="0"/>
        <w:spacing w:line="400" w:lineRule="exact"/>
        <w:rPr>
          <w:rFonts w:ascii="宋体" w:hAnsi="宋体"/>
          <w:color w:val="auto"/>
          <w:szCs w:val="21"/>
          <w:highlight w:val="none"/>
        </w:rPr>
      </w:pPr>
      <w:r>
        <w:rPr>
          <w:rFonts w:ascii="宋体" w:hAnsi="宋体"/>
          <w:color w:val="auto"/>
          <w:szCs w:val="21"/>
          <w:highlight w:val="none"/>
        </w:rPr>
        <w:t xml:space="preserve">                                           </w:t>
      </w:r>
    </w:p>
    <w:p w14:paraId="623953D9">
      <w:pPr>
        <w:snapToGrid w:val="0"/>
        <w:spacing w:line="440" w:lineRule="exact"/>
        <w:rPr>
          <w:rFonts w:ascii="宋体" w:hAnsi="宋体"/>
          <w:color w:val="auto"/>
          <w:szCs w:val="21"/>
          <w:highlight w:val="none"/>
        </w:rPr>
      </w:pPr>
      <w:r>
        <w:rPr>
          <w:rFonts w:hint="eastAsia" w:ascii="宋体" w:hAnsi="宋体"/>
          <w:color w:val="auto"/>
          <w:szCs w:val="21"/>
          <w:highlight w:val="none"/>
        </w:rPr>
        <w:t>采购单位（甲方）</w:t>
      </w:r>
      <w:r>
        <w:rPr>
          <w:rFonts w:ascii="宋体" w:hAnsi="宋体"/>
          <w:color w:val="auto"/>
          <w:szCs w:val="21"/>
          <w:highlight w:val="none"/>
          <w:u w:val="single"/>
        </w:rPr>
        <w:t xml:space="preserve">                          </w:t>
      </w:r>
      <w:r>
        <w:rPr>
          <w:rFonts w:ascii="宋体" w:hAnsi="宋体"/>
          <w:color w:val="auto"/>
          <w:szCs w:val="21"/>
          <w:highlight w:val="none"/>
        </w:rPr>
        <w:t xml:space="preserve">  </w:t>
      </w:r>
    </w:p>
    <w:p w14:paraId="6308FB43">
      <w:pPr>
        <w:snapToGrid w:val="0"/>
        <w:spacing w:line="440" w:lineRule="exact"/>
        <w:rPr>
          <w:rFonts w:ascii="宋体" w:hAnsi="宋体"/>
          <w:color w:val="auto"/>
          <w:szCs w:val="21"/>
          <w:highlight w:val="none"/>
        </w:rPr>
      </w:pPr>
      <w:r>
        <w:rPr>
          <w:rFonts w:hint="eastAsia" w:ascii="宋体" w:hAnsi="宋体"/>
          <w:color w:val="auto"/>
          <w:szCs w:val="21"/>
          <w:highlight w:val="none"/>
        </w:rPr>
        <w:t>供</w:t>
      </w:r>
      <w:r>
        <w:rPr>
          <w:rFonts w:ascii="宋体" w:hAnsi="宋体"/>
          <w:color w:val="auto"/>
          <w:szCs w:val="21"/>
          <w:highlight w:val="none"/>
        </w:rPr>
        <w:t xml:space="preserve"> </w:t>
      </w:r>
      <w:r>
        <w:rPr>
          <w:rFonts w:hint="eastAsia" w:ascii="宋体" w:hAnsi="宋体"/>
          <w:color w:val="auto"/>
          <w:szCs w:val="21"/>
          <w:highlight w:val="none"/>
        </w:rPr>
        <w:t>应</w:t>
      </w:r>
      <w:r>
        <w:rPr>
          <w:rFonts w:ascii="宋体" w:hAnsi="宋体"/>
          <w:color w:val="auto"/>
          <w:szCs w:val="21"/>
          <w:highlight w:val="none"/>
        </w:rPr>
        <w:t xml:space="preserve"> </w:t>
      </w:r>
      <w:r>
        <w:rPr>
          <w:rFonts w:hint="eastAsia" w:ascii="宋体" w:hAnsi="宋体"/>
          <w:color w:val="auto"/>
          <w:szCs w:val="21"/>
          <w:highlight w:val="none"/>
        </w:rPr>
        <w:t>商（乙方）</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2D2A825">
      <w:pPr>
        <w:snapToGrid w:val="0"/>
        <w:spacing w:line="440" w:lineRule="exact"/>
        <w:rPr>
          <w:rFonts w:ascii="宋体" w:hAnsi="宋体"/>
          <w:color w:val="auto"/>
          <w:szCs w:val="21"/>
          <w:highlight w:val="none"/>
        </w:rPr>
      </w:pPr>
      <w:r>
        <w:rPr>
          <w:rFonts w:hint="eastAsia" w:ascii="宋体" w:hAnsi="宋体"/>
          <w:color w:val="auto"/>
          <w:szCs w:val="21"/>
          <w:highlight w:val="none"/>
        </w:rPr>
        <w:t>项</w:t>
      </w:r>
      <w:r>
        <w:rPr>
          <w:rFonts w:ascii="宋体" w:hAnsi="宋体"/>
          <w:color w:val="auto"/>
          <w:szCs w:val="21"/>
          <w:highlight w:val="none"/>
        </w:rPr>
        <w:t xml:space="preserve"> </w:t>
      </w:r>
      <w:r>
        <w:rPr>
          <w:rFonts w:hint="eastAsia" w:ascii="宋体" w:hAnsi="宋体"/>
          <w:color w:val="auto"/>
          <w:szCs w:val="21"/>
          <w:highlight w:val="none"/>
        </w:rPr>
        <w:t>目</w:t>
      </w:r>
      <w:r>
        <w:rPr>
          <w:rFonts w:ascii="宋体" w:hAnsi="宋体"/>
          <w:color w:val="auto"/>
          <w:szCs w:val="21"/>
          <w:highlight w:val="none"/>
        </w:rPr>
        <w:t xml:space="preserve"> </w:t>
      </w:r>
      <w:r>
        <w:rPr>
          <w:rFonts w:hint="eastAsia" w:ascii="宋体" w:hAnsi="宋体"/>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rPr>
        <w:t>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pacing w:val="-20"/>
          <w:szCs w:val="21"/>
          <w:highlight w:val="none"/>
        </w:rPr>
        <w:t>项</w:t>
      </w:r>
      <w:r>
        <w:rPr>
          <w:rFonts w:ascii="宋体" w:hAnsi="宋体"/>
          <w:color w:val="auto"/>
          <w:spacing w:val="-20"/>
          <w:szCs w:val="21"/>
          <w:highlight w:val="none"/>
        </w:rPr>
        <w:t xml:space="preserve">  </w:t>
      </w:r>
      <w:r>
        <w:rPr>
          <w:rFonts w:hint="eastAsia" w:ascii="宋体" w:hAnsi="宋体"/>
          <w:color w:val="auto"/>
          <w:spacing w:val="-20"/>
          <w:szCs w:val="21"/>
          <w:highlight w:val="none"/>
        </w:rPr>
        <w:t>目</w:t>
      </w:r>
      <w:r>
        <w:rPr>
          <w:rFonts w:ascii="宋体" w:hAnsi="宋体"/>
          <w:color w:val="auto"/>
          <w:spacing w:val="-20"/>
          <w:szCs w:val="21"/>
          <w:highlight w:val="none"/>
        </w:rPr>
        <w:t xml:space="preserve">  </w:t>
      </w:r>
      <w:r>
        <w:rPr>
          <w:rFonts w:hint="eastAsia" w:ascii="宋体" w:hAnsi="宋体"/>
          <w:color w:val="auto"/>
          <w:spacing w:val="-20"/>
          <w:szCs w:val="21"/>
          <w:highlight w:val="none"/>
        </w:rPr>
        <w:t>编</w:t>
      </w:r>
      <w:r>
        <w:rPr>
          <w:rFonts w:ascii="宋体" w:hAnsi="宋体"/>
          <w:color w:val="auto"/>
          <w:spacing w:val="-20"/>
          <w:szCs w:val="21"/>
          <w:highlight w:val="none"/>
        </w:rPr>
        <w:t xml:space="preserve">  </w:t>
      </w:r>
      <w:r>
        <w:rPr>
          <w:rFonts w:hint="eastAsia" w:ascii="宋体" w:hAnsi="宋体"/>
          <w:color w:val="auto"/>
          <w:spacing w:val="-20"/>
          <w:szCs w:val="21"/>
          <w:highlight w:val="none"/>
        </w:rPr>
        <w:t>号：</w:t>
      </w:r>
      <w:r>
        <w:rPr>
          <w:rFonts w:ascii="宋体" w:hAnsi="宋体"/>
          <w:color w:val="auto"/>
          <w:szCs w:val="21"/>
          <w:highlight w:val="none"/>
          <w:u w:val="single"/>
        </w:rPr>
        <w:t xml:space="preserve">                    </w:t>
      </w:r>
    </w:p>
    <w:p w14:paraId="0F215235">
      <w:pPr>
        <w:snapToGrid w:val="0"/>
        <w:spacing w:line="440" w:lineRule="exact"/>
        <w:rPr>
          <w:rFonts w:ascii="宋体" w:hAnsi="宋体"/>
          <w:color w:val="auto"/>
          <w:szCs w:val="21"/>
          <w:highlight w:val="none"/>
        </w:rPr>
      </w:pPr>
      <w:r>
        <w:rPr>
          <w:rFonts w:hint="eastAsia" w:ascii="宋体" w:hAnsi="宋体"/>
          <w:color w:val="auto"/>
          <w:szCs w:val="21"/>
          <w:highlight w:val="none"/>
        </w:rPr>
        <w:t>签</w:t>
      </w:r>
      <w:r>
        <w:rPr>
          <w:rFonts w:ascii="宋体" w:hAnsi="宋体"/>
          <w:color w:val="auto"/>
          <w:szCs w:val="21"/>
          <w:highlight w:val="none"/>
        </w:rPr>
        <w:t xml:space="preserve"> </w:t>
      </w:r>
      <w:r>
        <w:rPr>
          <w:rFonts w:hint="eastAsia" w:ascii="宋体" w:hAnsi="宋体"/>
          <w:color w:val="auto"/>
          <w:szCs w:val="21"/>
          <w:highlight w:val="none"/>
        </w:rPr>
        <w:t>订</w:t>
      </w:r>
      <w:r>
        <w:rPr>
          <w:rFonts w:ascii="宋体" w:hAnsi="宋体"/>
          <w:color w:val="auto"/>
          <w:szCs w:val="21"/>
          <w:highlight w:val="none"/>
        </w:rPr>
        <w:t xml:space="preserve">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点：</w:t>
      </w:r>
      <w:r>
        <w:rPr>
          <w:rFonts w:ascii="宋体" w:hAnsi="宋体"/>
          <w:color w:val="auto"/>
          <w:szCs w:val="21"/>
          <w:highlight w:val="none"/>
          <w:u w:val="single"/>
        </w:rPr>
        <w:t xml:space="preserve">                                </w:t>
      </w:r>
      <w:r>
        <w:rPr>
          <w:rFonts w:ascii="宋体" w:hAnsi="宋体"/>
          <w:color w:val="auto"/>
          <w:szCs w:val="21"/>
          <w:highlight w:val="none"/>
        </w:rPr>
        <w:t xml:space="preserve">  签 订 时 间：</w:t>
      </w:r>
      <w:r>
        <w:rPr>
          <w:rFonts w:ascii="宋体" w:hAnsi="宋体"/>
          <w:color w:val="auto"/>
          <w:szCs w:val="21"/>
          <w:highlight w:val="none"/>
          <w:u w:val="single"/>
        </w:rPr>
        <w:t xml:space="preserve">                   </w:t>
      </w:r>
    </w:p>
    <w:p w14:paraId="7E930F87">
      <w:pPr>
        <w:spacing w:before="120"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716EA1E">
      <w:pPr>
        <w:snapToGrid w:val="0"/>
        <w:spacing w:before="120"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根据《中华人民共和国政府采购法》《中华人民共和国民法典》等法律、法规规定，按照采购文件规定条款和成交供应商承诺，甲乙双方签订本合同。</w:t>
      </w:r>
    </w:p>
    <w:p w14:paraId="5C728FBD">
      <w:pPr>
        <w:snapToGrid w:val="0"/>
        <w:spacing w:before="120"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p w14:paraId="50D4ADF8">
      <w:pPr>
        <w:snapToGrid w:val="0"/>
        <w:spacing w:before="120" w:line="360" w:lineRule="auto"/>
        <w:ind w:firstLine="420" w:firstLineChars="200"/>
        <w:rPr>
          <w:rFonts w:ascii="宋体" w:hAnsi="宋体"/>
          <w:color w:val="auto"/>
          <w:szCs w:val="21"/>
          <w:highlight w:val="none"/>
        </w:rPr>
      </w:pPr>
      <w:r>
        <w:rPr>
          <w:rFonts w:hint="eastAsia" w:ascii="宋体" w:hAnsi="宋体"/>
          <w:color w:val="auto"/>
          <w:szCs w:val="21"/>
          <w:highlight w:val="none"/>
        </w:rPr>
        <w:t>1.供货一览表</w:t>
      </w:r>
    </w:p>
    <w:tbl>
      <w:tblPr>
        <w:tblStyle w:val="26"/>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666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73510E5">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33" w:type="dxa"/>
            <w:tcBorders>
              <w:top w:val="single" w:color="auto" w:sz="4" w:space="0"/>
              <w:left w:val="single" w:color="auto" w:sz="4" w:space="0"/>
              <w:bottom w:val="single" w:color="auto" w:sz="4" w:space="0"/>
              <w:right w:val="single" w:color="auto" w:sz="4" w:space="0"/>
            </w:tcBorders>
            <w:vAlign w:val="center"/>
          </w:tcPr>
          <w:p w14:paraId="1840FA65">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产品名称</w:t>
            </w:r>
          </w:p>
        </w:tc>
        <w:tc>
          <w:tcPr>
            <w:tcW w:w="1059" w:type="dxa"/>
            <w:tcBorders>
              <w:top w:val="single" w:color="auto" w:sz="4" w:space="0"/>
              <w:left w:val="single" w:color="auto" w:sz="4" w:space="0"/>
              <w:bottom w:val="single" w:color="auto" w:sz="4" w:space="0"/>
              <w:right w:val="single" w:color="auto" w:sz="4" w:space="0"/>
            </w:tcBorders>
            <w:vAlign w:val="center"/>
          </w:tcPr>
          <w:p w14:paraId="23A1BB19">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商标品牌</w:t>
            </w:r>
          </w:p>
        </w:tc>
        <w:tc>
          <w:tcPr>
            <w:tcW w:w="1233" w:type="dxa"/>
            <w:tcBorders>
              <w:top w:val="single" w:color="auto" w:sz="4" w:space="0"/>
              <w:left w:val="single" w:color="auto" w:sz="4" w:space="0"/>
              <w:bottom w:val="single" w:color="auto" w:sz="4" w:space="0"/>
              <w:right w:val="single" w:color="auto" w:sz="4" w:space="0"/>
            </w:tcBorders>
            <w:vAlign w:val="center"/>
          </w:tcPr>
          <w:p w14:paraId="3B5BC8F8">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210" w:type="dxa"/>
            <w:tcBorders>
              <w:top w:val="single" w:color="auto" w:sz="4" w:space="0"/>
              <w:left w:val="single" w:color="auto" w:sz="4" w:space="0"/>
              <w:bottom w:val="single" w:color="auto" w:sz="4" w:space="0"/>
              <w:right w:val="single" w:color="auto" w:sz="4" w:space="0"/>
            </w:tcBorders>
            <w:vAlign w:val="center"/>
          </w:tcPr>
          <w:p w14:paraId="3D75E5B1">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生产厂家</w:t>
            </w:r>
          </w:p>
        </w:tc>
        <w:tc>
          <w:tcPr>
            <w:tcW w:w="908" w:type="dxa"/>
            <w:tcBorders>
              <w:top w:val="single" w:color="auto" w:sz="4" w:space="0"/>
              <w:left w:val="single" w:color="auto" w:sz="4" w:space="0"/>
              <w:bottom w:val="single" w:color="auto" w:sz="4" w:space="0"/>
              <w:right w:val="single" w:color="auto" w:sz="4" w:space="0"/>
            </w:tcBorders>
            <w:vAlign w:val="center"/>
          </w:tcPr>
          <w:p w14:paraId="21086766">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668" w:type="dxa"/>
            <w:tcBorders>
              <w:top w:val="single" w:color="auto" w:sz="4" w:space="0"/>
              <w:left w:val="single" w:color="auto" w:sz="4" w:space="0"/>
              <w:bottom w:val="single" w:color="auto" w:sz="4" w:space="0"/>
              <w:right w:val="single" w:color="auto" w:sz="4" w:space="0"/>
            </w:tcBorders>
            <w:vAlign w:val="center"/>
          </w:tcPr>
          <w:p w14:paraId="6D074AB3">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7" w:type="dxa"/>
            <w:tcBorders>
              <w:top w:val="single" w:color="auto" w:sz="4" w:space="0"/>
              <w:left w:val="single" w:color="auto" w:sz="4" w:space="0"/>
              <w:bottom w:val="single" w:color="auto" w:sz="4" w:space="0"/>
              <w:right w:val="single" w:color="auto" w:sz="4" w:space="0"/>
            </w:tcBorders>
            <w:vAlign w:val="center"/>
          </w:tcPr>
          <w:p w14:paraId="6F7FC578">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单价</w:t>
            </w:r>
          </w:p>
          <w:p w14:paraId="0408066B">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9" w:type="dxa"/>
            <w:tcBorders>
              <w:top w:val="single" w:color="auto" w:sz="4" w:space="0"/>
              <w:left w:val="single" w:color="auto" w:sz="4" w:space="0"/>
              <w:bottom w:val="single" w:color="auto" w:sz="4" w:space="0"/>
              <w:right w:val="single" w:color="auto" w:sz="4" w:space="0"/>
            </w:tcBorders>
            <w:vAlign w:val="center"/>
          </w:tcPr>
          <w:p w14:paraId="2C325C0A">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合计（元）</w:t>
            </w:r>
          </w:p>
        </w:tc>
      </w:tr>
      <w:tr w14:paraId="1C5F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476C077">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33" w:type="dxa"/>
            <w:tcBorders>
              <w:top w:val="single" w:color="auto" w:sz="4" w:space="0"/>
              <w:left w:val="single" w:color="auto" w:sz="4" w:space="0"/>
              <w:bottom w:val="single" w:color="auto" w:sz="4" w:space="0"/>
              <w:right w:val="single" w:color="auto" w:sz="4" w:space="0"/>
            </w:tcBorders>
            <w:vAlign w:val="center"/>
          </w:tcPr>
          <w:p w14:paraId="6E02F340">
            <w:pPr>
              <w:snapToGrid w:val="0"/>
              <w:spacing w:before="120" w:line="360" w:lineRule="auto"/>
              <w:ind w:firstLine="420"/>
              <w:jc w:val="center"/>
              <w:rPr>
                <w:rFonts w:ascii="宋体" w:hAnsi="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5130491B">
            <w:pPr>
              <w:snapToGrid w:val="0"/>
              <w:spacing w:before="120" w:line="360" w:lineRule="auto"/>
              <w:ind w:firstLine="420"/>
              <w:jc w:val="center"/>
              <w:rPr>
                <w:rFonts w:ascii="宋体" w:hAnsi="宋体"/>
                <w:color w:val="auto"/>
                <w:szCs w:val="21"/>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14:paraId="5F681B88">
            <w:pPr>
              <w:snapToGrid w:val="0"/>
              <w:spacing w:before="120" w:line="360" w:lineRule="auto"/>
              <w:ind w:firstLine="420"/>
              <w:jc w:val="center"/>
              <w:rPr>
                <w:rFonts w:ascii="宋体" w:hAnsi="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1862AAC1">
            <w:pPr>
              <w:snapToGrid w:val="0"/>
              <w:spacing w:before="120" w:line="360" w:lineRule="auto"/>
              <w:ind w:firstLine="420"/>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tcPr>
          <w:p w14:paraId="5B8D57B9">
            <w:pPr>
              <w:snapToGrid w:val="0"/>
              <w:spacing w:before="120" w:line="360" w:lineRule="auto"/>
              <w:ind w:firstLine="420"/>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tcPr>
          <w:p w14:paraId="44FE69B7">
            <w:pPr>
              <w:snapToGrid w:val="0"/>
              <w:spacing w:before="120" w:line="360" w:lineRule="auto"/>
              <w:ind w:firstLine="420"/>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14:paraId="4826C2F5">
            <w:pPr>
              <w:snapToGrid w:val="0"/>
              <w:spacing w:before="120" w:line="360" w:lineRule="auto"/>
              <w:ind w:firstLine="420"/>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76903F36">
            <w:pPr>
              <w:snapToGrid w:val="0"/>
              <w:spacing w:before="120" w:line="360" w:lineRule="auto"/>
              <w:ind w:firstLine="420"/>
              <w:jc w:val="center"/>
              <w:rPr>
                <w:rFonts w:ascii="宋体" w:hAnsi="宋体"/>
                <w:color w:val="auto"/>
                <w:szCs w:val="21"/>
                <w:highlight w:val="none"/>
              </w:rPr>
            </w:pPr>
          </w:p>
        </w:tc>
      </w:tr>
      <w:tr w14:paraId="3735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F658448">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33" w:type="dxa"/>
            <w:tcBorders>
              <w:top w:val="single" w:color="auto" w:sz="4" w:space="0"/>
              <w:left w:val="single" w:color="auto" w:sz="4" w:space="0"/>
              <w:bottom w:val="single" w:color="auto" w:sz="4" w:space="0"/>
              <w:right w:val="single" w:color="auto" w:sz="4" w:space="0"/>
            </w:tcBorders>
            <w:vAlign w:val="center"/>
          </w:tcPr>
          <w:p w14:paraId="01261FB3">
            <w:pPr>
              <w:snapToGrid w:val="0"/>
              <w:spacing w:before="120" w:line="360" w:lineRule="auto"/>
              <w:ind w:firstLine="420"/>
              <w:jc w:val="center"/>
              <w:rPr>
                <w:rFonts w:ascii="宋体" w:hAnsi="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7EFEF534">
            <w:pPr>
              <w:snapToGrid w:val="0"/>
              <w:spacing w:before="120" w:line="360" w:lineRule="auto"/>
              <w:ind w:firstLine="420"/>
              <w:jc w:val="center"/>
              <w:rPr>
                <w:rFonts w:ascii="宋体" w:hAnsi="宋体"/>
                <w:color w:val="auto"/>
                <w:szCs w:val="21"/>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14:paraId="6D0CDE45">
            <w:pPr>
              <w:snapToGrid w:val="0"/>
              <w:spacing w:before="120" w:line="360" w:lineRule="auto"/>
              <w:ind w:firstLine="420"/>
              <w:jc w:val="center"/>
              <w:rPr>
                <w:rFonts w:ascii="宋体" w:hAnsi="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1FEAE17C">
            <w:pPr>
              <w:snapToGrid w:val="0"/>
              <w:spacing w:before="120" w:line="360" w:lineRule="auto"/>
              <w:ind w:firstLine="420"/>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tcPr>
          <w:p w14:paraId="741FF229">
            <w:pPr>
              <w:snapToGrid w:val="0"/>
              <w:spacing w:before="120" w:line="360" w:lineRule="auto"/>
              <w:ind w:firstLine="420"/>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tcPr>
          <w:p w14:paraId="6179A0E0">
            <w:pPr>
              <w:snapToGrid w:val="0"/>
              <w:spacing w:before="120" w:line="360" w:lineRule="auto"/>
              <w:ind w:firstLine="420"/>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14:paraId="043A7F3B">
            <w:pPr>
              <w:snapToGrid w:val="0"/>
              <w:spacing w:before="120" w:line="360" w:lineRule="auto"/>
              <w:ind w:firstLine="420"/>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7995FB5F">
            <w:pPr>
              <w:snapToGrid w:val="0"/>
              <w:spacing w:before="120" w:line="360" w:lineRule="auto"/>
              <w:ind w:firstLine="420"/>
              <w:jc w:val="center"/>
              <w:rPr>
                <w:rFonts w:ascii="宋体" w:hAnsi="宋体"/>
                <w:color w:val="auto"/>
                <w:szCs w:val="21"/>
                <w:highlight w:val="none"/>
              </w:rPr>
            </w:pPr>
          </w:p>
        </w:tc>
      </w:tr>
      <w:tr w14:paraId="106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1263FC6">
            <w:pPr>
              <w:snapToGrid w:val="0"/>
              <w:spacing w:before="120"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33" w:type="dxa"/>
            <w:tcBorders>
              <w:top w:val="single" w:color="auto" w:sz="4" w:space="0"/>
              <w:left w:val="single" w:color="auto" w:sz="4" w:space="0"/>
              <w:bottom w:val="single" w:color="auto" w:sz="4" w:space="0"/>
              <w:right w:val="single" w:color="auto" w:sz="4" w:space="0"/>
            </w:tcBorders>
            <w:vAlign w:val="center"/>
          </w:tcPr>
          <w:p w14:paraId="0C3AFE21">
            <w:pPr>
              <w:snapToGrid w:val="0"/>
              <w:spacing w:before="120" w:line="360" w:lineRule="auto"/>
              <w:ind w:firstLine="420"/>
              <w:jc w:val="center"/>
              <w:rPr>
                <w:rFonts w:ascii="宋体" w:hAnsi="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22D8C933">
            <w:pPr>
              <w:snapToGrid w:val="0"/>
              <w:spacing w:before="120" w:line="360" w:lineRule="auto"/>
              <w:ind w:firstLine="420"/>
              <w:jc w:val="center"/>
              <w:rPr>
                <w:rFonts w:ascii="宋体" w:hAnsi="宋体"/>
                <w:color w:val="auto"/>
                <w:szCs w:val="21"/>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14:paraId="16F5407B">
            <w:pPr>
              <w:snapToGrid w:val="0"/>
              <w:spacing w:before="120" w:line="360" w:lineRule="auto"/>
              <w:ind w:firstLine="420"/>
              <w:jc w:val="center"/>
              <w:rPr>
                <w:rFonts w:ascii="宋体" w:hAnsi="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69CBA5A4">
            <w:pPr>
              <w:snapToGrid w:val="0"/>
              <w:spacing w:before="120" w:line="360" w:lineRule="auto"/>
              <w:ind w:firstLine="420"/>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tcPr>
          <w:p w14:paraId="2780CAD8">
            <w:pPr>
              <w:snapToGrid w:val="0"/>
              <w:spacing w:before="120" w:line="360" w:lineRule="auto"/>
              <w:ind w:firstLine="420"/>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tcPr>
          <w:p w14:paraId="08EEDE9C">
            <w:pPr>
              <w:snapToGrid w:val="0"/>
              <w:spacing w:before="120" w:line="360" w:lineRule="auto"/>
              <w:ind w:firstLine="420"/>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14:paraId="1827D5B7">
            <w:pPr>
              <w:snapToGrid w:val="0"/>
              <w:spacing w:before="120" w:line="360" w:lineRule="auto"/>
              <w:ind w:firstLine="420"/>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49B82DF2">
            <w:pPr>
              <w:snapToGrid w:val="0"/>
              <w:spacing w:before="120" w:line="360" w:lineRule="auto"/>
              <w:ind w:firstLine="420"/>
              <w:jc w:val="center"/>
              <w:rPr>
                <w:rFonts w:ascii="宋体" w:hAnsi="宋体"/>
                <w:color w:val="auto"/>
                <w:szCs w:val="21"/>
                <w:highlight w:val="none"/>
              </w:rPr>
            </w:pPr>
          </w:p>
        </w:tc>
      </w:tr>
      <w:tr w14:paraId="5737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tcBorders>
              <w:top w:val="single" w:color="auto" w:sz="4" w:space="0"/>
              <w:left w:val="single" w:color="auto" w:sz="4" w:space="0"/>
              <w:bottom w:val="single" w:color="auto" w:sz="4" w:space="0"/>
              <w:right w:val="single" w:color="auto" w:sz="4" w:space="0"/>
            </w:tcBorders>
            <w:vAlign w:val="center"/>
          </w:tcPr>
          <w:p w14:paraId="1B5461CB">
            <w:pPr>
              <w:snapToGrid w:val="0"/>
              <w:spacing w:before="120" w:line="360" w:lineRule="auto"/>
              <w:ind w:firstLine="420"/>
              <w:rPr>
                <w:rFonts w:ascii="宋体" w:hAnsi="宋体"/>
                <w:color w:val="auto"/>
                <w:szCs w:val="21"/>
                <w:highlight w:val="none"/>
              </w:rPr>
            </w:pPr>
            <w:r>
              <w:rPr>
                <w:rFonts w:hint="eastAsia" w:ascii="宋体" w:hAnsi="宋体"/>
                <w:color w:val="auto"/>
                <w:szCs w:val="21"/>
                <w:highlight w:val="none"/>
              </w:rPr>
              <w:t xml:space="preserve">人民币合计金额（大写）                          （小写）                 </w:t>
            </w:r>
          </w:p>
        </w:tc>
      </w:tr>
    </w:tbl>
    <w:p w14:paraId="0221D181">
      <w:pPr>
        <w:snapToGrid w:val="0"/>
        <w:spacing w:before="120" w:line="400" w:lineRule="exact"/>
        <w:ind w:right="420" w:firstLine="420" w:firstLineChars="200"/>
        <w:rPr>
          <w:rFonts w:ascii="宋体" w:hAnsi="宋体"/>
          <w:color w:val="auto"/>
          <w:szCs w:val="21"/>
          <w:highlight w:val="none"/>
        </w:rPr>
      </w:pPr>
      <w:r>
        <w:rPr>
          <w:rFonts w:hint="eastAsia" w:ascii="宋体" w:hAnsi="宋体"/>
          <w:color w:val="auto"/>
          <w:szCs w:val="21"/>
          <w:highlight w:val="none"/>
        </w:rPr>
        <w:t>2.合同合计金额包括货物价款，备件、专用工具、安装、调试、检验、技术培训及技术资料和包装、运输、税金等全部费用。</w:t>
      </w:r>
    </w:p>
    <w:p w14:paraId="60C72B9F">
      <w:pPr>
        <w:snapToGrid w:val="0"/>
        <w:spacing w:before="120"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质量要求</w:t>
      </w:r>
    </w:p>
    <w:p w14:paraId="14891408">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1.乙方所提供的产品名称、商标品牌、生产厂家、规格型号、技术参数等质量必须与采购文件规定及响应文件承诺相一致。乙方提供的节能和环保产品必须是列入政府采购品目清单的产品。</w:t>
      </w:r>
    </w:p>
    <w:p w14:paraId="37E5B0DF">
      <w:pPr>
        <w:snapToGrid w:val="0"/>
        <w:spacing w:before="120"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2.乙方所提供的货物必须是全新、未使用的原装产品，且在正常安装、使用和保养条件下，其使用寿命期内各项指标均达到采购文件规定或者响应文件承诺的质量要求。</w:t>
      </w:r>
    </w:p>
    <w:p w14:paraId="353F7765">
      <w:pPr>
        <w:snapToGrid w:val="0"/>
        <w:spacing w:before="120"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第三条　权利保证</w:t>
      </w:r>
    </w:p>
    <w:p w14:paraId="7845A23B">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0E77ADE4">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2.乙方应按采购文件规定或者响应文件承诺的时间向甲方提供使用货物的有关技术资料。</w:t>
      </w:r>
    </w:p>
    <w:p w14:paraId="642640F9">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194FCAD">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2646F277">
      <w:pPr>
        <w:snapToGrid w:val="0"/>
        <w:spacing w:before="12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　包装和运输</w:t>
      </w:r>
    </w:p>
    <w:p w14:paraId="4E7ADEB4">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1.乙方提供的货物均应按采购文件规定或者响应文件承诺的要求的包装材料、包装标准、包装方式进行包装，每一包装单元内应附详细的装箱单和质量合格证。</w:t>
      </w:r>
    </w:p>
    <w:p w14:paraId="41F15234">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w:t>
      </w:r>
    </w:p>
    <w:p w14:paraId="6F8B7D4C">
      <w:pPr>
        <w:snapToGrid w:val="0"/>
        <w:spacing w:before="120"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w:t>
      </w:r>
    </w:p>
    <w:p w14:paraId="2C6E2A47">
      <w:pPr>
        <w:snapToGrid w:val="0"/>
        <w:spacing w:before="120"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第五条　交付和验收</w:t>
      </w:r>
    </w:p>
    <w:p w14:paraId="6A494C07">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1.交付时间：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B02E0D">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2.乙方提供不符合采购文件规定或者响应文件承诺的和本合同规定的货物，甲方有权拒绝接受。</w:t>
      </w:r>
    </w:p>
    <w:p w14:paraId="47DF7BC7">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0A6426B1">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4.甲方应当在到货（安装、调试完）后七个工作日内进行验收，逾期不验收的，乙方可视同验收合格。验收合格后由甲乙双方签署货物验收单并加盖采购人公章，甲乙双方各执一份。（提醒：验收方式与采购文件约定不一致，请明确是哪一种）</w:t>
      </w:r>
    </w:p>
    <w:p w14:paraId="69A4948D">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5D9E4C5">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w:t>
      </w:r>
    </w:p>
    <w:p w14:paraId="48ECAF7F">
      <w:pPr>
        <w:snapToGrid w:val="0"/>
        <w:spacing w:before="12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第六条　安装和培训</w:t>
      </w:r>
    </w:p>
    <w:p w14:paraId="7E951F06">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1.甲方应提供必要安装条件（如场地、电源、水源等）。</w:t>
      </w:r>
    </w:p>
    <w:p w14:paraId="22653600">
      <w:pPr>
        <w:snapToGrid w:val="0"/>
        <w:spacing w:before="120"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2.乙方响应文件承诺负责甲方有关人员的培训。培训时间、地点：</w:t>
      </w:r>
      <w:r>
        <w:rPr>
          <w:rFonts w:hint="eastAsia" w:ascii="宋体" w:hAnsi="宋体"/>
          <w:color w:val="auto"/>
          <w:szCs w:val="21"/>
          <w:highlight w:val="none"/>
          <w:u w:val="single"/>
        </w:rPr>
        <w:t xml:space="preserve">                   。</w:t>
      </w:r>
    </w:p>
    <w:p w14:paraId="7B80523D">
      <w:pPr>
        <w:snapToGrid w:val="0"/>
        <w:spacing w:before="12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第七条  售后服务、质保期</w:t>
      </w:r>
    </w:p>
    <w:p w14:paraId="7FFE1C54">
      <w:pPr>
        <w:snapToGrid w:val="0"/>
        <w:spacing w:before="120"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1.乙方应按照国家有关法律法规和“三包”规定以及本合同所附的《售后服务承诺》，为甲方提供售后服务。</w:t>
      </w:r>
    </w:p>
    <w:p w14:paraId="29DFC072">
      <w:pPr>
        <w:snapToGrid w:val="0"/>
        <w:spacing w:before="120"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2.乙方提供的服务承诺和售后服务及保修期责任等其它具体约定事项。（见合同附件）</w:t>
      </w:r>
    </w:p>
    <w:p w14:paraId="194F3A7F">
      <w:pPr>
        <w:snapToGrid w:val="0"/>
        <w:spacing w:before="12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第八条　付款方式</w:t>
      </w:r>
    </w:p>
    <w:p w14:paraId="44819399">
      <w:pPr>
        <w:snapToGrid w:val="0"/>
        <w:spacing w:before="120" w:line="400" w:lineRule="exact"/>
        <w:ind w:firstLine="422" w:firstLineChars="200"/>
        <w:rPr>
          <w:rFonts w:ascii="宋体" w:hAnsi="宋体"/>
          <w:color w:val="auto"/>
          <w:szCs w:val="21"/>
          <w:highlight w:val="none"/>
        </w:rPr>
      </w:pPr>
      <w:r>
        <w:rPr>
          <w:rFonts w:hint="eastAsia" w:ascii="宋体" w:hAnsi="宋体"/>
          <w:b/>
          <w:color w:val="auto"/>
          <w:szCs w:val="21"/>
          <w:highlight w:val="none"/>
        </w:rPr>
        <w:t>_________</w:t>
      </w:r>
    </w:p>
    <w:p w14:paraId="6F4DF1EE">
      <w:pPr>
        <w:snapToGrid w:val="0"/>
        <w:spacing w:before="120" w:line="400" w:lineRule="exact"/>
        <w:ind w:left="-61" w:leftChars="-29" w:firstLine="517" w:firstLineChars="245"/>
        <w:rPr>
          <w:rFonts w:ascii="宋体" w:hAnsi="宋体"/>
          <w:b/>
          <w:color w:val="auto"/>
          <w:szCs w:val="21"/>
          <w:highlight w:val="none"/>
        </w:rPr>
      </w:pPr>
      <w:r>
        <w:rPr>
          <w:rFonts w:hint="eastAsia" w:ascii="宋体" w:hAnsi="宋体"/>
          <w:b/>
          <w:color w:val="auto"/>
          <w:szCs w:val="21"/>
          <w:highlight w:val="none"/>
        </w:rPr>
        <w:t>第九条　履约保证金</w:t>
      </w:r>
    </w:p>
    <w:p w14:paraId="74687ACA">
      <w:pPr>
        <w:autoSpaceDE w:val="0"/>
        <w:autoSpaceDN w:val="0"/>
        <w:snapToGrid w:val="0"/>
        <w:spacing w:before="120" w:line="40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履约保证金金额：合同总价的2%。</w:t>
      </w:r>
    </w:p>
    <w:p w14:paraId="21D8277A">
      <w:pPr>
        <w:tabs>
          <w:tab w:val="center" w:pos="4153"/>
          <w:tab w:val="right" w:pos="8306"/>
        </w:tabs>
        <w:snapToGrid w:val="0"/>
        <w:spacing w:line="400" w:lineRule="exact"/>
        <w:ind w:firstLine="424" w:firstLineChars="202"/>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履约保证金缴纳形式：乙方可以选择电汇、转账、支票、汇票、本票、保函等形式缴纳或提交；采用保函形式缴纳的，甲方在保证期限届满后及时对收取的保证金进行核实和结算。</w:t>
      </w:r>
    </w:p>
    <w:p w14:paraId="57B0F2BC">
      <w:pPr>
        <w:pStyle w:val="9"/>
        <w:spacing w:before="165" w:line="400" w:lineRule="exact"/>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乙方在签订合同之前，把履约保证金足额交到甲方指定账户，否则不予签订合同。</w:t>
      </w:r>
    </w:p>
    <w:p w14:paraId="1AD3611D">
      <w:pPr>
        <w:pStyle w:val="9"/>
        <w:spacing w:before="165" w:line="400" w:lineRule="exact"/>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成交人与采购人签订采购合同前，成交人必须按采购文件约定的金额向采购人提交履约保证金，成交人若不能完全履行合同，履约保证金不予退还；成交人若完全履行合同，货物验收合格并履行完质保服务后，成交人凭提供《广西壮族自治区政府采购项目合同验收书》及《政府采购项目履约保证金退付意见书》到采购人财务部门办理无息退还手续。</w:t>
      </w:r>
    </w:p>
    <w:p w14:paraId="333ECFE7">
      <w:pPr>
        <w:snapToGrid w:val="0"/>
        <w:spacing w:before="120" w:line="400" w:lineRule="exact"/>
        <w:ind w:left="-61" w:firstLine="422"/>
        <w:rPr>
          <w:rFonts w:ascii="宋体" w:hAnsi="宋体"/>
          <w:b/>
          <w:color w:val="auto"/>
          <w:szCs w:val="21"/>
          <w:highlight w:val="none"/>
        </w:rPr>
      </w:pPr>
      <w:r>
        <w:rPr>
          <w:rFonts w:hint="eastAsia" w:ascii="宋体" w:hAnsi="宋体"/>
          <w:b/>
          <w:color w:val="auto"/>
          <w:szCs w:val="21"/>
          <w:highlight w:val="none"/>
        </w:rPr>
        <w:t>第十条  税费</w:t>
      </w:r>
    </w:p>
    <w:p w14:paraId="20B95D1A">
      <w:pPr>
        <w:snapToGrid w:val="0"/>
        <w:spacing w:before="120" w:line="400" w:lineRule="exact"/>
        <w:ind w:left="-61" w:firstLine="420"/>
        <w:rPr>
          <w:rFonts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7B481083">
      <w:pPr>
        <w:snapToGrid w:val="0"/>
        <w:spacing w:before="120" w:line="400" w:lineRule="exact"/>
        <w:ind w:left="-61" w:firstLine="422"/>
        <w:rPr>
          <w:rFonts w:ascii="宋体" w:hAnsi="宋体"/>
          <w:color w:val="auto"/>
          <w:szCs w:val="21"/>
          <w:highlight w:val="none"/>
        </w:rPr>
      </w:pPr>
      <w:r>
        <w:rPr>
          <w:rFonts w:hint="eastAsia" w:ascii="宋体" w:hAnsi="宋体"/>
          <w:b/>
          <w:color w:val="auto"/>
          <w:szCs w:val="21"/>
          <w:highlight w:val="none"/>
        </w:rPr>
        <w:t>第十一条  质量保证及售后服务</w:t>
      </w:r>
    </w:p>
    <w:p w14:paraId="7E99024B">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color w:val="auto"/>
          <w:sz w:val="21"/>
          <w:szCs w:val="21"/>
          <w:highlight w:val="none"/>
        </w:rPr>
        <w:t>乙方应按采购文件、响应文件规定的产品名称、商标品牌、生产厂家、规格型号、技术参数、质量标准向甲方提供未经使用的全新产品。不符合要求的，根据实际情况，经双方协商，可按以下办法处理：</w:t>
      </w:r>
    </w:p>
    <w:p w14:paraId="73AC0A5A">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⑴更换：由乙方承担所发生的全部费用。</w:t>
      </w:r>
    </w:p>
    <w:p w14:paraId="059D1E05">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⑵贬值处理：由甲乙双方合议定价。</w:t>
      </w:r>
    </w:p>
    <w:p w14:paraId="65F350C1">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⑶退货处理：乙方应退还甲方支付的合同款，同时应承担该货物的直接费用（运输、保险、检验、</w:t>
      </w:r>
    </w:p>
    <w:p w14:paraId="64DF70C2">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货款利息及银行手续费等）。</w:t>
      </w:r>
    </w:p>
    <w:p w14:paraId="6705FC7A">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2.如在使用过程中发生质量问题，乙方在接到甲方通知后到达甲方现场处理的时间（</w:t>
      </w:r>
      <w:r>
        <w:rPr>
          <w:rFonts w:hint="eastAsia" w:asciiTheme="minorEastAsia" w:hAnsiTheme="minorEastAsia" w:eastAsiaTheme="minorEastAsia" w:cstheme="minorEastAsia"/>
          <w:color w:val="auto"/>
          <w:sz w:val="21"/>
          <w:szCs w:val="21"/>
          <w:highlight w:val="none"/>
          <w:u w:val="single"/>
        </w:rPr>
        <w:t>按响应文件承诺的数据填写</w:t>
      </w:r>
      <w:r>
        <w:rPr>
          <w:rFonts w:hint="eastAsia" w:asciiTheme="minorEastAsia" w:hAnsiTheme="minorEastAsia" w:eastAsiaTheme="minorEastAsia" w:cstheme="minorEastAsia"/>
          <w:color w:val="auto"/>
          <w:sz w:val="21"/>
          <w:szCs w:val="21"/>
          <w:highlight w:val="none"/>
        </w:rPr>
        <w:t>）小时内。</w:t>
      </w:r>
    </w:p>
    <w:p w14:paraId="6A3AC321">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3.在质保期内，乙方应对货物出现的质量及安全问题负责处理解决并承担一切费用。</w:t>
      </w:r>
    </w:p>
    <w:p w14:paraId="79067E47">
      <w:pPr>
        <w:snapToGrid w:val="0"/>
        <w:spacing w:before="120"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4.上述的货物质保期为</w:t>
      </w:r>
      <w:r>
        <w:rPr>
          <w:rFonts w:hint="eastAsia" w:asciiTheme="minorEastAsia" w:hAnsiTheme="minorEastAsia" w:eastAsiaTheme="minorEastAsia" w:cstheme="minorEastAsia"/>
          <w:color w:val="auto"/>
          <w:szCs w:val="21"/>
          <w:highlight w:val="none"/>
          <w:u w:val="single"/>
        </w:rPr>
        <w:t xml:space="preserve">  1  </w:t>
      </w:r>
      <w:r>
        <w:rPr>
          <w:rFonts w:hint="eastAsia" w:asciiTheme="minorEastAsia" w:hAnsiTheme="minorEastAsia" w:eastAsiaTheme="minorEastAsia" w:cstheme="minorEastAsia"/>
          <w:color w:val="auto"/>
          <w:szCs w:val="21"/>
          <w:highlight w:val="none"/>
        </w:rPr>
        <w:t>年，因人为因素出现的故障不在免费保修范围内。超过保修期的机器设备，终生维修，维修时只收部件成本费。</w:t>
      </w:r>
    </w:p>
    <w:p w14:paraId="5226AF26">
      <w:pPr>
        <w:snapToGrid w:val="0"/>
        <w:spacing w:before="120" w:line="400" w:lineRule="exact"/>
        <w:ind w:left="-61"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调试和验收（本条款适用于甲方自行验收，委托第三方验收的另行规定）</w:t>
      </w:r>
    </w:p>
    <w:p w14:paraId="18977DF2">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货物到达现场后，乙方应在采购人的工作人员在场情况下当面开箱，共同清点、检查外观，作出开箱记录，双方签字确认。乙方应保证货物到达采购人所在地完好无损，如有缺漏、损坏，由成交人负责调换、补齐或赔偿。验收过程中所产生的一切费用均由乙方承担。</w:t>
      </w:r>
    </w:p>
    <w:p w14:paraId="3563F9F4">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2.项目验收过程中，采购人可邀请第三方参与验收，所产生的费用由乙方全额支付。</w:t>
      </w:r>
    </w:p>
    <w:p w14:paraId="6318AD9B">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3.乙方提供的货物必须是全新、完好、无破损，提供完备的技术或服务资料、装箱单和合格证等。   </w:t>
      </w:r>
    </w:p>
    <w:p w14:paraId="1BE6E464">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4.乙方交货前应对产品作出全面检查和对验收文件进行整理，并列出清单，作为甲方收货验收和使用的技术条件依据，检验的结果应随货物交甲方。</w:t>
      </w:r>
    </w:p>
    <w:p w14:paraId="477FCB88">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5.对技术复杂的货物，甲方应请国家认可的专业检测机构参与初步验收及最终验收，并由其出具质量检测报告，检测费由乙方支付。</w:t>
      </w:r>
    </w:p>
    <w:p w14:paraId="530E85F5">
      <w:pPr>
        <w:snapToGrid w:val="0"/>
        <w:spacing w:before="120" w:line="400" w:lineRule="exact"/>
        <w:ind w:left="-61"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6.验收时乙方必须在现场，验收完毕后作出验收结果报告；验收费用按采购文件约定承担方负责。</w:t>
      </w:r>
    </w:p>
    <w:p w14:paraId="708A6D6C">
      <w:pPr>
        <w:pStyle w:val="14"/>
        <w:spacing w:line="400" w:lineRule="exact"/>
        <w:ind w:firstLine="42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第十三条  货物包装、发运及运输</w:t>
      </w:r>
    </w:p>
    <w:p w14:paraId="074C7AE5">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1.乙方应在货物发运前对其进行满足运输距离、防潮、防震、防锈和防破损装卸等要求包装，以保证货物安全运达甲方指定地点。</w:t>
      </w:r>
    </w:p>
    <w:p w14:paraId="5CA6C2FC">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使用说明书（货物属于进口产品的，供货时应同时附上中文使用说明书）、质量检验证明书、随配附件和工具以及清单一并附于货物内。</w:t>
      </w:r>
    </w:p>
    <w:p w14:paraId="5D188F97">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3.乙方在货物发运手续办理完毕后二十四小时内或者货到甲方四十八小时前通知甲方，以准备接货。</w:t>
      </w:r>
    </w:p>
    <w:p w14:paraId="0CC10D29">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4.货物在交付甲方前发生的风险均由乙方负责。</w:t>
      </w:r>
    </w:p>
    <w:p w14:paraId="64648264">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5.货物在规定的交付期限内由乙方送达甲方指定的地点视为交付，乙方同时需通知甲方货物已送达。</w:t>
      </w:r>
    </w:p>
    <w:p w14:paraId="30AFB092">
      <w:pPr>
        <w:snapToGrid w:val="0"/>
        <w:spacing w:before="120" w:line="400" w:lineRule="exact"/>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第十四条　违约责任</w:t>
      </w:r>
    </w:p>
    <w:p w14:paraId="2B50971D">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1A3A132F">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2.乙方提供的货物如侵犯了第三方合法权益而引发的任何纠纷或者诉讼，均由乙方负责交涉并承担全部责任。</w:t>
      </w:r>
    </w:p>
    <w:p w14:paraId="4521E4AC">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3.因包装、运输引起的货物损坏，按质量不合格处罚。</w:t>
      </w:r>
    </w:p>
    <w:p w14:paraId="7127A781">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4.甲方无故延期接收货物、乙方逾期交货的，每天向对方偿付违约货款额3‰违约金，但违约金累计不得超过违约货款额5%，超过</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319313F2">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5.乙方未按本合同和响应文件中规定的服务承诺提供售后服务的，乙方应按本合同合计金额 5%向甲方支付违约金。</w:t>
      </w:r>
    </w:p>
    <w:p w14:paraId="7D61F6EE">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6.乙方提供的货物在质量保证期内，因设计、工艺或者材料的缺陷和其它质量原因造成的问题，由乙方负责。</w:t>
      </w:r>
    </w:p>
    <w:p w14:paraId="68C071FD">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7.甲乙双方有其它违约行为的，由违约方向对方支付违约内容涉及货款额的5%，违约内容涉及货款额的5%不足以赔偿经济损失的按实际赔偿。</w:t>
      </w:r>
    </w:p>
    <w:p w14:paraId="6E4B8B2B">
      <w:pPr>
        <w:pStyle w:val="14"/>
        <w:spacing w:line="400" w:lineRule="exact"/>
        <w:ind w:firstLine="42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第十五条  不可抗力事件处理</w:t>
      </w:r>
    </w:p>
    <w:p w14:paraId="17367067">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1.在合同有效期内，任何一方因不可抗力事件导致不能履行合同，则合同履行期可延长，其延长期与不可抗力影响期相同。</w:t>
      </w:r>
    </w:p>
    <w:p w14:paraId="1381C7CD">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2.不可抗力事件发生后，应立即通知对方，并寄送有关权威机构出具的证明。</w:t>
      </w:r>
    </w:p>
    <w:p w14:paraId="2FA8D6F9">
      <w:pPr>
        <w:snapToGrid w:val="0"/>
        <w:spacing w:before="120"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3.不可抗力事件延续一百二十天以上，双方应通过友好协商，确定是否继续履行合同。</w:t>
      </w:r>
    </w:p>
    <w:p w14:paraId="4C1277BF">
      <w:pPr>
        <w:snapToGrid w:val="0"/>
        <w:spacing w:before="120"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合同争议解决</w:t>
      </w:r>
    </w:p>
    <w:p w14:paraId="14F5E681">
      <w:pPr>
        <w:snapToGrid w:val="0"/>
        <w:spacing w:before="120"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因货物质量问题发生争议的，应邀请国家认可的质量检测机构对货物质量进行鉴定，鉴定费用由乙方先行支付。货物符合标准的，鉴定费由甲方承担；货物不符合标准的，鉴定费由乙方承担。</w:t>
      </w:r>
    </w:p>
    <w:p w14:paraId="47123D99">
      <w:pPr>
        <w:snapToGrid w:val="0"/>
        <w:spacing w:before="120"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因履行本合同引起的或者与本合同有关的争议，甲乙双方应首先通过友好协商解决，如果协商不能解决，可向甲方所在地有管辖权的人民法院提起诉讼。责任方应承担对方的律师费、差旅费、调查费、诉讼保全保险费等费用。</w:t>
      </w:r>
    </w:p>
    <w:p w14:paraId="56C97FF1">
      <w:pPr>
        <w:snapToGrid w:val="0"/>
        <w:spacing w:before="120" w:line="400" w:lineRule="exact"/>
        <w:ind w:left="-61"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3.诉讼期间，本合同继续履行。</w:t>
      </w:r>
    </w:p>
    <w:p w14:paraId="2E004296">
      <w:pPr>
        <w:pStyle w:val="14"/>
        <w:spacing w:line="400" w:lineRule="exact"/>
        <w:ind w:firstLine="42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第十七条  合同生效及其它</w:t>
      </w:r>
    </w:p>
    <w:p w14:paraId="3FD67D36">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合同经双方法定代表人或者委托代理人签字并加盖单位公章后生效（委托代理人签字的需后附法定代表人授权委托书，格式自拟）。</w:t>
      </w:r>
    </w:p>
    <w:p w14:paraId="7CC951E3">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2.合同执行中涉及采购资金和采购内容修改或者补充的，须经财政部门审批，并签书面补充协议报财政部门备案，方可作为主合同不可分割的一部分。</w:t>
      </w:r>
    </w:p>
    <w:p w14:paraId="2BBC42A5">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3.本合同未尽事宜，遵照《中华人民共和国民法典》有关条文执行。</w:t>
      </w:r>
    </w:p>
    <w:p w14:paraId="4554C5E0">
      <w:pPr>
        <w:snapToGrid w:val="0"/>
        <w:spacing w:before="120" w:line="400" w:lineRule="exact"/>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第十八条　合同的变更、终止与转让</w:t>
      </w:r>
    </w:p>
    <w:p w14:paraId="09162F19">
      <w:pPr>
        <w:snapToGrid w:val="0"/>
        <w:spacing w:before="120"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1.除《中华人民共和国政府采购法》第五十条规定的情形外，本合同一经签订，甲乙双方不得擅自变更、中止或者终止。</w:t>
      </w:r>
    </w:p>
    <w:p w14:paraId="7CC53A35">
      <w:pPr>
        <w:snapToGrid w:val="0"/>
        <w:spacing w:before="120" w:line="400" w:lineRule="exact"/>
        <w:ind w:left="-61"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2.乙方不得擅自转让（无进口资格的供应商委托进口货物除外）其应履行的合同义务。</w:t>
      </w:r>
    </w:p>
    <w:p w14:paraId="2812F642">
      <w:pPr>
        <w:snapToGrid w:val="0"/>
        <w:spacing w:before="120" w:line="400" w:lineRule="exact"/>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第十九条　</w:t>
      </w:r>
      <w:r>
        <w:rPr>
          <w:rFonts w:hint="eastAsia" w:asciiTheme="minorEastAsia" w:hAnsiTheme="minorEastAsia" w:eastAsiaTheme="minorEastAsia" w:cstheme="minorEastAsia"/>
          <w:color w:val="auto"/>
          <w:spacing w:val="-2"/>
          <w:kern w:val="0"/>
          <w:szCs w:val="21"/>
          <w:highlight w:val="none"/>
        </w:rPr>
        <w:t>本</w:t>
      </w:r>
      <w:r>
        <w:rPr>
          <w:rFonts w:hint="eastAsia" w:asciiTheme="minorEastAsia" w:hAnsiTheme="minorEastAsia" w:eastAsiaTheme="minorEastAsia" w:cstheme="minorEastAsia"/>
          <w:color w:val="auto"/>
          <w:kern w:val="0"/>
          <w:szCs w:val="21"/>
          <w:highlight w:val="none"/>
        </w:rPr>
        <w:t>合同书</w:t>
      </w:r>
      <w:r>
        <w:rPr>
          <w:rFonts w:hint="eastAsia" w:asciiTheme="minorEastAsia" w:hAnsiTheme="minorEastAsia" w:eastAsiaTheme="minorEastAsia" w:cstheme="minorEastAsia"/>
          <w:color w:val="auto"/>
          <w:spacing w:val="-2"/>
          <w:kern w:val="0"/>
          <w:szCs w:val="21"/>
          <w:highlight w:val="none"/>
        </w:rPr>
        <w:t>与</w:t>
      </w:r>
      <w:r>
        <w:rPr>
          <w:rFonts w:hint="eastAsia" w:asciiTheme="minorEastAsia" w:hAnsiTheme="minorEastAsia" w:eastAsiaTheme="minorEastAsia" w:cstheme="minorEastAsia"/>
          <w:color w:val="auto"/>
          <w:kern w:val="0"/>
          <w:szCs w:val="21"/>
          <w:highlight w:val="none"/>
        </w:rPr>
        <w:t>下</w:t>
      </w:r>
      <w:r>
        <w:rPr>
          <w:rFonts w:hint="eastAsia" w:asciiTheme="minorEastAsia" w:hAnsiTheme="minorEastAsia" w:eastAsiaTheme="minorEastAsia" w:cstheme="minorEastAsia"/>
          <w:color w:val="auto"/>
          <w:spacing w:val="-2"/>
          <w:kern w:val="0"/>
          <w:szCs w:val="21"/>
          <w:highlight w:val="none"/>
        </w:rPr>
        <w:t>列</w:t>
      </w:r>
      <w:r>
        <w:rPr>
          <w:rFonts w:hint="eastAsia" w:asciiTheme="minorEastAsia" w:hAnsiTheme="minorEastAsia" w:eastAsiaTheme="minorEastAsia" w:cstheme="minorEastAsia"/>
          <w:color w:val="auto"/>
          <w:kern w:val="0"/>
          <w:szCs w:val="21"/>
          <w:highlight w:val="none"/>
        </w:rPr>
        <w:t>文</w:t>
      </w:r>
      <w:r>
        <w:rPr>
          <w:rFonts w:hint="eastAsia" w:asciiTheme="minorEastAsia" w:hAnsiTheme="minorEastAsia" w:eastAsiaTheme="minorEastAsia" w:cstheme="minorEastAsia"/>
          <w:color w:val="auto"/>
          <w:spacing w:val="-2"/>
          <w:kern w:val="0"/>
          <w:szCs w:val="21"/>
          <w:highlight w:val="none"/>
        </w:rPr>
        <w:t>件一</w:t>
      </w:r>
      <w:r>
        <w:rPr>
          <w:rFonts w:hint="eastAsia" w:asciiTheme="minorEastAsia" w:hAnsiTheme="minorEastAsia" w:eastAsiaTheme="minorEastAsia" w:cstheme="minorEastAsia"/>
          <w:color w:val="auto"/>
          <w:kern w:val="0"/>
          <w:szCs w:val="21"/>
          <w:highlight w:val="none"/>
        </w:rPr>
        <w:t>起构</w:t>
      </w:r>
      <w:r>
        <w:rPr>
          <w:rFonts w:hint="eastAsia" w:asciiTheme="minorEastAsia" w:hAnsiTheme="minorEastAsia" w:eastAsiaTheme="minorEastAsia" w:cstheme="minorEastAsia"/>
          <w:color w:val="auto"/>
          <w:spacing w:val="-2"/>
          <w:kern w:val="0"/>
          <w:szCs w:val="21"/>
          <w:highlight w:val="none"/>
        </w:rPr>
        <w:t>成</w:t>
      </w:r>
      <w:r>
        <w:rPr>
          <w:rFonts w:hint="eastAsia" w:asciiTheme="minorEastAsia" w:hAnsiTheme="minorEastAsia" w:eastAsiaTheme="minorEastAsia" w:cstheme="minorEastAsia"/>
          <w:color w:val="auto"/>
          <w:kern w:val="0"/>
          <w:szCs w:val="21"/>
          <w:highlight w:val="none"/>
        </w:rPr>
        <w:t>合</w:t>
      </w:r>
      <w:r>
        <w:rPr>
          <w:rFonts w:hint="eastAsia" w:asciiTheme="minorEastAsia" w:hAnsiTheme="minorEastAsia" w:eastAsiaTheme="minorEastAsia" w:cstheme="minorEastAsia"/>
          <w:color w:val="auto"/>
          <w:spacing w:val="-2"/>
          <w:kern w:val="0"/>
          <w:szCs w:val="21"/>
          <w:highlight w:val="none"/>
        </w:rPr>
        <w:t>同</w:t>
      </w:r>
      <w:r>
        <w:rPr>
          <w:rFonts w:hint="eastAsia" w:asciiTheme="minorEastAsia" w:hAnsiTheme="minorEastAsia" w:eastAsiaTheme="minorEastAsia" w:cstheme="minorEastAsia"/>
          <w:color w:val="auto"/>
          <w:kern w:val="0"/>
          <w:szCs w:val="21"/>
          <w:highlight w:val="none"/>
        </w:rPr>
        <w:t>文</w:t>
      </w:r>
      <w:r>
        <w:rPr>
          <w:rFonts w:hint="eastAsia" w:asciiTheme="minorEastAsia" w:hAnsiTheme="minorEastAsia" w:eastAsiaTheme="minorEastAsia" w:cstheme="minorEastAsia"/>
          <w:color w:val="auto"/>
          <w:spacing w:val="-2"/>
          <w:kern w:val="0"/>
          <w:szCs w:val="21"/>
          <w:highlight w:val="none"/>
        </w:rPr>
        <w:t>件</w:t>
      </w:r>
    </w:p>
    <w:p w14:paraId="21916608">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1.成交通知书；</w:t>
      </w:r>
    </w:p>
    <w:p w14:paraId="2618376E">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2.竞标声明；</w:t>
      </w:r>
    </w:p>
    <w:p w14:paraId="158DA635">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3.商务条款偏离表和技术偏离表；</w:t>
      </w:r>
    </w:p>
    <w:p w14:paraId="24898A86">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4.采购需求；</w:t>
      </w:r>
    </w:p>
    <w:p w14:paraId="556DA1EC">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5.竞标报价表；</w:t>
      </w:r>
    </w:p>
    <w:p w14:paraId="662BF131">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6.设备性能配置清单；</w:t>
      </w:r>
    </w:p>
    <w:p w14:paraId="26DC3AE8">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p w14:paraId="628E4C7F">
      <w:pPr>
        <w:pStyle w:val="14"/>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8.其他合同文件。</w:t>
      </w:r>
    </w:p>
    <w:p w14:paraId="578D9E7F">
      <w:pPr>
        <w:pStyle w:val="14"/>
        <w:spacing w:line="400" w:lineRule="exact"/>
        <w:ind w:firstLine="42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9.上述合同文件互相补充和解释。如果合同文件之间存在矛盾或者不一致之处，以上述文件 的排列顺序在先者为准。</w:t>
      </w:r>
    </w:p>
    <w:p w14:paraId="21DA12ED">
      <w:pPr>
        <w:snapToGrid w:val="0"/>
        <w:spacing w:before="120"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第二十条　</w:t>
      </w:r>
      <w:r>
        <w:rPr>
          <w:rFonts w:hint="eastAsia" w:asciiTheme="minorEastAsia" w:hAnsiTheme="minorEastAsia" w:eastAsiaTheme="minorEastAsia" w:cstheme="minorEastAsia"/>
          <w:color w:val="auto"/>
          <w:szCs w:val="21"/>
          <w:highlight w:val="none"/>
        </w:rPr>
        <w:t>本合同一式四份，具有同等法律效力，甲方二份、乙方一份、采购代理机构一份，（可根据需要另增加）。</w:t>
      </w:r>
    </w:p>
    <w:p w14:paraId="5280D058">
      <w:pPr>
        <w:snapToGrid w:val="0"/>
        <w:spacing w:before="120" w:line="400" w:lineRule="exact"/>
        <w:ind w:firstLine="420" w:firstLineChars="200"/>
        <w:rPr>
          <w:rFonts w:asciiTheme="minorEastAsia" w:hAnsiTheme="minorEastAsia" w:eastAsiaTheme="minorEastAsia" w:cstheme="minorEastAsia"/>
          <w:color w:val="auto"/>
          <w:szCs w:val="21"/>
          <w:highlight w:val="none"/>
        </w:rPr>
      </w:pPr>
    </w:p>
    <w:tbl>
      <w:tblPr>
        <w:tblStyle w:val="2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7"/>
        <w:gridCol w:w="4519"/>
      </w:tblGrid>
      <w:tr w14:paraId="045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7" w:type="dxa"/>
            <w:tcBorders>
              <w:top w:val="single" w:color="auto" w:sz="4" w:space="0"/>
              <w:left w:val="single" w:color="auto" w:sz="4" w:space="0"/>
              <w:bottom w:val="single" w:color="auto" w:sz="4" w:space="0"/>
              <w:right w:val="single" w:color="auto" w:sz="4" w:space="0"/>
            </w:tcBorders>
            <w:vAlign w:val="center"/>
          </w:tcPr>
          <w:p w14:paraId="422E79C0">
            <w:pPr>
              <w:snapToGrid w:val="0"/>
              <w:spacing w:before="120" w:line="360" w:lineRule="auto"/>
              <w:rPr>
                <w:rFonts w:ascii="宋体" w:hAnsi="宋体"/>
                <w:color w:val="auto"/>
                <w:szCs w:val="21"/>
                <w:highlight w:val="none"/>
              </w:rPr>
            </w:pPr>
            <w:r>
              <w:rPr>
                <w:rFonts w:hint="eastAsia" w:ascii="宋体" w:hAnsi="宋体"/>
                <w:color w:val="auto"/>
                <w:szCs w:val="21"/>
                <w:highlight w:val="none"/>
              </w:rPr>
              <w:t xml:space="preserve">甲方（章）           </w:t>
            </w:r>
          </w:p>
          <w:p w14:paraId="3DDEE566">
            <w:pPr>
              <w:snapToGrid w:val="0"/>
              <w:spacing w:before="120" w:line="360" w:lineRule="auto"/>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9" w:type="dxa"/>
            <w:tcBorders>
              <w:top w:val="single" w:color="auto" w:sz="4" w:space="0"/>
              <w:left w:val="single" w:color="auto" w:sz="4" w:space="0"/>
              <w:bottom w:val="single" w:color="auto" w:sz="4" w:space="0"/>
              <w:right w:val="single" w:color="auto" w:sz="4" w:space="0"/>
            </w:tcBorders>
            <w:vAlign w:val="center"/>
          </w:tcPr>
          <w:p w14:paraId="634C25A0">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 xml:space="preserve">乙方（章）              </w:t>
            </w:r>
          </w:p>
          <w:p w14:paraId="6F799A9F">
            <w:pPr>
              <w:snapToGrid w:val="0"/>
              <w:spacing w:before="120" w:line="360" w:lineRule="auto"/>
              <w:ind w:left="-122" w:leftChars="-58" w:firstLine="18" w:firstLineChars="9"/>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431A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61CFAAB5">
            <w:pPr>
              <w:snapToGrid w:val="0"/>
              <w:spacing w:before="120" w:line="360" w:lineRule="auto"/>
              <w:rPr>
                <w:rFonts w:ascii="宋体" w:hAnsi="宋体"/>
                <w:color w:val="auto"/>
                <w:szCs w:val="21"/>
                <w:highlight w:val="none"/>
              </w:rPr>
            </w:pPr>
            <w:r>
              <w:rPr>
                <w:rFonts w:hint="eastAsia" w:ascii="宋体" w:hAnsi="宋体"/>
                <w:color w:val="auto"/>
                <w:szCs w:val="21"/>
                <w:highlight w:val="none"/>
              </w:rPr>
              <w:t>单位地址：</w:t>
            </w:r>
          </w:p>
        </w:tc>
        <w:tc>
          <w:tcPr>
            <w:tcW w:w="4519" w:type="dxa"/>
            <w:tcBorders>
              <w:top w:val="single" w:color="auto" w:sz="4" w:space="0"/>
              <w:left w:val="single" w:color="auto" w:sz="4" w:space="0"/>
              <w:bottom w:val="single" w:color="auto" w:sz="4" w:space="0"/>
              <w:right w:val="single" w:color="auto" w:sz="4" w:space="0"/>
            </w:tcBorders>
          </w:tcPr>
          <w:p w14:paraId="7495BC7C">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单位地址：</w:t>
            </w:r>
          </w:p>
        </w:tc>
      </w:tr>
      <w:tr w14:paraId="1A0E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575B0B8C">
            <w:pPr>
              <w:snapToGrid w:val="0"/>
              <w:spacing w:before="120"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9" w:type="dxa"/>
            <w:tcBorders>
              <w:top w:val="single" w:color="auto" w:sz="4" w:space="0"/>
              <w:left w:val="single" w:color="auto" w:sz="4" w:space="0"/>
              <w:bottom w:val="single" w:color="auto" w:sz="4" w:space="0"/>
              <w:right w:val="single" w:color="auto" w:sz="4" w:space="0"/>
            </w:tcBorders>
          </w:tcPr>
          <w:p w14:paraId="06A0091C">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法定代表人或者委托代理人：</w:t>
            </w:r>
          </w:p>
        </w:tc>
      </w:tr>
      <w:tr w14:paraId="27D2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5B7BE0F7">
            <w:pPr>
              <w:snapToGrid w:val="0"/>
              <w:spacing w:before="120" w:line="360" w:lineRule="auto"/>
              <w:rPr>
                <w:rFonts w:ascii="宋体" w:hAnsi="宋体"/>
                <w:color w:val="auto"/>
                <w:szCs w:val="21"/>
                <w:highlight w:val="none"/>
              </w:rPr>
            </w:pPr>
            <w:r>
              <w:rPr>
                <w:rFonts w:hint="eastAsia" w:ascii="宋体" w:hAnsi="宋体"/>
                <w:color w:val="auto"/>
                <w:szCs w:val="21"/>
                <w:highlight w:val="none"/>
              </w:rPr>
              <w:t>电话：</w:t>
            </w:r>
          </w:p>
        </w:tc>
        <w:tc>
          <w:tcPr>
            <w:tcW w:w="4519" w:type="dxa"/>
            <w:tcBorders>
              <w:top w:val="single" w:color="auto" w:sz="4" w:space="0"/>
              <w:left w:val="single" w:color="auto" w:sz="4" w:space="0"/>
              <w:bottom w:val="single" w:color="auto" w:sz="4" w:space="0"/>
              <w:right w:val="single" w:color="auto" w:sz="4" w:space="0"/>
            </w:tcBorders>
          </w:tcPr>
          <w:p w14:paraId="155BB97D">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电话：</w:t>
            </w:r>
          </w:p>
        </w:tc>
      </w:tr>
      <w:tr w14:paraId="126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5712BE31">
            <w:pPr>
              <w:snapToGrid w:val="0"/>
              <w:spacing w:before="120" w:line="360" w:lineRule="auto"/>
              <w:rPr>
                <w:rFonts w:ascii="宋体" w:hAnsi="宋体"/>
                <w:color w:val="auto"/>
                <w:szCs w:val="21"/>
                <w:highlight w:val="none"/>
              </w:rPr>
            </w:pPr>
            <w:r>
              <w:rPr>
                <w:rFonts w:hint="eastAsia" w:ascii="宋体" w:hAnsi="宋体"/>
                <w:color w:val="auto"/>
                <w:szCs w:val="21"/>
                <w:highlight w:val="none"/>
              </w:rPr>
              <w:t>电子邮箱：</w:t>
            </w:r>
          </w:p>
        </w:tc>
        <w:tc>
          <w:tcPr>
            <w:tcW w:w="4519" w:type="dxa"/>
            <w:tcBorders>
              <w:top w:val="single" w:color="auto" w:sz="4" w:space="0"/>
              <w:left w:val="single" w:color="auto" w:sz="4" w:space="0"/>
              <w:bottom w:val="single" w:color="auto" w:sz="4" w:space="0"/>
              <w:right w:val="single" w:color="auto" w:sz="4" w:space="0"/>
            </w:tcBorders>
          </w:tcPr>
          <w:p w14:paraId="640EFB4D">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电子邮箱：</w:t>
            </w:r>
          </w:p>
        </w:tc>
      </w:tr>
      <w:tr w14:paraId="3919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30E5ECEF">
            <w:pPr>
              <w:snapToGrid w:val="0"/>
              <w:spacing w:before="120" w:line="360" w:lineRule="auto"/>
              <w:rPr>
                <w:rFonts w:ascii="宋体" w:hAnsi="宋体"/>
                <w:color w:val="auto"/>
                <w:szCs w:val="21"/>
                <w:highlight w:val="none"/>
              </w:rPr>
            </w:pPr>
            <w:r>
              <w:rPr>
                <w:rFonts w:hint="eastAsia" w:ascii="宋体" w:hAnsi="宋体"/>
                <w:color w:val="auto"/>
                <w:szCs w:val="21"/>
                <w:highlight w:val="none"/>
              </w:rPr>
              <w:t>开户银行：</w:t>
            </w:r>
          </w:p>
        </w:tc>
        <w:tc>
          <w:tcPr>
            <w:tcW w:w="4519" w:type="dxa"/>
            <w:tcBorders>
              <w:top w:val="single" w:color="auto" w:sz="4" w:space="0"/>
              <w:left w:val="single" w:color="auto" w:sz="4" w:space="0"/>
              <w:bottom w:val="single" w:color="auto" w:sz="4" w:space="0"/>
              <w:right w:val="single" w:color="auto" w:sz="4" w:space="0"/>
            </w:tcBorders>
          </w:tcPr>
          <w:p w14:paraId="2992BC04">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开户银行：</w:t>
            </w:r>
          </w:p>
        </w:tc>
      </w:tr>
      <w:tr w14:paraId="0D2C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0411B910">
            <w:pPr>
              <w:snapToGrid w:val="0"/>
              <w:spacing w:before="120" w:line="360" w:lineRule="auto"/>
              <w:rPr>
                <w:rFonts w:ascii="宋体" w:hAnsi="宋体"/>
                <w:color w:val="auto"/>
                <w:szCs w:val="21"/>
                <w:highlight w:val="none"/>
              </w:rPr>
            </w:pPr>
            <w:r>
              <w:rPr>
                <w:rFonts w:hint="eastAsia" w:ascii="宋体" w:hAnsi="宋体"/>
                <w:color w:val="auto"/>
                <w:szCs w:val="21"/>
                <w:highlight w:val="none"/>
              </w:rPr>
              <w:t>账号：</w:t>
            </w:r>
          </w:p>
        </w:tc>
        <w:tc>
          <w:tcPr>
            <w:tcW w:w="4519" w:type="dxa"/>
            <w:tcBorders>
              <w:top w:val="single" w:color="auto" w:sz="4" w:space="0"/>
              <w:left w:val="single" w:color="auto" w:sz="4" w:space="0"/>
              <w:bottom w:val="single" w:color="auto" w:sz="4" w:space="0"/>
              <w:right w:val="single" w:color="auto" w:sz="4" w:space="0"/>
            </w:tcBorders>
          </w:tcPr>
          <w:p w14:paraId="62DEEA0C">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账号：</w:t>
            </w:r>
          </w:p>
        </w:tc>
      </w:tr>
      <w:tr w14:paraId="5AE4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03FB5912">
            <w:pPr>
              <w:snapToGrid w:val="0"/>
              <w:spacing w:before="120" w:line="360" w:lineRule="auto"/>
              <w:rPr>
                <w:rFonts w:ascii="宋体" w:hAnsi="宋体"/>
                <w:color w:val="auto"/>
                <w:szCs w:val="21"/>
                <w:highlight w:val="none"/>
              </w:rPr>
            </w:pPr>
            <w:r>
              <w:rPr>
                <w:rFonts w:hint="eastAsia" w:ascii="宋体" w:hAnsi="宋体"/>
                <w:color w:val="auto"/>
                <w:szCs w:val="21"/>
                <w:highlight w:val="none"/>
              </w:rPr>
              <w:t>邮政编码：</w:t>
            </w:r>
          </w:p>
        </w:tc>
        <w:tc>
          <w:tcPr>
            <w:tcW w:w="4519" w:type="dxa"/>
            <w:tcBorders>
              <w:top w:val="single" w:color="auto" w:sz="4" w:space="0"/>
              <w:left w:val="single" w:color="auto" w:sz="4" w:space="0"/>
              <w:bottom w:val="single" w:color="auto" w:sz="4" w:space="0"/>
              <w:right w:val="single" w:color="auto" w:sz="4" w:space="0"/>
            </w:tcBorders>
          </w:tcPr>
          <w:p w14:paraId="338E89C9">
            <w:pPr>
              <w:snapToGrid w:val="0"/>
              <w:spacing w:before="120" w:line="360" w:lineRule="auto"/>
              <w:ind w:left="-122" w:leftChars="-58" w:firstLine="18" w:firstLineChars="9"/>
              <w:rPr>
                <w:rFonts w:ascii="宋体" w:hAnsi="宋体"/>
                <w:color w:val="auto"/>
                <w:szCs w:val="21"/>
                <w:highlight w:val="none"/>
              </w:rPr>
            </w:pPr>
            <w:r>
              <w:rPr>
                <w:rFonts w:hint="eastAsia" w:ascii="宋体" w:hAnsi="宋体"/>
                <w:color w:val="auto"/>
                <w:szCs w:val="21"/>
                <w:highlight w:val="none"/>
              </w:rPr>
              <w:t>邮政编码：</w:t>
            </w:r>
          </w:p>
        </w:tc>
      </w:tr>
    </w:tbl>
    <w:p w14:paraId="2E90A4ED">
      <w:pPr>
        <w:snapToGrid w:val="0"/>
        <w:spacing w:before="120" w:line="400" w:lineRule="exact"/>
        <w:ind w:right="480" w:firstLine="5250" w:firstLineChars="2500"/>
        <w:rPr>
          <w:color w:val="auto"/>
          <w:highlight w:val="none"/>
        </w:rPr>
      </w:pPr>
    </w:p>
    <w:bookmarkEnd w:id="86"/>
    <w:sectPr>
      <w:pgSz w:w="11910" w:h="16840"/>
      <w:pgMar w:top="1340" w:right="1500" w:bottom="1338" w:left="150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F336DD-A1F5-4B38-AD9E-C3B30088551F}"/>
  </w:font>
  <w:font w:name="黑体">
    <w:panose1 w:val="02010609060101010101"/>
    <w:charset w:val="86"/>
    <w:family w:val="auto"/>
    <w:pitch w:val="default"/>
    <w:sig w:usb0="800002BF" w:usb1="38CF7CFA" w:usb2="00000016" w:usb3="00000000" w:csb0="00040001" w:csb1="00000000"/>
    <w:embedRegular r:id="rId2" w:fontKey="{CF30484E-7633-4C65-9349-7ADCCCF04AFB}"/>
  </w:font>
  <w:font w:name="Courier New">
    <w:panose1 w:val="02070309020205020404"/>
    <w:charset w:val="01"/>
    <w:family w:val="modern"/>
    <w:pitch w:val="default"/>
    <w:sig w:usb0="E0002AFF" w:usb1="C0007843" w:usb2="00000009" w:usb3="00000000" w:csb0="400001FF" w:csb1="FFFF0000"/>
    <w:embedRegular r:id="rId3" w:fontKey="{AA9F0284-616C-446C-A1E9-D7948DBE574C}"/>
  </w:font>
  <w:font w:name="Symbol">
    <w:panose1 w:val="05050102010706020507"/>
    <w:charset w:val="02"/>
    <w:family w:val="roman"/>
    <w:pitch w:val="default"/>
    <w:sig w:usb0="00000000" w:usb1="00000000" w:usb2="00000000" w:usb3="00000000" w:csb0="80000000" w:csb1="00000000"/>
    <w:embedRegular r:id="rId4" w:fontKey="{66B6CC02-FD72-43FA-A01F-5479D20A2236}"/>
  </w:font>
  <w:font w:name="Calibri">
    <w:panose1 w:val="020F0502020204030204"/>
    <w:charset w:val="00"/>
    <w:family w:val="swiss"/>
    <w:pitch w:val="default"/>
    <w:sig w:usb0="A00002EF" w:usb1="4000207B" w:usb2="00000000" w:usb3="00000000" w:csb0="2000009F" w:csb1="00000000"/>
    <w:embedRegular r:id="rId5" w:fontKey="{9E9994A2-7B62-4121-9258-EE7F54F777D9}"/>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6" w:fontKey="{7C1ED51F-DD4A-4937-9A52-FFCC1B830728}"/>
  </w:font>
  <w:font w:name="MS Mincho">
    <w:panose1 w:val="02020609040205080304"/>
    <w:charset w:val="80"/>
    <w:family w:val="modern"/>
    <w:pitch w:val="default"/>
    <w:sig w:usb0="E00002FF" w:usb1="6AC7FDFB" w:usb2="00000012" w:usb3="00000000" w:csb0="4002009F" w:csb1="DFD70000"/>
    <w:embedRegular r:id="rId7" w:fontKey="{D8E55214-75BD-469D-A8AA-75408924E44A}"/>
  </w:font>
  <w:font w:name="仿宋">
    <w:panose1 w:val="02010609060101010101"/>
    <w:charset w:val="86"/>
    <w:family w:val="modern"/>
    <w:pitch w:val="default"/>
    <w:sig w:usb0="800002BF" w:usb1="38CF7CFA" w:usb2="00000016" w:usb3="00000000" w:csb0="00040001" w:csb1="00000000"/>
    <w:embedRegular r:id="rId8" w:fontKey="{79BC3014-CBB3-4D17-8075-8A2B70A150C7}"/>
  </w:font>
  <w:font w:name="Segoe UI Symbol">
    <w:panose1 w:val="020B0502040204020203"/>
    <w:charset w:val="00"/>
    <w:family w:val="swiss"/>
    <w:pitch w:val="default"/>
    <w:sig w:usb0="8000006F" w:usb1="1200FBEF" w:usb2="0064C000" w:usb3="00000002" w:csb0="00000001" w:csb1="40000000"/>
    <w:embedRegular r:id="rId9" w:fontKey="{A29F1780-9DE2-4210-AD02-8FB2C1504156}"/>
  </w:font>
  <w:font w:name="Helvetica">
    <w:altName w:val="Arial"/>
    <w:panose1 w:val="020B0604020202020204"/>
    <w:charset w:val="00"/>
    <w:family w:val="swiss"/>
    <w:pitch w:val="default"/>
    <w:sig w:usb0="00000000" w:usb1="00000000" w:usb2="00000000" w:usb3="00000000" w:csb0="00000001" w:csb1="00000000"/>
    <w:embedRegular r:id="rId10" w:fontKey="{43111AA7-DCDF-4A81-A0D6-A4E6F65E444C}"/>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E24A">
    <w:pPr>
      <w:pStyle w:val="17"/>
    </w:pPr>
  </w:p>
  <w:p w14:paraId="3B8309B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C3AE">
    <w:pPr>
      <w:pStyle w:val="17"/>
      <w:tabs>
        <w:tab w:val="left" w:pos="26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E8E642">
                          <w:pPr>
                            <w:pStyle w:val="17"/>
                            <w:tabs>
                              <w:tab w:val="left" w:pos="263"/>
                              <w:tab w:val="clear" w:pos="4153"/>
                            </w:tabs>
                          </w:pPr>
                          <w:r>
                            <w:fldChar w:fldCharType="begin"/>
                          </w:r>
                          <w:r>
                            <w:instrText xml:space="preserve"> PAGE   \* MERGEFORMAT </w:instrText>
                          </w:r>
                          <w:r>
                            <w:fldChar w:fldCharType="separate"/>
                          </w:r>
                          <w:r>
                            <w:rPr>
                              <w:lang w:val="zh-CN"/>
                            </w:rPr>
                            <w:t>37</w:t>
                          </w:r>
                          <w:r>
                            <w:rPr>
                              <w:lang w:val="zh-CN"/>
                            </w:rPr>
                            <w:fldChar w:fldCharType="end"/>
                          </w:r>
                          <w:r>
                            <w:rPr>
                              <w:rFonts w:hint="eastAsia"/>
                              <w:lang w:val="zh-CN"/>
                            </w:rPr>
                            <w:tab/>
                          </w:r>
                        </w:p>
                      </w:txbxContent>
                    </wps:txbx>
                    <wps:bodyPr wrap="none" lIns="0" tIns="0" rIns="0" bIns="0" upright="1">
                      <a:spAutoFit/>
                    </wps:bodyPr>
                  </wps:wsp>
                </a:graphicData>
              </a:graphic>
            </wp:anchor>
          </w:drawing>
        </mc:Choice>
        <mc:Fallback>
          <w:pict>
            <v:shape id="文本框 10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ho/M8BAACq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kqGj8zwEAAKoDAAAOAAAAAAAAAAEAIAAAAB4BAABkcnMv&#10;ZTJvRG9jLnhtbFBLBQYAAAAABgAGAFkBAABfBQAAAAA=&#10;">
              <v:fill on="f" focussize="0,0"/>
              <v:stroke on="f"/>
              <v:imagedata o:title=""/>
              <o:lock v:ext="edit" aspectratio="f"/>
              <v:textbox inset="0mm,0mm,0mm,0mm" style="mso-fit-shape-to-text:t;">
                <w:txbxContent>
                  <w:p w14:paraId="3CE8E642">
                    <w:pPr>
                      <w:pStyle w:val="17"/>
                      <w:tabs>
                        <w:tab w:val="left" w:pos="263"/>
                        <w:tab w:val="clear" w:pos="4153"/>
                      </w:tabs>
                    </w:pPr>
                    <w:r>
                      <w:fldChar w:fldCharType="begin"/>
                    </w:r>
                    <w:r>
                      <w:instrText xml:space="preserve"> PAGE   \* MERGEFORMAT </w:instrText>
                    </w:r>
                    <w:r>
                      <w:fldChar w:fldCharType="separate"/>
                    </w:r>
                    <w:r>
                      <w:rPr>
                        <w:lang w:val="zh-CN"/>
                      </w:rPr>
                      <w:t>37</w:t>
                    </w:r>
                    <w:r>
                      <w:rPr>
                        <w:lang w:val="zh-CN"/>
                      </w:rPr>
                      <w:fldChar w:fldCharType="end"/>
                    </w:r>
                    <w:r>
                      <w:rPr>
                        <w:rFonts w:hint="eastAsia"/>
                        <w:lang w:val="zh-CN"/>
                      </w:rPr>
                      <w:tab/>
                    </w:r>
                  </w:p>
                </w:txbxContent>
              </v:textbox>
            </v:shape>
          </w:pict>
        </mc:Fallback>
      </mc:AlternateContent>
    </w:r>
  </w:p>
  <w:p w14:paraId="68A093D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FAD6">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EC9B2F">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v:fill on="f" focussize="0,0"/>
              <v:stroke on="f"/>
              <v:imagedata o:title=""/>
              <o:lock v:ext="edit" aspectratio="f"/>
              <v:textbox inset="0mm,0mm,0mm,0mm" style="mso-fit-shape-to-text:t;">
                <w:txbxContent>
                  <w:p w14:paraId="7EEC9B2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2184">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3A8F">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D9E5">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C64BD"/>
    <w:multiLevelType w:val="singleLevel"/>
    <w:tmpl w:val="AEDC64BD"/>
    <w:lvl w:ilvl="0" w:tentative="0">
      <w:start w:val="1"/>
      <w:numFmt w:val="decimal"/>
      <w:suff w:val="nothing"/>
      <w:lvlText w:val="%1."/>
      <w:lvlJc w:val="left"/>
    </w:lvl>
  </w:abstractNum>
  <w:abstractNum w:abstractNumId="1">
    <w:nsid w:val="5368823A"/>
    <w:multiLevelType w:val="singleLevel"/>
    <w:tmpl w:val="5368823A"/>
    <w:lvl w:ilvl="0" w:tentative="0">
      <w:start w:val="13"/>
      <w:numFmt w:val="decimal"/>
      <w:lvlText w:val="%1."/>
      <w:lvlJc w:val="left"/>
      <w:pPr>
        <w:tabs>
          <w:tab w:val="left" w:pos="312"/>
        </w:tabs>
      </w:pPr>
    </w:lvl>
  </w:abstractNum>
  <w:abstractNum w:abstractNumId="2">
    <w:nsid w:val="5550F2BB"/>
    <w:multiLevelType w:val="singleLevel"/>
    <w:tmpl w:val="5550F2BB"/>
    <w:lvl w:ilvl="0" w:tentative="0">
      <w:start w:val="1"/>
      <w:numFmt w:val="decimal"/>
      <w:suff w:val="nothing"/>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hideSpellingErrors/>
  <w:attachedTemplate r:id="rId1"/>
  <w:documentProtection w:edit="readOnly" w:enforcement="1" w:cryptProviderType="rsaFull" w:cryptAlgorithmClass="hash" w:cryptAlgorithmType="typeAny" w:cryptAlgorithmSid="4" w:cryptSpinCount="0" w:hash="eB8mR3f8YQjzaSOAM/ewXUX4sW8=" w:salt="TPzHUPYddkn12ViodHnmYQ=="/>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ODNjNDc5NzJmNmIwYWUzZjhjYjdlZDVkM2NhZTYifQ=="/>
  </w:docVars>
  <w:rsids>
    <w:rsidRoot w:val="003512C6"/>
    <w:rsid w:val="000001E7"/>
    <w:rsid w:val="00000672"/>
    <w:rsid w:val="00000B45"/>
    <w:rsid w:val="00001799"/>
    <w:rsid w:val="00001EC4"/>
    <w:rsid w:val="00002D29"/>
    <w:rsid w:val="000040C5"/>
    <w:rsid w:val="00004514"/>
    <w:rsid w:val="00004A8A"/>
    <w:rsid w:val="00005E55"/>
    <w:rsid w:val="00005FDF"/>
    <w:rsid w:val="00006586"/>
    <w:rsid w:val="0000768A"/>
    <w:rsid w:val="00010D39"/>
    <w:rsid w:val="000112BB"/>
    <w:rsid w:val="0001149B"/>
    <w:rsid w:val="0001172C"/>
    <w:rsid w:val="00012854"/>
    <w:rsid w:val="00012EA6"/>
    <w:rsid w:val="000139DC"/>
    <w:rsid w:val="00013D8C"/>
    <w:rsid w:val="00013DFE"/>
    <w:rsid w:val="000141EA"/>
    <w:rsid w:val="00014385"/>
    <w:rsid w:val="000147AB"/>
    <w:rsid w:val="0001489C"/>
    <w:rsid w:val="00014B02"/>
    <w:rsid w:val="00016360"/>
    <w:rsid w:val="000166C4"/>
    <w:rsid w:val="00016960"/>
    <w:rsid w:val="00016E39"/>
    <w:rsid w:val="00017396"/>
    <w:rsid w:val="00017558"/>
    <w:rsid w:val="000177DB"/>
    <w:rsid w:val="00020227"/>
    <w:rsid w:val="000203E4"/>
    <w:rsid w:val="00020455"/>
    <w:rsid w:val="00022731"/>
    <w:rsid w:val="00022792"/>
    <w:rsid w:val="0002392D"/>
    <w:rsid w:val="00024B43"/>
    <w:rsid w:val="00025382"/>
    <w:rsid w:val="00025636"/>
    <w:rsid w:val="000258EC"/>
    <w:rsid w:val="00025E36"/>
    <w:rsid w:val="00026627"/>
    <w:rsid w:val="00026886"/>
    <w:rsid w:val="000273E6"/>
    <w:rsid w:val="00030496"/>
    <w:rsid w:val="000329A1"/>
    <w:rsid w:val="000329E0"/>
    <w:rsid w:val="000333A0"/>
    <w:rsid w:val="000352E9"/>
    <w:rsid w:val="00036A07"/>
    <w:rsid w:val="00036E33"/>
    <w:rsid w:val="00037E2D"/>
    <w:rsid w:val="00040571"/>
    <w:rsid w:val="0004156E"/>
    <w:rsid w:val="00041597"/>
    <w:rsid w:val="00041655"/>
    <w:rsid w:val="0004440C"/>
    <w:rsid w:val="00044B64"/>
    <w:rsid w:val="00045880"/>
    <w:rsid w:val="000462CB"/>
    <w:rsid w:val="00046ADE"/>
    <w:rsid w:val="00046B5E"/>
    <w:rsid w:val="0004783A"/>
    <w:rsid w:val="000509D9"/>
    <w:rsid w:val="000552A6"/>
    <w:rsid w:val="00055D41"/>
    <w:rsid w:val="00056975"/>
    <w:rsid w:val="00057728"/>
    <w:rsid w:val="00057CEC"/>
    <w:rsid w:val="000602C0"/>
    <w:rsid w:val="00060DCE"/>
    <w:rsid w:val="000623B4"/>
    <w:rsid w:val="000634A7"/>
    <w:rsid w:val="0006373C"/>
    <w:rsid w:val="00063E85"/>
    <w:rsid w:val="00063F81"/>
    <w:rsid w:val="00064847"/>
    <w:rsid w:val="0006484B"/>
    <w:rsid w:val="00065BBC"/>
    <w:rsid w:val="000673E2"/>
    <w:rsid w:val="00070C99"/>
    <w:rsid w:val="000711E4"/>
    <w:rsid w:val="00072AED"/>
    <w:rsid w:val="00073F47"/>
    <w:rsid w:val="00075B7E"/>
    <w:rsid w:val="00077C70"/>
    <w:rsid w:val="00080B0A"/>
    <w:rsid w:val="00080B57"/>
    <w:rsid w:val="000817D1"/>
    <w:rsid w:val="00081BA3"/>
    <w:rsid w:val="00081D2E"/>
    <w:rsid w:val="0008267B"/>
    <w:rsid w:val="00082D02"/>
    <w:rsid w:val="00083B91"/>
    <w:rsid w:val="000840BE"/>
    <w:rsid w:val="0008520B"/>
    <w:rsid w:val="0008530A"/>
    <w:rsid w:val="00085518"/>
    <w:rsid w:val="000871B8"/>
    <w:rsid w:val="00087DB6"/>
    <w:rsid w:val="00090639"/>
    <w:rsid w:val="000913BE"/>
    <w:rsid w:val="000913F6"/>
    <w:rsid w:val="000918F8"/>
    <w:rsid w:val="00092442"/>
    <w:rsid w:val="00092817"/>
    <w:rsid w:val="00092AC8"/>
    <w:rsid w:val="00092ED8"/>
    <w:rsid w:val="00094DBC"/>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537D"/>
    <w:rsid w:val="000B56B8"/>
    <w:rsid w:val="000B6C95"/>
    <w:rsid w:val="000B728B"/>
    <w:rsid w:val="000C03DC"/>
    <w:rsid w:val="000C0850"/>
    <w:rsid w:val="000C0C58"/>
    <w:rsid w:val="000C1679"/>
    <w:rsid w:val="000C2898"/>
    <w:rsid w:val="000C2F89"/>
    <w:rsid w:val="000C4281"/>
    <w:rsid w:val="000C435F"/>
    <w:rsid w:val="000C4635"/>
    <w:rsid w:val="000C548E"/>
    <w:rsid w:val="000C5A33"/>
    <w:rsid w:val="000C62B2"/>
    <w:rsid w:val="000C6DE4"/>
    <w:rsid w:val="000C74F6"/>
    <w:rsid w:val="000D01EB"/>
    <w:rsid w:val="000D056E"/>
    <w:rsid w:val="000D0675"/>
    <w:rsid w:val="000D0A89"/>
    <w:rsid w:val="000D1389"/>
    <w:rsid w:val="000D1798"/>
    <w:rsid w:val="000D1A2A"/>
    <w:rsid w:val="000D2626"/>
    <w:rsid w:val="000D31DB"/>
    <w:rsid w:val="000D390C"/>
    <w:rsid w:val="000D4528"/>
    <w:rsid w:val="000D4A06"/>
    <w:rsid w:val="000D54D4"/>
    <w:rsid w:val="000D73AF"/>
    <w:rsid w:val="000D73DD"/>
    <w:rsid w:val="000D7D9B"/>
    <w:rsid w:val="000E14AB"/>
    <w:rsid w:val="000E1783"/>
    <w:rsid w:val="000E18E2"/>
    <w:rsid w:val="000E28AB"/>
    <w:rsid w:val="000E2E3E"/>
    <w:rsid w:val="000E3245"/>
    <w:rsid w:val="000E33C5"/>
    <w:rsid w:val="000E3583"/>
    <w:rsid w:val="000E3AF0"/>
    <w:rsid w:val="000E3D53"/>
    <w:rsid w:val="000E4E04"/>
    <w:rsid w:val="000E6EC9"/>
    <w:rsid w:val="000E70B4"/>
    <w:rsid w:val="000E788F"/>
    <w:rsid w:val="000F3281"/>
    <w:rsid w:val="000F3733"/>
    <w:rsid w:val="000F37D4"/>
    <w:rsid w:val="000F380E"/>
    <w:rsid w:val="000F4D88"/>
    <w:rsid w:val="000F5B1B"/>
    <w:rsid w:val="000F63AB"/>
    <w:rsid w:val="000F64AA"/>
    <w:rsid w:val="000F7AF4"/>
    <w:rsid w:val="000F7C33"/>
    <w:rsid w:val="000F7F0C"/>
    <w:rsid w:val="00100246"/>
    <w:rsid w:val="001004D6"/>
    <w:rsid w:val="00100D90"/>
    <w:rsid w:val="0010207A"/>
    <w:rsid w:val="00103918"/>
    <w:rsid w:val="001040E7"/>
    <w:rsid w:val="00104324"/>
    <w:rsid w:val="0010455E"/>
    <w:rsid w:val="00104889"/>
    <w:rsid w:val="00104897"/>
    <w:rsid w:val="00104EDE"/>
    <w:rsid w:val="00105372"/>
    <w:rsid w:val="001058F3"/>
    <w:rsid w:val="00106BEE"/>
    <w:rsid w:val="00113134"/>
    <w:rsid w:val="00113AC0"/>
    <w:rsid w:val="00113E75"/>
    <w:rsid w:val="001146EC"/>
    <w:rsid w:val="00114851"/>
    <w:rsid w:val="00115E11"/>
    <w:rsid w:val="00115F56"/>
    <w:rsid w:val="00117CBD"/>
    <w:rsid w:val="0012006A"/>
    <w:rsid w:val="00120990"/>
    <w:rsid w:val="001217B5"/>
    <w:rsid w:val="00121979"/>
    <w:rsid w:val="00122064"/>
    <w:rsid w:val="0012239E"/>
    <w:rsid w:val="00122E8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2F8"/>
    <w:rsid w:val="001434BE"/>
    <w:rsid w:val="0014479F"/>
    <w:rsid w:val="00144A21"/>
    <w:rsid w:val="001452B4"/>
    <w:rsid w:val="0014550E"/>
    <w:rsid w:val="00145A9C"/>
    <w:rsid w:val="00146B50"/>
    <w:rsid w:val="00146EC6"/>
    <w:rsid w:val="00146FE1"/>
    <w:rsid w:val="001478D2"/>
    <w:rsid w:val="00150CC9"/>
    <w:rsid w:val="00152816"/>
    <w:rsid w:val="00152A87"/>
    <w:rsid w:val="00152D4E"/>
    <w:rsid w:val="00154486"/>
    <w:rsid w:val="00156D0E"/>
    <w:rsid w:val="00157C98"/>
    <w:rsid w:val="0016086E"/>
    <w:rsid w:val="00160D0C"/>
    <w:rsid w:val="00160E95"/>
    <w:rsid w:val="00161172"/>
    <w:rsid w:val="0016139E"/>
    <w:rsid w:val="00161E65"/>
    <w:rsid w:val="00162597"/>
    <w:rsid w:val="001629AF"/>
    <w:rsid w:val="0016428A"/>
    <w:rsid w:val="001647C9"/>
    <w:rsid w:val="001661A3"/>
    <w:rsid w:val="0016782B"/>
    <w:rsid w:val="00167E78"/>
    <w:rsid w:val="00170877"/>
    <w:rsid w:val="001713AF"/>
    <w:rsid w:val="00173256"/>
    <w:rsid w:val="001733E1"/>
    <w:rsid w:val="00173F74"/>
    <w:rsid w:val="0017488D"/>
    <w:rsid w:val="00175086"/>
    <w:rsid w:val="00175BA6"/>
    <w:rsid w:val="00176CA7"/>
    <w:rsid w:val="001778C5"/>
    <w:rsid w:val="00177E56"/>
    <w:rsid w:val="00177F0A"/>
    <w:rsid w:val="00180669"/>
    <w:rsid w:val="00182B6B"/>
    <w:rsid w:val="00183088"/>
    <w:rsid w:val="00185617"/>
    <w:rsid w:val="0019171E"/>
    <w:rsid w:val="0019220F"/>
    <w:rsid w:val="001928B1"/>
    <w:rsid w:val="0019476D"/>
    <w:rsid w:val="00194ED5"/>
    <w:rsid w:val="00195424"/>
    <w:rsid w:val="001955FF"/>
    <w:rsid w:val="00195D04"/>
    <w:rsid w:val="001971D3"/>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A49"/>
    <w:rsid w:val="001A6D8B"/>
    <w:rsid w:val="001A7F45"/>
    <w:rsid w:val="001B079E"/>
    <w:rsid w:val="001B0CDA"/>
    <w:rsid w:val="001B0E26"/>
    <w:rsid w:val="001B125A"/>
    <w:rsid w:val="001B1E05"/>
    <w:rsid w:val="001B1EBA"/>
    <w:rsid w:val="001B1EFE"/>
    <w:rsid w:val="001B2142"/>
    <w:rsid w:val="001B26CF"/>
    <w:rsid w:val="001B2F2B"/>
    <w:rsid w:val="001B327A"/>
    <w:rsid w:val="001B35DE"/>
    <w:rsid w:val="001B35E7"/>
    <w:rsid w:val="001B3A13"/>
    <w:rsid w:val="001B59FF"/>
    <w:rsid w:val="001B636D"/>
    <w:rsid w:val="001B65D7"/>
    <w:rsid w:val="001B6752"/>
    <w:rsid w:val="001B6768"/>
    <w:rsid w:val="001B6F1F"/>
    <w:rsid w:val="001B6F6D"/>
    <w:rsid w:val="001B7ECC"/>
    <w:rsid w:val="001C1AED"/>
    <w:rsid w:val="001C1B38"/>
    <w:rsid w:val="001C25A7"/>
    <w:rsid w:val="001C318C"/>
    <w:rsid w:val="001C4287"/>
    <w:rsid w:val="001C4479"/>
    <w:rsid w:val="001C5A0A"/>
    <w:rsid w:val="001C76B7"/>
    <w:rsid w:val="001C76FB"/>
    <w:rsid w:val="001D034D"/>
    <w:rsid w:val="001D2764"/>
    <w:rsid w:val="001D35BF"/>
    <w:rsid w:val="001D3697"/>
    <w:rsid w:val="001D4CC8"/>
    <w:rsid w:val="001D51DE"/>
    <w:rsid w:val="001D540E"/>
    <w:rsid w:val="001D58A1"/>
    <w:rsid w:val="001D5A8A"/>
    <w:rsid w:val="001D709B"/>
    <w:rsid w:val="001D735E"/>
    <w:rsid w:val="001D73C8"/>
    <w:rsid w:val="001D74D4"/>
    <w:rsid w:val="001D7E1F"/>
    <w:rsid w:val="001E0756"/>
    <w:rsid w:val="001E09D9"/>
    <w:rsid w:val="001E0A8D"/>
    <w:rsid w:val="001E0BBC"/>
    <w:rsid w:val="001E0FFB"/>
    <w:rsid w:val="001E129E"/>
    <w:rsid w:val="001E26F5"/>
    <w:rsid w:val="001E28DF"/>
    <w:rsid w:val="001E2B9F"/>
    <w:rsid w:val="001E445B"/>
    <w:rsid w:val="001E4A8D"/>
    <w:rsid w:val="001E5A94"/>
    <w:rsid w:val="001E7648"/>
    <w:rsid w:val="001E76AB"/>
    <w:rsid w:val="001F127B"/>
    <w:rsid w:val="001F2A2E"/>
    <w:rsid w:val="001F2E3D"/>
    <w:rsid w:val="001F3B72"/>
    <w:rsid w:val="001F3C63"/>
    <w:rsid w:val="001F4460"/>
    <w:rsid w:val="001F5C1C"/>
    <w:rsid w:val="001F5DAF"/>
    <w:rsid w:val="001F637C"/>
    <w:rsid w:val="001F6B6C"/>
    <w:rsid w:val="001F6C7B"/>
    <w:rsid w:val="001F711A"/>
    <w:rsid w:val="001F728A"/>
    <w:rsid w:val="001F75B0"/>
    <w:rsid w:val="001F7686"/>
    <w:rsid w:val="002006E6"/>
    <w:rsid w:val="00200CE5"/>
    <w:rsid w:val="002014DB"/>
    <w:rsid w:val="00201E12"/>
    <w:rsid w:val="00202AC5"/>
    <w:rsid w:val="002031E2"/>
    <w:rsid w:val="002033B5"/>
    <w:rsid w:val="0020382C"/>
    <w:rsid w:val="00203CB0"/>
    <w:rsid w:val="0020437A"/>
    <w:rsid w:val="00204B5F"/>
    <w:rsid w:val="0020532C"/>
    <w:rsid w:val="00205D23"/>
    <w:rsid w:val="00206411"/>
    <w:rsid w:val="0021036C"/>
    <w:rsid w:val="0021064F"/>
    <w:rsid w:val="002114C7"/>
    <w:rsid w:val="002118F3"/>
    <w:rsid w:val="00212756"/>
    <w:rsid w:val="00212A7A"/>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38CB"/>
    <w:rsid w:val="00224DE1"/>
    <w:rsid w:val="00225493"/>
    <w:rsid w:val="00225664"/>
    <w:rsid w:val="002269DC"/>
    <w:rsid w:val="00227F2D"/>
    <w:rsid w:val="0023089D"/>
    <w:rsid w:val="00231851"/>
    <w:rsid w:val="002319FB"/>
    <w:rsid w:val="00231B89"/>
    <w:rsid w:val="00232393"/>
    <w:rsid w:val="002355BE"/>
    <w:rsid w:val="00236DE9"/>
    <w:rsid w:val="00237D5A"/>
    <w:rsid w:val="00237EA9"/>
    <w:rsid w:val="00241300"/>
    <w:rsid w:val="00241D3C"/>
    <w:rsid w:val="0024274D"/>
    <w:rsid w:val="002439AB"/>
    <w:rsid w:val="002450D5"/>
    <w:rsid w:val="00245587"/>
    <w:rsid w:val="00245F2B"/>
    <w:rsid w:val="00246E2D"/>
    <w:rsid w:val="00246F95"/>
    <w:rsid w:val="00247F3A"/>
    <w:rsid w:val="00250122"/>
    <w:rsid w:val="00250755"/>
    <w:rsid w:val="00250AE3"/>
    <w:rsid w:val="00251C4A"/>
    <w:rsid w:val="0025271C"/>
    <w:rsid w:val="00252A91"/>
    <w:rsid w:val="002533CD"/>
    <w:rsid w:val="002544C1"/>
    <w:rsid w:val="00254EAB"/>
    <w:rsid w:val="002557AF"/>
    <w:rsid w:val="002559BE"/>
    <w:rsid w:val="002561FA"/>
    <w:rsid w:val="00256474"/>
    <w:rsid w:val="00256523"/>
    <w:rsid w:val="002566B1"/>
    <w:rsid w:val="002575E3"/>
    <w:rsid w:val="002603C1"/>
    <w:rsid w:val="002609A1"/>
    <w:rsid w:val="00260D32"/>
    <w:rsid w:val="002612B1"/>
    <w:rsid w:val="00266165"/>
    <w:rsid w:val="0027125E"/>
    <w:rsid w:val="00271767"/>
    <w:rsid w:val="00271A96"/>
    <w:rsid w:val="00271CFC"/>
    <w:rsid w:val="00272293"/>
    <w:rsid w:val="002723C8"/>
    <w:rsid w:val="00272676"/>
    <w:rsid w:val="00273104"/>
    <w:rsid w:val="00273CBE"/>
    <w:rsid w:val="00275800"/>
    <w:rsid w:val="00277441"/>
    <w:rsid w:val="002802D7"/>
    <w:rsid w:val="0028232C"/>
    <w:rsid w:val="002827F1"/>
    <w:rsid w:val="00282EC3"/>
    <w:rsid w:val="002835B0"/>
    <w:rsid w:val="0028407E"/>
    <w:rsid w:val="0028410F"/>
    <w:rsid w:val="00286603"/>
    <w:rsid w:val="00286A98"/>
    <w:rsid w:val="00286FB5"/>
    <w:rsid w:val="00287210"/>
    <w:rsid w:val="00287686"/>
    <w:rsid w:val="00287763"/>
    <w:rsid w:val="00290606"/>
    <w:rsid w:val="00290E61"/>
    <w:rsid w:val="00290F9D"/>
    <w:rsid w:val="002918A7"/>
    <w:rsid w:val="00291D6D"/>
    <w:rsid w:val="00291FF1"/>
    <w:rsid w:val="002920D5"/>
    <w:rsid w:val="002923F6"/>
    <w:rsid w:val="00293361"/>
    <w:rsid w:val="00293770"/>
    <w:rsid w:val="00293D05"/>
    <w:rsid w:val="002943B5"/>
    <w:rsid w:val="00295287"/>
    <w:rsid w:val="002952B1"/>
    <w:rsid w:val="00295D11"/>
    <w:rsid w:val="00295FA0"/>
    <w:rsid w:val="00297A7A"/>
    <w:rsid w:val="002A0C21"/>
    <w:rsid w:val="002A0C3A"/>
    <w:rsid w:val="002A1130"/>
    <w:rsid w:val="002A14D3"/>
    <w:rsid w:val="002A1880"/>
    <w:rsid w:val="002A1D47"/>
    <w:rsid w:val="002A23B7"/>
    <w:rsid w:val="002A3A57"/>
    <w:rsid w:val="002A41C0"/>
    <w:rsid w:val="002A67D6"/>
    <w:rsid w:val="002A6D22"/>
    <w:rsid w:val="002A6DEF"/>
    <w:rsid w:val="002A734A"/>
    <w:rsid w:val="002A7411"/>
    <w:rsid w:val="002A7C24"/>
    <w:rsid w:val="002A7E3B"/>
    <w:rsid w:val="002B013E"/>
    <w:rsid w:val="002B058D"/>
    <w:rsid w:val="002B0C16"/>
    <w:rsid w:val="002B11C9"/>
    <w:rsid w:val="002B169E"/>
    <w:rsid w:val="002B2621"/>
    <w:rsid w:val="002B2AC5"/>
    <w:rsid w:val="002B2F4F"/>
    <w:rsid w:val="002B3528"/>
    <w:rsid w:val="002B3539"/>
    <w:rsid w:val="002B3B2B"/>
    <w:rsid w:val="002B6D17"/>
    <w:rsid w:val="002C0C1C"/>
    <w:rsid w:val="002C184E"/>
    <w:rsid w:val="002C29C1"/>
    <w:rsid w:val="002C54C2"/>
    <w:rsid w:val="002C5871"/>
    <w:rsid w:val="002C58F6"/>
    <w:rsid w:val="002C5D34"/>
    <w:rsid w:val="002C5EA7"/>
    <w:rsid w:val="002C661A"/>
    <w:rsid w:val="002C730C"/>
    <w:rsid w:val="002D0AF5"/>
    <w:rsid w:val="002D1544"/>
    <w:rsid w:val="002D1C54"/>
    <w:rsid w:val="002D2231"/>
    <w:rsid w:val="002D25FC"/>
    <w:rsid w:val="002D318B"/>
    <w:rsid w:val="002D3380"/>
    <w:rsid w:val="002D4925"/>
    <w:rsid w:val="002D4AC6"/>
    <w:rsid w:val="002D5C7B"/>
    <w:rsid w:val="002D6450"/>
    <w:rsid w:val="002D6DFC"/>
    <w:rsid w:val="002D7648"/>
    <w:rsid w:val="002D7909"/>
    <w:rsid w:val="002D7C1B"/>
    <w:rsid w:val="002D7E56"/>
    <w:rsid w:val="002E109C"/>
    <w:rsid w:val="002E115E"/>
    <w:rsid w:val="002E193E"/>
    <w:rsid w:val="002E1D76"/>
    <w:rsid w:val="002E1F87"/>
    <w:rsid w:val="002E243C"/>
    <w:rsid w:val="002E26C4"/>
    <w:rsid w:val="002E2AF9"/>
    <w:rsid w:val="002E307A"/>
    <w:rsid w:val="002E3188"/>
    <w:rsid w:val="002E367A"/>
    <w:rsid w:val="002E48DC"/>
    <w:rsid w:val="002E4B37"/>
    <w:rsid w:val="002E4BF9"/>
    <w:rsid w:val="002E676E"/>
    <w:rsid w:val="002E6F5B"/>
    <w:rsid w:val="002F0631"/>
    <w:rsid w:val="002F16DD"/>
    <w:rsid w:val="002F199D"/>
    <w:rsid w:val="002F23B2"/>
    <w:rsid w:val="002F2AC5"/>
    <w:rsid w:val="002F3F79"/>
    <w:rsid w:val="002F4084"/>
    <w:rsid w:val="002F4672"/>
    <w:rsid w:val="002F4A08"/>
    <w:rsid w:val="002F4ADB"/>
    <w:rsid w:val="002F50E5"/>
    <w:rsid w:val="002F5167"/>
    <w:rsid w:val="002F531E"/>
    <w:rsid w:val="002F5ACC"/>
    <w:rsid w:val="002F6C2C"/>
    <w:rsid w:val="002F704B"/>
    <w:rsid w:val="002F70A6"/>
    <w:rsid w:val="002F72C3"/>
    <w:rsid w:val="002F768C"/>
    <w:rsid w:val="002F77E6"/>
    <w:rsid w:val="002F7CDA"/>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11F8"/>
    <w:rsid w:val="0031202C"/>
    <w:rsid w:val="00313026"/>
    <w:rsid w:val="0031421F"/>
    <w:rsid w:val="0031471D"/>
    <w:rsid w:val="00314B31"/>
    <w:rsid w:val="00314B36"/>
    <w:rsid w:val="00315158"/>
    <w:rsid w:val="00315346"/>
    <w:rsid w:val="0031558E"/>
    <w:rsid w:val="00315A65"/>
    <w:rsid w:val="00316CEC"/>
    <w:rsid w:val="0031757C"/>
    <w:rsid w:val="00317BA7"/>
    <w:rsid w:val="003200B6"/>
    <w:rsid w:val="003200C0"/>
    <w:rsid w:val="00320BE2"/>
    <w:rsid w:val="0032158D"/>
    <w:rsid w:val="00321886"/>
    <w:rsid w:val="00321902"/>
    <w:rsid w:val="00322C6A"/>
    <w:rsid w:val="00322C9B"/>
    <w:rsid w:val="00322F03"/>
    <w:rsid w:val="0032344A"/>
    <w:rsid w:val="00323694"/>
    <w:rsid w:val="00324173"/>
    <w:rsid w:val="00324D63"/>
    <w:rsid w:val="003255AF"/>
    <w:rsid w:val="003256EB"/>
    <w:rsid w:val="003259DB"/>
    <w:rsid w:val="00325C47"/>
    <w:rsid w:val="00331060"/>
    <w:rsid w:val="00331A48"/>
    <w:rsid w:val="003330C9"/>
    <w:rsid w:val="0033364C"/>
    <w:rsid w:val="00334415"/>
    <w:rsid w:val="0033445C"/>
    <w:rsid w:val="00334F92"/>
    <w:rsid w:val="0033691E"/>
    <w:rsid w:val="00336CCB"/>
    <w:rsid w:val="0033745F"/>
    <w:rsid w:val="003375C5"/>
    <w:rsid w:val="00337631"/>
    <w:rsid w:val="00337F44"/>
    <w:rsid w:val="003411D1"/>
    <w:rsid w:val="003416BA"/>
    <w:rsid w:val="00341BD6"/>
    <w:rsid w:val="003425CD"/>
    <w:rsid w:val="00342A8A"/>
    <w:rsid w:val="00342F99"/>
    <w:rsid w:val="00343958"/>
    <w:rsid w:val="00344558"/>
    <w:rsid w:val="00344726"/>
    <w:rsid w:val="003454A4"/>
    <w:rsid w:val="00350E6C"/>
    <w:rsid w:val="00350ED8"/>
    <w:rsid w:val="003512C6"/>
    <w:rsid w:val="003518A6"/>
    <w:rsid w:val="00351CB0"/>
    <w:rsid w:val="00351E7F"/>
    <w:rsid w:val="00352953"/>
    <w:rsid w:val="00354062"/>
    <w:rsid w:val="0035503E"/>
    <w:rsid w:val="00355C0D"/>
    <w:rsid w:val="00355E19"/>
    <w:rsid w:val="003566A9"/>
    <w:rsid w:val="003568F4"/>
    <w:rsid w:val="00356988"/>
    <w:rsid w:val="00356B20"/>
    <w:rsid w:val="00356E94"/>
    <w:rsid w:val="00357128"/>
    <w:rsid w:val="0035755E"/>
    <w:rsid w:val="00357898"/>
    <w:rsid w:val="00357A80"/>
    <w:rsid w:val="00361B8B"/>
    <w:rsid w:val="00361B95"/>
    <w:rsid w:val="0036230A"/>
    <w:rsid w:val="00363A11"/>
    <w:rsid w:val="00363F39"/>
    <w:rsid w:val="00364738"/>
    <w:rsid w:val="00364AB0"/>
    <w:rsid w:val="003659F6"/>
    <w:rsid w:val="003667B0"/>
    <w:rsid w:val="003667DD"/>
    <w:rsid w:val="00366B48"/>
    <w:rsid w:val="00366F34"/>
    <w:rsid w:val="00367764"/>
    <w:rsid w:val="00370316"/>
    <w:rsid w:val="00370DC7"/>
    <w:rsid w:val="0037156C"/>
    <w:rsid w:val="00371CBD"/>
    <w:rsid w:val="003726B9"/>
    <w:rsid w:val="00373CBE"/>
    <w:rsid w:val="003740CC"/>
    <w:rsid w:val="0037435E"/>
    <w:rsid w:val="00374E79"/>
    <w:rsid w:val="00375388"/>
    <w:rsid w:val="00375FB9"/>
    <w:rsid w:val="00376851"/>
    <w:rsid w:val="00376FA2"/>
    <w:rsid w:val="0037738D"/>
    <w:rsid w:val="00377A3B"/>
    <w:rsid w:val="00377E3C"/>
    <w:rsid w:val="0038099C"/>
    <w:rsid w:val="00380BBE"/>
    <w:rsid w:val="00380DDE"/>
    <w:rsid w:val="00381775"/>
    <w:rsid w:val="00381D70"/>
    <w:rsid w:val="00382128"/>
    <w:rsid w:val="0038235E"/>
    <w:rsid w:val="003829D0"/>
    <w:rsid w:val="00382FBA"/>
    <w:rsid w:val="0038444F"/>
    <w:rsid w:val="00384E83"/>
    <w:rsid w:val="00385333"/>
    <w:rsid w:val="00385F0A"/>
    <w:rsid w:val="00386936"/>
    <w:rsid w:val="00387051"/>
    <w:rsid w:val="00387712"/>
    <w:rsid w:val="00387ECF"/>
    <w:rsid w:val="0039021B"/>
    <w:rsid w:val="00390429"/>
    <w:rsid w:val="00392A7A"/>
    <w:rsid w:val="0039327C"/>
    <w:rsid w:val="003933A2"/>
    <w:rsid w:val="0039366C"/>
    <w:rsid w:val="003938F3"/>
    <w:rsid w:val="00393EC8"/>
    <w:rsid w:val="00394BC6"/>
    <w:rsid w:val="00394DD6"/>
    <w:rsid w:val="00395E42"/>
    <w:rsid w:val="00396052"/>
    <w:rsid w:val="00396A2D"/>
    <w:rsid w:val="00396FC3"/>
    <w:rsid w:val="003A0B61"/>
    <w:rsid w:val="003A0B6C"/>
    <w:rsid w:val="003A1554"/>
    <w:rsid w:val="003A1A94"/>
    <w:rsid w:val="003A204E"/>
    <w:rsid w:val="003A277E"/>
    <w:rsid w:val="003A2D25"/>
    <w:rsid w:val="003A39B2"/>
    <w:rsid w:val="003A4C95"/>
    <w:rsid w:val="003A4DDB"/>
    <w:rsid w:val="003A60E7"/>
    <w:rsid w:val="003A6E03"/>
    <w:rsid w:val="003B0B6A"/>
    <w:rsid w:val="003B0F79"/>
    <w:rsid w:val="003B1483"/>
    <w:rsid w:val="003B1CFD"/>
    <w:rsid w:val="003B29CF"/>
    <w:rsid w:val="003B41B5"/>
    <w:rsid w:val="003B54DF"/>
    <w:rsid w:val="003B5713"/>
    <w:rsid w:val="003B5985"/>
    <w:rsid w:val="003B5F96"/>
    <w:rsid w:val="003B6659"/>
    <w:rsid w:val="003B7733"/>
    <w:rsid w:val="003C0166"/>
    <w:rsid w:val="003C350C"/>
    <w:rsid w:val="003C3903"/>
    <w:rsid w:val="003C3BA0"/>
    <w:rsid w:val="003C4580"/>
    <w:rsid w:val="003C52D8"/>
    <w:rsid w:val="003C5496"/>
    <w:rsid w:val="003C5C5E"/>
    <w:rsid w:val="003C6746"/>
    <w:rsid w:val="003C6B0F"/>
    <w:rsid w:val="003C7133"/>
    <w:rsid w:val="003C7555"/>
    <w:rsid w:val="003C7898"/>
    <w:rsid w:val="003D010A"/>
    <w:rsid w:val="003D0FF5"/>
    <w:rsid w:val="003D2D1B"/>
    <w:rsid w:val="003D30AB"/>
    <w:rsid w:val="003D3D94"/>
    <w:rsid w:val="003D48C7"/>
    <w:rsid w:val="003D4B26"/>
    <w:rsid w:val="003D4C08"/>
    <w:rsid w:val="003D51ED"/>
    <w:rsid w:val="003D71A6"/>
    <w:rsid w:val="003D7CE8"/>
    <w:rsid w:val="003E06AF"/>
    <w:rsid w:val="003E1032"/>
    <w:rsid w:val="003E163B"/>
    <w:rsid w:val="003E1904"/>
    <w:rsid w:val="003E285E"/>
    <w:rsid w:val="003E3300"/>
    <w:rsid w:val="003E50C2"/>
    <w:rsid w:val="003E65AC"/>
    <w:rsid w:val="003E6E24"/>
    <w:rsid w:val="003E72B9"/>
    <w:rsid w:val="003E7A18"/>
    <w:rsid w:val="003E7ED4"/>
    <w:rsid w:val="003F0E52"/>
    <w:rsid w:val="003F0EF2"/>
    <w:rsid w:val="003F0F6B"/>
    <w:rsid w:val="003F1F40"/>
    <w:rsid w:val="003F1FE3"/>
    <w:rsid w:val="003F32D0"/>
    <w:rsid w:val="003F3865"/>
    <w:rsid w:val="003F3A0A"/>
    <w:rsid w:val="003F4632"/>
    <w:rsid w:val="003F47BA"/>
    <w:rsid w:val="003F4A4B"/>
    <w:rsid w:val="003F6458"/>
    <w:rsid w:val="003F6617"/>
    <w:rsid w:val="003F7810"/>
    <w:rsid w:val="0040115E"/>
    <w:rsid w:val="00401BC6"/>
    <w:rsid w:val="004022EC"/>
    <w:rsid w:val="00402332"/>
    <w:rsid w:val="004025C2"/>
    <w:rsid w:val="004037E5"/>
    <w:rsid w:val="00403E55"/>
    <w:rsid w:val="00404420"/>
    <w:rsid w:val="00404532"/>
    <w:rsid w:val="00404681"/>
    <w:rsid w:val="0040496D"/>
    <w:rsid w:val="00405010"/>
    <w:rsid w:val="0040595A"/>
    <w:rsid w:val="00406923"/>
    <w:rsid w:val="0040713A"/>
    <w:rsid w:val="0040763D"/>
    <w:rsid w:val="00410117"/>
    <w:rsid w:val="004105B0"/>
    <w:rsid w:val="00410624"/>
    <w:rsid w:val="00410EC5"/>
    <w:rsid w:val="0041250F"/>
    <w:rsid w:val="004128B0"/>
    <w:rsid w:val="004133A8"/>
    <w:rsid w:val="00413821"/>
    <w:rsid w:val="00413D43"/>
    <w:rsid w:val="00413E93"/>
    <w:rsid w:val="004141A3"/>
    <w:rsid w:val="004146AE"/>
    <w:rsid w:val="00414909"/>
    <w:rsid w:val="00415E66"/>
    <w:rsid w:val="00416112"/>
    <w:rsid w:val="00416D0C"/>
    <w:rsid w:val="00416DF0"/>
    <w:rsid w:val="00417AE0"/>
    <w:rsid w:val="00417BAA"/>
    <w:rsid w:val="00417E08"/>
    <w:rsid w:val="004208CF"/>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4D2E"/>
    <w:rsid w:val="004360C8"/>
    <w:rsid w:val="0044006B"/>
    <w:rsid w:val="0044033F"/>
    <w:rsid w:val="00440630"/>
    <w:rsid w:val="00441123"/>
    <w:rsid w:val="00441B74"/>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ECB"/>
    <w:rsid w:val="00451FE8"/>
    <w:rsid w:val="0045202B"/>
    <w:rsid w:val="00452179"/>
    <w:rsid w:val="004522E3"/>
    <w:rsid w:val="00452B20"/>
    <w:rsid w:val="00452E99"/>
    <w:rsid w:val="004535AE"/>
    <w:rsid w:val="00453C42"/>
    <w:rsid w:val="0045463A"/>
    <w:rsid w:val="00454AC9"/>
    <w:rsid w:val="00454E26"/>
    <w:rsid w:val="004554A3"/>
    <w:rsid w:val="00455A6E"/>
    <w:rsid w:val="00456758"/>
    <w:rsid w:val="004569CD"/>
    <w:rsid w:val="004578EB"/>
    <w:rsid w:val="0046027F"/>
    <w:rsid w:val="00460303"/>
    <w:rsid w:val="00460697"/>
    <w:rsid w:val="00462593"/>
    <w:rsid w:val="00463B5B"/>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507"/>
    <w:rsid w:val="00483E2E"/>
    <w:rsid w:val="00484260"/>
    <w:rsid w:val="00484B69"/>
    <w:rsid w:val="00485406"/>
    <w:rsid w:val="004858FE"/>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404F"/>
    <w:rsid w:val="004A5088"/>
    <w:rsid w:val="004A5255"/>
    <w:rsid w:val="004A6097"/>
    <w:rsid w:val="004A6CB0"/>
    <w:rsid w:val="004A70FF"/>
    <w:rsid w:val="004A7CCC"/>
    <w:rsid w:val="004B0DB6"/>
    <w:rsid w:val="004B164E"/>
    <w:rsid w:val="004B1B84"/>
    <w:rsid w:val="004B29AC"/>
    <w:rsid w:val="004B35DF"/>
    <w:rsid w:val="004B3627"/>
    <w:rsid w:val="004B3F3A"/>
    <w:rsid w:val="004B4779"/>
    <w:rsid w:val="004B4922"/>
    <w:rsid w:val="004B57DF"/>
    <w:rsid w:val="004C03A0"/>
    <w:rsid w:val="004C04AB"/>
    <w:rsid w:val="004C2138"/>
    <w:rsid w:val="004C2ED0"/>
    <w:rsid w:val="004C32D4"/>
    <w:rsid w:val="004C3794"/>
    <w:rsid w:val="004C3940"/>
    <w:rsid w:val="004C51FD"/>
    <w:rsid w:val="004C534B"/>
    <w:rsid w:val="004C5882"/>
    <w:rsid w:val="004C65A8"/>
    <w:rsid w:val="004C6F74"/>
    <w:rsid w:val="004C786C"/>
    <w:rsid w:val="004C7963"/>
    <w:rsid w:val="004D00B8"/>
    <w:rsid w:val="004D2F63"/>
    <w:rsid w:val="004D35BA"/>
    <w:rsid w:val="004D4701"/>
    <w:rsid w:val="004D47C7"/>
    <w:rsid w:val="004D5701"/>
    <w:rsid w:val="004D618D"/>
    <w:rsid w:val="004D62A9"/>
    <w:rsid w:val="004D6338"/>
    <w:rsid w:val="004D6AEE"/>
    <w:rsid w:val="004D6FC3"/>
    <w:rsid w:val="004D7476"/>
    <w:rsid w:val="004E0306"/>
    <w:rsid w:val="004E0572"/>
    <w:rsid w:val="004E0C64"/>
    <w:rsid w:val="004E25A8"/>
    <w:rsid w:val="004E2AA0"/>
    <w:rsid w:val="004E37C0"/>
    <w:rsid w:val="004E3930"/>
    <w:rsid w:val="004E3ED9"/>
    <w:rsid w:val="004E5866"/>
    <w:rsid w:val="004E5D94"/>
    <w:rsid w:val="004E6097"/>
    <w:rsid w:val="004E61EF"/>
    <w:rsid w:val="004E6772"/>
    <w:rsid w:val="004E6847"/>
    <w:rsid w:val="004E76A7"/>
    <w:rsid w:val="004E7736"/>
    <w:rsid w:val="004E7B03"/>
    <w:rsid w:val="004F0064"/>
    <w:rsid w:val="004F06AC"/>
    <w:rsid w:val="004F09CA"/>
    <w:rsid w:val="004F0C76"/>
    <w:rsid w:val="004F1AE6"/>
    <w:rsid w:val="004F243F"/>
    <w:rsid w:val="004F3E0C"/>
    <w:rsid w:val="004F4B37"/>
    <w:rsid w:val="004F6272"/>
    <w:rsid w:val="004F6A2D"/>
    <w:rsid w:val="004F6D73"/>
    <w:rsid w:val="004F7160"/>
    <w:rsid w:val="00500258"/>
    <w:rsid w:val="0050082C"/>
    <w:rsid w:val="0050175E"/>
    <w:rsid w:val="00501A99"/>
    <w:rsid w:val="00503180"/>
    <w:rsid w:val="0050417C"/>
    <w:rsid w:val="0050437F"/>
    <w:rsid w:val="00505450"/>
    <w:rsid w:val="00505D22"/>
    <w:rsid w:val="005100B7"/>
    <w:rsid w:val="005113C9"/>
    <w:rsid w:val="0051280C"/>
    <w:rsid w:val="00512842"/>
    <w:rsid w:val="005128BE"/>
    <w:rsid w:val="00512B7B"/>
    <w:rsid w:val="00512E6C"/>
    <w:rsid w:val="0051356F"/>
    <w:rsid w:val="00513606"/>
    <w:rsid w:val="00513E7C"/>
    <w:rsid w:val="005140BB"/>
    <w:rsid w:val="005143C2"/>
    <w:rsid w:val="0051454F"/>
    <w:rsid w:val="00514FD9"/>
    <w:rsid w:val="0051608F"/>
    <w:rsid w:val="00517564"/>
    <w:rsid w:val="005210F7"/>
    <w:rsid w:val="00521753"/>
    <w:rsid w:val="00521A44"/>
    <w:rsid w:val="00521D16"/>
    <w:rsid w:val="005222BE"/>
    <w:rsid w:val="005224EE"/>
    <w:rsid w:val="00522B99"/>
    <w:rsid w:val="00523690"/>
    <w:rsid w:val="00523BB1"/>
    <w:rsid w:val="00524217"/>
    <w:rsid w:val="0052451A"/>
    <w:rsid w:val="00524737"/>
    <w:rsid w:val="00526265"/>
    <w:rsid w:val="0052652D"/>
    <w:rsid w:val="0052655D"/>
    <w:rsid w:val="005265E0"/>
    <w:rsid w:val="00526BC3"/>
    <w:rsid w:val="00530F9E"/>
    <w:rsid w:val="0053274E"/>
    <w:rsid w:val="00532CED"/>
    <w:rsid w:val="0053358A"/>
    <w:rsid w:val="0053408B"/>
    <w:rsid w:val="00534668"/>
    <w:rsid w:val="0053486E"/>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05B"/>
    <w:rsid w:val="00544191"/>
    <w:rsid w:val="0054422C"/>
    <w:rsid w:val="00544F39"/>
    <w:rsid w:val="0054515D"/>
    <w:rsid w:val="00547EFB"/>
    <w:rsid w:val="00550957"/>
    <w:rsid w:val="00552563"/>
    <w:rsid w:val="005531DF"/>
    <w:rsid w:val="00553874"/>
    <w:rsid w:val="00553ACC"/>
    <w:rsid w:val="00554AD8"/>
    <w:rsid w:val="00554F78"/>
    <w:rsid w:val="005556A5"/>
    <w:rsid w:val="00556BF7"/>
    <w:rsid w:val="00562149"/>
    <w:rsid w:val="005630D8"/>
    <w:rsid w:val="00563352"/>
    <w:rsid w:val="00563FFD"/>
    <w:rsid w:val="0056450C"/>
    <w:rsid w:val="00565855"/>
    <w:rsid w:val="00567398"/>
    <w:rsid w:val="005677CE"/>
    <w:rsid w:val="00567990"/>
    <w:rsid w:val="00567B5D"/>
    <w:rsid w:val="005722E5"/>
    <w:rsid w:val="00573733"/>
    <w:rsid w:val="00574554"/>
    <w:rsid w:val="00576089"/>
    <w:rsid w:val="005764B1"/>
    <w:rsid w:val="00576A56"/>
    <w:rsid w:val="00576D06"/>
    <w:rsid w:val="00577853"/>
    <w:rsid w:val="005779E4"/>
    <w:rsid w:val="00577A3F"/>
    <w:rsid w:val="00580AC5"/>
    <w:rsid w:val="00580EB3"/>
    <w:rsid w:val="00581A2A"/>
    <w:rsid w:val="00582169"/>
    <w:rsid w:val="0058289C"/>
    <w:rsid w:val="00582C35"/>
    <w:rsid w:val="00582DC6"/>
    <w:rsid w:val="00583059"/>
    <w:rsid w:val="005836C7"/>
    <w:rsid w:val="00583E30"/>
    <w:rsid w:val="0058408E"/>
    <w:rsid w:val="005845AF"/>
    <w:rsid w:val="00585374"/>
    <w:rsid w:val="00586F3C"/>
    <w:rsid w:val="00587FB6"/>
    <w:rsid w:val="00590A1A"/>
    <w:rsid w:val="00590B77"/>
    <w:rsid w:val="005913A3"/>
    <w:rsid w:val="00591DCD"/>
    <w:rsid w:val="00591E6C"/>
    <w:rsid w:val="00594A7B"/>
    <w:rsid w:val="00594AFA"/>
    <w:rsid w:val="0059580E"/>
    <w:rsid w:val="00596A6F"/>
    <w:rsid w:val="005976E1"/>
    <w:rsid w:val="005A0541"/>
    <w:rsid w:val="005A1525"/>
    <w:rsid w:val="005A1EC3"/>
    <w:rsid w:val="005A252B"/>
    <w:rsid w:val="005A284D"/>
    <w:rsid w:val="005A2A71"/>
    <w:rsid w:val="005A3204"/>
    <w:rsid w:val="005A3341"/>
    <w:rsid w:val="005A3FA1"/>
    <w:rsid w:val="005A46EC"/>
    <w:rsid w:val="005A4847"/>
    <w:rsid w:val="005A494F"/>
    <w:rsid w:val="005A7FCB"/>
    <w:rsid w:val="005B0160"/>
    <w:rsid w:val="005B0185"/>
    <w:rsid w:val="005B07EC"/>
    <w:rsid w:val="005B09D8"/>
    <w:rsid w:val="005B120C"/>
    <w:rsid w:val="005B24F3"/>
    <w:rsid w:val="005B2B11"/>
    <w:rsid w:val="005B2E00"/>
    <w:rsid w:val="005B30C3"/>
    <w:rsid w:val="005B370E"/>
    <w:rsid w:val="005B4DA3"/>
    <w:rsid w:val="005B5BEE"/>
    <w:rsid w:val="005B77D2"/>
    <w:rsid w:val="005C019B"/>
    <w:rsid w:val="005C144E"/>
    <w:rsid w:val="005C14A8"/>
    <w:rsid w:val="005C221C"/>
    <w:rsid w:val="005C2999"/>
    <w:rsid w:val="005C30F5"/>
    <w:rsid w:val="005C357E"/>
    <w:rsid w:val="005C3951"/>
    <w:rsid w:val="005C51A5"/>
    <w:rsid w:val="005C557A"/>
    <w:rsid w:val="005C61DD"/>
    <w:rsid w:val="005C6438"/>
    <w:rsid w:val="005C6B8B"/>
    <w:rsid w:val="005C7B87"/>
    <w:rsid w:val="005D02E3"/>
    <w:rsid w:val="005D0310"/>
    <w:rsid w:val="005D039C"/>
    <w:rsid w:val="005D1095"/>
    <w:rsid w:val="005D1370"/>
    <w:rsid w:val="005D1BAE"/>
    <w:rsid w:val="005D1F34"/>
    <w:rsid w:val="005D2529"/>
    <w:rsid w:val="005D2C1F"/>
    <w:rsid w:val="005D34B2"/>
    <w:rsid w:val="005D3B54"/>
    <w:rsid w:val="005D40CD"/>
    <w:rsid w:val="005D4406"/>
    <w:rsid w:val="005D4546"/>
    <w:rsid w:val="005D6B59"/>
    <w:rsid w:val="005D6BBE"/>
    <w:rsid w:val="005D7037"/>
    <w:rsid w:val="005E03E4"/>
    <w:rsid w:val="005E0454"/>
    <w:rsid w:val="005E0BF4"/>
    <w:rsid w:val="005E171D"/>
    <w:rsid w:val="005E34C2"/>
    <w:rsid w:val="005E35C6"/>
    <w:rsid w:val="005E417A"/>
    <w:rsid w:val="005E5B01"/>
    <w:rsid w:val="005E67F1"/>
    <w:rsid w:val="005E6E3B"/>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BBB"/>
    <w:rsid w:val="00604FB6"/>
    <w:rsid w:val="00605387"/>
    <w:rsid w:val="00606302"/>
    <w:rsid w:val="006072EF"/>
    <w:rsid w:val="006076FD"/>
    <w:rsid w:val="00607BA3"/>
    <w:rsid w:val="00607D68"/>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4AE"/>
    <w:rsid w:val="006265C4"/>
    <w:rsid w:val="00627383"/>
    <w:rsid w:val="00627733"/>
    <w:rsid w:val="006301BB"/>
    <w:rsid w:val="00632605"/>
    <w:rsid w:val="00633F8D"/>
    <w:rsid w:val="006341EF"/>
    <w:rsid w:val="00634BED"/>
    <w:rsid w:val="00635A4A"/>
    <w:rsid w:val="00635FB9"/>
    <w:rsid w:val="00636148"/>
    <w:rsid w:val="006370CF"/>
    <w:rsid w:val="00637774"/>
    <w:rsid w:val="00637E69"/>
    <w:rsid w:val="0064024C"/>
    <w:rsid w:val="00640291"/>
    <w:rsid w:val="0064103F"/>
    <w:rsid w:val="00641560"/>
    <w:rsid w:val="00641FAC"/>
    <w:rsid w:val="006432A5"/>
    <w:rsid w:val="00643664"/>
    <w:rsid w:val="00643CAA"/>
    <w:rsid w:val="00644075"/>
    <w:rsid w:val="00647B53"/>
    <w:rsid w:val="00652137"/>
    <w:rsid w:val="00652680"/>
    <w:rsid w:val="00652A09"/>
    <w:rsid w:val="00652CCD"/>
    <w:rsid w:val="006530A1"/>
    <w:rsid w:val="00653CDE"/>
    <w:rsid w:val="006540B4"/>
    <w:rsid w:val="0065636A"/>
    <w:rsid w:val="0065669F"/>
    <w:rsid w:val="00656C3C"/>
    <w:rsid w:val="00657003"/>
    <w:rsid w:val="00657126"/>
    <w:rsid w:val="006572C1"/>
    <w:rsid w:val="00657930"/>
    <w:rsid w:val="00660238"/>
    <w:rsid w:val="006602EF"/>
    <w:rsid w:val="00660F41"/>
    <w:rsid w:val="00661277"/>
    <w:rsid w:val="006616FE"/>
    <w:rsid w:val="006619D1"/>
    <w:rsid w:val="006620FC"/>
    <w:rsid w:val="00663FEA"/>
    <w:rsid w:val="00664253"/>
    <w:rsid w:val="00664381"/>
    <w:rsid w:val="006647AE"/>
    <w:rsid w:val="00664803"/>
    <w:rsid w:val="00664D54"/>
    <w:rsid w:val="006661A4"/>
    <w:rsid w:val="006670E0"/>
    <w:rsid w:val="00667532"/>
    <w:rsid w:val="006704FD"/>
    <w:rsid w:val="00671FC8"/>
    <w:rsid w:val="0067294B"/>
    <w:rsid w:val="00673AA4"/>
    <w:rsid w:val="00674187"/>
    <w:rsid w:val="006744E8"/>
    <w:rsid w:val="0067508F"/>
    <w:rsid w:val="00675264"/>
    <w:rsid w:val="00675349"/>
    <w:rsid w:val="00675E7E"/>
    <w:rsid w:val="0068051E"/>
    <w:rsid w:val="00680B9D"/>
    <w:rsid w:val="00681F13"/>
    <w:rsid w:val="0068231C"/>
    <w:rsid w:val="00682344"/>
    <w:rsid w:val="00682939"/>
    <w:rsid w:val="00682F28"/>
    <w:rsid w:val="00684842"/>
    <w:rsid w:val="00685BD6"/>
    <w:rsid w:val="006878A6"/>
    <w:rsid w:val="00690437"/>
    <w:rsid w:val="00690E65"/>
    <w:rsid w:val="0069188E"/>
    <w:rsid w:val="00691974"/>
    <w:rsid w:val="00692CE6"/>
    <w:rsid w:val="006936EC"/>
    <w:rsid w:val="00693B6C"/>
    <w:rsid w:val="00694202"/>
    <w:rsid w:val="006942AE"/>
    <w:rsid w:val="0069483C"/>
    <w:rsid w:val="006949BD"/>
    <w:rsid w:val="0069522E"/>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97D"/>
    <w:rsid w:val="006A6CA7"/>
    <w:rsid w:val="006A703E"/>
    <w:rsid w:val="006A77DC"/>
    <w:rsid w:val="006A7BE3"/>
    <w:rsid w:val="006B01D1"/>
    <w:rsid w:val="006B16EA"/>
    <w:rsid w:val="006B1780"/>
    <w:rsid w:val="006B20CB"/>
    <w:rsid w:val="006B224E"/>
    <w:rsid w:val="006B376E"/>
    <w:rsid w:val="006B4589"/>
    <w:rsid w:val="006B6805"/>
    <w:rsid w:val="006B6BBE"/>
    <w:rsid w:val="006B6DE0"/>
    <w:rsid w:val="006B7D5F"/>
    <w:rsid w:val="006B7F3B"/>
    <w:rsid w:val="006C32F4"/>
    <w:rsid w:val="006C3C54"/>
    <w:rsid w:val="006C40F4"/>
    <w:rsid w:val="006C427B"/>
    <w:rsid w:val="006C427C"/>
    <w:rsid w:val="006C4D5D"/>
    <w:rsid w:val="006C4E5A"/>
    <w:rsid w:val="006C4F9F"/>
    <w:rsid w:val="006C61AB"/>
    <w:rsid w:val="006C650D"/>
    <w:rsid w:val="006C748D"/>
    <w:rsid w:val="006C74E2"/>
    <w:rsid w:val="006D0C1D"/>
    <w:rsid w:val="006D0CE1"/>
    <w:rsid w:val="006D2004"/>
    <w:rsid w:val="006D2A8C"/>
    <w:rsid w:val="006D2E9D"/>
    <w:rsid w:val="006D4214"/>
    <w:rsid w:val="006D4C1E"/>
    <w:rsid w:val="006D4C42"/>
    <w:rsid w:val="006D570E"/>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626A"/>
    <w:rsid w:val="006E7ABC"/>
    <w:rsid w:val="006F0760"/>
    <w:rsid w:val="006F0FF1"/>
    <w:rsid w:val="006F11E2"/>
    <w:rsid w:val="006F12F5"/>
    <w:rsid w:val="006F1E4E"/>
    <w:rsid w:val="006F2574"/>
    <w:rsid w:val="006F3231"/>
    <w:rsid w:val="006F3DE3"/>
    <w:rsid w:val="006F4A61"/>
    <w:rsid w:val="006F511F"/>
    <w:rsid w:val="006F54B3"/>
    <w:rsid w:val="006F61D8"/>
    <w:rsid w:val="006F62B7"/>
    <w:rsid w:val="006F70BC"/>
    <w:rsid w:val="006F713A"/>
    <w:rsid w:val="006F76BF"/>
    <w:rsid w:val="00700077"/>
    <w:rsid w:val="0070072B"/>
    <w:rsid w:val="00700A7B"/>
    <w:rsid w:val="00702A8F"/>
    <w:rsid w:val="00704994"/>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573"/>
    <w:rsid w:val="007229D4"/>
    <w:rsid w:val="00722CD9"/>
    <w:rsid w:val="007230F8"/>
    <w:rsid w:val="007233F4"/>
    <w:rsid w:val="00723C94"/>
    <w:rsid w:val="00724044"/>
    <w:rsid w:val="007244E1"/>
    <w:rsid w:val="007248D3"/>
    <w:rsid w:val="00725137"/>
    <w:rsid w:val="00725B82"/>
    <w:rsid w:val="007263ED"/>
    <w:rsid w:val="00726615"/>
    <w:rsid w:val="00727A43"/>
    <w:rsid w:val="00727FF2"/>
    <w:rsid w:val="007306C7"/>
    <w:rsid w:val="007309DE"/>
    <w:rsid w:val="007323E0"/>
    <w:rsid w:val="00733791"/>
    <w:rsid w:val="0073391B"/>
    <w:rsid w:val="00733DE2"/>
    <w:rsid w:val="007352EA"/>
    <w:rsid w:val="0073544F"/>
    <w:rsid w:val="007360CC"/>
    <w:rsid w:val="007364E5"/>
    <w:rsid w:val="0073792F"/>
    <w:rsid w:val="00740367"/>
    <w:rsid w:val="00740BAD"/>
    <w:rsid w:val="00740DA6"/>
    <w:rsid w:val="00741A0E"/>
    <w:rsid w:val="00741D1E"/>
    <w:rsid w:val="00741EE2"/>
    <w:rsid w:val="00742367"/>
    <w:rsid w:val="00742DE4"/>
    <w:rsid w:val="00742EAA"/>
    <w:rsid w:val="00743818"/>
    <w:rsid w:val="007439E2"/>
    <w:rsid w:val="00743D6F"/>
    <w:rsid w:val="00743DD8"/>
    <w:rsid w:val="007441FB"/>
    <w:rsid w:val="00744443"/>
    <w:rsid w:val="00744517"/>
    <w:rsid w:val="00744810"/>
    <w:rsid w:val="00746A78"/>
    <w:rsid w:val="00747842"/>
    <w:rsid w:val="00747DE2"/>
    <w:rsid w:val="007504BF"/>
    <w:rsid w:val="007506CD"/>
    <w:rsid w:val="00751B7E"/>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3D"/>
    <w:rsid w:val="00765E6A"/>
    <w:rsid w:val="00767EA0"/>
    <w:rsid w:val="0077068F"/>
    <w:rsid w:val="007707D2"/>
    <w:rsid w:val="0077408D"/>
    <w:rsid w:val="00774270"/>
    <w:rsid w:val="00775679"/>
    <w:rsid w:val="00775803"/>
    <w:rsid w:val="00776836"/>
    <w:rsid w:val="00777B32"/>
    <w:rsid w:val="0078051E"/>
    <w:rsid w:val="00781FDD"/>
    <w:rsid w:val="007828D7"/>
    <w:rsid w:val="00782A9F"/>
    <w:rsid w:val="0078508A"/>
    <w:rsid w:val="0078677B"/>
    <w:rsid w:val="00786D5C"/>
    <w:rsid w:val="00786E96"/>
    <w:rsid w:val="00787F93"/>
    <w:rsid w:val="007907CA"/>
    <w:rsid w:val="007913A1"/>
    <w:rsid w:val="00791E6D"/>
    <w:rsid w:val="007928DC"/>
    <w:rsid w:val="007939CC"/>
    <w:rsid w:val="00794AD7"/>
    <w:rsid w:val="00796FB8"/>
    <w:rsid w:val="007977A2"/>
    <w:rsid w:val="007A0A5E"/>
    <w:rsid w:val="007A11C2"/>
    <w:rsid w:val="007A14A5"/>
    <w:rsid w:val="007A1C20"/>
    <w:rsid w:val="007A2367"/>
    <w:rsid w:val="007A41BF"/>
    <w:rsid w:val="007A490A"/>
    <w:rsid w:val="007A581D"/>
    <w:rsid w:val="007A683E"/>
    <w:rsid w:val="007A7B95"/>
    <w:rsid w:val="007B0297"/>
    <w:rsid w:val="007B0F53"/>
    <w:rsid w:val="007B1DD8"/>
    <w:rsid w:val="007B21AE"/>
    <w:rsid w:val="007B2570"/>
    <w:rsid w:val="007B3113"/>
    <w:rsid w:val="007B31B7"/>
    <w:rsid w:val="007B3304"/>
    <w:rsid w:val="007B332B"/>
    <w:rsid w:val="007B394D"/>
    <w:rsid w:val="007B7490"/>
    <w:rsid w:val="007B774A"/>
    <w:rsid w:val="007C0525"/>
    <w:rsid w:val="007C0B56"/>
    <w:rsid w:val="007C13F7"/>
    <w:rsid w:val="007C218D"/>
    <w:rsid w:val="007C2D28"/>
    <w:rsid w:val="007C31F9"/>
    <w:rsid w:val="007C3E22"/>
    <w:rsid w:val="007C3FDA"/>
    <w:rsid w:val="007C4CC8"/>
    <w:rsid w:val="007C5153"/>
    <w:rsid w:val="007C5234"/>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4FB"/>
    <w:rsid w:val="007E4998"/>
    <w:rsid w:val="007E4A9C"/>
    <w:rsid w:val="007E6914"/>
    <w:rsid w:val="007E7C9B"/>
    <w:rsid w:val="007E7F78"/>
    <w:rsid w:val="007F0C8B"/>
    <w:rsid w:val="007F10A5"/>
    <w:rsid w:val="007F1517"/>
    <w:rsid w:val="007F1BD7"/>
    <w:rsid w:val="007F1D44"/>
    <w:rsid w:val="007F2C13"/>
    <w:rsid w:val="007F2CEC"/>
    <w:rsid w:val="007F55DE"/>
    <w:rsid w:val="007F5605"/>
    <w:rsid w:val="007F6147"/>
    <w:rsid w:val="007F6FCD"/>
    <w:rsid w:val="007F7654"/>
    <w:rsid w:val="007F78FF"/>
    <w:rsid w:val="00800F6C"/>
    <w:rsid w:val="008025BE"/>
    <w:rsid w:val="00804C86"/>
    <w:rsid w:val="008051FC"/>
    <w:rsid w:val="008055A9"/>
    <w:rsid w:val="0080592B"/>
    <w:rsid w:val="00806F5B"/>
    <w:rsid w:val="008070EB"/>
    <w:rsid w:val="00807376"/>
    <w:rsid w:val="00810E8E"/>
    <w:rsid w:val="0081100F"/>
    <w:rsid w:val="0081142D"/>
    <w:rsid w:val="00812462"/>
    <w:rsid w:val="008131C3"/>
    <w:rsid w:val="00813A31"/>
    <w:rsid w:val="008140A5"/>
    <w:rsid w:val="0081481D"/>
    <w:rsid w:val="00814BE8"/>
    <w:rsid w:val="00814EBA"/>
    <w:rsid w:val="00814F6E"/>
    <w:rsid w:val="00815930"/>
    <w:rsid w:val="00815B84"/>
    <w:rsid w:val="00815DC6"/>
    <w:rsid w:val="00821178"/>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36AC5"/>
    <w:rsid w:val="00840140"/>
    <w:rsid w:val="008411F9"/>
    <w:rsid w:val="008413AB"/>
    <w:rsid w:val="00841E02"/>
    <w:rsid w:val="00842D10"/>
    <w:rsid w:val="0084322B"/>
    <w:rsid w:val="0084373B"/>
    <w:rsid w:val="00843B93"/>
    <w:rsid w:val="00843F81"/>
    <w:rsid w:val="00844087"/>
    <w:rsid w:val="0084519E"/>
    <w:rsid w:val="00846370"/>
    <w:rsid w:val="00847C2B"/>
    <w:rsid w:val="0085270D"/>
    <w:rsid w:val="008532BF"/>
    <w:rsid w:val="00853BF4"/>
    <w:rsid w:val="00854294"/>
    <w:rsid w:val="0085595B"/>
    <w:rsid w:val="00855F80"/>
    <w:rsid w:val="008566B8"/>
    <w:rsid w:val="00856BDD"/>
    <w:rsid w:val="008576EF"/>
    <w:rsid w:val="0085788B"/>
    <w:rsid w:val="00857A9E"/>
    <w:rsid w:val="00857DE2"/>
    <w:rsid w:val="0086353C"/>
    <w:rsid w:val="0086407F"/>
    <w:rsid w:val="00864E79"/>
    <w:rsid w:val="00865F52"/>
    <w:rsid w:val="00866111"/>
    <w:rsid w:val="0086655F"/>
    <w:rsid w:val="0086661F"/>
    <w:rsid w:val="00866A0D"/>
    <w:rsid w:val="00866B77"/>
    <w:rsid w:val="00866DB5"/>
    <w:rsid w:val="0086784E"/>
    <w:rsid w:val="00867AF1"/>
    <w:rsid w:val="00870445"/>
    <w:rsid w:val="00872118"/>
    <w:rsid w:val="00872827"/>
    <w:rsid w:val="00872888"/>
    <w:rsid w:val="00872A32"/>
    <w:rsid w:val="00872D92"/>
    <w:rsid w:val="00872E21"/>
    <w:rsid w:val="00874C70"/>
    <w:rsid w:val="00874ECA"/>
    <w:rsid w:val="00876EAE"/>
    <w:rsid w:val="00880F95"/>
    <w:rsid w:val="008819C6"/>
    <w:rsid w:val="00882B44"/>
    <w:rsid w:val="00882E73"/>
    <w:rsid w:val="00882FE5"/>
    <w:rsid w:val="008845A4"/>
    <w:rsid w:val="00885CEB"/>
    <w:rsid w:val="00886138"/>
    <w:rsid w:val="00886E66"/>
    <w:rsid w:val="008871B0"/>
    <w:rsid w:val="0089174C"/>
    <w:rsid w:val="0089217C"/>
    <w:rsid w:val="00892657"/>
    <w:rsid w:val="008928A1"/>
    <w:rsid w:val="00893671"/>
    <w:rsid w:val="00895838"/>
    <w:rsid w:val="00895A72"/>
    <w:rsid w:val="00895CDF"/>
    <w:rsid w:val="008968C7"/>
    <w:rsid w:val="008971DB"/>
    <w:rsid w:val="00897A55"/>
    <w:rsid w:val="008A0FC9"/>
    <w:rsid w:val="008A1956"/>
    <w:rsid w:val="008A2B5F"/>
    <w:rsid w:val="008A40D3"/>
    <w:rsid w:val="008A469C"/>
    <w:rsid w:val="008A484A"/>
    <w:rsid w:val="008A5877"/>
    <w:rsid w:val="008A6539"/>
    <w:rsid w:val="008A701C"/>
    <w:rsid w:val="008A79F6"/>
    <w:rsid w:val="008B05DD"/>
    <w:rsid w:val="008B17E8"/>
    <w:rsid w:val="008B1925"/>
    <w:rsid w:val="008B266C"/>
    <w:rsid w:val="008B2D03"/>
    <w:rsid w:val="008B2E7C"/>
    <w:rsid w:val="008B42EB"/>
    <w:rsid w:val="008B45A7"/>
    <w:rsid w:val="008B49D8"/>
    <w:rsid w:val="008B4A70"/>
    <w:rsid w:val="008B502F"/>
    <w:rsid w:val="008B5A88"/>
    <w:rsid w:val="008B5BB4"/>
    <w:rsid w:val="008B621D"/>
    <w:rsid w:val="008B6AFE"/>
    <w:rsid w:val="008B7034"/>
    <w:rsid w:val="008B7227"/>
    <w:rsid w:val="008B727B"/>
    <w:rsid w:val="008C191C"/>
    <w:rsid w:val="008C1DA4"/>
    <w:rsid w:val="008C2CD5"/>
    <w:rsid w:val="008C3618"/>
    <w:rsid w:val="008C37C2"/>
    <w:rsid w:val="008C3F20"/>
    <w:rsid w:val="008C43AD"/>
    <w:rsid w:val="008C45A1"/>
    <w:rsid w:val="008C4EDA"/>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10B"/>
    <w:rsid w:val="008D6426"/>
    <w:rsid w:val="008D66EA"/>
    <w:rsid w:val="008D6E59"/>
    <w:rsid w:val="008D707C"/>
    <w:rsid w:val="008D7155"/>
    <w:rsid w:val="008D7437"/>
    <w:rsid w:val="008D7DE4"/>
    <w:rsid w:val="008E09B3"/>
    <w:rsid w:val="008E141A"/>
    <w:rsid w:val="008E1A44"/>
    <w:rsid w:val="008E1B5E"/>
    <w:rsid w:val="008E28E6"/>
    <w:rsid w:val="008E2B60"/>
    <w:rsid w:val="008E3232"/>
    <w:rsid w:val="008E3674"/>
    <w:rsid w:val="008E3B6C"/>
    <w:rsid w:val="008E4BD5"/>
    <w:rsid w:val="008E68BB"/>
    <w:rsid w:val="008E6C9B"/>
    <w:rsid w:val="008E77D4"/>
    <w:rsid w:val="008F0981"/>
    <w:rsid w:val="008F0AFD"/>
    <w:rsid w:val="008F0DAD"/>
    <w:rsid w:val="008F1681"/>
    <w:rsid w:val="008F17B2"/>
    <w:rsid w:val="008F28EE"/>
    <w:rsid w:val="008F357B"/>
    <w:rsid w:val="008F4381"/>
    <w:rsid w:val="008F44CA"/>
    <w:rsid w:val="008F49B9"/>
    <w:rsid w:val="008F49D3"/>
    <w:rsid w:val="008F6519"/>
    <w:rsid w:val="008F7012"/>
    <w:rsid w:val="008F7B17"/>
    <w:rsid w:val="00900042"/>
    <w:rsid w:val="0090034B"/>
    <w:rsid w:val="00900C7E"/>
    <w:rsid w:val="00902623"/>
    <w:rsid w:val="00902890"/>
    <w:rsid w:val="00904459"/>
    <w:rsid w:val="009047C3"/>
    <w:rsid w:val="00904BE4"/>
    <w:rsid w:val="0090504A"/>
    <w:rsid w:val="00905D7E"/>
    <w:rsid w:val="009063B7"/>
    <w:rsid w:val="00906B83"/>
    <w:rsid w:val="00907037"/>
    <w:rsid w:val="0090768B"/>
    <w:rsid w:val="0091114B"/>
    <w:rsid w:val="0091160A"/>
    <w:rsid w:val="00913258"/>
    <w:rsid w:val="0091564D"/>
    <w:rsid w:val="009156DA"/>
    <w:rsid w:val="00916BC5"/>
    <w:rsid w:val="0091726A"/>
    <w:rsid w:val="00920184"/>
    <w:rsid w:val="00920A19"/>
    <w:rsid w:val="00920EA4"/>
    <w:rsid w:val="00921120"/>
    <w:rsid w:val="00921792"/>
    <w:rsid w:val="00921BEA"/>
    <w:rsid w:val="00922CD2"/>
    <w:rsid w:val="00923998"/>
    <w:rsid w:val="00923DB4"/>
    <w:rsid w:val="0092430E"/>
    <w:rsid w:val="009249D7"/>
    <w:rsid w:val="0092625F"/>
    <w:rsid w:val="009268A9"/>
    <w:rsid w:val="00926EE4"/>
    <w:rsid w:val="00927B37"/>
    <w:rsid w:val="009301B2"/>
    <w:rsid w:val="009313DD"/>
    <w:rsid w:val="00931BDE"/>
    <w:rsid w:val="009321B1"/>
    <w:rsid w:val="00932ED7"/>
    <w:rsid w:val="0093357E"/>
    <w:rsid w:val="0093422D"/>
    <w:rsid w:val="00934325"/>
    <w:rsid w:val="00934DD7"/>
    <w:rsid w:val="00935287"/>
    <w:rsid w:val="009369A9"/>
    <w:rsid w:val="00936CF7"/>
    <w:rsid w:val="00937201"/>
    <w:rsid w:val="0093734A"/>
    <w:rsid w:val="00937783"/>
    <w:rsid w:val="00940FE1"/>
    <w:rsid w:val="00941450"/>
    <w:rsid w:val="00942306"/>
    <w:rsid w:val="009424B8"/>
    <w:rsid w:val="009429B1"/>
    <w:rsid w:val="00942D53"/>
    <w:rsid w:val="009433A4"/>
    <w:rsid w:val="0094435B"/>
    <w:rsid w:val="00944668"/>
    <w:rsid w:val="00944B34"/>
    <w:rsid w:val="00944DC6"/>
    <w:rsid w:val="0094515F"/>
    <w:rsid w:val="0094537D"/>
    <w:rsid w:val="0094573F"/>
    <w:rsid w:val="009458B0"/>
    <w:rsid w:val="00945B52"/>
    <w:rsid w:val="00945DC0"/>
    <w:rsid w:val="00945F05"/>
    <w:rsid w:val="00946348"/>
    <w:rsid w:val="00946C8E"/>
    <w:rsid w:val="009471AD"/>
    <w:rsid w:val="009478A2"/>
    <w:rsid w:val="009479D2"/>
    <w:rsid w:val="00950404"/>
    <w:rsid w:val="00950C59"/>
    <w:rsid w:val="00952060"/>
    <w:rsid w:val="00954800"/>
    <w:rsid w:val="00955643"/>
    <w:rsid w:val="0095595D"/>
    <w:rsid w:val="00955FBB"/>
    <w:rsid w:val="0095694B"/>
    <w:rsid w:val="00956BD5"/>
    <w:rsid w:val="009574BB"/>
    <w:rsid w:val="009577B5"/>
    <w:rsid w:val="00957950"/>
    <w:rsid w:val="009608E6"/>
    <w:rsid w:val="00961779"/>
    <w:rsid w:val="00962EB1"/>
    <w:rsid w:val="009632F5"/>
    <w:rsid w:val="00966522"/>
    <w:rsid w:val="00967D3F"/>
    <w:rsid w:val="00967E78"/>
    <w:rsid w:val="00970D7E"/>
    <w:rsid w:val="00970F18"/>
    <w:rsid w:val="00971786"/>
    <w:rsid w:val="00971CF1"/>
    <w:rsid w:val="009721E9"/>
    <w:rsid w:val="00972A58"/>
    <w:rsid w:val="00973772"/>
    <w:rsid w:val="009738FC"/>
    <w:rsid w:val="00974CA9"/>
    <w:rsid w:val="00975A92"/>
    <w:rsid w:val="00975E1E"/>
    <w:rsid w:val="00975E70"/>
    <w:rsid w:val="00977B45"/>
    <w:rsid w:val="00977CD6"/>
    <w:rsid w:val="00980126"/>
    <w:rsid w:val="00982481"/>
    <w:rsid w:val="00982D26"/>
    <w:rsid w:val="0098330E"/>
    <w:rsid w:val="009833DD"/>
    <w:rsid w:val="00983A0E"/>
    <w:rsid w:val="00983A87"/>
    <w:rsid w:val="009840AB"/>
    <w:rsid w:val="009849E9"/>
    <w:rsid w:val="009866F3"/>
    <w:rsid w:val="00987812"/>
    <w:rsid w:val="00990225"/>
    <w:rsid w:val="0099210F"/>
    <w:rsid w:val="0099244B"/>
    <w:rsid w:val="00993186"/>
    <w:rsid w:val="009947B6"/>
    <w:rsid w:val="00994895"/>
    <w:rsid w:val="00994FCC"/>
    <w:rsid w:val="00995150"/>
    <w:rsid w:val="009957F3"/>
    <w:rsid w:val="00995D67"/>
    <w:rsid w:val="009970BF"/>
    <w:rsid w:val="009A013B"/>
    <w:rsid w:val="009A02F4"/>
    <w:rsid w:val="009A1844"/>
    <w:rsid w:val="009A1F12"/>
    <w:rsid w:val="009A2494"/>
    <w:rsid w:val="009A26CA"/>
    <w:rsid w:val="009A310A"/>
    <w:rsid w:val="009A36F2"/>
    <w:rsid w:val="009A5749"/>
    <w:rsid w:val="009A57D0"/>
    <w:rsid w:val="009A6559"/>
    <w:rsid w:val="009A68FC"/>
    <w:rsid w:val="009A7514"/>
    <w:rsid w:val="009A7E7A"/>
    <w:rsid w:val="009B03E8"/>
    <w:rsid w:val="009B1584"/>
    <w:rsid w:val="009B1585"/>
    <w:rsid w:val="009B2469"/>
    <w:rsid w:val="009B314F"/>
    <w:rsid w:val="009B439C"/>
    <w:rsid w:val="009B4A6C"/>
    <w:rsid w:val="009B5777"/>
    <w:rsid w:val="009B5779"/>
    <w:rsid w:val="009B6753"/>
    <w:rsid w:val="009B6A26"/>
    <w:rsid w:val="009C079D"/>
    <w:rsid w:val="009C0D70"/>
    <w:rsid w:val="009C13D1"/>
    <w:rsid w:val="009C1BFF"/>
    <w:rsid w:val="009C219A"/>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D7200"/>
    <w:rsid w:val="009E0D0A"/>
    <w:rsid w:val="009E0D1A"/>
    <w:rsid w:val="009E153F"/>
    <w:rsid w:val="009E1581"/>
    <w:rsid w:val="009E2D6C"/>
    <w:rsid w:val="009E367E"/>
    <w:rsid w:val="009E388B"/>
    <w:rsid w:val="009E393E"/>
    <w:rsid w:val="009E444E"/>
    <w:rsid w:val="009E4968"/>
    <w:rsid w:val="009E663C"/>
    <w:rsid w:val="009E6BB1"/>
    <w:rsid w:val="009F0092"/>
    <w:rsid w:val="009F0CD9"/>
    <w:rsid w:val="009F1A79"/>
    <w:rsid w:val="009F1F57"/>
    <w:rsid w:val="009F2635"/>
    <w:rsid w:val="009F2E26"/>
    <w:rsid w:val="009F2E31"/>
    <w:rsid w:val="009F4FCF"/>
    <w:rsid w:val="009F5281"/>
    <w:rsid w:val="009F5DE2"/>
    <w:rsid w:val="009F5FCA"/>
    <w:rsid w:val="009F65F4"/>
    <w:rsid w:val="009F676B"/>
    <w:rsid w:val="009F6EA6"/>
    <w:rsid w:val="00A004DF"/>
    <w:rsid w:val="00A00CA5"/>
    <w:rsid w:val="00A00D29"/>
    <w:rsid w:val="00A00FD5"/>
    <w:rsid w:val="00A019A8"/>
    <w:rsid w:val="00A01B03"/>
    <w:rsid w:val="00A02C66"/>
    <w:rsid w:val="00A03861"/>
    <w:rsid w:val="00A0464C"/>
    <w:rsid w:val="00A04D48"/>
    <w:rsid w:val="00A054E0"/>
    <w:rsid w:val="00A05ABE"/>
    <w:rsid w:val="00A061EA"/>
    <w:rsid w:val="00A0663F"/>
    <w:rsid w:val="00A066CE"/>
    <w:rsid w:val="00A0740B"/>
    <w:rsid w:val="00A075A9"/>
    <w:rsid w:val="00A11042"/>
    <w:rsid w:val="00A11805"/>
    <w:rsid w:val="00A133D8"/>
    <w:rsid w:val="00A14E97"/>
    <w:rsid w:val="00A20069"/>
    <w:rsid w:val="00A20280"/>
    <w:rsid w:val="00A2244D"/>
    <w:rsid w:val="00A2253D"/>
    <w:rsid w:val="00A22AEC"/>
    <w:rsid w:val="00A234C7"/>
    <w:rsid w:val="00A23592"/>
    <w:rsid w:val="00A2418A"/>
    <w:rsid w:val="00A247B8"/>
    <w:rsid w:val="00A24D39"/>
    <w:rsid w:val="00A24D8F"/>
    <w:rsid w:val="00A252D3"/>
    <w:rsid w:val="00A25B8B"/>
    <w:rsid w:val="00A26130"/>
    <w:rsid w:val="00A269AF"/>
    <w:rsid w:val="00A269C3"/>
    <w:rsid w:val="00A26ECA"/>
    <w:rsid w:val="00A30D5A"/>
    <w:rsid w:val="00A3142C"/>
    <w:rsid w:val="00A32324"/>
    <w:rsid w:val="00A324C1"/>
    <w:rsid w:val="00A337DB"/>
    <w:rsid w:val="00A3467F"/>
    <w:rsid w:val="00A3551A"/>
    <w:rsid w:val="00A360F9"/>
    <w:rsid w:val="00A376E8"/>
    <w:rsid w:val="00A37E69"/>
    <w:rsid w:val="00A37F8E"/>
    <w:rsid w:val="00A41737"/>
    <w:rsid w:val="00A42B8F"/>
    <w:rsid w:val="00A42F8D"/>
    <w:rsid w:val="00A43254"/>
    <w:rsid w:val="00A43896"/>
    <w:rsid w:val="00A43A26"/>
    <w:rsid w:val="00A447A0"/>
    <w:rsid w:val="00A45705"/>
    <w:rsid w:val="00A4598B"/>
    <w:rsid w:val="00A459F5"/>
    <w:rsid w:val="00A45FC0"/>
    <w:rsid w:val="00A46B32"/>
    <w:rsid w:val="00A46D04"/>
    <w:rsid w:val="00A47301"/>
    <w:rsid w:val="00A47448"/>
    <w:rsid w:val="00A47ECC"/>
    <w:rsid w:val="00A5008C"/>
    <w:rsid w:val="00A50171"/>
    <w:rsid w:val="00A50BE7"/>
    <w:rsid w:val="00A5102E"/>
    <w:rsid w:val="00A51083"/>
    <w:rsid w:val="00A5132E"/>
    <w:rsid w:val="00A51533"/>
    <w:rsid w:val="00A51547"/>
    <w:rsid w:val="00A5158F"/>
    <w:rsid w:val="00A51E68"/>
    <w:rsid w:val="00A52F3B"/>
    <w:rsid w:val="00A531D4"/>
    <w:rsid w:val="00A54D34"/>
    <w:rsid w:val="00A55ACD"/>
    <w:rsid w:val="00A55CFA"/>
    <w:rsid w:val="00A5711F"/>
    <w:rsid w:val="00A575B8"/>
    <w:rsid w:val="00A57DA1"/>
    <w:rsid w:val="00A647B1"/>
    <w:rsid w:val="00A64DEF"/>
    <w:rsid w:val="00A65E4E"/>
    <w:rsid w:val="00A665DF"/>
    <w:rsid w:val="00A67F1B"/>
    <w:rsid w:val="00A67FCC"/>
    <w:rsid w:val="00A70599"/>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B55"/>
    <w:rsid w:val="00A90DE4"/>
    <w:rsid w:val="00A9246D"/>
    <w:rsid w:val="00A93644"/>
    <w:rsid w:val="00A93BD0"/>
    <w:rsid w:val="00A95D69"/>
    <w:rsid w:val="00A975A4"/>
    <w:rsid w:val="00A97872"/>
    <w:rsid w:val="00AA2001"/>
    <w:rsid w:val="00AA2B5C"/>
    <w:rsid w:val="00AA2CEF"/>
    <w:rsid w:val="00AA4E59"/>
    <w:rsid w:val="00AA5328"/>
    <w:rsid w:val="00AA5393"/>
    <w:rsid w:val="00AA5771"/>
    <w:rsid w:val="00AA63D4"/>
    <w:rsid w:val="00AA6767"/>
    <w:rsid w:val="00AA6DAE"/>
    <w:rsid w:val="00AB03FD"/>
    <w:rsid w:val="00AB38CB"/>
    <w:rsid w:val="00AB3BEC"/>
    <w:rsid w:val="00AB44E4"/>
    <w:rsid w:val="00AB4AEB"/>
    <w:rsid w:val="00AB5352"/>
    <w:rsid w:val="00AB56AE"/>
    <w:rsid w:val="00AB62D5"/>
    <w:rsid w:val="00AB65B5"/>
    <w:rsid w:val="00AB6DCD"/>
    <w:rsid w:val="00AB6EE0"/>
    <w:rsid w:val="00AB7D91"/>
    <w:rsid w:val="00AC236C"/>
    <w:rsid w:val="00AC2DFD"/>
    <w:rsid w:val="00AC352D"/>
    <w:rsid w:val="00AC39B7"/>
    <w:rsid w:val="00AC40B7"/>
    <w:rsid w:val="00AC531F"/>
    <w:rsid w:val="00AC6121"/>
    <w:rsid w:val="00AC626D"/>
    <w:rsid w:val="00AC6CB1"/>
    <w:rsid w:val="00AC6F9B"/>
    <w:rsid w:val="00AC733E"/>
    <w:rsid w:val="00AD0091"/>
    <w:rsid w:val="00AD1143"/>
    <w:rsid w:val="00AD17A2"/>
    <w:rsid w:val="00AD23D8"/>
    <w:rsid w:val="00AD23EF"/>
    <w:rsid w:val="00AD307B"/>
    <w:rsid w:val="00AD41B3"/>
    <w:rsid w:val="00AD4C48"/>
    <w:rsid w:val="00AD5720"/>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018"/>
    <w:rsid w:val="00AF1058"/>
    <w:rsid w:val="00AF13DB"/>
    <w:rsid w:val="00AF1699"/>
    <w:rsid w:val="00AF3896"/>
    <w:rsid w:val="00AF4AB7"/>
    <w:rsid w:val="00AF6C33"/>
    <w:rsid w:val="00B0098A"/>
    <w:rsid w:val="00B00A5F"/>
    <w:rsid w:val="00B0225F"/>
    <w:rsid w:val="00B029B8"/>
    <w:rsid w:val="00B02F60"/>
    <w:rsid w:val="00B030FD"/>
    <w:rsid w:val="00B032B8"/>
    <w:rsid w:val="00B039E5"/>
    <w:rsid w:val="00B04B46"/>
    <w:rsid w:val="00B0534D"/>
    <w:rsid w:val="00B06368"/>
    <w:rsid w:val="00B06FC6"/>
    <w:rsid w:val="00B07163"/>
    <w:rsid w:val="00B07429"/>
    <w:rsid w:val="00B12FE6"/>
    <w:rsid w:val="00B1303F"/>
    <w:rsid w:val="00B13417"/>
    <w:rsid w:val="00B1364A"/>
    <w:rsid w:val="00B13D3C"/>
    <w:rsid w:val="00B1525C"/>
    <w:rsid w:val="00B1537C"/>
    <w:rsid w:val="00B16715"/>
    <w:rsid w:val="00B16B22"/>
    <w:rsid w:val="00B171B4"/>
    <w:rsid w:val="00B174A8"/>
    <w:rsid w:val="00B17910"/>
    <w:rsid w:val="00B20F18"/>
    <w:rsid w:val="00B21516"/>
    <w:rsid w:val="00B21EB6"/>
    <w:rsid w:val="00B22CE0"/>
    <w:rsid w:val="00B23047"/>
    <w:rsid w:val="00B23738"/>
    <w:rsid w:val="00B23BEF"/>
    <w:rsid w:val="00B240E0"/>
    <w:rsid w:val="00B247BB"/>
    <w:rsid w:val="00B25047"/>
    <w:rsid w:val="00B256D8"/>
    <w:rsid w:val="00B25806"/>
    <w:rsid w:val="00B25C11"/>
    <w:rsid w:val="00B25EDF"/>
    <w:rsid w:val="00B25EE6"/>
    <w:rsid w:val="00B266E7"/>
    <w:rsid w:val="00B26B53"/>
    <w:rsid w:val="00B3011F"/>
    <w:rsid w:val="00B3115A"/>
    <w:rsid w:val="00B31A5C"/>
    <w:rsid w:val="00B33C19"/>
    <w:rsid w:val="00B34861"/>
    <w:rsid w:val="00B34BBC"/>
    <w:rsid w:val="00B34CB7"/>
    <w:rsid w:val="00B35F6E"/>
    <w:rsid w:val="00B363BD"/>
    <w:rsid w:val="00B369F7"/>
    <w:rsid w:val="00B36A99"/>
    <w:rsid w:val="00B37537"/>
    <w:rsid w:val="00B40F35"/>
    <w:rsid w:val="00B41B81"/>
    <w:rsid w:val="00B42980"/>
    <w:rsid w:val="00B434B2"/>
    <w:rsid w:val="00B434C7"/>
    <w:rsid w:val="00B43D45"/>
    <w:rsid w:val="00B443B4"/>
    <w:rsid w:val="00B44771"/>
    <w:rsid w:val="00B45F7A"/>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67408"/>
    <w:rsid w:val="00B70B45"/>
    <w:rsid w:val="00B7102F"/>
    <w:rsid w:val="00B72C80"/>
    <w:rsid w:val="00B730B4"/>
    <w:rsid w:val="00B74340"/>
    <w:rsid w:val="00B744E0"/>
    <w:rsid w:val="00B7481A"/>
    <w:rsid w:val="00B74CC0"/>
    <w:rsid w:val="00B74F2F"/>
    <w:rsid w:val="00B756FB"/>
    <w:rsid w:val="00B763E6"/>
    <w:rsid w:val="00B769BC"/>
    <w:rsid w:val="00B77349"/>
    <w:rsid w:val="00B7761E"/>
    <w:rsid w:val="00B807EE"/>
    <w:rsid w:val="00B80A37"/>
    <w:rsid w:val="00B80A3D"/>
    <w:rsid w:val="00B823E0"/>
    <w:rsid w:val="00B82B78"/>
    <w:rsid w:val="00B83199"/>
    <w:rsid w:val="00B83E3C"/>
    <w:rsid w:val="00B84662"/>
    <w:rsid w:val="00B85402"/>
    <w:rsid w:val="00B864A3"/>
    <w:rsid w:val="00B868F4"/>
    <w:rsid w:val="00B86C2A"/>
    <w:rsid w:val="00B902A5"/>
    <w:rsid w:val="00B90420"/>
    <w:rsid w:val="00B913E4"/>
    <w:rsid w:val="00B91DB9"/>
    <w:rsid w:val="00B93EFE"/>
    <w:rsid w:val="00B944FF"/>
    <w:rsid w:val="00B94956"/>
    <w:rsid w:val="00B94C7F"/>
    <w:rsid w:val="00B94DF6"/>
    <w:rsid w:val="00B956B5"/>
    <w:rsid w:val="00B95904"/>
    <w:rsid w:val="00B959BC"/>
    <w:rsid w:val="00B95B92"/>
    <w:rsid w:val="00B95C3A"/>
    <w:rsid w:val="00B95FCE"/>
    <w:rsid w:val="00B968CB"/>
    <w:rsid w:val="00BA0A23"/>
    <w:rsid w:val="00BA0D44"/>
    <w:rsid w:val="00BA0E26"/>
    <w:rsid w:val="00BA11BB"/>
    <w:rsid w:val="00BA1A0B"/>
    <w:rsid w:val="00BA2B61"/>
    <w:rsid w:val="00BA31BF"/>
    <w:rsid w:val="00BA3F12"/>
    <w:rsid w:val="00BA43FC"/>
    <w:rsid w:val="00BA478B"/>
    <w:rsid w:val="00BA5224"/>
    <w:rsid w:val="00BA5F8A"/>
    <w:rsid w:val="00BA7456"/>
    <w:rsid w:val="00BA7925"/>
    <w:rsid w:val="00BA7B27"/>
    <w:rsid w:val="00BA7E3B"/>
    <w:rsid w:val="00BB079C"/>
    <w:rsid w:val="00BB32A1"/>
    <w:rsid w:val="00BB39C1"/>
    <w:rsid w:val="00BB43C3"/>
    <w:rsid w:val="00BB52AF"/>
    <w:rsid w:val="00BB5555"/>
    <w:rsid w:val="00BB5D16"/>
    <w:rsid w:val="00BB6180"/>
    <w:rsid w:val="00BB6595"/>
    <w:rsid w:val="00BB69E6"/>
    <w:rsid w:val="00BB6DEF"/>
    <w:rsid w:val="00BB7714"/>
    <w:rsid w:val="00BC089D"/>
    <w:rsid w:val="00BC0C59"/>
    <w:rsid w:val="00BC1B7A"/>
    <w:rsid w:val="00BC2BC7"/>
    <w:rsid w:val="00BC2C17"/>
    <w:rsid w:val="00BC3ACD"/>
    <w:rsid w:val="00BC506D"/>
    <w:rsid w:val="00BC5C09"/>
    <w:rsid w:val="00BC63C3"/>
    <w:rsid w:val="00BC65B2"/>
    <w:rsid w:val="00BC6745"/>
    <w:rsid w:val="00BC6E73"/>
    <w:rsid w:val="00BD0014"/>
    <w:rsid w:val="00BD01D8"/>
    <w:rsid w:val="00BD151A"/>
    <w:rsid w:val="00BD1B17"/>
    <w:rsid w:val="00BD2512"/>
    <w:rsid w:val="00BD255F"/>
    <w:rsid w:val="00BD383D"/>
    <w:rsid w:val="00BD4236"/>
    <w:rsid w:val="00BD5CCA"/>
    <w:rsid w:val="00BD5CD4"/>
    <w:rsid w:val="00BD6EF9"/>
    <w:rsid w:val="00BD77DD"/>
    <w:rsid w:val="00BE0ACB"/>
    <w:rsid w:val="00BE1A90"/>
    <w:rsid w:val="00BE2113"/>
    <w:rsid w:val="00BE2C0A"/>
    <w:rsid w:val="00BE3537"/>
    <w:rsid w:val="00BE360F"/>
    <w:rsid w:val="00BE367B"/>
    <w:rsid w:val="00BE50FD"/>
    <w:rsid w:val="00BE51CA"/>
    <w:rsid w:val="00BE5E5A"/>
    <w:rsid w:val="00BE6D47"/>
    <w:rsid w:val="00BE7032"/>
    <w:rsid w:val="00BE7330"/>
    <w:rsid w:val="00BF01C5"/>
    <w:rsid w:val="00BF045B"/>
    <w:rsid w:val="00BF066A"/>
    <w:rsid w:val="00BF32AA"/>
    <w:rsid w:val="00BF361C"/>
    <w:rsid w:val="00BF39A0"/>
    <w:rsid w:val="00BF4342"/>
    <w:rsid w:val="00BF4B18"/>
    <w:rsid w:val="00BF5050"/>
    <w:rsid w:val="00BF5422"/>
    <w:rsid w:val="00BF54CA"/>
    <w:rsid w:val="00BF54CF"/>
    <w:rsid w:val="00BF59B1"/>
    <w:rsid w:val="00BF6A78"/>
    <w:rsid w:val="00BF6E19"/>
    <w:rsid w:val="00BF79B4"/>
    <w:rsid w:val="00BF7F65"/>
    <w:rsid w:val="00C0099F"/>
    <w:rsid w:val="00C01427"/>
    <w:rsid w:val="00C016A1"/>
    <w:rsid w:val="00C04AAB"/>
    <w:rsid w:val="00C058AF"/>
    <w:rsid w:val="00C05A11"/>
    <w:rsid w:val="00C06F5A"/>
    <w:rsid w:val="00C07A29"/>
    <w:rsid w:val="00C124C1"/>
    <w:rsid w:val="00C128AE"/>
    <w:rsid w:val="00C136D6"/>
    <w:rsid w:val="00C13D5B"/>
    <w:rsid w:val="00C1564E"/>
    <w:rsid w:val="00C1656E"/>
    <w:rsid w:val="00C16615"/>
    <w:rsid w:val="00C17AE2"/>
    <w:rsid w:val="00C20F27"/>
    <w:rsid w:val="00C215CF"/>
    <w:rsid w:val="00C2244B"/>
    <w:rsid w:val="00C2263D"/>
    <w:rsid w:val="00C22B0D"/>
    <w:rsid w:val="00C22F55"/>
    <w:rsid w:val="00C240C1"/>
    <w:rsid w:val="00C250D0"/>
    <w:rsid w:val="00C252AC"/>
    <w:rsid w:val="00C254B0"/>
    <w:rsid w:val="00C255AB"/>
    <w:rsid w:val="00C2692A"/>
    <w:rsid w:val="00C27214"/>
    <w:rsid w:val="00C27597"/>
    <w:rsid w:val="00C30382"/>
    <w:rsid w:val="00C30D6F"/>
    <w:rsid w:val="00C31063"/>
    <w:rsid w:val="00C31B7E"/>
    <w:rsid w:val="00C3242A"/>
    <w:rsid w:val="00C32AE2"/>
    <w:rsid w:val="00C33201"/>
    <w:rsid w:val="00C332C4"/>
    <w:rsid w:val="00C33A63"/>
    <w:rsid w:val="00C34183"/>
    <w:rsid w:val="00C360B3"/>
    <w:rsid w:val="00C36363"/>
    <w:rsid w:val="00C3679B"/>
    <w:rsid w:val="00C37027"/>
    <w:rsid w:val="00C3778D"/>
    <w:rsid w:val="00C405A3"/>
    <w:rsid w:val="00C41DB7"/>
    <w:rsid w:val="00C42752"/>
    <w:rsid w:val="00C42973"/>
    <w:rsid w:val="00C44F9C"/>
    <w:rsid w:val="00C46D58"/>
    <w:rsid w:val="00C4730E"/>
    <w:rsid w:val="00C47EE9"/>
    <w:rsid w:val="00C5019C"/>
    <w:rsid w:val="00C5034F"/>
    <w:rsid w:val="00C514D3"/>
    <w:rsid w:val="00C516D3"/>
    <w:rsid w:val="00C52479"/>
    <w:rsid w:val="00C5291F"/>
    <w:rsid w:val="00C52BC8"/>
    <w:rsid w:val="00C52C59"/>
    <w:rsid w:val="00C5349E"/>
    <w:rsid w:val="00C5354B"/>
    <w:rsid w:val="00C54467"/>
    <w:rsid w:val="00C54D3D"/>
    <w:rsid w:val="00C55116"/>
    <w:rsid w:val="00C55A30"/>
    <w:rsid w:val="00C57C58"/>
    <w:rsid w:val="00C6028F"/>
    <w:rsid w:val="00C6036D"/>
    <w:rsid w:val="00C608F1"/>
    <w:rsid w:val="00C619B9"/>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B53"/>
    <w:rsid w:val="00C72F53"/>
    <w:rsid w:val="00C74035"/>
    <w:rsid w:val="00C75F89"/>
    <w:rsid w:val="00C7602E"/>
    <w:rsid w:val="00C76FF4"/>
    <w:rsid w:val="00C77818"/>
    <w:rsid w:val="00C77AE3"/>
    <w:rsid w:val="00C77C5A"/>
    <w:rsid w:val="00C8059A"/>
    <w:rsid w:val="00C8063F"/>
    <w:rsid w:val="00C81549"/>
    <w:rsid w:val="00C816C8"/>
    <w:rsid w:val="00C8218B"/>
    <w:rsid w:val="00C829A1"/>
    <w:rsid w:val="00C83601"/>
    <w:rsid w:val="00C836C7"/>
    <w:rsid w:val="00C83B36"/>
    <w:rsid w:val="00C842FC"/>
    <w:rsid w:val="00C84F8A"/>
    <w:rsid w:val="00C85209"/>
    <w:rsid w:val="00C8618F"/>
    <w:rsid w:val="00C90372"/>
    <w:rsid w:val="00C9041F"/>
    <w:rsid w:val="00C905D1"/>
    <w:rsid w:val="00C91A45"/>
    <w:rsid w:val="00C91ED2"/>
    <w:rsid w:val="00C91F66"/>
    <w:rsid w:val="00C91FB4"/>
    <w:rsid w:val="00C94D41"/>
    <w:rsid w:val="00C95745"/>
    <w:rsid w:val="00C962E3"/>
    <w:rsid w:val="00C965BD"/>
    <w:rsid w:val="00C96717"/>
    <w:rsid w:val="00C97997"/>
    <w:rsid w:val="00CA08FE"/>
    <w:rsid w:val="00CA0FAC"/>
    <w:rsid w:val="00CA105D"/>
    <w:rsid w:val="00CA2513"/>
    <w:rsid w:val="00CA25C0"/>
    <w:rsid w:val="00CA2690"/>
    <w:rsid w:val="00CA2D32"/>
    <w:rsid w:val="00CA3451"/>
    <w:rsid w:val="00CA4948"/>
    <w:rsid w:val="00CA5138"/>
    <w:rsid w:val="00CA52F9"/>
    <w:rsid w:val="00CA568B"/>
    <w:rsid w:val="00CA6870"/>
    <w:rsid w:val="00CA7500"/>
    <w:rsid w:val="00CA7C34"/>
    <w:rsid w:val="00CA7FD8"/>
    <w:rsid w:val="00CB0696"/>
    <w:rsid w:val="00CB1239"/>
    <w:rsid w:val="00CB19FE"/>
    <w:rsid w:val="00CB240A"/>
    <w:rsid w:val="00CB2EEF"/>
    <w:rsid w:val="00CB304C"/>
    <w:rsid w:val="00CB53E8"/>
    <w:rsid w:val="00CB594A"/>
    <w:rsid w:val="00CB5CB2"/>
    <w:rsid w:val="00CB63C9"/>
    <w:rsid w:val="00CB6979"/>
    <w:rsid w:val="00CC0484"/>
    <w:rsid w:val="00CC06CF"/>
    <w:rsid w:val="00CC0A3D"/>
    <w:rsid w:val="00CC2373"/>
    <w:rsid w:val="00CC2D13"/>
    <w:rsid w:val="00CC3D24"/>
    <w:rsid w:val="00CC3F91"/>
    <w:rsid w:val="00CC40B6"/>
    <w:rsid w:val="00CC4B0A"/>
    <w:rsid w:val="00CC544A"/>
    <w:rsid w:val="00CC57EA"/>
    <w:rsid w:val="00CC5954"/>
    <w:rsid w:val="00CC6C4E"/>
    <w:rsid w:val="00CC6DD8"/>
    <w:rsid w:val="00CD05A2"/>
    <w:rsid w:val="00CD19DA"/>
    <w:rsid w:val="00CD29D4"/>
    <w:rsid w:val="00CD38F5"/>
    <w:rsid w:val="00CD4244"/>
    <w:rsid w:val="00CD437E"/>
    <w:rsid w:val="00CD4AE5"/>
    <w:rsid w:val="00CD5833"/>
    <w:rsid w:val="00CD5A89"/>
    <w:rsid w:val="00CD5DAD"/>
    <w:rsid w:val="00CD614A"/>
    <w:rsid w:val="00CD72C5"/>
    <w:rsid w:val="00CD79A7"/>
    <w:rsid w:val="00CE0789"/>
    <w:rsid w:val="00CE1A03"/>
    <w:rsid w:val="00CE2260"/>
    <w:rsid w:val="00CE2346"/>
    <w:rsid w:val="00CE3529"/>
    <w:rsid w:val="00CE35C8"/>
    <w:rsid w:val="00CE3962"/>
    <w:rsid w:val="00CE5105"/>
    <w:rsid w:val="00CE56BD"/>
    <w:rsid w:val="00CE5EC0"/>
    <w:rsid w:val="00CE6F9F"/>
    <w:rsid w:val="00CE773B"/>
    <w:rsid w:val="00CE781A"/>
    <w:rsid w:val="00CF10FC"/>
    <w:rsid w:val="00CF16CC"/>
    <w:rsid w:val="00CF1D74"/>
    <w:rsid w:val="00CF2261"/>
    <w:rsid w:val="00CF2BE2"/>
    <w:rsid w:val="00CF3EA5"/>
    <w:rsid w:val="00CF55F9"/>
    <w:rsid w:val="00CF71A6"/>
    <w:rsid w:val="00CF7495"/>
    <w:rsid w:val="00CF7671"/>
    <w:rsid w:val="00CF7C5B"/>
    <w:rsid w:val="00CF7FFC"/>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0110"/>
    <w:rsid w:val="00D21168"/>
    <w:rsid w:val="00D235C8"/>
    <w:rsid w:val="00D2384A"/>
    <w:rsid w:val="00D2438C"/>
    <w:rsid w:val="00D26C3F"/>
    <w:rsid w:val="00D27185"/>
    <w:rsid w:val="00D31CA2"/>
    <w:rsid w:val="00D32B84"/>
    <w:rsid w:val="00D337AE"/>
    <w:rsid w:val="00D33AB3"/>
    <w:rsid w:val="00D33F24"/>
    <w:rsid w:val="00D343EB"/>
    <w:rsid w:val="00D346B7"/>
    <w:rsid w:val="00D346B8"/>
    <w:rsid w:val="00D35AC8"/>
    <w:rsid w:val="00D35D34"/>
    <w:rsid w:val="00D36F87"/>
    <w:rsid w:val="00D37957"/>
    <w:rsid w:val="00D37E4E"/>
    <w:rsid w:val="00D42E6C"/>
    <w:rsid w:val="00D43218"/>
    <w:rsid w:val="00D43B80"/>
    <w:rsid w:val="00D44236"/>
    <w:rsid w:val="00D44AE2"/>
    <w:rsid w:val="00D45B1E"/>
    <w:rsid w:val="00D45BA4"/>
    <w:rsid w:val="00D471AF"/>
    <w:rsid w:val="00D4724F"/>
    <w:rsid w:val="00D50519"/>
    <w:rsid w:val="00D508F6"/>
    <w:rsid w:val="00D516A5"/>
    <w:rsid w:val="00D5264C"/>
    <w:rsid w:val="00D5289A"/>
    <w:rsid w:val="00D537FE"/>
    <w:rsid w:val="00D538F0"/>
    <w:rsid w:val="00D54A6A"/>
    <w:rsid w:val="00D54BF8"/>
    <w:rsid w:val="00D54D7C"/>
    <w:rsid w:val="00D55951"/>
    <w:rsid w:val="00D55C6A"/>
    <w:rsid w:val="00D572BE"/>
    <w:rsid w:val="00D57EB6"/>
    <w:rsid w:val="00D60ED7"/>
    <w:rsid w:val="00D63586"/>
    <w:rsid w:val="00D63E6B"/>
    <w:rsid w:val="00D65538"/>
    <w:rsid w:val="00D664BF"/>
    <w:rsid w:val="00D668CA"/>
    <w:rsid w:val="00D66D8B"/>
    <w:rsid w:val="00D67D04"/>
    <w:rsid w:val="00D70C06"/>
    <w:rsid w:val="00D70D87"/>
    <w:rsid w:val="00D72A1C"/>
    <w:rsid w:val="00D73580"/>
    <w:rsid w:val="00D73802"/>
    <w:rsid w:val="00D73868"/>
    <w:rsid w:val="00D73C2C"/>
    <w:rsid w:val="00D73D52"/>
    <w:rsid w:val="00D74042"/>
    <w:rsid w:val="00D7453F"/>
    <w:rsid w:val="00D745E7"/>
    <w:rsid w:val="00D76B0F"/>
    <w:rsid w:val="00D77495"/>
    <w:rsid w:val="00D774ED"/>
    <w:rsid w:val="00D777F6"/>
    <w:rsid w:val="00D77F88"/>
    <w:rsid w:val="00D8002D"/>
    <w:rsid w:val="00D8047C"/>
    <w:rsid w:val="00D81EAA"/>
    <w:rsid w:val="00D8232B"/>
    <w:rsid w:val="00D8259F"/>
    <w:rsid w:val="00D825F2"/>
    <w:rsid w:val="00D828B1"/>
    <w:rsid w:val="00D83E88"/>
    <w:rsid w:val="00D84F27"/>
    <w:rsid w:val="00D850D4"/>
    <w:rsid w:val="00D862D1"/>
    <w:rsid w:val="00D873C6"/>
    <w:rsid w:val="00D90BA6"/>
    <w:rsid w:val="00D90EF6"/>
    <w:rsid w:val="00D91027"/>
    <w:rsid w:val="00D9393E"/>
    <w:rsid w:val="00D93B66"/>
    <w:rsid w:val="00D94C7D"/>
    <w:rsid w:val="00D94CA4"/>
    <w:rsid w:val="00D94FB4"/>
    <w:rsid w:val="00D95E99"/>
    <w:rsid w:val="00DA098C"/>
    <w:rsid w:val="00DA1A3A"/>
    <w:rsid w:val="00DA2712"/>
    <w:rsid w:val="00DA2C65"/>
    <w:rsid w:val="00DA395D"/>
    <w:rsid w:val="00DA42CE"/>
    <w:rsid w:val="00DA6229"/>
    <w:rsid w:val="00DA6D33"/>
    <w:rsid w:val="00DB16B8"/>
    <w:rsid w:val="00DB1869"/>
    <w:rsid w:val="00DB1D52"/>
    <w:rsid w:val="00DB1F62"/>
    <w:rsid w:val="00DB2852"/>
    <w:rsid w:val="00DB2E03"/>
    <w:rsid w:val="00DB313B"/>
    <w:rsid w:val="00DB3369"/>
    <w:rsid w:val="00DB3742"/>
    <w:rsid w:val="00DB3F4B"/>
    <w:rsid w:val="00DB61A4"/>
    <w:rsid w:val="00DB67C1"/>
    <w:rsid w:val="00DB70CD"/>
    <w:rsid w:val="00DB70F4"/>
    <w:rsid w:val="00DB7343"/>
    <w:rsid w:val="00DC06BE"/>
    <w:rsid w:val="00DC1056"/>
    <w:rsid w:val="00DC211E"/>
    <w:rsid w:val="00DC21D8"/>
    <w:rsid w:val="00DC282A"/>
    <w:rsid w:val="00DC34C5"/>
    <w:rsid w:val="00DC34DC"/>
    <w:rsid w:val="00DC3CC6"/>
    <w:rsid w:val="00DC4486"/>
    <w:rsid w:val="00DC514A"/>
    <w:rsid w:val="00DC64EC"/>
    <w:rsid w:val="00DC67B1"/>
    <w:rsid w:val="00DC7833"/>
    <w:rsid w:val="00DC7CE9"/>
    <w:rsid w:val="00DD132B"/>
    <w:rsid w:val="00DD1725"/>
    <w:rsid w:val="00DD1E84"/>
    <w:rsid w:val="00DD2427"/>
    <w:rsid w:val="00DD2A18"/>
    <w:rsid w:val="00DD36DA"/>
    <w:rsid w:val="00DD5B1A"/>
    <w:rsid w:val="00DD61E8"/>
    <w:rsid w:val="00DD62C0"/>
    <w:rsid w:val="00DD7859"/>
    <w:rsid w:val="00DE03AC"/>
    <w:rsid w:val="00DE0A1D"/>
    <w:rsid w:val="00DE10BD"/>
    <w:rsid w:val="00DE15B2"/>
    <w:rsid w:val="00DE1A9A"/>
    <w:rsid w:val="00DE3D2C"/>
    <w:rsid w:val="00DE59F8"/>
    <w:rsid w:val="00DE5E82"/>
    <w:rsid w:val="00DE5FA6"/>
    <w:rsid w:val="00DE6494"/>
    <w:rsid w:val="00DE6AA1"/>
    <w:rsid w:val="00DE74D7"/>
    <w:rsid w:val="00DE7EF7"/>
    <w:rsid w:val="00DF0416"/>
    <w:rsid w:val="00DF106A"/>
    <w:rsid w:val="00DF1185"/>
    <w:rsid w:val="00DF1299"/>
    <w:rsid w:val="00DF1A70"/>
    <w:rsid w:val="00DF1AEF"/>
    <w:rsid w:val="00DF23A8"/>
    <w:rsid w:val="00DF269C"/>
    <w:rsid w:val="00DF2F27"/>
    <w:rsid w:val="00DF35B9"/>
    <w:rsid w:val="00DF4245"/>
    <w:rsid w:val="00DF6CCC"/>
    <w:rsid w:val="00DF6D0C"/>
    <w:rsid w:val="00DF6DC2"/>
    <w:rsid w:val="00DF6F64"/>
    <w:rsid w:val="00DF721E"/>
    <w:rsid w:val="00DF7C87"/>
    <w:rsid w:val="00E009B0"/>
    <w:rsid w:val="00E03020"/>
    <w:rsid w:val="00E031C0"/>
    <w:rsid w:val="00E03AFE"/>
    <w:rsid w:val="00E03D5C"/>
    <w:rsid w:val="00E046A9"/>
    <w:rsid w:val="00E04C0F"/>
    <w:rsid w:val="00E0570B"/>
    <w:rsid w:val="00E057B2"/>
    <w:rsid w:val="00E05996"/>
    <w:rsid w:val="00E068D9"/>
    <w:rsid w:val="00E10B87"/>
    <w:rsid w:val="00E12EE5"/>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4E4"/>
    <w:rsid w:val="00E36AA7"/>
    <w:rsid w:val="00E36E39"/>
    <w:rsid w:val="00E405F1"/>
    <w:rsid w:val="00E40A88"/>
    <w:rsid w:val="00E41337"/>
    <w:rsid w:val="00E4263A"/>
    <w:rsid w:val="00E42661"/>
    <w:rsid w:val="00E43054"/>
    <w:rsid w:val="00E434C4"/>
    <w:rsid w:val="00E44BAE"/>
    <w:rsid w:val="00E44FE4"/>
    <w:rsid w:val="00E46013"/>
    <w:rsid w:val="00E474FF"/>
    <w:rsid w:val="00E477C3"/>
    <w:rsid w:val="00E5048D"/>
    <w:rsid w:val="00E50AC4"/>
    <w:rsid w:val="00E50B38"/>
    <w:rsid w:val="00E51077"/>
    <w:rsid w:val="00E5132D"/>
    <w:rsid w:val="00E51741"/>
    <w:rsid w:val="00E51E16"/>
    <w:rsid w:val="00E52151"/>
    <w:rsid w:val="00E53730"/>
    <w:rsid w:val="00E53C46"/>
    <w:rsid w:val="00E543BA"/>
    <w:rsid w:val="00E54511"/>
    <w:rsid w:val="00E545D3"/>
    <w:rsid w:val="00E548BE"/>
    <w:rsid w:val="00E54978"/>
    <w:rsid w:val="00E54B8A"/>
    <w:rsid w:val="00E55DC3"/>
    <w:rsid w:val="00E57577"/>
    <w:rsid w:val="00E6172A"/>
    <w:rsid w:val="00E62043"/>
    <w:rsid w:val="00E626B9"/>
    <w:rsid w:val="00E627C9"/>
    <w:rsid w:val="00E630F3"/>
    <w:rsid w:val="00E63827"/>
    <w:rsid w:val="00E64513"/>
    <w:rsid w:val="00E65198"/>
    <w:rsid w:val="00E664FB"/>
    <w:rsid w:val="00E66F0D"/>
    <w:rsid w:val="00E70615"/>
    <w:rsid w:val="00E71A5E"/>
    <w:rsid w:val="00E72011"/>
    <w:rsid w:val="00E7207B"/>
    <w:rsid w:val="00E7347A"/>
    <w:rsid w:val="00E746F4"/>
    <w:rsid w:val="00E74842"/>
    <w:rsid w:val="00E75325"/>
    <w:rsid w:val="00E75A47"/>
    <w:rsid w:val="00E75D8C"/>
    <w:rsid w:val="00E77771"/>
    <w:rsid w:val="00E777F2"/>
    <w:rsid w:val="00E779ED"/>
    <w:rsid w:val="00E802C9"/>
    <w:rsid w:val="00E809A6"/>
    <w:rsid w:val="00E80EDD"/>
    <w:rsid w:val="00E80F0A"/>
    <w:rsid w:val="00E81A6A"/>
    <w:rsid w:val="00E8291B"/>
    <w:rsid w:val="00E8395F"/>
    <w:rsid w:val="00E83BAE"/>
    <w:rsid w:val="00E8473F"/>
    <w:rsid w:val="00E850B2"/>
    <w:rsid w:val="00E857EB"/>
    <w:rsid w:val="00E85E41"/>
    <w:rsid w:val="00E85EA1"/>
    <w:rsid w:val="00E8610B"/>
    <w:rsid w:val="00E863C0"/>
    <w:rsid w:val="00E86C86"/>
    <w:rsid w:val="00E87299"/>
    <w:rsid w:val="00E91044"/>
    <w:rsid w:val="00E910D3"/>
    <w:rsid w:val="00E9214B"/>
    <w:rsid w:val="00E923CF"/>
    <w:rsid w:val="00E9335F"/>
    <w:rsid w:val="00E95111"/>
    <w:rsid w:val="00E9783B"/>
    <w:rsid w:val="00EA061E"/>
    <w:rsid w:val="00EA14C8"/>
    <w:rsid w:val="00EA19D3"/>
    <w:rsid w:val="00EA2358"/>
    <w:rsid w:val="00EA2C8B"/>
    <w:rsid w:val="00EA3582"/>
    <w:rsid w:val="00EA4ABE"/>
    <w:rsid w:val="00EA6649"/>
    <w:rsid w:val="00EB05D0"/>
    <w:rsid w:val="00EB07C5"/>
    <w:rsid w:val="00EB107E"/>
    <w:rsid w:val="00EB11D8"/>
    <w:rsid w:val="00EB1D49"/>
    <w:rsid w:val="00EB3A13"/>
    <w:rsid w:val="00EB42DD"/>
    <w:rsid w:val="00EB559F"/>
    <w:rsid w:val="00EB5F3D"/>
    <w:rsid w:val="00EB6EC2"/>
    <w:rsid w:val="00EB70C3"/>
    <w:rsid w:val="00EC0090"/>
    <w:rsid w:val="00EC1AD6"/>
    <w:rsid w:val="00EC1CEB"/>
    <w:rsid w:val="00EC268C"/>
    <w:rsid w:val="00EC3602"/>
    <w:rsid w:val="00EC3753"/>
    <w:rsid w:val="00EC3CB8"/>
    <w:rsid w:val="00EC3D46"/>
    <w:rsid w:val="00EC4E71"/>
    <w:rsid w:val="00EC569A"/>
    <w:rsid w:val="00EC6667"/>
    <w:rsid w:val="00EC676D"/>
    <w:rsid w:val="00ED0365"/>
    <w:rsid w:val="00ED0865"/>
    <w:rsid w:val="00ED094F"/>
    <w:rsid w:val="00ED16B6"/>
    <w:rsid w:val="00ED1C60"/>
    <w:rsid w:val="00ED2EB9"/>
    <w:rsid w:val="00ED4469"/>
    <w:rsid w:val="00ED4547"/>
    <w:rsid w:val="00ED5F23"/>
    <w:rsid w:val="00ED6DC0"/>
    <w:rsid w:val="00ED6EC1"/>
    <w:rsid w:val="00ED79CE"/>
    <w:rsid w:val="00ED7A7A"/>
    <w:rsid w:val="00EE038C"/>
    <w:rsid w:val="00EE040B"/>
    <w:rsid w:val="00EE47C5"/>
    <w:rsid w:val="00EE4864"/>
    <w:rsid w:val="00EE490C"/>
    <w:rsid w:val="00EE4E02"/>
    <w:rsid w:val="00EE5619"/>
    <w:rsid w:val="00EE5701"/>
    <w:rsid w:val="00EE613B"/>
    <w:rsid w:val="00EE6911"/>
    <w:rsid w:val="00EE7E17"/>
    <w:rsid w:val="00EF2C8E"/>
    <w:rsid w:val="00EF37E4"/>
    <w:rsid w:val="00EF3A0D"/>
    <w:rsid w:val="00EF3A3D"/>
    <w:rsid w:val="00EF3CEB"/>
    <w:rsid w:val="00EF41A8"/>
    <w:rsid w:val="00EF44FB"/>
    <w:rsid w:val="00EF4D3C"/>
    <w:rsid w:val="00EF5554"/>
    <w:rsid w:val="00EF5AD8"/>
    <w:rsid w:val="00EF5D2F"/>
    <w:rsid w:val="00EF63F5"/>
    <w:rsid w:val="00EF6758"/>
    <w:rsid w:val="00EF6B90"/>
    <w:rsid w:val="00EF70AE"/>
    <w:rsid w:val="00EF79F7"/>
    <w:rsid w:val="00F00145"/>
    <w:rsid w:val="00F00418"/>
    <w:rsid w:val="00F006C0"/>
    <w:rsid w:val="00F019AA"/>
    <w:rsid w:val="00F02018"/>
    <w:rsid w:val="00F0267E"/>
    <w:rsid w:val="00F02686"/>
    <w:rsid w:val="00F0366B"/>
    <w:rsid w:val="00F039B3"/>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5FB2"/>
    <w:rsid w:val="00F2637F"/>
    <w:rsid w:val="00F263A8"/>
    <w:rsid w:val="00F268F7"/>
    <w:rsid w:val="00F27280"/>
    <w:rsid w:val="00F3053D"/>
    <w:rsid w:val="00F30BDB"/>
    <w:rsid w:val="00F30CF8"/>
    <w:rsid w:val="00F30EE8"/>
    <w:rsid w:val="00F317E3"/>
    <w:rsid w:val="00F31EDF"/>
    <w:rsid w:val="00F32CDE"/>
    <w:rsid w:val="00F32D4C"/>
    <w:rsid w:val="00F34811"/>
    <w:rsid w:val="00F34B14"/>
    <w:rsid w:val="00F365E8"/>
    <w:rsid w:val="00F36A6A"/>
    <w:rsid w:val="00F40101"/>
    <w:rsid w:val="00F404F7"/>
    <w:rsid w:val="00F40CCA"/>
    <w:rsid w:val="00F41521"/>
    <w:rsid w:val="00F41975"/>
    <w:rsid w:val="00F41B5A"/>
    <w:rsid w:val="00F41C0E"/>
    <w:rsid w:val="00F42D97"/>
    <w:rsid w:val="00F43F09"/>
    <w:rsid w:val="00F44297"/>
    <w:rsid w:val="00F45A72"/>
    <w:rsid w:val="00F46723"/>
    <w:rsid w:val="00F50016"/>
    <w:rsid w:val="00F501DD"/>
    <w:rsid w:val="00F50647"/>
    <w:rsid w:val="00F5118A"/>
    <w:rsid w:val="00F513A2"/>
    <w:rsid w:val="00F51A21"/>
    <w:rsid w:val="00F5276E"/>
    <w:rsid w:val="00F52861"/>
    <w:rsid w:val="00F529F9"/>
    <w:rsid w:val="00F52E9F"/>
    <w:rsid w:val="00F53304"/>
    <w:rsid w:val="00F53D40"/>
    <w:rsid w:val="00F545ED"/>
    <w:rsid w:val="00F5687F"/>
    <w:rsid w:val="00F575C7"/>
    <w:rsid w:val="00F57B30"/>
    <w:rsid w:val="00F60305"/>
    <w:rsid w:val="00F60B72"/>
    <w:rsid w:val="00F61B12"/>
    <w:rsid w:val="00F61CC5"/>
    <w:rsid w:val="00F62398"/>
    <w:rsid w:val="00F623F1"/>
    <w:rsid w:val="00F631E8"/>
    <w:rsid w:val="00F63223"/>
    <w:rsid w:val="00F63264"/>
    <w:rsid w:val="00F6379E"/>
    <w:rsid w:val="00F64142"/>
    <w:rsid w:val="00F657E9"/>
    <w:rsid w:val="00F70799"/>
    <w:rsid w:val="00F70906"/>
    <w:rsid w:val="00F70A8B"/>
    <w:rsid w:val="00F724FB"/>
    <w:rsid w:val="00F7253D"/>
    <w:rsid w:val="00F72578"/>
    <w:rsid w:val="00F72A26"/>
    <w:rsid w:val="00F733C3"/>
    <w:rsid w:val="00F756DD"/>
    <w:rsid w:val="00F75DB3"/>
    <w:rsid w:val="00F80047"/>
    <w:rsid w:val="00F8104D"/>
    <w:rsid w:val="00F81587"/>
    <w:rsid w:val="00F82571"/>
    <w:rsid w:val="00F83379"/>
    <w:rsid w:val="00F85B72"/>
    <w:rsid w:val="00F86B6D"/>
    <w:rsid w:val="00F8766F"/>
    <w:rsid w:val="00F87A81"/>
    <w:rsid w:val="00F9104C"/>
    <w:rsid w:val="00F91082"/>
    <w:rsid w:val="00F91A9A"/>
    <w:rsid w:val="00F93ABB"/>
    <w:rsid w:val="00F940EF"/>
    <w:rsid w:val="00F94D79"/>
    <w:rsid w:val="00F97E7E"/>
    <w:rsid w:val="00FA118A"/>
    <w:rsid w:val="00FA1440"/>
    <w:rsid w:val="00FA31C7"/>
    <w:rsid w:val="00FA472D"/>
    <w:rsid w:val="00FA7254"/>
    <w:rsid w:val="00FB0214"/>
    <w:rsid w:val="00FB080C"/>
    <w:rsid w:val="00FB0FAF"/>
    <w:rsid w:val="00FB12BC"/>
    <w:rsid w:val="00FB18F6"/>
    <w:rsid w:val="00FB2056"/>
    <w:rsid w:val="00FB2A52"/>
    <w:rsid w:val="00FB2EB2"/>
    <w:rsid w:val="00FB2F13"/>
    <w:rsid w:val="00FB31FD"/>
    <w:rsid w:val="00FB6E19"/>
    <w:rsid w:val="00FB71F6"/>
    <w:rsid w:val="00FC1339"/>
    <w:rsid w:val="00FC1483"/>
    <w:rsid w:val="00FC1C47"/>
    <w:rsid w:val="00FC2CED"/>
    <w:rsid w:val="00FC39ED"/>
    <w:rsid w:val="00FC4419"/>
    <w:rsid w:val="00FC47E2"/>
    <w:rsid w:val="00FC4AA5"/>
    <w:rsid w:val="00FC5148"/>
    <w:rsid w:val="00FC5528"/>
    <w:rsid w:val="00FC75AC"/>
    <w:rsid w:val="00FD01BF"/>
    <w:rsid w:val="00FD0525"/>
    <w:rsid w:val="00FD119F"/>
    <w:rsid w:val="00FD297D"/>
    <w:rsid w:val="00FD298C"/>
    <w:rsid w:val="00FD2D13"/>
    <w:rsid w:val="00FD3D26"/>
    <w:rsid w:val="00FD4789"/>
    <w:rsid w:val="00FD59FE"/>
    <w:rsid w:val="00FD6071"/>
    <w:rsid w:val="00FE0794"/>
    <w:rsid w:val="00FE1041"/>
    <w:rsid w:val="00FE1C22"/>
    <w:rsid w:val="00FE24CB"/>
    <w:rsid w:val="00FE2D46"/>
    <w:rsid w:val="00FE3166"/>
    <w:rsid w:val="00FE3320"/>
    <w:rsid w:val="00FE3473"/>
    <w:rsid w:val="00FE353B"/>
    <w:rsid w:val="00FE3E81"/>
    <w:rsid w:val="00FE4049"/>
    <w:rsid w:val="00FE4794"/>
    <w:rsid w:val="00FE5DF7"/>
    <w:rsid w:val="00FE5F72"/>
    <w:rsid w:val="00FE76E4"/>
    <w:rsid w:val="00FF0231"/>
    <w:rsid w:val="00FF1C9B"/>
    <w:rsid w:val="00FF1D49"/>
    <w:rsid w:val="00FF2562"/>
    <w:rsid w:val="00FF2CE1"/>
    <w:rsid w:val="00FF3A41"/>
    <w:rsid w:val="00FF3E5B"/>
    <w:rsid w:val="00FF544F"/>
    <w:rsid w:val="00FF57E4"/>
    <w:rsid w:val="00FF73CE"/>
    <w:rsid w:val="00FF75D9"/>
    <w:rsid w:val="00FF78E5"/>
    <w:rsid w:val="02511F9D"/>
    <w:rsid w:val="02DC2D3E"/>
    <w:rsid w:val="03056ED3"/>
    <w:rsid w:val="0314369E"/>
    <w:rsid w:val="03A314B8"/>
    <w:rsid w:val="03A907BD"/>
    <w:rsid w:val="03D82B98"/>
    <w:rsid w:val="03F83E8B"/>
    <w:rsid w:val="04EC3BC6"/>
    <w:rsid w:val="04F96FF0"/>
    <w:rsid w:val="05B74650"/>
    <w:rsid w:val="06536B17"/>
    <w:rsid w:val="06FD3ECB"/>
    <w:rsid w:val="07026A9C"/>
    <w:rsid w:val="07B72767"/>
    <w:rsid w:val="08077E72"/>
    <w:rsid w:val="08663767"/>
    <w:rsid w:val="08AC4379"/>
    <w:rsid w:val="08E729B2"/>
    <w:rsid w:val="09053F2C"/>
    <w:rsid w:val="09270E73"/>
    <w:rsid w:val="092C43F4"/>
    <w:rsid w:val="094F37C0"/>
    <w:rsid w:val="09CC2AAC"/>
    <w:rsid w:val="09D820EE"/>
    <w:rsid w:val="0A652D3E"/>
    <w:rsid w:val="0AAD7F01"/>
    <w:rsid w:val="0B253A7F"/>
    <w:rsid w:val="0B3A48F0"/>
    <w:rsid w:val="0B4B7C0B"/>
    <w:rsid w:val="0B7A1444"/>
    <w:rsid w:val="0C0C501F"/>
    <w:rsid w:val="0C671F47"/>
    <w:rsid w:val="0C92213C"/>
    <w:rsid w:val="0CCD6E21"/>
    <w:rsid w:val="0D4F221D"/>
    <w:rsid w:val="0D6D5BCB"/>
    <w:rsid w:val="0D8238FA"/>
    <w:rsid w:val="0D84032B"/>
    <w:rsid w:val="0DD01512"/>
    <w:rsid w:val="0E1D4583"/>
    <w:rsid w:val="0EAB6328"/>
    <w:rsid w:val="0ED317E0"/>
    <w:rsid w:val="0F0A0484"/>
    <w:rsid w:val="0F2C39E7"/>
    <w:rsid w:val="103A226A"/>
    <w:rsid w:val="10910627"/>
    <w:rsid w:val="10993435"/>
    <w:rsid w:val="10A27F31"/>
    <w:rsid w:val="10AC2CA2"/>
    <w:rsid w:val="10CA487C"/>
    <w:rsid w:val="11927058"/>
    <w:rsid w:val="11B604EC"/>
    <w:rsid w:val="121708A7"/>
    <w:rsid w:val="126537F7"/>
    <w:rsid w:val="12CB22DC"/>
    <w:rsid w:val="12FE1C75"/>
    <w:rsid w:val="13AF4F03"/>
    <w:rsid w:val="14661880"/>
    <w:rsid w:val="14736E66"/>
    <w:rsid w:val="14832587"/>
    <w:rsid w:val="149B6AC2"/>
    <w:rsid w:val="14ED4080"/>
    <w:rsid w:val="15293653"/>
    <w:rsid w:val="1534169A"/>
    <w:rsid w:val="15581B10"/>
    <w:rsid w:val="15C03E03"/>
    <w:rsid w:val="162A25EB"/>
    <w:rsid w:val="16774D11"/>
    <w:rsid w:val="16FD2A55"/>
    <w:rsid w:val="17124234"/>
    <w:rsid w:val="17366761"/>
    <w:rsid w:val="177C01F0"/>
    <w:rsid w:val="177D719B"/>
    <w:rsid w:val="178057B9"/>
    <w:rsid w:val="17CE6630"/>
    <w:rsid w:val="188A3D86"/>
    <w:rsid w:val="18AC1971"/>
    <w:rsid w:val="191775ED"/>
    <w:rsid w:val="19820BA0"/>
    <w:rsid w:val="19C03CF6"/>
    <w:rsid w:val="19C150EF"/>
    <w:rsid w:val="19F6167D"/>
    <w:rsid w:val="1A5D5784"/>
    <w:rsid w:val="1A675266"/>
    <w:rsid w:val="1A9544D2"/>
    <w:rsid w:val="1AFA16D5"/>
    <w:rsid w:val="1B4F19F8"/>
    <w:rsid w:val="1BCD0EF8"/>
    <w:rsid w:val="1BD92184"/>
    <w:rsid w:val="1C0855F6"/>
    <w:rsid w:val="1C406A69"/>
    <w:rsid w:val="1C5170A2"/>
    <w:rsid w:val="1D4061A8"/>
    <w:rsid w:val="1D634A51"/>
    <w:rsid w:val="1D723DB3"/>
    <w:rsid w:val="1DDA616F"/>
    <w:rsid w:val="1E326C77"/>
    <w:rsid w:val="1E8A07BD"/>
    <w:rsid w:val="1E9B4F4B"/>
    <w:rsid w:val="1E9D669E"/>
    <w:rsid w:val="1EC57AEB"/>
    <w:rsid w:val="1EC61413"/>
    <w:rsid w:val="1ECE5138"/>
    <w:rsid w:val="1ED74A5D"/>
    <w:rsid w:val="1F063325"/>
    <w:rsid w:val="1F4655C1"/>
    <w:rsid w:val="1F5275D0"/>
    <w:rsid w:val="1FBC5DF5"/>
    <w:rsid w:val="1FC55574"/>
    <w:rsid w:val="2030310A"/>
    <w:rsid w:val="21353F88"/>
    <w:rsid w:val="213A2640"/>
    <w:rsid w:val="21735FAB"/>
    <w:rsid w:val="21B83F86"/>
    <w:rsid w:val="21C67CEA"/>
    <w:rsid w:val="21DD6407"/>
    <w:rsid w:val="21E55E66"/>
    <w:rsid w:val="221178A8"/>
    <w:rsid w:val="221213CF"/>
    <w:rsid w:val="22327A92"/>
    <w:rsid w:val="228269AC"/>
    <w:rsid w:val="22965435"/>
    <w:rsid w:val="22B81ADD"/>
    <w:rsid w:val="22BD6F35"/>
    <w:rsid w:val="231D53A2"/>
    <w:rsid w:val="233A1435"/>
    <w:rsid w:val="236F29AB"/>
    <w:rsid w:val="23B7504C"/>
    <w:rsid w:val="24194213"/>
    <w:rsid w:val="24411099"/>
    <w:rsid w:val="24571307"/>
    <w:rsid w:val="24A7216D"/>
    <w:rsid w:val="24BA2984"/>
    <w:rsid w:val="24C54C65"/>
    <w:rsid w:val="25093D59"/>
    <w:rsid w:val="25246333"/>
    <w:rsid w:val="254B0B4F"/>
    <w:rsid w:val="25A24781"/>
    <w:rsid w:val="25AC3318"/>
    <w:rsid w:val="26055EE5"/>
    <w:rsid w:val="26446DE3"/>
    <w:rsid w:val="264D165B"/>
    <w:rsid w:val="26D7699F"/>
    <w:rsid w:val="274A5E17"/>
    <w:rsid w:val="27612030"/>
    <w:rsid w:val="27912C60"/>
    <w:rsid w:val="27FF051D"/>
    <w:rsid w:val="281954D5"/>
    <w:rsid w:val="28223894"/>
    <w:rsid w:val="288451FA"/>
    <w:rsid w:val="28FC0B42"/>
    <w:rsid w:val="28FE19B0"/>
    <w:rsid w:val="296C799C"/>
    <w:rsid w:val="29AA04B4"/>
    <w:rsid w:val="2A851825"/>
    <w:rsid w:val="2AE95142"/>
    <w:rsid w:val="2B09065E"/>
    <w:rsid w:val="2B774624"/>
    <w:rsid w:val="2BC068DD"/>
    <w:rsid w:val="2C5033BA"/>
    <w:rsid w:val="2C7A72BE"/>
    <w:rsid w:val="2DF94920"/>
    <w:rsid w:val="2E6B4F22"/>
    <w:rsid w:val="2EC658E5"/>
    <w:rsid w:val="2F401D3C"/>
    <w:rsid w:val="2FA95C88"/>
    <w:rsid w:val="3041370F"/>
    <w:rsid w:val="309A577C"/>
    <w:rsid w:val="30A734F4"/>
    <w:rsid w:val="31083A05"/>
    <w:rsid w:val="3192385D"/>
    <w:rsid w:val="32453A27"/>
    <w:rsid w:val="3263064A"/>
    <w:rsid w:val="32AC0C06"/>
    <w:rsid w:val="32CD2047"/>
    <w:rsid w:val="3335159A"/>
    <w:rsid w:val="33BD7658"/>
    <w:rsid w:val="33D3518A"/>
    <w:rsid w:val="34106909"/>
    <w:rsid w:val="34AB16EB"/>
    <w:rsid w:val="34E74919"/>
    <w:rsid w:val="351A045A"/>
    <w:rsid w:val="3537750C"/>
    <w:rsid w:val="3537798C"/>
    <w:rsid w:val="35470F7B"/>
    <w:rsid w:val="357F1113"/>
    <w:rsid w:val="357F7ED5"/>
    <w:rsid w:val="3591331B"/>
    <w:rsid w:val="35C13FC9"/>
    <w:rsid w:val="35ED7BFB"/>
    <w:rsid w:val="362E6D87"/>
    <w:rsid w:val="363027A8"/>
    <w:rsid w:val="36314350"/>
    <w:rsid w:val="364257B6"/>
    <w:rsid w:val="366951E8"/>
    <w:rsid w:val="366F50BD"/>
    <w:rsid w:val="36D45041"/>
    <w:rsid w:val="36F834D1"/>
    <w:rsid w:val="374264D3"/>
    <w:rsid w:val="376E40E2"/>
    <w:rsid w:val="37AD5029"/>
    <w:rsid w:val="37DB7874"/>
    <w:rsid w:val="37EA5922"/>
    <w:rsid w:val="38276B93"/>
    <w:rsid w:val="38687C86"/>
    <w:rsid w:val="38E05CE7"/>
    <w:rsid w:val="39096AFA"/>
    <w:rsid w:val="3A0B64A7"/>
    <w:rsid w:val="3A107D3F"/>
    <w:rsid w:val="3A1A29A4"/>
    <w:rsid w:val="3AAE7BD3"/>
    <w:rsid w:val="3AF74C02"/>
    <w:rsid w:val="3B2E729B"/>
    <w:rsid w:val="3B585B17"/>
    <w:rsid w:val="3C004876"/>
    <w:rsid w:val="3C0059A5"/>
    <w:rsid w:val="3C134E78"/>
    <w:rsid w:val="3C3236ED"/>
    <w:rsid w:val="3CE42038"/>
    <w:rsid w:val="3CE7667B"/>
    <w:rsid w:val="3D9E5E6E"/>
    <w:rsid w:val="3DD521AA"/>
    <w:rsid w:val="3DF6345D"/>
    <w:rsid w:val="3EB048FD"/>
    <w:rsid w:val="3EC357A9"/>
    <w:rsid w:val="3EC80E72"/>
    <w:rsid w:val="3EE13701"/>
    <w:rsid w:val="3F1A4BB3"/>
    <w:rsid w:val="3F20694C"/>
    <w:rsid w:val="3F515966"/>
    <w:rsid w:val="3F746C97"/>
    <w:rsid w:val="3FD37FC4"/>
    <w:rsid w:val="40192BA6"/>
    <w:rsid w:val="41225684"/>
    <w:rsid w:val="41354782"/>
    <w:rsid w:val="41B12708"/>
    <w:rsid w:val="42003213"/>
    <w:rsid w:val="4251142E"/>
    <w:rsid w:val="42550A18"/>
    <w:rsid w:val="42F473A1"/>
    <w:rsid w:val="43790D20"/>
    <w:rsid w:val="43B315F1"/>
    <w:rsid w:val="43BD4B90"/>
    <w:rsid w:val="43E066A9"/>
    <w:rsid w:val="43F6248D"/>
    <w:rsid w:val="441E62C0"/>
    <w:rsid w:val="44274ACD"/>
    <w:rsid w:val="44817E8C"/>
    <w:rsid w:val="45811C7C"/>
    <w:rsid w:val="45AB57CF"/>
    <w:rsid w:val="46053138"/>
    <w:rsid w:val="468A710A"/>
    <w:rsid w:val="468B3EFB"/>
    <w:rsid w:val="470A6193"/>
    <w:rsid w:val="47135B09"/>
    <w:rsid w:val="47DC4F5C"/>
    <w:rsid w:val="488B4AC5"/>
    <w:rsid w:val="48B40671"/>
    <w:rsid w:val="493523C3"/>
    <w:rsid w:val="493F3E17"/>
    <w:rsid w:val="49717773"/>
    <w:rsid w:val="498811BE"/>
    <w:rsid w:val="49892943"/>
    <w:rsid w:val="4993146C"/>
    <w:rsid w:val="499B5738"/>
    <w:rsid w:val="499F244D"/>
    <w:rsid w:val="49F032CD"/>
    <w:rsid w:val="4A1922FA"/>
    <w:rsid w:val="4A8F58C2"/>
    <w:rsid w:val="4AEC627C"/>
    <w:rsid w:val="4AF96BC7"/>
    <w:rsid w:val="4AFD2237"/>
    <w:rsid w:val="4B1F5E4F"/>
    <w:rsid w:val="4B513A02"/>
    <w:rsid w:val="4B9A1D7B"/>
    <w:rsid w:val="4BCC3850"/>
    <w:rsid w:val="4BFB4050"/>
    <w:rsid w:val="4CEF36E2"/>
    <w:rsid w:val="4D0B1DBF"/>
    <w:rsid w:val="4D3B1120"/>
    <w:rsid w:val="4D7B235A"/>
    <w:rsid w:val="4DE9156D"/>
    <w:rsid w:val="4E2336B1"/>
    <w:rsid w:val="4E736E68"/>
    <w:rsid w:val="4EC6759F"/>
    <w:rsid w:val="4ED73681"/>
    <w:rsid w:val="4F372FFB"/>
    <w:rsid w:val="4FA76FA4"/>
    <w:rsid w:val="4FB970E0"/>
    <w:rsid w:val="4FC4552E"/>
    <w:rsid w:val="4FD47893"/>
    <w:rsid w:val="5085777F"/>
    <w:rsid w:val="513F391C"/>
    <w:rsid w:val="51564E44"/>
    <w:rsid w:val="518427E0"/>
    <w:rsid w:val="51843A53"/>
    <w:rsid w:val="51F36455"/>
    <w:rsid w:val="529A4CBF"/>
    <w:rsid w:val="52C10D75"/>
    <w:rsid w:val="52C911A4"/>
    <w:rsid w:val="53186A49"/>
    <w:rsid w:val="53635735"/>
    <w:rsid w:val="53894668"/>
    <w:rsid w:val="54721D56"/>
    <w:rsid w:val="54855DB6"/>
    <w:rsid w:val="550C4BD7"/>
    <w:rsid w:val="55572986"/>
    <w:rsid w:val="55730348"/>
    <w:rsid w:val="5628215A"/>
    <w:rsid w:val="56386683"/>
    <w:rsid w:val="56537644"/>
    <w:rsid w:val="575612BA"/>
    <w:rsid w:val="5795565B"/>
    <w:rsid w:val="57F66C4E"/>
    <w:rsid w:val="581513C1"/>
    <w:rsid w:val="5859176C"/>
    <w:rsid w:val="58A10F2E"/>
    <w:rsid w:val="58BE5CBA"/>
    <w:rsid w:val="58C059FB"/>
    <w:rsid w:val="599F06CE"/>
    <w:rsid w:val="59AE757D"/>
    <w:rsid w:val="59B754D5"/>
    <w:rsid w:val="59FC5792"/>
    <w:rsid w:val="5A11145A"/>
    <w:rsid w:val="5A2C4F99"/>
    <w:rsid w:val="5A3A1A12"/>
    <w:rsid w:val="5A957D93"/>
    <w:rsid w:val="5B135F55"/>
    <w:rsid w:val="5B3760D9"/>
    <w:rsid w:val="5B4D0DBF"/>
    <w:rsid w:val="5BBE55D8"/>
    <w:rsid w:val="5BD87FA2"/>
    <w:rsid w:val="5C1F382B"/>
    <w:rsid w:val="5C401484"/>
    <w:rsid w:val="5CF83E56"/>
    <w:rsid w:val="5D2317D1"/>
    <w:rsid w:val="5D6F13FC"/>
    <w:rsid w:val="5E437B09"/>
    <w:rsid w:val="5E632EE2"/>
    <w:rsid w:val="5E674065"/>
    <w:rsid w:val="5F80710D"/>
    <w:rsid w:val="5FDB60F0"/>
    <w:rsid w:val="601E522F"/>
    <w:rsid w:val="606007BB"/>
    <w:rsid w:val="609C226C"/>
    <w:rsid w:val="60AC7F66"/>
    <w:rsid w:val="60EB3EF5"/>
    <w:rsid w:val="61096889"/>
    <w:rsid w:val="611B712C"/>
    <w:rsid w:val="614D7F45"/>
    <w:rsid w:val="618835DC"/>
    <w:rsid w:val="61BF10D9"/>
    <w:rsid w:val="62491E66"/>
    <w:rsid w:val="62816E52"/>
    <w:rsid w:val="629F7BDB"/>
    <w:rsid w:val="630F25FC"/>
    <w:rsid w:val="63343F7A"/>
    <w:rsid w:val="640C7C21"/>
    <w:rsid w:val="644E0701"/>
    <w:rsid w:val="64956BCA"/>
    <w:rsid w:val="64E45EF7"/>
    <w:rsid w:val="65444892"/>
    <w:rsid w:val="65C1014C"/>
    <w:rsid w:val="660F3AFF"/>
    <w:rsid w:val="66A57729"/>
    <w:rsid w:val="6739419F"/>
    <w:rsid w:val="677368EF"/>
    <w:rsid w:val="677435B2"/>
    <w:rsid w:val="67A57EB3"/>
    <w:rsid w:val="67EF75F1"/>
    <w:rsid w:val="68030C53"/>
    <w:rsid w:val="680C6C71"/>
    <w:rsid w:val="687A4A6F"/>
    <w:rsid w:val="68815E47"/>
    <w:rsid w:val="68983B76"/>
    <w:rsid w:val="68BC6E36"/>
    <w:rsid w:val="68DA695F"/>
    <w:rsid w:val="6902517F"/>
    <w:rsid w:val="69124F16"/>
    <w:rsid w:val="69C64B0E"/>
    <w:rsid w:val="69CD5C14"/>
    <w:rsid w:val="69CF0D33"/>
    <w:rsid w:val="6A060C37"/>
    <w:rsid w:val="6A240149"/>
    <w:rsid w:val="6A240278"/>
    <w:rsid w:val="6A6C2A79"/>
    <w:rsid w:val="6AB24495"/>
    <w:rsid w:val="6B9946B3"/>
    <w:rsid w:val="6BDE1D62"/>
    <w:rsid w:val="6BEB191A"/>
    <w:rsid w:val="6C2500A5"/>
    <w:rsid w:val="6D1837C6"/>
    <w:rsid w:val="6DE76850"/>
    <w:rsid w:val="6DF777CB"/>
    <w:rsid w:val="6E485BC3"/>
    <w:rsid w:val="6E9A1018"/>
    <w:rsid w:val="6F751AEC"/>
    <w:rsid w:val="6FB20BD4"/>
    <w:rsid w:val="6FBA59BE"/>
    <w:rsid w:val="70296B3E"/>
    <w:rsid w:val="70611204"/>
    <w:rsid w:val="709541F4"/>
    <w:rsid w:val="710F1CFB"/>
    <w:rsid w:val="7148570A"/>
    <w:rsid w:val="7234593E"/>
    <w:rsid w:val="7282487D"/>
    <w:rsid w:val="72EF4CB6"/>
    <w:rsid w:val="730668BB"/>
    <w:rsid w:val="730763DF"/>
    <w:rsid w:val="735718B7"/>
    <w:rsid w:val="736E5255"/>
    <w:rsid w:val="73E86D31"/>
    <w:rsid w:val="74490570"/>
    <w:rsid w:val="748104D2"/>
    <w:rsid w:val="74B930C0"/>
    <w:rsid w:val="74FA2C30"/>
    <w:rsid w:val="750006C1"/>
    <w:rsid w:val="75B34FEF"/>
    <w:rsid w:val="75D0390F"/>
    <w:rsid w:val="7699016E"/>
    <w:rsid w:val="76BC49EB"/>
    <w:rsid w:val="77000DA2"/>
    <w:rsid w:val="770B16B4"/>
    <w:rsid w:val="773D0BA8"/>
    <w:rsid w:val="7778536A"/>
    <w:rsid w:val="779A3235"/>
    <w:rsid w:val="77A902F6"/>
    <w:rsid w:val="781E69D1"/>
    <w:rsid w:val="78281DF2"/>
    <w:rsid w:val="78340059"/>
    <w:rsid w:val="78EF4FEB"/>
    <w:rsid w:val="796778E1"/>
    <w:rsid w:val="799F7C41"/>
    <w:rsid w:val="79F36E1F"/>
    <w:rsid w:val="7A5D0830"/>
    <w:rsid w:val="7AA939B2"/>
    <w:rsid w:val="7ADD0453"/>
    <w:rsid w:val="7AF46346"/>
    <w:rsid w:val="7AFD1ADA"/>
    <w:rsid w:val="7B0F5EBF"/>
    <w:rsid w:val="7B130FB9"/>
    <w:rsid w:val="7B875081"/>
    <w:rsid w:val="7BDE0625"/>
    <w:rsid w:val="7BF64EDE"/>
    <w:rsid w:val="7C400C1E"/>
    <w:rsid w:val="7D3A1897"/>
    <w:rsid w:val="7DA168CE"/>
    <w:rsid w:val="7DD11708"/>
    <w:rsid w:val="7E842CDD"/>
    <w:rsid w:val="7EB125FB"/>
    <w:rsid w:val="7EBC46EA"/>
    <w:rsid w:val="7EC167BD"/>
    <w:rsid w:val="7FF82C26"/>
    <w:rsid w:val="BFFB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8"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tabs>
        <w:tab w:val="left" w:pos="432"/>
        <w:tab w:val="left" w:pos="3981"/>
      </w:tabs>
      <w:snapToGrid w:val="0"/>
      <w:jc w:val="left"/>
      <w:outlineLvl w:val="2"/>
    </w:pPr>
    <w:rPr>
      <w:rFonts w:ascii="微软雅黑" w:hAnsi="微软雅黑" w:eastAsia="微软雅黑" w:cs="宋体"/>
      <w:b/>
      <w:bCs/>
      <w:sz w:val="24"/>
      <w:szCs w:val="32"/>
    </w:rPr>
  </w:style>
  <w:style w:type="paragraph" w:styleId="5">
    <w:name w:val="heading 4"/>
    <w:basedOn w:val="1"/>
    <w:next w:val="1"/>
    <w:link w:val="64"/>
    <w:semiHidden/>
    <w:unhideWhenUsed/>
    <w:qFormat/>
    <w:uiPriority w:val="9"/>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34"/>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8">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35"/>
    <w:qFormat/>
    <w:uiPriority w:val="99"/>
    <w:pPr>
      <w:jc w:val="left"/>
    </w:pPr>
  </w:style>
  <w:style w:type="paragraph" w:styleId="10">
    <w:name w:val="Body Text 3"/>
    <w:basedOn w:val="1"/>
    <w:link w:val="36"/>
    <w:unhideWhenUsed/>
    <w:qFormat/>
    <w:uiPriority w:val="99"/>
    <w:pPr>
      <w:spacing w:after="120"/>
    </w:pPr>
    <w:rPr>
      <w:sz w:val="16"/>
      <w:szCs w:val="16"/>
    </w:rPr>
  </w:style>
  <w:style w:type="paragraph" w:styleId="11">
    <w:name w:val="Body Text"/>
    <w:basedOn w:val="1"/>
    <w:link w:val="37"/>
    <w:unhideWhenUsed/>
    <w:qFormat/>
    <w:uiPriority w:val="99"/>
    <w:pPr>
      <w:spacing w:after="120"/>
    </w:pPr>
  </w:style>
  <w:style w:type="paragraph" w:styleId="12">
    <w:name w:val="Body Text Indent"/>
    <w:basedOn w:val="1"/>
    <w:link w:val="38"/>
    <w:qFormat/>
    <w:uiPriority w:val="99"/>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link w:val="39"/>
    <w:qFormat/>
    <w:uiPriority w:val="99"/>
    <w:pPr>
      <w:snapToGrid w:val="0"/>
      <w:ind w:firstLine="376"/>
      <w:jc w:val="left"/>
    </w:pPr>
    <w:rPr>
      <w:rFonts w:ascii="宋体" w:hAnsi="Courier New"/>
      <w:kern w:val="0"/>
      <w:sz w:val="52"/>
      <w:szCs w:val="52"/>
    </w:rPr>
  </w:style>
  <w:style w:type="paragraph" w:styleId="15">
    <w:name w:val="Date"/>
    <w:basedOn w:val="1"/>
    <w:next w:val="1"/>
    <w:link w:val="40"/>
    <w:unhideWhenUsed/>
    <w:qFormat/>
    <w:uiPriority w:val="99"/>
    <w:pPr>
      <w:ind w:left="100" w:leftChars="2500"/>
    </w:pPr>
  </w:style>
  <w:style w:type="paragraph" w:styleId="16">
    <w:name w:val="Balloon Text"/>
    <w:basedOn w:val="1"/>
    <w:link w:val="65"/>
    <w:semiHidden/>
    <w:qFormat/>
    <w:uiPriority w:val="99"/>
    <w:rPr>
      <w:sz w:val="18"/>
      <w:szCs w:val="18"/>
    </w:rPr>
  </w:style>
  <w:style w:type="paragraph" w:styleId="17">
    <w:name w:val="footer"/>
    <w:basedOn w:val="1"/>
    <w:link w:val="41"/>
    <w:unhideWhenUsed/>
    <w:qFormat/>
    <w:uiPriority w:val="99"/>
    <w:pPr>
      <w:tabs>
        <w:tab w:val="center" w:pos="4153"/>
        <w:tab w:val="right" w:pos="8306"/>
      </w:tabs>
      <w:snapToGrid w:val="0"/>
      <w:spacing w:line="400" w:lineRule="exact"/>
      <w:ind w:firstLine="43"/>
    </w:pPr>
    <w:rPr>
      <w:kern w:val="0"/>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pPr>
      <w:tabs>
        <w:tab w:val="right" w:leader="dot" w:pos="8869"/>
      </w:tabs>
    </w:pPr>
  </w:style>
  <w:style w:type="paragraph" w:styleId="20">
    <w:name w:val="toc 2"/>
    <w:basedOn w:val="1"/>
    <w:next w:val="1"/>
    <w:unhideWhenUsed/>
    <w:qFormat/>
    <w:uiPriority w:val="39"/>
    <w:pPr>
      <w:tabs>
        <w:tab w:val="right" w:leader="dot" w:pos="8296"/>
      </w:tabs>
      <w:ind w:left="420" w:leftChars="200"/>
    </w:pPr>
  </w:style>
  <w:style w:type="paragraph" w:styleId="21">
    <w:name w:val="Body Text 2"/>
    <w:basedOn w:val="1"/>
    <w:unhideWhenUsed/>
    <w:qFormat/>
    <w:uiPriority w:val="8"/>
    <w:pPr>
      <w:jc w:val="center"/>
    </w:pPr>
    <w:rPr>
      <w:sz w:val="18"/>
    </w:rPr>
  </w:style>
  <w:style w:type="paragraph" w:styleId="22">
    <w:name w:val="Normal (Web)"/>
    <w:basedOn w:val="1"/>
    <w:unhideWhenUsed/>
    <w:qFormat/>
    <w:uiPriority w:val="99"/>
    <w:rPr>
      <w:rFonts w:ascii="Calibri" w:hAnsi="Calibri"/>
      <w:kern w:val="0"/>
      <w:sz w:val="24"/>
    </w:rPr>
  </w:style>
  <w:style w:type="paragraph" w:styleId="23">
    <w:name w:val="index 1"/>
    <w:basedOn w:val="1"/>
    <w:next w:val="1"/>
    <w:semiHidden/>
    <w:qFormat/>
    <w:uiPriority w:val="99"/>
    <w:pPr>
      <w:spacing w:line="400" w:lineRule="exact"/>
      <w:ind w:firstLine="420" w:firstLineChars="200"/>
    </w:pPr>
    <w:rPr>
      <w:rFonts w:ascii="宋体" w:hAnsi="Courier New"/>
      <w:b/>
      <w:szCs w:val="20"/>
    </w:rPr>
  </w:style>
  <w:style w:type="paragraph" w:styleId="24">
    <w:name w:val="annotation subject"/>
    <w:basedOn w:val="9"/>
    <w:next w:val="9"/>
    <w:link w:val="43"/>
    <w:qFormat/>
    <w:uiPriority w:val="99"/>
    <w:rPr>
      <w:b/>
      <w:bCs/>
    </w:rPr>
  </w:style>
  <w:style w:type="paragraph" w:styleId="25">
    <w:name w:val="Body Text First Indent"/>
    <w:basedOn w:val="11"/>
    <w:link w:val="75"/>
    <w:qFormat/>
    <w:uiPriority w:val="0"/>
    <w:pPr>
      <w:ind w:firstLine="420" w:firstLineChars="100"/>
    </w:p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0">
    <w:name w:val="Hyperlink"/>
    <w:unhideWhenUsed/>
    <w:qFormat/>
    <w:uiPriority w:val="99"/>
    <w:rPr>
      <w:color w:val="0000FF"/>
      <w:u w:val="single"/>
    </w:rPr>
  </w:style>
  <w:style w:type="character" w:styleId="31">
    <w:name w:val="annotation reference"/>
    <w:qFormat/>
    <w:uiPriority w:val="99"/>
    <w:rPr>
      <w:sz w:val="21"/>
      <w:szCs w:val="21"/>
    </w:rPr>
  </w:style>
  <w:style w:type="character" w:customStyle="1" w:styleId="32">
    <w:name w:val="标题 1 Char"/>
    <w:link w:val="2"/>
    <w:qFormat/>
    <w:uiPriority w:val="0"/>
    <w:rPr>
      <w:b/>
      <w:bCs/>
      <w:kern w:val="44"/>
      <w:sz w:val="44"/>
      <w:szCs w:val="44"/>
    </w:rPr>
  </w:style>
  <w:style w:type="character" w:customStyle="1" w:styleId="33">
    <w:name w:val="标题 2 Char"/>
    <w:link w:val="3"/>
    <w:qFormat/>
    <w:uiPriority w:val="9"/>
    <w:rPr>
      <w:rFonts w:ascii="Cambria" w:hAnsi="Cambria" w:eastAsia="宋体" w:cs="Times New Roman"/>
      <w:b/>
      <w:bCs/>
      <w:kern w:val="2"/>
      <w:sz w:val="32"/>
      <w:szCs w:val="32"/>
    </w:rPr>
  </w:style>
  <w:style w:type="character" w:customStyle="1" w:styleId="34">
    <w:name w:val="标题 5 Char"/>
    <w:link w:val="6"/>
    <w:semiHidden/>
    <w:qFormat/>
    <w:uiPriority w:val="9"/>
    <w:rPr>
      <w:rFonts w:ascii="Times New Roman" w:hAnsi="Times New Roman"/>
      <w:b/>
      <w:bCs/>
      <w:kern w:val="2"/>
      <w:sz w:val="28"/>
      <w:szCs w:val="28"/>
    </w:rPr>
  </w:style>
  <w:style w:type="character" w:customStyle="1" w:styleId="35">
    <w:name w:val="批注文字 Char"/>
    <w:link w:val="9"/>
    <w:qFormat/>
    <w:uiPriority w:val="99"/>
    <w:rPr>
      <w:rFonts w:ascii="Times New Roman" w:hAnsi="Times New Roman"/>
      <w:kern w:val="2"/>
      <w:sz w:val="21"/>
      <w:szCs w:val="24"/>
    </w:rPr>
  </w:style>
  <w:style w:type="character" w:customStyle="1" w:styleId="36">
    <w:name w:val="正文文本 3 Char"/>
    <w:link w:val="10"/>
    <w:semiHidden/>
    <w:qFormat/>
    <w:uiPriority w:val="99"/>
    <w:rPr>
      <w:rFonts w:ascii="Times New Roman" w:hAnsi="Times New Roman"/>
      <w:kern w:val="2"/>
      <w:sz w:val="16"/>
      <w:szCs w:val="16"/>
    </w:rPr>
  </w:style>
  <w:style w:type="character" w:customStyle="1" w:styleId="37">
    <w:name w:val="正文文本 Char"/>
    <w:link w:val="11"/>
    <w:qFormat/>
    <w:uiPriority w:val="99"/>
    <w:rPr>
      <w:rFonts w:ascii="Times New Roman" w:hAnsi="Times New Roman"/>
      <w:kern w:val="2"/>
      <w:sz w:val="21"/>
      <w:szCs w:val="24"/>
    </w:rPr>
  </w:style>
  <w:style w:type="character" w:customStyle="1" w:styleId="38">
    <w:name w:val="正文文本缩进 Char"/>
    <w:link w:val="12"/>
    <w:qFormat/>
    <w:uiPriority w:val="99"/>
    <w:rPr>
      <w:rFonts w:ascii="仿宋_GB2312" w:hAnsi="Times New Roman" w:eastAsia="仿宋_GB2312" w:cs="Times New Roman"/>
      <w:sz w:val="32"/>
      <w:szCs w:val="20"/>
    </w:rPr>
  </w:style>
  <w:style w:type="character" w:customStyle="1" w:styleId="39">
    <w:name w:val="纯文本 Char"/>
    <w:link w:val="14"/>
    <w:qFormat/>
    <w:uiPriority w:val="99"/>
    <w:rPr>
      <w:rFonts w:ascii="宋体" w:hAnsi="Courier New"/>
      <w:sz w:val="52"/>
      <w:szCs w:val="52"/>
    </w:rPr>
  </w:style>
  <w:style w:type="character" w:customStyle="1" w:styleId="40">
    <w:name w:val="日期 Char"/>
    <w:link w:val="15"/>
    <w:semiHidden/>
    <w:qFormat/>
    <w:uiPriority w:val="99"/>
    <w:rPr>
      <w:rFonts w:ascii="Times New Roman" w:hAnsi="Times New Roman"/>
      <w:kern w:val="2"/>
      <w:sz w:val="21"/>
      <w:szCs w:val="24"/>
    </w:rPr>
  </w:style>
  <w:style w:type="character" w:customStyle="1" w:styleId="41">
    <w:name w:val="页脚 Char1"/>
    <w:link w:val="17"/>
    <w:qFormat/>
    <w:uiPriority w:val="99"/>
    <w:rPr>
      <w:sz w:val="18"/>
      <w:szCs w:val="18"/>
    </w:rPr>
  </w:style>
  <w:style w:type="character" w:customStyle="1" w:styleId="42">
    <w:name w:val="页眉 Char"/>
    <w:link w:val="18"/>
    <w:qFormat/>
    <w:uiPriority w:val="99"/>
    <w:rPr>
      <w:sz w:val="18"/>
      <w:szCs w:val="18"/>
    </w:rPr>
  </w:style>
  <w:style w:type="character" w:customStyle="1" w:styleId="43">
    <w:name w:val="批注主题 Char"/>
    <w:link w:val="24"/>
    <w:qFormat/>
    <w:uiPriority w:val="99"/>
    <w:rPr>
      <w:rFonts w:ascii="Times New Roman" w:hAnsi="Times New Roman"/>
      <w:b/>
      <w:bCs/>
      <w:kern w:val="2"/>
      <w:sz w:val="21"/>
      <w:szCs w:val="24"/>
    </w:rPr>
  </w:style>
  <w:style w:type="character" w:customStyle="1" w:styleId="44">
    <w:name w:val="正文文本缩进 字符1"/>
    <w:qFormat/>
    <w:uiPriority w:val="0"/>
    <w:rPr>
      <w:rFonts w:ascii="仿宋_GB2312" w:hAnsi="Times New Roman" w:eastAsia="仿宋_GB2312" w:cs="Times New Roman"/>
      <w:sz w:val="32"/>
      <w:szCs w:val="20"/>
    </w:rPr>
  </w:style>
  <w:style w:type="character" w:customStyle="1" w:styleId="45">
    <w:name w:val="apple-style-span"/>
    <w:qFormat/>
    <w:uiPriority w:val="0"/>
  </w:style>
  <w:style w:type="character" w:customStyle="1" w:styleId="46">
    <w:name w:val="标题 1 字符"/>
    <w:qFormat/>
    <w:uiPriority w:val="9"/>
    <w:rPr>
      <w:b/>
      <w:bCs/>
      <w:kern w:val="44"/>
      <w:sz w:val="44"/>
      <w:szCs w:val="44"/>
    </w:rPr>
  </w:style>
  <w:style w:type="character" w:customStyle="1" w:styleId="47">
    <w:name w:val="textcontents"/>
    <w:qFormat/>
    <w:uiPriority w:val="0"/>
  </w:style>
  <w:style w:type="character" w:customStyle="1" w:styleId="48">
    <w:name w:val="纯文本 字符1"/>
    <w:qFormat/>
    <w:uiPriority w:val="0"/>
    <w:rPr>
      <w:rFonts w:ascii="宋体" w:hAnsi="Courier New"/>
    </w:rPr>
  </w:style>
  <w:style w:type="character" w:customStyle="1" w:styleId="49">
    <w:name w:val="批注文字 字符1"/>
    <w:qFormat/>
    <w:uiPriority w:val="0"/>
    <w:rPr>
      <w:kern w:val="2"/>
      <w:sz w:val="21"/>
      <w:szCs w:val="24"/>
    </w:rPr>
  </w:style>
  <w:style w:type="character" w:customStyle="1" w:styleId="50">
    <w:name w:val="纯文本 字符2"/>
    <w:qFormat/>
    <w:uiPriority w:val="0"/>
    <w:rPr>
      <w:rFonts w:ascii="宋体" w:hAnsi="Courier New" w:eastAsia="宋体" w:cs="Courier New"/>
      <w:szCs w:val="21"/>
    </w:rPr>
  </w:style>
  <w:style w:type="character" w:customStyle="1" w:styleId="51">
    <w:name w:val="页脚 Char"/>
    <w:qFormat/>
    <w:uiPriority w:val="99"/>
    <w:rPr>
      <w:lang w:eastAsia="zh-CN"/>
    </w:rPr>
  </w:style>
  <w:style w:type="paragraph" w:customStyle="1" w:styleId="52">
    <w:name w:val="默认段落字体 Para Char Char Char Char Char Char Char Char Char1 Char Char Char Char"/>
    <w:basedOn w:val="1"/>
    <w:qFormat/>
    <w:uiPriority w:val="99"/>
    <w:rPr>
      <w:rFonts w:ascii="Tahoma" w:hAnsi="Tahoma"/>
      <w:sz w:val="24"/>
      <w:szCs w:val="20"/>
    </w:rPr>
  </w:style>
  <w:style w:type="paragraph" w:customStyle="1" w:styleId="53">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54">
    <w:name w:val="List Paragraph"/>
    <w:basedOn w:val="1"/>
    <w:qFormat/>
    <w:uiPriority w:val="34"/>
    <w:pPr>
      <w:ind w:firstLine="420" w:firstLineChars="200"/>
    </w:pPr>
  </w:style>
  <w:style w:type="paragraph" w:customStyle="1" w:styleId="55">
    <w:name w:val="Table Paragraph"/>
    <w:basedOn w:val="1"/>
    <w:qFormat/>
    <w:uiPriority w:val="1"/>
    <w:pPr>
      <w:jc w:val="left"/>
    </w:pPr>
    <w:rPr>
      <w:rFonts w:ascii="Calibri" w:hAnsi="Calibri"/>
      <w:kern w:val="0"/>
      <w:sz w:val="22"/>
      <w:szCs w:val="22"/>
      <w:lang w:eastAsia="en-US"/>
    </w:rPr>
  </w:style>
  <w:style w:type="character" w:customStyle="1" w:styleId="56">
    <w:name w:val="批注文字 Char1"/>
    <w:qFormat/>
    <w:uiPriority w:val="0"/>
    <w:rPr>
      <w:rFonts w:ascii="Times New Roman" w:hAnsi="Times New Roman"/>
      <w:kern w:val="2"/>
      <w:sz w:val="21"/>
      <w:szCs w:val="24"/>
    </w:rPr>
  </w:style>
  <w:style w:type="character" w:customStyle="1" w:styleId="57">
    <w:name w:val="批注文字 字符2"/>
    <w:qFormat/>
    <w:uiPriority w:val="0"/>
    <w:rPr>
      <w:rFonts w:ascii="Times New Roman" w:hAnsi="Times New Roman"/>
      <w:kern w:val="2"/>
      <w:sz w:val="21"/>
      <w:szCs w:val="24"/>
    </w:rPr>
  </w:style>
  <w:style w:type="character" w:customStyle="1" w:styleId="58">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9">
    <w:name w:val="纯文本 Char1"/>
    <w:qFormat/>
    <w:uiPriority w:val="0"/>
    <w:rPr>
      <w:rFonts w:ascii="宋体" w:hAnsi="Courier New" w:eastAsia="宋体" w:cs="Courier New"/>
      <w:szCs w:val="21"/>
    </w:rPr>
  </w:style>
  <w:style w:type="character" w:customStyle="1" w:styleId="60">
    <w:name w:val="批注文字 Char2"/>
    <w:qFormat/>
    <w:uiPriority w:val="0"/>
    <w:rPr>
      <w:rFonts w:ascii="Times New Roman" w:hAnsi="Times New Roman"/>
      <w:kern w:val="2"/>
      <w:sz w:val="21"/>
      <w:szCs w:val="24"/>
    </w:rPr>
  </w:style>
  <w:style w:type="character" w:customStyle="1" w:styleId="61">
    <w:name w:val="正文2 Char Char"/>
    <w:link w:val="62"/>
    <w:qFormat/>
    <w:uiPriority w:val="0"/>
    <w:rPr>
      <w:kern w:val="2"/>
      <w:sz w:val="24"/>
    </w:rPr>
  </w:style>
  <w:style w:type="paragraph" w:customStyle="1" w:styleId="62">
    <w:name w:val="正文2"/>
    <w:basedOn w:val="1"/>
    <w:link w:val="61"/>
    <w:qFormat/>
    <w:uiPriority w:val="0"/>
    <w:pPr>
      <w:adjustRightInd w:val="0"/>
      <w:spacing w:before="156" w:line="360" w:lineRule="auto"/>
      <w:ind w:firstLine="510" w:firstLineChars="200"/>
    </w:pPr>
    <w:rPr>
      <w:sz w:val="24"/>
      <w:szCs w:val="20"/>
    </w:rPr>
  </w:style>
  <w:style w:type="paragraph" w:customStyle="1" w:styleId="6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4">
    <w:name w:val="标题 4 Char"/>
    <w:basedOn w:val="28"/>
    <w:link w:val="5"/>
    <w:semiHidden/>
    <w:qFormat/>
    <w:uiPriority w:val="9"/>
    <w:rPr>
      <w:rFonts w:ascii="Arial" w:hAnsi="Arial" w:eastAsia="黑体"/>
      <w:b/>
      <w:bCs/>
      <w:kern w:val="2"/>
      <w:sz w:val="28"/>
      <w:szCs w:val="28"/>
    </w:rPr>
  </w:style>
  <w:style w:type="character" w:customStyle="1" w:styleId="65">
    <w:name w:val="批注框文本 Char"/>
    <w:basedOn w:val="28"/>
    <w:link w:val="16"/>
    <w:semiHidden/>
    <w:qFormat/>
    <w:uiPriority w:val="99"/>
    <w:rPr>
      <w:kern w:val="2"/>
      <w:sz w:val="18"/>
      <w:szCs w:val="18"/>
    </w:rPr>
  </w:style>
  <w:style w:type="paragraph" w:styleId="6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表格文字115"/>
    <w:basedOn w:val="1"/>
    <w:qFormat/>
    <w:uiPriority w:val="99"/>
    <w:pPr>
      <w:spacing w:before="25" w:after="25" w:line="360" w:lineRule="auto"/>
      <w:jc w:val="center"/>
    </w:pPr>
    <w:rPr>
      <w:bCs/>
      <w:spacing w:val="10"/>
      <w:kern w:val="0"/>
      <w:sz w:val="24"/>
    </w:rPr>
  </w:style>
  <w:style w:type="paragraph" w:customStyle="1" w:styleId="68">
    <w:name w:val="Body Text Indent1"/>
    <w:basedOn w:val="1"/>
    <w:qFormat/>
    <w:uiPriority w:val="99"/>
    <w:pPr>
      <w:spacing w:after="120"/>
      <w:ind w:left="420" w:leftChars="200"/>
    </w:pPr>
  </w:style>
  <w:style w:type="character" w:customStyle="1" w:styleId="69">
    <w:name w:val="font51"/>
    <w:basedOn w:val="28"/>
    <w:qFormat/>
    <w:uiPriority w:val="0"/>
    <w:rPr>
      <w:rFonts w:hint="eastAsia" w:ascii="宋体" w:hAnsi="宋体" w:eastAsia="宋体" w:cs="宋体"/>
      <w:color w:val="000000"/>
      <w:sz w:val="20"/>
      <w:szCs w:val="20"/>
      <w:u w:val="none"/>
    </w:rPr>
  </w:style>
  <w:style w:type="character" w:customStyle="1" w:styleId="70">
    <w:name w:val="font21"/>
    <w:basedOn w:val="28"/>
    <w:qFormat/>
    <w:uiPriority w:val="0"/>
    <w:rPr>
      <w:rFonts w:hint="eastAsia" w:ascii="宋体" w:hAnsi="宋体" w:eastAsia="宋体" w:cs="宋体"/>
      <w:color w:val="000000"/>
      <w:sz w:val="20"/>
      <w:szCs w:val="20"/>
      <w:u w:val="none"/>
    </w:rPr>
  </w:style>
  <w:style w:type="character" w:customStyle="1" w:styleId="71">
    <w:name w:val="font41"/>
    <w:basedOn w:val="28"/>
    <w:qFormat/>
    <w:uiPriority w:val="0"/>
    <w:rPr>
      <w:rFonts w:hint="default" w:ascii="Arial" w:hAnsi="Arial" w:cs="Arial"/>
      <w:color w:val="000000"/>
      <w:sz w:val="20"/>
      <w:szCs w:val="20"/>
      <w:u w:val="none"/>
    </w:rPr>
  </w:style>
  <w:style w:type="paragraph" w:customStyle="1" w:styleId="72">
    <w:name w:val="正文首行缩进 21"/>
    <w:basedOn w:val="68"/>
    <w:qFormat/>
    <w:uiPriority w:val="99"/>
    <w:pPr>
      <w:ind w:firstLine="420" w:firstLineChars="200"/>
    </w:pPr>
    <w:rPr>
      <w:rFonts w:ascii="Calibri" w:hAnsi="Calibri"/>
      <w:szCs w:val="22"/>
    </w:rPr>
  </w:style>
  <w:style w:type="character" w:customStyle="1" w:styleId="73">
    <w:name w:val="font01"/>
    <w:basedOn w:val="28"/>
    <w:qFormat/>
    <w:uiPriority w:val="0"/>
    <w:rPr>
      <w:rFonts w:hint="eastAsia" w:ascii="宋体" w:hAnsi="宋体" w:eastAsia="宋体" w:cs="宋体"/>
      <w:color w:val="000000"/>
      <w:sz w:val="22"/>
      <w:szCs w:val="22"/>
      <w:u w:val="none"/>
    </w:rPr>
  </w:style>
  <w:style w:type="character" w:customStyle="1" w:styleId="74">
    <w:name w:val="font11"/>
    <w:basedOn w:val="28"/>
    <w:qFormat/>
    <w:uiPriority w:val="0"/>
    <w:rPr>
      <w:rFonts w:hint="eastAsia" w:ascii="宋体" w:hAnsi="宋体" w:eastAsia="宋体" w:cs="宋体"/>
      <w:color w:val="FF0000"/>
      <w:sz w:val="22"/>
      <w:szCs w:val="22"/>
      <w:u w:val="none"/>
    </w:rPr>
  </w:style>
  <w:style w:type="character" w:customStyle="1" w:styleId="75">
    <w:name w:val="正文首行缩进 Char"/>
    <w:basedOn w:val="37"/>
    <w:link w:val="25"/>
    <w:qFormat/>
    <w:uiPriority w:val="0"/>
    <w:rPr>
      <w:rFonts w:ascii="Times New Roman" w:hAnsi="Times New Roman"/>
      <w:kern w:val="2"/>
      <w:sz w:val="21"/>
      <w:szCs w:val="24"/>
    </w:rPr>
  </w:style>
  <w:style w:type="character" w:customStyle="1" w:styleId="76">
    <w:name w:val="NormalCharacter"/>
    <w:semiHidden/>
    <w:qFormat/>
    <w:uiPriority w:val="0"/>
  </w:style>
  <w:style w:type="table" w:customStyle="1" w:styleId="77">
    <w:name w:val="网格型1"/>
    <w:basedOn w:val="78"/>
    <w:qFormat/>
    <w:uiPriority w:val="0"/>
    <w:rPr>
      <w:rFonts w:ascii="Times New Roman" w:hAnsi="Times New Roman" w:eastAsia="宋体"/>
      <w:kern w:val="0"/>
      <w:sz w:val="20"/>
      <w:szCs w:val="20"/>
    </w:rPr>
  </w:style>
  <w:style w:type="table" w:customStyle="1" w:styleId="78">
    <w:name w:val="普通表格1"/>
    <w:qFormat/>
    <w:uiPriority w:val="0"/>
  </w:style>
  <w:style w:type="paragraph" w:customStyle="1" w:styleId="79">
    <w:name w:val="标题 31"/>
    <w:basedOn w:val="1"/>
    <w:qFormat/>
    <w:uiPriority w:val="0"/>
    <w:pPr>
      <w:keepNext/>
      <w:keepLines/>
      <w:spacing w:before="260" w:beforeAutospacing="0" w:after="260" w:afterAutospacing="0" w:line="413" w:lineRule="auto"/>
      <w:outlineLvl w:val="2"/>
    </w:pPr>
    <w:rPr>
      <w:b/>
      <w:sz w:val="32"/>
    </w:rPr>
  </w:style>
  <w:style w:type="paragraph" w:customStyle="1" w:styleId="80">
    <w:name w:val="页眉1"/>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1">
    <w:name w:val="f101"/>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https://www.gov.cn/zhengce/content/202509/W020250930645245947614.png" TargetMode="Externa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xxc\C:\Users\Lenovoz\Desktop\&#12304;2022.2.21&#23457;&#26680;1&#12305;&#21439;&#32423;&#24555;&#36895;&#26816;&#27979;&#21345;&#37319;&#361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【2022.2.21审核1】县级快速检测卡采购</Template>
  <Company>广西云龙招标有限公司</Company>
  <Pages>86</Pages>
  <Words>15574</Words>
  <Characters>16529</Characters>
  <Lines>416</Lines>
  <Paragraphs>117</Paragraphs>
  <TotalTime>44</TotalTime>
  <ScaleCrop>false</ScaleCrop>
  <LinksUpToDate>false</LinksUpToDate>
  <CharactersWithSpaces>16757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2026-04-10T10:38:00Z</dcterms:created>
  <dc:creator>周振新</dc:creator>
  <cp:lastModifiedBy>一叶知秋</cp:lastModifiedBy>
  <cp:lastPrinted>2024-09-23T17:17:00Z</cp:lastPrinted>
  <dcterms:modified xsi:type="dcterms:W3CDTF">2026-04-23T08:55:53Z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9C795D24056741C893F92E1F2CA4186E_13</vt:lpwstr>
  </property>
  <property fmtid="{D5CDD505-2E9C-101B-9397-08002B2CF9AE}" pid="4" name="KSOTemplateDocerSaveRecord">
    <vt:lpwstr>eyJoZGlkIjoiZDQzNmVhNGE2YzEyNzE4YzY0Y2I1OGQ4NTBmYzE4MzUiLCJ1c2VySWQiOiI1NjI2NDc5NDMifQ==</vt:lpwstr>
  </property>
</Properties>
</file>