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9BD83">
      <w:pPr>
        <w:pStyle w:val="20"/>
        <w:jc w:val="center"/>
        <w:rPr>
          <w:color w:val="auto"/>
          <w:highlight w:val="none"/>
        </w:rPr>
      </w:pPr>
      <w:bookmarkStart w:id="1150" w:name="_GoBack"/>
    </w:p>
    <w:p w14:paraId="30C85968">
      <w:pPr>
        <w:rPr>
          <w:color w:val="auto"/>
          <w:highlight w:val="none"/>
        </w:rPr>
      </w:pPr>
    </w:p>
    <w:p w14:paraId="111AA65A">
      <w:pPr>
        <w:pStyle w:val="20"/>
        <w:jc w:val="center"/>
        <w:rPr>
          <w:rFonts w:hAnsi="宋体" w:cs="宋体"/>
          <w:color w:val="auto"/>
          <w:spacing w:val="30"/>
          <w:kern w:val="52"/>
          <w:sz w:val="64"/>
          <w:szCs w:val="64"/>
          <w:highlight w:val="none"/>
        </w:rPr>
      </w:pPr>
      <w:r>
        <w:rPr>
          <w:rFonts w:hint="eastAsia"/>
          <w:color w:val="auto"/>
          <w:highlight w:val="none"/>
        </w:rPr>
        <w:drawing>
          <wp:inline distT="0" distB="0" distL="114300" distR="114300">
            <wp:extent cx="1153795" cy="1436370"/>
            <wp:effectExtent l="0" t="0" r="825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1153795" cy="1436370"/>
                    </a:xfrm>
                    <a:prstGeom prst="rect">
                      <a:avLst/>
                    </a:prstGeom>
                    <a:noFill/>
                    <a:ln>
                      <a:noFill/>
                    </a:ln>
                  </pic:spPr>
                </pic:pic>
              </a:graphicData>
            </a:graphic>
          </wp:inline>
        </w:drawing>
      </w:r>
    </w:p>
    <w:p w14:paraId="466C8DAE">
      <w:pPr>
        <w:rPr>
          <w:color w:val="auto"/>
          <w:highlight w:val="none"/>
        </w:rPr>
      </w:pPr>
    </w:p>
    <w:p w14:paraId="4D8434E3">
      <w:pPr>
        <w:pStyle w:val="20"/>
        <w:jc w:val="center"/>
        <w:rPr>
          <w:rFonts w:hAnsi="宋体" w:cs="宋体"/>
          <w:b/>
          <w:color w:val="auto"/>
          <w:sz w:val="100"/>
          <w:szCs w:val="100"/>
          <w:highlight w:val="none"/>
        </w:rPr>
      </w:pPr>
      <w:r>
        <w:rPr>
          <w:rFonts w:hint="eastAsia" w:hAnsi="宋体" w:cs="宋体"/>
          <w:b/>
          <w:color w:val="auto"/>
          <w:sz w:val="100"/>
          <w:szCs w:val="100"/>
          <w:highlight w:val="none"/>
        </w:rPr>
        <w:t>竞争性磋商文件</w:t>
      </w:r>
    </w:p>
    <w:p w14:paraId="63EDB8C9">
      <w:pPr>
        <w:pStyle w:val="20"/>
        <w:ind w:firstLine="402"/>
        <w:rPr>
          <w:rFonts w:ascii="仿宋" w:hAnsi="仿宋" w:eastAsia="仿宋" w:cs="仿宋"/>
          <w:b/>
          <w:color w:val="auto"/>
          <w:highlight w:val="none"/>
        </w:rPr>
      </w:pPr>
    </w:p>
    <w:p w14:paraId="31D6EC6F">
      <w:pPr>
        <w:pStyle w:val="15"/>
        <w:jc w:val="center"/>
        <w:rPr>
          <w:color w:val="auto"/>
          <w:highlight w:val="none"/>
        </w:rPr>
      </w:pPr>
      <w:r>
        <w:rPr>
          <w:rFonts w:hint="eastAsia" w:ascii="仿宋_GB2312" w:hAnsi="宋体" w:eastAsia="仿宋_GB2312"/>
          <w:b/>
          <w:color w:val="auto"/>
          <w:sz w:val="48"/>
          <w:szCs w:val="48"/>
          <w:highlight w:val="none"/>
        </w:rPr>
        <w:t>（全流程电子化采购）</w:t>
      </w:r>
    </w:p>
    <w:p w14:paraId="1D392A01">
      <w:pPr>
        <w:rPr>
          <w:color w:val="auto"/>
          <w:highlight w:val="none"/>
        </w:rPr>
      </w:pPr>
    </w:p>
    <w:p w14:paraId="350D2D60">
      <w:pPr>
        <w:pStyle w:val="20"/>
        <w:snapToGrid w:val="0"/>
        <w:spacing w:line="360" w:lineRule="auto"/>
        <w:ind w:firstLine="1205" w:firstLineChars="400"/>
        <w:jc w:val="left"/>
        <w:rPr>
          <w:rFonts w:hAnsi="宋体" w:cs="宋体"/>
          <w:b/>
          <w:bCs/>
          <w:color w:val="auto"/>
          <w:sz w:val="30"/>
          <w:szCs w:val="30"/>
          <w:highlight w:val="none"/>
        </w:rPr>
      </w:pPr>
    </w:p>
    <w:p w14:paraId="55927A84">
      <w:pPr>
        <w:pStyle w:val="20"/>
        <w:snapToGrid w:val="0"/>
        <w:spacing w:line="360" w:lineRule="auto"/>
        <w:ind w:firstLine="1205" w:firstLineChars="400"/>
        <w:jc w:val="left"/>
        <w:rPr>
          <w:rFonts w:hAnsi="宋体" w:cs="宋体"/>
          <w:b/>
          <w:bCs/>
          <w:color w:val="auto"/>
          <w:sz w:val="30"/>
          <w:szCs w:val="30"/>
          <w:highlight w:val="none"/>
        </w:rPr>
      </w:pPr>
    </w:p>
    <w:p w14:paraId="6F72EE18">
      <w:pPr>
        <w:pStyle w:val="20"/>
        <w:snapToGrid w:val="0"/>
        <w:spacing w:line="360" w:lineRule="auto"/>
        <w:ind w:firstLine="1205" w:firstLineChars="400"/>
        <w:jc w:val="left"/>
        <w:rPr>
          <w:rFonts w:hAnsi="宋体" w:cs="宋体"/>
          <w:b/>
          <w:color w:val="auto"/>
          <w:sz w:val="32"/>
          <w:szCs w:val="32"/>
          <w:highlight w:val="none"/>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color w:val="auto"/>
          <w:sz w:val="32"/>
          <w:szCs w:val="32"/>
          <w:highlight w:val="none"/>
        </w:rPr>
        <w:t>B08综合实训楼项目（北楼群）实训教室、</w:t>
      </w:r>
    </w:p>
    <w:p w14:paraId="27250E40">
      <w:pPr>
        <w:pStyle w:val="20"/>
        <w:snapToGrid w:val="0"/>
        <w:spacing w:line="360" w:lineRule="auto"/>
        <w:ind w:firstLine="2570" w:firstLineChars="800"/>
        <w:jc w:val="left"/>
        <w:rPr>
          <w:rFonts w:hAnsi="宋体" w:cs="宋体"/>
          <w:b/>
          <w:bCs/>
          <w:color w:val="auto"/>
          <w:sz w:val="30"/>
          <w:szCs w:val="30"/>
          <w:highlight w:val="none"/>
        </w:rPr>
      </w:pPr>
      <w:r>
        <w:rPr>
          <w:rFonts w:hint="eastAsia" w:hAnsi="宋体" w:cs="宋体"/>
          <w:b/>
          <w:color w:val="auto"/>
          <w:sz w:val="32"/>
          <w:szCs w:val="32"/>
          <w:highlight w:val="none"/>
        </w:rPr>
        <w:t>教师休息室装修工程</w:t>
      </w:r>
    </w:p>
    <w:p w14:paraId="53A066B8">
      <w:pPr>
        <w:pStyle w:val="20"/>
        <w:snapToGrid w:val="0"/>
        <w:spacing w:line="360" w:lineRule="auto"/>
        <w:ind w:firstLine="1205" w:firstLineChars="400"/>
        <w:rPr>
          <w:rFonts w:hAnsi="宋体" w:cs="宋体"/>
          <w:b/>
          <w:bCs/>
          <w:color w:val="auto"/>
          <w:sz w:val="30"/>
          <w:szCs w:val="30"/>
          <w:highlight w:val="none"/>
        </w:rPr>
      </w:pPr>
    </w:p>
    <w:p w14:paraId="4B9186E5">
      <w:pPr>
        <w:pStyle w:val="20"/>
        <w:snapToGrid w:val="0"/>
        <w:spacing w:line="360" w:lineRule="auto"/>
        <w:ind w:firstLine="1205" w:firstLineChars="4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bCs/>
          <w:color w:val="auto"/>
          <w:sz w:val="30"/>
          <w:szCs w:val="30"/>
          <w:highlight w:val="none"/>
          <w:lang w:eastAsia="zh-CN"/>
        </w:rPr>
        <w:t>GXZC2026-C2-002011-ZHZB</w:t>
      </w:r>
    </w:p>
    <w:p w14:paraId="28F0E82B">
      <w:pPr>
        <w:snapToGrid w:val="0"/>
        <w:spacing w:line="360" w:lineRule="auto"/>
        <w:rPr>
          <w:rFonts w:ascii="宋体" w:hAnsi="宋体" w:cs="宋体"/>
          <w:b/>
          <w:bCs/>
          <w:color w:val="auto"/>
          <w:w w:val="95"/>
          <w:sz w:val="30"/>
          <w:szCs w:val="30"/>
          <w:highlight w:val="none"/>
        </w:rPr>
      </w:pPr>
    </w:p>
    <w:p w14:paraId="3D077F74">
      <w:pPr>
        <w:pStyle w:val="15"/>
        <w:rPr>
          <w:color w:val="auto"/>
          <w:highlight w:val="none"/>
        </w:rPr>
      </w:pPr>
    </w:p>
    <w:p w14:paraId="63B16A11">
      <w:pPr>
        <w:pStyle w:val="20"/>
        <w:snapToGrid w:val="0"/>
        <w:spacing w:line="360" w:lineRule="auto"/>
        <w:ind w:firstLine="1125" w:firstLineChars="393"/>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 购 人：</w:t>
      </w:r>
      <w:r>
        <w:rPr>
          <w:rFonts w:hint="eastAsia" w:hAnsi="宋体" w:cs="宋体"/>
          <w:b/>
          <w:color w:val="auto"/>
          <w:sz w:val="32"/>
          <w:szCs w:val="32"/>
          <w:highlight w:val="none"/>
          <w:lang w:eastAsia="zh-CN"/>
        </w:rPr>
        <w:t>广西职业技术大学</w:t>
      </w:r>
    </w:p>
    <w:p w14:paraId="283F01B8">
      <w:pPr>
        <w:pStyle w:val="20"/>
        <w:snapToGrid w:val="0"/>
        <w:spacing w:line="360" w:lineRule="auto"/>
        <w:ind w:firstLine="1125" w:firstLineChars="393"/>
        <w:rPr>
          <w:rFonts w:hAnsi="宋体" w:cs="宋体"/>
          <w:b/>
          <w:bCs/>
          <w:color w:val="auto"/>
          <w:w w:val="95"/>
          <w:sz w:val="30"/>
          <w:szCs w:val="30"/>
          <w:highlight w:val="none"/>
        </w:rPr>
      </w:pPr>
    </w:p>
    <w:p w14:paraId="1431A6C5">
      <w:pPr>
        <w:pStyle w:val="20"/>
        <w:snapToGrid w:val="0"/>
        <w:spacing w:line="360" w:lineRule="auto"/>
        <w:ind w:firstLine="1125" w:firstLineChars="393"/>
        <w:rPr>
          <w:rFonts w:hAnsi="宋体" w:cs="宋体"/>
          <w:b/>
          <w:bCs/>
          <w:color w:val="auto"/>
          <w:w w:val="95"/>
          <w:sz w:val="30"/>
          <w:szCs w:val="30"/>
          <w:highlight w:val="none"/>
        </w:rPr>
      </w:pPr>
      <w:r>
        <w:rPr>
          <w:rFonts w:hint="eastAsia" w:hAnsi="宋体" w:cs="宋体"/>
          <w:b/>
          <w:bCs/>
          <w:color w:val="auto"/>
          <w:w w:val="95"/>
          <w:sz w:val="30"/>
          <w:szCs w:val="30"/>
          <w:highlight w:val="none"/>
        </w:rPr>
        <w:t>采购代理机构：</w:t>
      </w:r>
      <w:r>
        <w:rPr>
          <w:rFonts w:hint="eastAsia" w:hAnsi="宋体" w:cs="宋体"/>
          <w:b/>
          <w:color w:val="auto"/>
          <w:sz w:val="32"/>
          <w:szCs w:val="32"/>
          <w:highlight w:val="none"/>
        </w:rPr>
        <w:t>广西正海招标有限公司</w:t>
      </w:r>
    </w:p>
    <w:p w14:paraId="4FD78C83">
      <w:pPr>
        <w:pStyle w:val="20"/>
        <w:snapToGrid w:val="0"/>
        <w:spacing w:line="360" w:lineRule="auto"/>
        <w:ind w:left="420" w:firstLine="841" w:firstLineChars="294"/>
        <w:rPr>
          <w:rFonts w:hAnsi="宋体" w:cs="宋体"/>
          <w:b/>
          <w:bCs/>
          <w:color w:val="auto"/>
          <w:w w:val="95"/>
          <w:sz w:val="30"/>
          <w:szCs w:val="30"/>
          <w:highlight w:val="none"/>
        </w:rPr>
      </w:pPr>
      <w:r>
        <w:rPr>
          <w:rFonts w:hint="eastAsia" w:hAnsi="宋体" w:cs="宋体"/>
          <w:b/>
          <w:bCs/>
          <w:color w:val="auto"/>
          <w:w w:val="95"/>
          <w:sz w:val="30"/>
          <w:szCs w:val="30"/>
          <w:highlight w:val="none"/>
        </w:rPr>
        <w:t xml:space="preserve">          </w:t>
      </w:r>
    </w:p>
    <w:p w14:paraId="1B36593B">
      <w:pPr>
        <w:pStyle w:val="20"/>
        <w:snapToGrid w:val="0"/>
        <w:spacing w:line="360" w:lineRule="auto"/>
        <w:ind w:left="420" w:firstLine="2558" w:firstLineChars="894"/>
        <w:rPr>
          <w:rFonts w:hAnsi="宋体" w:cs="宋体"/>
          <w:b/>
          <w:bCs/>
          <w:color w:val="auto"/>
          <w:w w:val="95"/>
          <w:sz w:val="30"/>
          <w:szCs w:val="30"/>
          <w:highlight w:val="none"/>
        </w:rPr>
      </w:pPr>
      <w:r>
        <w:rPr>
          <w:rFonts w:hint="eastAsia" w:hAnsi="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6</w:t>
      </w:r>
      <w:r>
        <w:rPr>
          <w:rFonts w:hint="eastAsia" w:hAnsi="宋体" w:cs="宋体"/>
          <w:b/>
          <w:bCs/>
          <w:color w:val="auto"/>
          <w:w w:val="95"/>
          <w:sz w:val="30"/>
          <w:szCs w:val="30"/>
          <w:highlight w:val="none"/>
        </w:rPr>
        <w:t>月</w:t>
      </w:r>
    </w:p>
    <w:p w14:paraId="0F09E588">
      <w:pPr>
        <w:pStyle w:val="20"/>
        <w:snapToGrid w:val="0"/>
        <w:spacing w:line="360" w:lineRule="auto"/>
        <w:ind w:left="420" w:firstLine="841" w:firstLineChars="294"/>
        <w:rPr>
          <w:rFonts w:hAnsi="宋体" w:cs="宋体"/>
          <w:b/>
          <w:bCs/>
          <w:color w:val="auto"/>
          <w:w w:val="95"/>
          <w:sz w:val="30"/>
          <w:szCs w:val="30"/>
          <w:highlight w:val="none"/>
        </w:rPr>
      </w:pPr>
    </w:p>
    <w:p w14:paraId="09B7559F">
      <w:pPr>
        <w:pStyle w:val="20"/>
        <w:snapToGrid w:val="0"/>
        <w:spacing w:line="360" w:lineRule="auto"/>
        <w:ind w:left="420" w:firstLine="841" w:firstLineChars="294"/>
        <w:rPr>
          <w:rFonts w:hAnsi="宋体" w:cs="宋体"/>
          <w:b/>
          <w:bCs/>
          <w:color w:val="auto"/>
          <w:w w:val="95"/>
          <w:sz w:val="30"/>
          <w:szCs w:val="30"/>
          <w:highlight w:val="none"/>
        </w:rPr>
        <w:sectPr>
          <w:headerReference r:id="rId4" w:type="first"/>
          <w:footerReference r:id="rId6" w:type="first"/>
          <w:headerReference r:id="rId3" w:type="default"/>
          <w:footerReference r:id="rId5" w:type="default"/>
          <w:pgSz w:w="11911" w:h="16843"/>
          <w:pgMar w:top="1134" w:right="1434" w:bottom="1134" w:left="1434" w:header="0" w:footer="1191" w:gutter="0"/>
          <w:pgNumType w:start="0"/>
          <w:cols w:space="720" w:num="1"/>
          <w:docGrid w:linePitch="312" w:charSpace="0"/>
        </w:sectPr>
      </w:pPr>
    </w:p>
    <w:p w14:paraId="595C659D">
      <w:pPr>
        <w:rPr>
          <w:color w:val="auto"/>
          <w:highlight w:val="none"/>
        </w:rPr>
      </w:pPr>
    </w:p>
    <w:p w14:paraId="48B3225C">
      <w:pPr>
        <w:spacing w:line="360" w:lineRule="auto"/>
        <w:jc w:val="center"/>
        <w:rPr>
          <w:rFonts w:ascii="宋体" w:hAnsi="宋体" w:cs="宋体"/>
          <w:b/>
          <w:color w:val="auto"/>
          <w:sz w:val="44"/>
          <w:szCs w:val="44"/>
          <w:highlight w:val="none"/>
        </w:rPr>
      </w:pPr>
    </w:p>
    <w:p w14:paraId="1B39F399">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1942F5B3">
      <w:pPr>
        <w:spacing w:line="400" w:lineRule="exact"/>
        <w:jc w:val="center"/>
        <w:rPr>
          <w:rFonts w:ascii="宋体" w:hAnsi="宋体" w:cs="宋体"/>
          <w:b/>
          <w:color w:val="auto"/>
          <w:sz w:val="44"/>
          <w:szCs w:val="44"/>
          <w:highlight w:val="none"/>
        </w:rPr>
      </w:pPr>
    </w:p>
    <w:p w14:paraId="38D88196">
      <w:pPr>
        <w:pStyle w:val="24"/>
        <w:tabs>
          <w:tab w:val="right" w:leader="dot" w:pos="8869"/>
        </w:tabs>
        <w:spacing w:line="480" w:lineRule="auto"/>
        <w:rPr>
          <w:rFonts w:ascii="宋体" w:hAnsi="宋体" w:cs="宋体"/>
          <w:b/>
          <w:color w:val="auto"/>
          <w:sz w:val="32"/>
          <w:szCs w:val="32"/>
          <w:highlight w:val="none"/>
        </w:rPr>
      </w:pP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TOC \o "1-3" \h \z \u </w:instrText>
      </w:r>
      <w:r>
        <w:rPr>
          <w:rFonts w:hint="eastAsia" w:ascii="宋体" w:hAnsi="宋体" w:cs="宋体"/>
          <w:b/>
          <w:color w:val="auto"/>
          <w:sz w:val="32"/>
          <w:szCs w:val="32"/>
          <w:highlight w:val="none"/>
        </w:rPr>
        <w:fldChar w:fldCharType="separate"/>
      </w:r>
      <w:r>
        <w:rPr>
          <w:color w:val="auto"/>
          <w:highlight w:val="none"/>
        </w:rPr>
        <w:fldChar w:fldCharType="begin"/>
      </w:r>
      <w:r>
        <w:rPr>
          <w:color w:val="auto"/>
          <w:highlight w:val="none"/>
        </w:rPr>
        <w:instrText xml:space="preserve"> HYPERLINK \l "_Toc107326201" </w:instrText>
      </w:r>
      <w:r>
        <w:rPr>
          <w:color w:val="auto"/>
          <w:highlight w:val="none"/>
        </w:rPr>
        <w:fldChar w:fldCharType="separate"/>
      </w:r>
      <w:r>
        <w:rPr>
          <w:rStyle w:val="37"/>
          <w:rFonts w:hint="eastAsia" w:ascii="宋体" w:hAnsi="宋体" w:cs="宋体"/>
          <w:b/>
          <w:color w:val="auto"/>
          <w:sz w:val="32"/>
          <w:szCs w:val="32"/>
          <w:highlight w:val="none"/>
        </w:rPr>
        <w:t>第一章 竞争性磋商公告</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_Toc107326201 \h </w:instrText>
      </w:r>
      <w:r>
        <w:rPr>
          <w:rFonts w:hint="eastAsia" w:ascii="宋体" w:hAnsi="宋体" w:cs="宋体"/>
          <w:b/>
          <w:color w:val="auto"/>
          <w:sz w:val="32"/>
          <w:szCs w:val="32"/>
          <w:highlight w:val="none"/>
        </w:rPr>
        <w:fldChar w:fldCharType="separate"/>
      </w:r>
      <w:r>
        <w:rPr>
          <w:rFonts w:hint="eastAsia" w:ascii="宋体" w:hAnsi="宋体" w:cs="宋体"/>
          <w:b/>
          <w:color w:val="auto"/>
          <w:sz w:val="32"/>
          <w:szCs w:val="32"/>
          <w:highlight w:val="none"/>
        </w:rPr>
        <w:t>1</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64F01BC0">
      <w:pPr>
        <w:pStyle w:val="24"/>
        <w:tabs>
          <w:tab w:val="right" w:leader="dot" w:pos="8869"/>
        </w:tabs>
        <w:spacing w:line="480" w:lineRule="auto"/>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"_Toc107326202" </w:instrText>
      </w:r>
      <w:r>
        <w:rPr>
          <w:color w:val="auto"/>
          <w:highlight w:val="none"/>
        </w:rPr>
        <w:fldChar w:fldCharType="separate"/>
      </w:r>
      <w:r>
        <w:rPr>
          <w:rStyle w:val="37"/>
          <w:rFonts w:hint="eastAsia" w:ascii="宋体" w:hAnsi="宋体" w:cs="宋体"/>
          <w:b/>
          <w:color w:val="auto"/>
          <w:sz w:val="32"/>
          <w:szCs w:val="32"/>
          <w:highlight w:val="none"/>
        </w:rPr>
        <w:t>第二章 供应商须知</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_Toc107326202 \h </w:instrText>
      </w:r>
      <w:r>
        <w:rPr>
          <w:rFonts w:hint="eastAsia" w:ascii="宋体" w:hAnsi="宋体" w:cs="宋体"/>
          <w:b/>
          <w:color w:val="auto"/>
          <w:sz w:val="32"/>
          <w:szCs w:val="32"/>
          <w:highlight w:val="none"/>
        </w:rPr>
        <w:fldChar w:fldCharType="separate"/>
      </w:r>
      <w:r>
        <w:rPr>
          <w:rFonts w:hint="eastAsia" w:ascii="宋体" w:hAnsi="宋体" w:cs="宋体"/>
          <w:b/>
          <w:color w:val="auto"/>
          <w:sz w:val="32"/>
          <w:szCs w:val="32"/>
          <w:highlight w:val="none"/>
        </w:rPr>
        <w:t>4</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6A6580CB">
      <w:pPr>
        <w:pStyle w:val="24"/>
        <w:tabs>
          <w:tab w:val="right" w:leader="dot" w:pos="8869"/>
        </w:tabs>
        <w:spacing w:line="480" w:lineRule="auto"/>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"_Toc107326203" </w:instrText>
      </w:r>
      <w:r>
        <w:rPr>
          <w:color w:val="auto"/>
          <w:highlight w:val="none"/>
        </w:rPr>
        <w:fldChar w:fldCharType="separate"/>
      </w:r>
      <w:r>
        <w:rPr>
          <w:rStyle w:val="37"/>
          <w:rFonts w:hint="eastAsia" w:ascii="宋体" w:hAnsi="宋体" w:cs="宋体"/>
          <w:b/>
          <w:color w:val="auto"/>
          <w:sz w:val="32"/>
          <w:szCs w:val="32"/>
          <w:highlight w:val="none"/>
        </w:rPr>
        <w:t>第三章 采购需求</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_Toc107326203 \h </w:instrText>
      </w:r>
      <w:r>
        <w:rPr>
          <w:rFonts w:hint="eastAsia" w:ascii="宋体" w:hAnsi="宋体" w:cs="宋体"/>
          <w:b/>
          <w:color w:val="auto"/>
          <w:sz w:val="32"/>
          <w:szCs w:val="32"/>
          <w:highlight w:val="none"/>
        </w:rPr>
        <w:fldChar w:fldCharType="separate"/>
      </w:r>
      <w:r>
        <w:rPr>
          <w:rFonts w:hint="eastAsia" w:ascii="宋体" w:hAnsi="宋体" w:cs="宋体"/>
          <w:b/>
          <w:color w:val="auto"/>
          <w:sz w:val="32"/>
          <w:szCs w:val="32"/>
          <w:highlight w:val="none"/>
        </w:rPr>
        <w:t>19</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530AE91A">
      <w:pPr>
        <w:pStyle w:val="24"/>
        <w:tabs>
          <w:tab w:val="right" w:leader="dot" w:pos="8869"/>
        </w:tabs>
        <w:spacing w:line="480" w:lineRule="auto"/>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"_Toc107326204" </w:instrText>
      </w:r>
      <w:r>
        <w:rPr>
          <w:color w:val="auto"/>
          <w:highlight w:val="none"/>
        </w:rPr>
        <w:fldChar w:fldCharType="separate"/>
      </w:r>
      <w:r>
        <w:rPr>
          <w:rStyle w:val="37"/>
          <w:rFonts w:hint="eastAsia" w:ascii="宋体" w:hAnsi="宋体" w:cs="宋体"/>
          <w:b/>
          <w:color w:val="auto"/>
          <w:sz w:val="32"/>
          <w:szCs w:val="32"/>
          <w:highlight w:val="none"/>
        </w:rPr>
        <w:t>第四章 评审</w:t>
      </w:r>
      <w:bookmarkStart w:id="0" w:name="_Hlt109141591"/>
      <w:r>
        <w:rPr>
          <w:rStyle w:val="37"/>
          <w:rFonts w:hint="eastAsia" w:ascii="宋体" w:hAnsi="宋体" w:cs="宋体"/>
          <w:b/>
          <w:color w:val="auto"/>
          <w:sz w:val="32"/>
          <w:szCs w:val="32"/>
          <w:highlight w:val="none"/>
        </w:rPr>
        <w:t>程</w:t>
      </w:r>
      <w:bookmarkEnd w:id="0"/>
      <w:r>
        <w:rPr>
          <w:rStyle w:val="37"/>
          <w:rFonts w:hint="eastAsia" w:ascii="宋体" w:hAnsi="宋体" w:cs="宋体"/>
          <w:b/>
          <w:color w:val="auto"/>
          <w:sz w:val="32"/>
          <w:szCs w:val="32"/>
          <w:highlight w:val="none"/>
        </w:rPr>
        <w:t>序、评</w:t>
      </w:r>
      <w:bookmarkStart w:id="1" w:name="_Hlt134115560"/>
      <w:bookmarkStart w:id="2" w:name="_Hlt109656776"/>
      <w:r>
        <w:rPr>
          <w:rStyle w:val="37"/>
          <w:rFonts w:hint="eastAsia" w:ascii="宋体" w:hAnsi="宋体" w:cs="宋体"/>
          <w:b/>
          <w:color w:val="auto"/>
          <w:sz w:val="32"/>
          <w:szCs w:val="32"/>
          <w:highlight w:val="none"/>
        </w:rPr>
        <w:t>审</w:t>
      </w:r>
      <w:bookmarkEnd w:id="1"/>
      <w:bookmarkEnd w:id="2"/>
      <w:r>
        <w:rPr>
          <w:rStyle w:val="37"/>
          <w:rFonts w:hint="eastAsia" w:ascii="宋体" w:hAnsi="宋体" w:cs="宋体"/>
          <w:b/>
          <w:color w:val="auto"/>
          <w:sz w:val="32"/>
          <w:szCs w:val="32"/>
          <w:highlight w:val="none"/>
        </w:rPr>
        <w:t>方法和评审标准</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_Toc107326204 \h </w:instrText>
      </w:r>
      <w:r>
        <w:rPr>
          <w:rFonts w:hint="eastAsia" w:ascii="宋体" w:hAnsi="宋体" w:cs="宋体"/>
          <w:b/>
          <w:color w:val="auto"/>
          <w:sz w:val="32"/>
          <w:szCs w:val="32"/>
          <w:highlight w:val="none"/>
        </w:rPr>
        <w:fldChar w:fldCharType="separate"/>
      </w:r>
      <w:r>
        <w:rPr>
          <w:rFonts w:hint="eastAsia" w:ascii="宋体" w:hAnsi="宋体" w:cs="宋体"/>
          <w:b/>
          <w:color w:val="auto"/>
          <w:sz w:val="32"/>
          <w:szCs w:val="32"/>
          <w:highlight w:val="none"/>
        </w:rPr>
        <w:t>21</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649D5FDD">
      <w:pPr>
        <w:pStyle w:val="24"/>
        <w:tabs>
          <w:tab w:val="right" w:leader="dot" w:pos="8869"/>
        </w:tabs>
        <w:spacing w:line="480" w:lineRule="auto"/>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"_Toc107326205" </w:instrText>
      </w:r>
      <w:r>
        <w:rPr>
          <w:color w:val="auto"/>
          <w:highlight w:val="none"/>
        </w:rPr>
        <w:fldChar w:fldCharType="separate"/>
      </w:r>
      <w:r>
        <w:rPr>
          <w:rStyle w:val="37"/>
          <w:rFonts w:hint="eastAsia" w:ascii="宋体" w:hAnsi="宋体" w:cs="宋体"/>
          <w:b/>
          <w:color w:val="auto"/>
          <w:sz w:val="32"/>
          <w:szCs w:val="32"/>
          <w:highlight w:val="none"/>
        </w:rPr>
        <w:t>第五章 响应</w:t>
      </w:r>
      <w:bookmarkStart w:id="3" w:name="_Hlt134115567"/>
      <w:r>
        <w:rPr>
          <w:rStyle w:val="37"/>
          <w:rFonts w:hint="eastAsia" w:ascii="宋体" w:hAnsi="宋体" w:cs="宋体"/>
          <w:b/>
          <w:color w:val="auto"/>
          <w:sz w:val="32"/>
          <w:szCs w:val="32"/>
          <w:highlight w:val="none"/>
        </w:rPr>
        <w:t>文</w:t>
      </w:r>
      <w:bookmarkEnd w:id="3"/>
      <w:bookmarkStart w:id="4" w:name="_Hlt109141600"/>
      <w:r>
        <w:rPr>
          <w:rStyle w:val="37"/>
          <w:rFonts w:hint="eastAsia" w:ascii="宋体" w:hAnsi="宋体" w:cs="宋体"/>
          <w:b/>
          <w:color w:val="auto"/>
          <w:sz w:val="32"/>
          <w:szCs w:val="32"/>
          <w:highlight w:val="none"/>
        </w:rPr>
        <w:t>件</w:t>
      </w:r>
      <w:bookmarkEnd w:id="4"/>
      <w:r>
        <w:rPr>
          <w:rStyle w:val="37"/>
          <w:rFonts w:hint="eastAsia" w:ascii="宋体" w:hAnsi="宋体" w:cs="宋体"/>
          <w:b/>
          <w:color w:val="auto"/>
          <w:sz w:val="32"/>
          <w:szCs w:val="32"/>
          <w:highlight w:val="none"/>
        </w:rPr>
        <w:t>格式</w:t>
      </w:r>
      <w:bookmarkStart w:id="5" w:name="_Hlt109656784"/>
      <w:r>
        <w:rPr>
          <w:rFonts w:hint="eastAsia" w:ascii="宋体" w:hAnsi="宋体" w:cs="宋体"/>
          <w:b/>
          <w:color w:val="auto"/>
          <w:sz w:val="32"/>
          <w:szCs w:val="32"/>
          <w:highlight w:val="none"/>
        </w:rPr>
        <w:tab/>
      </w:r>
      <w:bookmarkEnd w:id="5"/>
      <w:r>
        <w:rPr>
          <w:rFonts w:hint="eastAsia" w:ascii="宋体" w:hAnsi="宋体" w:cs="宋体"/>
          <w:b/>
          <w:color w:val="auto"/>
          <w:sz w:val="32"/>
          <w:szCs w:val="32"/>
          <w:highlight w:val="none"/>
        </w:rPr>
        <w:t>30</w:t>
      </w:r>
      <w:r>
        <w:rPr>
          <w:rFonts w:hint="eastAsia" w:ascii="宋体" w:hAnsi="宋体" w:cs="宋体"/>
          <w:b/>
          <w:color w:val="auto"/>
          <w:sz w:val="32"/>
          <w:szCs w:val="32"/>
          <w:highlight w:val="none"/>
        </w:rPr>
        <w:fldChar w:fldCharType="end"/>
      </w:r>
    </w:p>
    <w:p w14:paraId="04737DD3">
      <w:pPr>
        <w:pStyle w:val="24"/>
        <w:tabs>
          <w:tab w:val="right" w:leader="dot" w:pos="8869"/>
        </w:tabs>
        <w:spacing w:line="480" w:lineRule="auto"/>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"_Toc107326211" </w:instrText>
      </w:r>
      <w:r>
        <w:rPr>
          <w:color w:val="auto"/>
          <w:highlight w:val="none"/>
        </w:rPr>
        <w:fldChar w:fldCharType="separate"/>
      </w:r>
      <w:r>
        <w:rPr>
          <w:rStyle w:val="37"/>
          <w:rFonts w:hint="eastAsia" w:ascii="宋体" w:hAnsi="宋体" w:cs="宋体"/>
          <w:b/>
          <w:color w:val="auto"/>
          <w:sz w:val="32"/>
          <w:szCs w:val="32"/>
          <w:highlight w:val="none"/>
        </w:rPr>
        <w:t xml:space="preserve">第六章 </w:t>
      </w:r>
      <w:bookmarkStart w:id="6" w:name="_Hlt109656802"/>
      <w:r>
        <w:rPr>
          <w:rStyle w:val="37"/>
          <w:rFonts w:hint="eastAsia" w:ascii="宋体" w:hAnsi="宋体" w:cs="宋体"/>
          <w:b/>
          <w:color w:val="auto"/>
          <w:sz w:val="32"/>
          <w:szCs w:val="32"/>
          <w:highlight w:val="none"/>
        </w:rPr>
        <w:t>合</w:t>
      </w:r>
      <w:bookmarkEnd w:id="6"/>
      <w:r>
        <w:rPr>
          <w:rStyle w:val="37"/>
          <w:rFonts w:hint="eastAsia" w:ascii="宋体" w:hAnsi="宋体" w:cs="宋体"/>
          <w:b/>
          <w:color w:val="auto"/>
          <w:sz w:val="32"/>
          <w:szCs w:val="32"/>
          <w:highlight w:val="none"/>
        </w:rPr>
        <w:t>同文本</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_Toc107326211 \h </w:instrText>
      </w:r>
      <w:r>
        <w:rPr>
          <w:rFonts w:hint="eastAsia" w:ascii="宋体" w:hAnsi="宋体" w:cs="宋体"/>
          <w:b/>
          <w:color w:val="auto"/>
          <w:sz w:val="32"/>
          <w:szCs w:val="32"/>
          <w:highlight w:val="none"/>
        </w:rPr>
        <w:fldChar w:fldCharType="separate"/>
      </w:r>
      <w:r>
        <w:rPr>
          <w:rFonts w:hint="eastAsia" w:ascii="宋体" w:hAnsi="宋体" w:cs="宋体"/>
          <w:b/>
          <w:color w:val="auto"/>
          <w:sz w:val="32"/>
          <w:szCs w:val="32"/>
          <w:highlight w:val="none"/>
        </w:rPr>
        <w:t>54</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5DAEC7A4">
      <w:pPr>
        <w:pStyle w:val="25"/>
        <w:tabs>
          <w:tab w:val="right" w:leader="dot" w:pos="8931"/>
          <w:tab w:val="clear" w:pos="8296"/>
        </w:tabs>
        <w:snapToGrid w:val="0"/>
        <w:spacing w:line="480" w:lineRule="auto"/>
        <w:ind w:left="0" w:leftChars="0"/>
        <w:rPr>
          <w:rFonts w:ascii="宋体" w:hAnsi="宋体" w:cs="宋体"/>
          <w:b/>
          <w:color w:val="auto"/>
          <w:sz w:val="24"/>
          <w:highlight w:val="none"/>
        </w:rPr>
      </w:pPr>
      <w:r>
        <w:rPr>
          <w:rFonts w:hint="eastAsia" w:ascii="宋体" w:hAnsi="宋体" w:cs="宋体"/>
          <w:b/>
          <w:color w:val="auto"/>
          <w:sz w:val="32"/>
          <w:szCs w:val="32"/>
          <w:highlight w:val="none"/>
        </w:rPr>
        <w:fldChar w:fldCharType="end"/>
      </w:r>
    </w:p>
    <w:p w14:paraId="152DBD11">
      <w:pPr>
        <w:spacing w:line="400" w:lineRule="exact"/>
        <w:jc w:val="left"/>
        <w:rPr>
          <w:rFonts w:ascii="宋体" w:hAnsi="宋体" w:cs="宋体"/>
          <w:b/>
          <w:color w:val="auto"/>
          <w:sz w:val="32"/>
          <w:szCs w:val="32"/>
          <w:highlight w:val="none"/>
        </w:rPr>
      </w:pPr>
    </w:p>
    <w:p w14:paraId="16BAEA87">
      <w:pPr>
        <w:spacing w:line="400" w:lineRule="exact"/>
        <w:jc w:val="center"/>
        <w:rPr>
          <w:rFonts w:ascii="宋体" w:hAnsi="宋体" w:cs="宋体"/>
          <w:b/>
          <w:color w:val="auto"/>
          <w:sz w:val="32"/>
          <w:szCs w:val="32"/>
          <w:highlight w:val="none"/>
        </w:rPr>
      </w:pPr>
    </w:p>
    <w:p w14:paraId="1BC3FD1C">
      <w:pPr>
        <w:spacing w:line="400" w:lineRule="exact"/>
        <w:jc w:val="center"/>
        <w:rPr>
          <w:rFonts w:ascii="宋体" w:hAnsi="宋体" w:cs="宋体"/>
          <w:b/>
          <w:color w:val="auto"/>
          <w:sz w:val="32"/>
          <w:szCs w:val="32"/>
          <w:highlight w:val="none"/>
        </w:rPr>
      </w:pPr>
    </w:p>
    <w:p w14:paraId="48D1DA43">
      <w:pPr>
        <w:spacing w:line="400" w:lineRule="exact"/>
        <w:jc w:val="center"/>
        <w:rPr>
          <w:rFonts w:ascii="宋体" w:hAnsi="宋体" w:cs="宋体"/>
          <w:b/>
          <w:color w:val="auto"/>
          <w:sz w:val="32"/>
          <w:szCs w:val="32"/>
          <w:highlight w:val="none"/>
        </w:rPr>
      </w:pPr>
    </w:p>
    <w:p w14:paraId="35AF13EF">
      <w:pPr>
        <w:spacing w:line="400" w:lineRule="exact"/>
        <w:jc w:val="center"/>
        <w:rPr>
          <w:rFonts w:ascii="宋体" w:hAnsi="宋体" w:cs="宋体"/>
          <w:b/>
          <w:color w:val="auto"/>
          <w:sz w:val="32"/>
          <w:szCs w:val="32"/>
          <w:highlight w:val="none"/>
        </w:rPr>
      </w:pPr>
    </w:p>
    <w:p w14:paraId="189C7844">
      <w:pPr>
        <w:spacing w:line="400" w:lineRule="exact"/>
        <w:rPr>
          <w:rFonts w:ascii="宋体" w:hAnsi="宋体" w:cs="宋体"/>
          <w:b/>
          <w:color w:val="auto"/>
          <w:sz w:val="32"/>
          <w:szCs w:val="32"/>
          <w:highlight w:val="none"/>
        </w:rPr>
        <w:sectPr>
          <w:footerReference r:id="rId7" w:type="default"/>
          <w:pgSz w:w="11911" w:h="16843"/>
          <w:pgMar w:top="1134" w:right="1434" w:bottom="1134" w:left="1434" w:header="0" w:footer="1191" w:gutter="0"/>
          <w:pgNumType w:start="1"/>
          <w:cols w:space="720" w:num="1"/>
          <w:docGrid w:linePitch="312" w:charSpace="0"/>
        </w:sectPr>
      </w:pPr>
    </w:p>
    <w:p w14:paraId="45BE8445">
      <w:pPr>
        <w:pStyle w:val="3"/>
        <w:spacing w:before="0" w:after="0" w:line="360" w:lineRule="auto"/>
        <w:jc w:val="center"/>
        <w:rPr>
          <w:rFonts w:ascii="宋体" w:hAnsi="宋体" w:cs="宋体"/>
          <w:color w:val="auto"/>
          <w:highlight w:val="none"/>
        </w:rPr>
      </w:pPr>
      <w:bookmarkStart w:id="7" w:name="_Toc107326201"/>
      <w:r>
        <w:rPr>
          <w:rFonts w:hint="eastAsia" w:ascii="宋体" w:hAnsi="宋体" w:cs="宋体"/>
          <w:color w:val="auto"/>
          <w:highlight w:val="none"/>
        </w:rPr>
        <w:t>第一章 竞争性磋商公告</w:t>
      </w:r>
      <w:bookmarkEnd w:id="7"/>
    </w:p>
    <w:p w14:paraId="38E5346B">
      <w:pPr>
        <w:pStyle w:val="20"/>
        <w:spacing w:line="360" w:lineRule="auto"/>
        <w:jc w:val="center"/>
        <w:rPr>
          <w:rFonts w:hAnsi="宋体" w:cs="宋体"/>
          <w:b/>
          <w:color w:val="auto"/>
          <w:sz w:val="24"/>
          <w:szCs w:val="24"/>
          <w:highlight w:val="none"/>
        </w:rPr>
      </w:pPr>
      <w:r>
        <w:rPr>
          <w:rFonts w:hint="eastAsia" w:hAnsi="宋体" w:cs="宋体"/>
          <w:b/>
          <w:color w:val="auto"/>
          <w:sz w:val="24"/>
          <w:szCs w:val="24"/>
          <w:highlight w:val="none"/>
        </w:rPr>
        <w:t>广西正海招标有限公司关于B08综合实训楼项目（北楼群）实训教室、教师休息室装修工程（项目编号：</w:t>
      </w:r>
      <w:r>
        <w:rPr>
          <w:rFonts w:hint="eastAsia" w:hAnsi="宋体" w:cs="宋体"/>
          <w:b/>
          <w:color w:val="auto"/>
          <w:sz w:val="24"/>
          <w:szCs w:val="24"/>
          <w:highlight w:val="none"/>
          <w:lang w:eastAsia="zh-CN"/>
        </w:rPr>
        <w:t>GXZC2026-C2-002011-ZHZB</w:t>
      </w:r>
      <w:r>
        <w:rPr>
          <w:rFonts w:hint="eastAsia" w:hAnsi="宋体" w:cs="宋体"/>
          <w:b/>
          <w:color w:val="auto"/>
          <w:sz w:val="24"/>
          <w:szCs w:val="24"/>
          <w:highlight w:val="none"/>
        </w:rPr>
        <w:t>）竞争性磋商公告</w:t>
      </w:r>
      <w:bookmarkStart w:id="8" w:name="_Toc28359089"/>
      <w:bookmarkStart w:id="9" w:name="_Toc35393798"/>
      <w:bookmarkStart w:id="10" w:name="_Toc28359012"/>
      <w:bookmarkStart w:id="11" w:name="_Toc35393629"/>
      <w:bookmarkStart w:id="12" w:name="_Toc44229878"/>
      <w:bookmarkStart w:id="13" w:name="_Toc71365905"/>
      <w:bookmarkStart w:id="14" w:name="_Hlk37430271"/>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7"/>
      </w:tblGrid>
      <w:tr w14:paraId="6D69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7" w:type="dxa"/>
          </w:tcPr>
          <w:p w14:paraId="4C18AF2F">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项目概况：</w:t>
            </w:r>
          </w:p>
          <w:p w14:paraId="6A056E65">
            <w:pPr>
              <w:wordWrap w:val="0"/>
              <w:spacing w:line="360" w:lineRule="auto"/>
              <w:ind w:firstLine="422" w:firstLineChars="200"/>
              <w:rPr>
                <w:rFonts w:ascii="宋体" w:hAnsi="宋体" w:cs="宋体"/>
                <w:b/>
                <w:color w:val="auto"/>
                <w:sz w:val="24"/>
                <w:highlight w:val="none"/>
              </w:rPr>
            </w:pPr>
            <w:r>
              <w:rPr>
                <w:rFonts w:hint="eastAsia" w:ascii="宋体" w:hAnsi="宋体" w:cs="宋体"/>
                <w:b/>
                <w:bCs/>
                <w:color w:val="auto"/>
                <w:szCs w:val="21"/>
                <w:highlight w:val="none"/>
                <w:u w:val="single"/>
              </w:rPr>
              <w:t>B08综合实训楼项目（北楼群）实训教室、教师休息室装修工程</w:t>
            </w:r>
            <w:r>
              <w:rPr>
                <w:rFonts w:hint="eastAsia" w:ascii="宋体" w:hAnsi="宋体" w:cs="宋体"/>
                <w:color w:val="auto"/>
                <w:szCs w:val="21"/>
                <w:highlight w:val="none"/>
              </w:rPr>
              <w:t>的潜在供应商应在广西政府采购云平台（</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）获取（下载）竞争性磋商文件，并于</w:t>
            </w:r>
            <w:r>
              <w:rPr>
                <w:rFonts w:hint="eastAsia" w:ascii="宋体" w:hAnsi="宋体" w:cs="宋体"/>
                <w:b/>
                <w:bCs/>
                <w:color w:val="auto"/>
                <w:szCs w:val="21"/>
                <w:highlight w:val="none"/>
                <w:u w:val="single"/>
              </w:rPr>
              <w:t>202</w:t>
            </w:r>
            <w:r>
              <w:rPr>
                <w:rFonts w:hint="eastAsia" w:ascii="宋体" w:hAnsi="宋体" w:cs="宋体"/>
                <w:b/>
                <w:bCs/>
                <w:color w:val="auto"/>
                <w:szCs w:val="21"/>
                <w:highlight w:val="none"/>
                <w:u w:val="single"/>
                <w:lang w:val="en-US" w:eastAsia="zh-CN"/>
              </w:rPr>
              <w:t>6</w:t>
            </w:r>
            <w:r>
              <w:rPr>
                <w:rFonts w:hint="eastAsia" w:ascii="宋体" w:hAnsi="宋体" w:cs="宋体"/>
                <w:b/>
                <w:bCs/>
                <w:color w:val="auto"/>
                <w:szCs w:val="21"/>
                <w:highlight w:val="none"/>
                <w:u w:val="single"/>
              </w:rPr>
              <w:t>年</w:t>
            </w:r>
            <w:r>
              <w:rPr>
                <w:rFonts w:hint="eastAsia" w:ascii="宋体" w:hAnsi="宋体" w:cs="宋体"/>
                <w:b/>
                <w:bCs/>
                <w:color w:val="auto"/>
                <w:szCs w:val="21"/>
                <w:highlight w:val="none"/>
                <w:u w:val="single"/>
                <w:lang w:val="en-US" w:eastAsia="zh-CN"/>
              </w:rPr>
              <w:t>7</w:t>
            </w:r>
            <w:r>
              <w:rPr>
                <w:rFonts w:hint="eastAsia" w:ascii="宋体" w:hAnsi="宋体" w:cs="宋体"/>
                <w:b/>
                <w:bCs/>
                <w:color w:val="auto"/>
                <w:szCs w:val="21"/>
                <w:highlight w:val="none"/>
                <w:u w:val="single"/>
              </w:rPr>
              <w:t>月</w:t>
            </w:r>
            <w:r>
              <w:rPr>
                <w:rFonts w:hint="eastAsia" w:ascii="宋体" w:hAnsi="宋体" w:cs="宋体"/>
                <w:b/>
                <w:bCs/>
                <w:color w:val="auto"/>
                <w:szCs w:val="21"/>
                <w:highlight w:val="none"/>
                <w:u w:val="single"/>
                <w:lang w:val="en-US" w:eastAsia="zh-CN"/>
              </w:rPr>
              <w:t>6</w:t>
            </w:r>
            <w:r>
              <w:rPr>
                <w:rFonts w:hint="eastAsia" w:ascii="宋体" w:hAnsi="宋体" w:cs="宋体"/>
                <w:b/>
                <w:bCs/>
                <w:color w:val="auto"/>
                <w:szCs w:val="21"/>
                <w:highlight w:val="none"/>
                <w:u w:val="single"/>
              </w:rPr>
              <w:t>日9时00分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tc>
      </w:tr>
    </w:tbl>
    <w:p w14:paraId="724EED7C">
      <w:pPr>
        <w:spacing w:line="360" w:lineRule="auto"/>
        <w:rPr>
          <w:rFonts w:ascii="宋体" w:hAnsi="宋体" w:cs="宋体"/>
          <w:b/>
          <w:color w:val="auto"/>
          <w:sz w:val="24"/>
          <w:highlight w:val="none"/>
        </w:rPr>
      </w:pPr>
      <w:r>
        <w:rPr>
          <w:rFonts w:hint="eastAsia" w:ascii="宋体" w:hAnsi="宋体" w:cs="宋体"/>
          <w:b/>
          <w:color w:val="auto"/>
          <w:sz w:val="24"/>
          <w:highlight w:val="none"/>
        </w:rPr>
        <w:t>一、项目基本情况</w:t>
      </w:r>
      <w:bookmarkEnd w:id="8"/>
      <w:bookmarkEnd w:id="9"/>
      <w:bookmarkEnd w:id="10"/>
      <w:bookmarkEnd w:id="11"/>
      <w:bookmarkEnd w:id="12"/>
      <w:bookmarkEnd w:id="13"/>
      <w:r>
        <w:rPr>
          <w:rFonts w:hint="eastAsia" w:ascii="宋体" w:hAnsi="宋体" w:cs="宋体"/>
          <w:b/>
          <w:color w:val="auto"/>
          <w:sz w:val="24"/>
          <w:highlight w:val="none"/>
        </w:rPr>
        <w:t>：</w:t>
      </w:r>
    </w:p>
    <w:p w14:paraId="58F9999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GXZC2026-C2-002011-ZHZB</w:t>
      </w:r>
    </w:p>
    <w:p w14:paraId="7A8542B0">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项目名称：B08综合实训楼项目（北楼群）实训教室、教师休息室装修工程</w:t>
      </w:r>
    </w:p>
    <w:p w14:paraId="655C53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21EF94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cs="宋体"/>
          <w:color w:val="auto"/>
          <w:highlight w:val="none"/>
        </w:rPr>
        <w:t>：</w:t>
      </w:r>
      <w:r>
        <w:rPr>
          <w:rFonts w:hint="eastAsia" w:ascii="宋体" w:hAnsi="宋体" w:cs="宋体"/>
          <w:color w:val="auto"/>
          <w:highlight w:val="none"/>
          <w:lang w:eastAsia="zh-CN"/>
        </w:rPr>
        <w:t>2510652.03</w:t>
      </w:r>
      <w:r>
        <w:rPr>
          <w:rFonts w:hint="eastAsia" w:ascii="宋体" w:hAnsi="宋体" w:cs="宋体"/>
          <w:color w:val="auto"/>
          <w:highlight w:val="none"/>
        </w:rPr>
        <w:t>元</w:t>
      </w:r>
    </w:p>
    <w:p w14:paraId="7F312F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最高限价（上限控制价）：</w:t>
      </w:r>
      <w:r>
        <w:rPr>
          <w:rFonts w:hint="eastAsia" w:ascii="宋体" w:hAnsi="宋体" w:cs="宋体"/>
          <w:color w:val="auto"/>
          <w:highlight w:val="none"/>
          <w:lang w:eastAsia="zh-CN"/>
        </w:rPr>
        <w:t>2510652.03</w:t>
      </w:r>
      <w:r>
        <w:rPr>
          <w:rFonts w:hint="eastAsia" w:ascii="宋体" w:hAnsi="宋体" w:cs="宋体"/>
          <w:color w:val="auto"/>
          <w:highlight w:val="none"/>
        </w:rPr>
        <w:t>元</w:t>
      </w:r>
    </w:p>
    <w:p w14:paraId="1CE6CF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2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6"/>
        <w:gridCol w:w="2115"/>
        <w:gridCol w:w="1275"/>
        <w:gridCol w:w="4388"/>
      </w:tblGrid>
      <w:tr w14:paraId="0EB28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5DA8C540">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115" w:type="dxa"/>
            <w:tcBorders>
              <w:top w:val="single" w:color="auto" w:sz="4" w:space="0"/>
              <w:left w:val="single" w:color="auto" w:sz="4" w:space="0"/>
              <w:bottom w:val="single" w:color="auto" w:sz="4" w:space="0"/>
              <w:right w:val="single" w:color="auto" w:sz="4" w:space="0"/>
            </w:tcBorders>
            <w:vAlign w:val="center"/>
          </w:tcPr>
          <w:p w14:paraId="2EA418A5">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1275" w:type="dxa"/>
            <w:tcBorders>
              <w:top w:val="single" w:color="auto" w:sz="4" w:space="0"/>
              <w:left w:val="single" w:color="auto" w:sz="4" w:space="0"/>
              <w:bottom w:val="single" w:color="auto" w:sz="4" w:space="0"/>
              <w:right w:val="single" w:color="auto" w:sz="4" w:space="0"/>
            </w:tcBorders>
            <w:vAlign w:val="center"/>
          </w:tcPr>
          <w:p w14:paraId="68523719">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4388" w:type="dxa"/>
            <w:tcBorders>
              <w:top w:val="single" w:color="auto" w:sz="4" w:space="0"/>
              <w:left w:val="single" w:color="auto" w:sz="4" w:space="0"/>
              <w:bottom w:val="single" w:color="auto" w:sz="4" w:space="0"/>
              <w:right w:val="single" w:color="auto" w:sz="4" w:space="0"/>
            </w:tcBorders>
            <w:vAlign w:val="center"/>
          </w:tcPr>
          <w:p w14:paraId="3518AD06">
            <w:pPr>
              <w:snapToGrid w:val="0"/>
              <w:spacing w:line="360" w:lineRule="auto"/>
              <w:jc w:val="center"/>
              <w:rPr>
                <w:rFonts w:ascii="宋体" w:hAnsi="宋体" w:cs="宋体"/>
                <w:color w:val="auto"/>
                <w:szCs w:val="21"/>
                <w:highlight w:val="none"/>
              </w:rPr>
            </w:pPr>
            <w:r>
              <w:rPr>
                <w:rFonts w:hint="eastAsia" w:ascii="宋体" w:hAnsi="宋体" w:cs="宋体"/>
                <w:color w:val="auto"/>
                <w:highlight w:val="none"/>
              </w:rPr>
              <w:t>简要规格描述或项目基本概况介绍、用途</w:t>
            </w:r>
          </w:p>
        </w:tc>
      </w:tr>
      <w:tr w14:paraId="3B731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single" w:color="auto" w:sz="4" w:space="0"/>
              <w:left w:val="single" w:color="auto" w:sz="4" w:space="0"/>
              <w:bottom w:val="single" w:color="auto" w:sz="4" w:space="0"/>
              <w:right w:val="single" w:color="auto" w:sz="4" w:space="0"/>
            </w:tcBorders>
            <w:vAlign w:val="center"/>
          </w:tcPr>
          <w:p w14:paraId="728E7E8A">
            <w:pPr>
              <w:widowControl/>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115" w:type="dxa"/>
            <w:tcBorders>
              <w:top w:val="single" w:color="auto" w:sz="4" w:space="0"/>
              <w:left w:val="single" w:color="auto" w:sz="4" w:space="0"/>
              <w:bottom w:val="single" w:color="auto" w:sz="4" w:space="0"/>
              <w:right w:val="single" w:color="auto" w:sz="4" w:space="0"/>
            </w:tcBorders>
            <w:vAlign w:val="center"/>
          </w:tcPr>
          <w:p w14:paraId="5F99732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B08综合实训楼项目（北楼群）实训教室、教师休息室装修工程</w:t>
            </w:r>
          </w:p>
        </w:tc>
        <w:tc>
          <w:tcPr>
            <w:tcW w:w="1275" w:type="dxa"/>
            <w:tcBorders>
              <w:top w:val="single" w:color="auto" w:sz="4" w:space="0"/>
              <w:left w:val="single" w:color="auto" w:sz="4" w:space="0"/>
              <w:bottom w:val="single" w:color="auto" w:sz="4" w:space="0"/>
              <w:right w:val="single" w:color="auto" w:sz="4" w:space="0"/>
            </w:tcBorders>
            <w:vAlign w:val="center"/>
          </w:tcPr>
          <w:p w14:paraId="1CE2DB1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4388" w:type="dxa"/>
            <w:tcBorders>
              <w:top w:val="single" w:color="auto" w:sz="4" w:space="0"/>
              <w:left w:val="single" w:color="auto" w:sz="4" w:space="0"/>
              <w:bottom w:val="single" w:color="auto" w:sz="4" w:space="0"/>
              <w:right w:val="single" w:color="auto" w:sz="4" w:space="0"/>
            </w:tcBorders>
            <w:vAlign w:val="center"/>
          </w:tcPr>
          <w:p w14:paraId="45FAA404">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B08综合实训楼项目（北楼群）实训教室、教师休息室装修工程</w:t>
            </w:r>
            <w:r>
              <w:rPr>
                <w:rFonts w:hint="eastAsia" w:ascii="宋体" w:hAnsi="宋体" w:cs="宋体"/>
                <w:color w:val="auto"/>
                <w:highlight w:val="none"/>
              </w:rPr>
              <w:t>，详见采购文件及工程量清单、图纸。</w:t>
            </w:r>
          </w:p>
        </w:tc>
      </w:tr>
    </w:tbl>
    <w:p w14:paraId="4969BD35">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合同履行期限：施工</w:t>
      </w:r>
      <w:r>
        <w:rPr>
          <w:rFonts w:hint="eastAsia" w:ascii="宋体" w:hAnsi="宋体" w:cs="宋体"/>
          <w:bCs/>
          <w:color w:val="auto"/>
          <w:szCs w:val="21"/>
          <w:highlight w:val="none"/>
        </w:rPr>
        <w:t>工期45日历天。</w:t>
      </w:r>
    </w:p>
    <w:p w14:paraId="788C79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highlight w:val="none"/>
        </w:rPr>
        <w:t>是否</w:t>
      </w:r>
      <w:r>
        <w:rPr>
          <w:rFonts w:hint="eastAsia" w:ascii="宋体" w:hAnsi="宋体" w:cs="宋体"/>
          <w:color w:val="auto"/>
          <w:szCs w:val="21"/>
          <w:highlight w:val="none"/>
        </w:rPr>
        <w:t>接受联合体：否。</w:t>
      </w:r>
    </w:p>
    <w:p w14:paraId="401D8514">
      <w:pPr>
        <w:spacing w:line="360" w:lineRule="auto"/>
        <w:rPr>
          <w:rFonts w:ascii="宋体" w:hAnsi="宋体" w:cs="宋体"/>
          <w:b/>
          <w:color w:val="auto"/>
          <w:sz w:val="24"/>
          <w:highlight w:val="none"/>
        </w:rPr>
      </w:pPr>
      <w:bookmarkStart w:id="15" w:name="_Toc35393799"/>
      <w:bookmarkStart w:id="16" w:name="_Toc71365906"/>
      <w:bookmarkStart w:id="17" w:name="_Toc28359013"/>
      <w:bookmarkStart w:id="18" w:name="_Toc44229879"/>
      <w:bookmarkStart w:id="19" w:name="_Toc28359090"/>
      <w:bookmarkStart w:id="20" w:name="_Toc35393630"/>
      <w:r>
        <w:rPr>
          <w:rFonts w:hint="eastAsia" w:ascii="宋体" w:hAnsi="宋体" w:cs="宋体"/>
          <w:b/>
          <w:color w:val="auto"/>
          <w:sz w:val="24"/>
          <w:highlight w:val="none"/>
        </w:rPr>
        <w:t>二、申请人的资格条件：</w:t>
      </w:r>
      <w:bookmarkEnd w:id="15"/>
      <w:bookmarkEnd w:id="16"/>
      <w:bookmarkEnd w:id="17"/>
      <w:bookmarkEnd w:id="18"/>
      <w:bookmarkEnd w:id="19"/>
      <w:bookmarkEnd w:id="20"/>
    </w:p>
    <w:p w14:paraId="478733FF">
      <w:pPr>
        <w:spacing w:line="360" w:lineRule="auto"/>
        <w:ind w:firstLine="420" w:firstLineChars="200"/>
        <w:rPr>
          <w:rFonts w:ascii="宋体" w:hAnsi="宋体" w:cs="宋体"/>
          <w:color w:val="auto"/>
          <w:szCs w:val="21"/>
          <w:highlight w:val="none"/>
        </w:rPr>
      </w:pPr>
      <w:bookmarkStart w:id="21" w:name="_Toc28359091"/>
      <w:bookmarkStart w:id="22" w:name="_Toc44229880"/>
      <w:bookmarkStart w:id="23" w:name="_Toc28359014"/>
      <w:bookmarkStart w:id="24" w:name="_Toc35393631"/>
      <w:bookmarkStart w:id="25" w:name="_Toc35393800"/>
      <w:r>
        <w:rPr>
          <w:rFonts w:hint="eastAsia" w:ascii="宋体" w:hAnsi="宋体" w:cs="宋体"/>
          <w:color w:val="auto"/>
          <w:szCs w:val="21"/>
          <w:highlight w:val="none"/>
        </w:rPr>
        <w:t>1、满足《中华人民共和国政府采购法》第二十二条规定。</w:t>
      </w:r>
    </w:p>
    <w:p w14:paraId="28E28E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2、落实政府采购政策需满足的资格要求：本项目专门面向中小企业采购，供应商应为中小微企业或监狱企业或残疾人福利性单位。</w:t>
      </w:r>
    </w:p>
    <w:p w14:paraId="167E24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p>
    <w:p w14:paraId="005080E6">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（1）</w:t>
      </w:r>
      <w:r>
        <w:rPr>
          <w:rFonts w:hint="eastAsia" w:ascii="宋体" w:hAnsi="宋体"/>
          <w:color w:val="auto"/>
          <w:szCs w:val="21"/>
          <w:highlight w:val="none"/>
        </w:rPr>
        <w:t>供应商具备有效的建筑工程施工总承包三级（含）以上资质或建筑装修装饰工程专业承包二级及以上资质，同时具备有效的省级及以上建设行政主管部门颁发的安全生产许可证，并在人员、设备、资金等方面具备相应的施工能力</w:t>
      </w:r>
      <w:r>
        <w:rPr>
          <w:rFonts w:hint="eastAsia" w:ascii="宋体" w:hAnsi="宋体" w:cs="宋体"/>
          <w:color w:val="auto"/>
          <w:highlight w:val="none"/>
        </w:rPr>
        <w:t>。</w:t>
      </w:r>
    </w:p>
    <w:p w14:paraId="2B6D987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（2）供应商拟派的项目经理须具备</w:t>
      </w:r>
      <w:r>
        <w:rPr>
          <w:rFonts w:hint="eastAsia" w:ascii="宋体" w:hAnsi="宋体"/>
          <w:color w:val="auto"/>
          <w:szCs w:val="20"/>
          <w:highlight w:val="none"/>
        </w:rPr>
        <w:t>建筑工程专业二级（含）以上</w:t>
      </w:r>
      <w:r>
        <w:rPr>
          <w:rFonts w:hint="eastAsia" w:ascii="宋体" w:hAnsi="宋体" w:cs="宋体"/>
          <w:color w:val="auto"/>
          <w:highlight w:val="none"/>
        </w:rPr>
        <w:t>注册建造师执业资格，已录入桂建云并处于有效状态，具备有效的安全生产考核合格证书（B类）。 本项目不接受有在建、已中标未开工或已列为其他项目中标候选人第一名的建造师作为项目经理（符合《广西壮族自治区建筑市场诚信卡管理暂行办法》第十六条第一款及桂建管﹝2016﹞70号、桂建管〔2019〕26号和桂建管〔2020〕11号文除外）。</w:t>
      </w:r>
    </w:p>
    <w:p w14:paraId="267E43A7">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（3）供应商拟派的专职安全生产管理人员须具备安全生产考核合格证书（C类）。</w:t>
      </w:r>
    </w:p>
    <w:p w14:paraId="54F637A8">
      <w:pPr>
        <w:spacing w:line="360" w:lineRule="auto"/>
        <w:rPr>
          <w:rFonts w:ascii="宋体" w:hAnsi="宋体" w:cs="宋体"/>
          <w:b/>
          <w:color w:val="auto"/>
          <w:sz w:val="24"/>
          <w:highlight w:val="none"/>
        </w:rPr>
      </w:pPr>
      <w:bookmarkStart w:id="26" w:name="_Toc71365907"/>
      <w:r>
        <w:rPr>
          <w:rFonts w:hint="eastAsia" w:ascii="宋体" w:hAnsi="宋体" w:cs="宋体"/>
          <w:b/>
          <w:color w:val="auto"/>
          <w:sz w:val="24"/>
          <w:highlight w:val="none"/>
        </w:rPr>
        <w:t>三、获取竞争性磋商文件</w:t>
      </w:r>
      <w:bookmarkEnd w:id="21"/>
      <w:bookmarkEnd w:id="22"/>
      <w:bookmarkEnd w:id="23"/>
      <w:bookmarkEnd w:id="24"/>
      <w:bookmarkEnd w:id="25"/>
      <w:bookmarkEnd w:id="26"/>
      <w:r>
        <w:rPr>
          <w:rFonts w:hint="eastAsia" w:ascii="宋体" w:hAnsi="宋体" w:cs="宋体"/>
          <w:b/>
          <w:color w:val="auto"/>
          <w:sz w:val="24"/>
          <w:highlight w:val="none"/>
        </w:rPr>
        <w:t>：</w:t>
      </w:r>
    </w:p>
    <w:bookmarkEnd w:id="14"/>
    <w:p w14:paraId="04C207A5">
      <w:pPr>
        <w:spacing w:line="360" w:lineRule="auto"/>
        <w:ind w:firstLine="420" w:firstLineChars="200"/>
        <w:rPr>
          <w:rFonts w:ascii="宋体" w:hAnsi="宋体" w:cs="宋体"/>
          <w:bCs/>
          <w:color w:val="auto"/>
          <w:kern w:val="0"/>
          <w:szCs w:val="21"/>
          <w:highlight w:val="none"/>
        </w:rPr>
      </w:pPr>
      <w:bookmarkStart w:id="27" w:name="_Toc28359092"/>
      <w:bookmarkStart w:id="28" w:name="_Toc35393801"/>
      <w:bookmarkStart w:id="29" w:name="_Toc44229881"/>
      <w:bookmarkStart w:id="30" w:name="_Toc35393632"/>
      <w:bookmarkStart w:id="31" w:name="_Toc28359015"/>
      <w:r>
        <w:rPr>
          <w:rFonts w:hint="eastAsia" w:ascii="宋体" w:hAnsi="宋体" w:cs="宋体"/>
          <w:bCs/>
          <w:color w:val="auto"/>
          <w:kern w:val="0"/>
          <w:szCs w:val="21"/>
          <w:highlight w:val="none"/>
        </w:rPr>
        <w:t>时间：</w:t>
      </w: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6</w:t>
      </w:r>
      <w:r>
        <w:rPr>
          <w:rFonts w:hint="eastAsia" w:ascii="宋体" w:hAnsi="宋体" w:cs="宋体"/>
          <w:color w:val="auto"/>
          <w:highlight w:val="none"/>
        </w:rPr>
        <w:t>月</w:t>
      </w:r>
      <w:r>
        <w:rPr>
          <w:rFonts w:hint="eastAsia" w:ascii="宋体" w:hAnsi="宋体" w:cs="宋体"/>
          <w:color w:val="auto"/>
          <w:highlight w:val="none"/>
          <w:lang w:val="en-US" w:eastAsia="zh-CN"/>
        </w:rPr>
        <w:t>25</w:t>
      </w:r>
      <w:r>
        <w:rPr>
          <w:rFonts w:hint="eastAsia" w:ascii="宋体" w:hAnsi="宋体" w:cs="宋体"/>
          <w:color w:val="auto"/>
          <w:highlight w:val="none"/>
        </w:rPr>
        <w:t>日</w:t>
      </w:r>
      <w:r>
        <w:rPr>
          <w:rFonts w:hint="eastAsia" w:ascii="宋体" w:hAnsi="宋体" w:cs="宋体"/>
          <w:color w:val="auto"/>
          <w:szCs w:val="21"/>
          <w:highlight w:val="none"/>
        </w:rPr>
        <w:t>至</w:t>
      </w: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7</w:t>
      </w:r>
      <w:r>
        <w:rPr>
          <w:rFonts w:hint="eastAsia" w:ascii="宋体" w:hAnsi="宋体" w:cs="宋体"/>
          <w:color w:val="auto"/>
          <w:highlight w:val="none"/>
        </w:rPr>
        <w:t>月</w:t>
      </w:r>
      <w:r>
        <w:rPr>
          <w:rFonts w:hint="eastAsia" w:ascii="宋体" w:hAnsi="宋体" w:cs="宋体"/>
          <w:color w:val="auto"/>
          <w:highlight w:val="none"/>
          <w:lang w:val="en-US" w:eastAsia="zh-CN"/>
        </w:rPr>
        <w:t>2</w:t>
      </w:r>
      <w:r>
        <w:rPr>
          <w:rFonts w:hint="eastAsia" w:ascii="宋体" w:hAnsi="宋体" w:cs="宋体"/>
          <w:color w:val="auto"/>
          <w:highlight w:val="none"/>
        </w:rPr>
        <w:t>日</w:t>
      </w:r>
      <w:r>
        <w:rPr>
          <w:rFonts w:hint="eastAsia" w:ascii="宋体" w:hAnsi="宋体" w:cs="宋体"/>
          <w:color w:val="auto"/>
          <w:szCs w:val="21"/>
          <w:highlight w:val="none"/>
        </w:rPr>
        <w:t>，每天</w:t>
      </w:r>
      <w:r>
        <w:rPr>
          <w:rFonts w:hint="eastAsia" w:ascii="宋体" w:hAnsi="宋体" w:cs="宋体"/>
          <w:color w:val="auto"/>
          <w:szCs w:val="21"/>
          <w:highlight w:val="none"/>
          <w:lang w:eastAsia="zh-CN"/>
        </w:rPr>
        <w:t>上午</w:t>
      </w:r>
      <w:r>
        <w:rPr>
          <w:rFonts w:hint="eastAsia" w:ascii="宋体" w:hAnsi="宋体" w:cs="宋体"/>
          <w:color w:val="auto"/>
          <w:szCs w:val="21"/>
          <w:highlight w:val="none"/>
        </w:rPr>
        <w:t>00：00</w:t>
      </w:r>
      <w:r>
        <w:rPr>
          <w:rFonts w:hint="eastAsia" w:ascii="宋体" w:hAnsi="宋体" w:cs="宋体"/>
          <w:color w:val="auto"/>
          <w:szCs w:val="21"/>
          <w:highlight w:val="none"/>
          <w:lang w:eastAsia="zh-CN"/>
        </w:rPr>
        <w:t>至</w:t>
      </w:r>
      <w:r>
        <w:rPr>
          <w:rFonts w:hint="eastAsia" w:ascii="宋体" w:hAnsi="宋体" w:cs="宋体"/>
          <w:color w:val="auto"/>
          <w:szCs w:val="21"/>
          <w:highlight w:val="none"/>
        </w:rPr>
        <w:t>11：59；</w:t>
      </w:r>
      <w:r>
        <w:rPr>
          <w:rFonts w:hint="eastAsia" w:ascii="宋体" w:hAnsi="宋体" w:cs="宋体"/>
          <w:color w:val="auto"/>
          <w:szCs w:val="21"/>
          <w:highlight w:val="none"/>
          <w:lang w:eastAsia="zh-CN"/>
        </w:rPr>
        <w:t>下午</w:t>
      </w:r>
      <w:r>
        <w:rPr>
          <w:rFonts w:hint="eastAsia" w:ascii="宋体" w:hAnsi="宋体" w:cs="宋体"/>
          <w:color w:val="auto"/>
          <w:szCs w:val="21"/>
          <w:highlight w:val="none"/>
        </w:rPr>
        <w:t>12：00</w:t>
      </w:r>
      <w:r>
        <w:rPr>
          <w:rFonts w:hint="eastAsia" w:ascii="宋体" w:hAnsi="宋体" w:cs="宋体"/>
          <w:color w:val="auto"/>
          <w:szCs w:val="21"/>
          <w:highlight w:val="none"/>
          <w:lang w:eastAsia="zh-CN"/>
        </w:rPr>
        <w:t>至</w:t>
      </w:r>
      <w:r>
        <w:rPr>
          <w:rFonts w:hint="eastAsia" w:ascii="宋体" w:hAnsi="宋体" w:cs="宋体"/>
          <w:color w:val="auto"/>
          <w:szCs w:val="21"/>
          <w:highlight w:val="none"/>
        </w:rPr>
        <w:t>23：59（北京时间，法定节假日除外）</w:t>
      </w:r>
      <w:r>
        <w:rPr>
          <w:rFonts w:hint="eastAsia" w:ascii="宋体" w:hAnsi="宋体" w:cs="宋体"/>
          <w:bCs/>
          <w:color w:val="auto"/>
          <w:kern w:val="0"/>
          <w:szCs w:val="21"/>
          <w:highlight w:val="none"/>
        </w:rPr>
        <w:t>。</w:t>
      </w:r>
    </w:p>
    <w:p w14:paraId="22ABEFBA">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w:t>
      </w:r>
      <w:r>
        <w:rPr>
          <w:rFonts w:hint="eastAsia" w:ascii="宋体" w:hAnsi="宋体" w:cs="宋体"/>
          <w:bCs/>
          <w:color w:val="auto"/>
          <w:kern w:val="0"/>
          <w:szCs w:val="21"/>
          <w:highlight w:val="none"/>
          <w:lang w:eastAsia="zh-CN"/>
        </w:rPr>
        <w:t>https://www.gcy.zfcg.gxzf.gov.cn/</w:t>
      </w:r>
      <w:r>
        <w:rPr>
          <w:rFonts w:hint="eastAsia" w:ascii="宋体" w:hAnsi="宋体" w:cs="宋体"/>
          <w:bCs/>
          <w:color w:val="auto"/>
          <w:kern w:val="0"/>
          <w:szCs w:val="21"/>
          <w:highlight w:val="none"/>
        </w:rPr>
        <w:t>）。</w:t>
      </w:r>
    </w:p>
    <w:p w14:paraId="3918818C">
      <w:pPr>
        <w:wordWrap w:val="0"/>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https://www.gcy.zfcg.gxzf.gov.cn/</w:t>
      </w:r>
      <w:r>
        <w:rPr>
          <w:rFonts w:hint="eastAsia" w:ascii="宋体" w:hAnsi="宋体" w:cs="宋体"/>
          <w:bCs/>
          <w:color w:val="auto"/>
          <w:kern w:val="0"/>
          <w:szCs w:val="21"/>
          <w:highlight w:val="none"/>
        </w:rPr>
        <w:t>）下载竞争性磋商文件（操作路径：登录广西政府采购云平台-项目采购-获取采购文件-找到本项目-点击“申请获取采购文件”），电子响应文件制作需要基于广西政府采购云平台获取的竞争性磋商文件编制。</w:t>
      </w:r>
    </w:p>
    <w:p w14:paraId="7C2E9C91">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售价：0元。</w:t>
      </w:r>
    </w:p>
    <w:p w14:paraId="2339562C">
      <w:pPr>
        <w:spacing w:line="360" w:lineRule="auto"/>
        <w:rPr>
          <w:rFonts w:ascii="宋体" w:hAnsi="宋体" w:cs="宋体"/>
          <w:b/>
          <w:color w:val="auto"/>
          <w:sz w:val="24"/>
          <w:highlight w:val="none"/>
        </w:rPr>
      </w:pPr>
      <w:bookmarkStart w:id="32" w:name="_Toc71365908"/>
      <w:r>
        <w:rPr>
          <w:rFonts w:hint="eastAsia" w:ascii="宋体" w:hAnsi="宋体" w:cs="宋体"/>
          <w:b/>
          <w:color w:val="auto"/>
          <w:sz w:val="24"/>
          <w:highlight w:val="none"/>
        </w:rPr>
        <w:t>四、响应文件提交</w:t>
      </w:r>
      <w:bookmarkEnd w:id="27"/>
      <w:bookmarkEnd w:id="28"/>
      <w:bookmarkEnd w:id="29"/>
      <w:bookmarkEnd w:id="30"/>
      <w:bookmarkEnd w:id="31"/>
      <w:bookmarkEnd w:id="32"/>
      <w:r>
        <w:rPr>
          <w:rFonts w:hint="eastAsia" w:ascii="宋体" w:hAnsi="宋体" w:cs="宋体"/>
          <w:b/>
          <w:color w:val="auto"/>
          <w:sz w:val="24"/>
          <w:highlight w:val="none"/>
        </w:rPr>
        <w:t>：</w:t>
      </w:r>
    </w:p>
    <w:p w14:paraId="69AB943F">
      <w:pPr>
        <w:spacing w:line="360" w:lineRule="auto"/>
        <w:ind w:firstLine="420" w:firstLineChars="200"/>
        <w:rPr>
          <w:rFonts w:ascii="宋体" w:hAnsi="宋体" w:cs="宋体"/>
          <w:color w:val="auto"/>
          <w:szCs w:val="21"/>
          <w:highlight w:val="none"/>
          <w:u w:val="single"/>
        </w:rPr>
      </w:pPr>
      <w:bookmarkStart w:id="33" w:name="_Toc35393633"/>
      <w:bookmarkStart w:id="34" w:name="_Toc35393802"/>
      <w:bookmarkStart w:id="35" w:name="_Toc28359016"/>
      <w:bookmarkStart w:id="36" w:name="_Toc44229882"/>
      <w:bookmarkStart w:id="37" w:name="_Toc28359093"/>
      <w:r>
        <w:rPr>
          <w:rFonts w:hint="eastAsia" w:ascii="宋体" w:hAnsi="宋体" w:cs="宋体"/>
          <w:color w:val="auto"/>
          <w:szCs w:val="21"/>
          <w:highlight w:val="none"/>
        </w:rPr>
        <w:t>1、首次响应文件提交截止时间：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日9时00分（北京时间）</w:t>
      </w:r>
    </w:p>
    <w:p w14:paraId="766332EA">
      <w:pPr>
        <w:spacing w:line="360" w:lineRule="auto"/>
        <w:ind w:firstLine="420" w:firstLineChars="200"/>
        <w:rPr>
          <w:rFonts w:ascii="宋体" w:hAnsi="宋体" w:cs="宋体"/>
          <w:color w:val="auto"/>
          <w:kern w:val="0"/>
          <w:szCs w:val="21"/>
          <w:highlight w:val="none"/>
        </w:rPr>
      </w:pPr>
      <w:bookmarkStart w:id="38" w:name="_Toc71365909"/>
      <w:r>
        <w:rPr>
          <w:rFonts w:hint="eastAsia" w:ascii="宋体" w:hAnsi="宋体" w:cs="宋体"/>
          <w:color w:val="auto"/>
          <w:szCs w:val="21"/>
          <w:highlight w:val="none"/>
        </w:rPr>
        <w:t>2、地点：</w:t>
      </w:r>
      <w:r>
        <w:rPr>
          <w:rFonts w:hint="eastAsia" w:ascii="宋体" w:hAnsi="宋体" w:cs="宋体"/>
          <w:color w:val="auto"/>
          <w:szCs w:val="21"/>
          <w:highlight w:val="none"/>
          <w:lang w:bidi="ar"/>
        </w:rPr>
        <w:t>通过广西政府采购云平台在线提交。</w:t>
      </w:r>
    </w:p>
    <w:p w14:paraId="56A528C7">
      <w:pPr>
        <w:spacing w:line="360" w:lineRule="auto"/>
        <w:rPr>
          <w:rFonts w:ascii="宋体" w:hAnsi="宋体" w:cs="宋体"/>
          <w:b/>
          <w:color w:val="auto"/>
          <w:sz w:val="24"/>
          <w:highlight w:val="none"/>
        </w:rPr>
      </w:pPr>
      <w:r>
        <w:rPr>
          <w:rFonts w:hint="eastAsia" w:ascii="宋体" w:hAnsi="宋体" w:cs="宋体"/>
          <w:b/>
          <w:color w:val="auto"/>
          <w:sz w:val="24"/>
          <w:highlight w:val="none"/>
        </w:rPr>
        <w:t>五、开启</w:t>
      </w:r>
      <w:bookmarkEnd w:id="33"/>
      <w:bookmarkEnd w:id="34"/>
      <w:bookmarkEnd w:id="35"/>
      <w:bookmarkEnd w:id="36"/>
      <w:bookmarkEnd w:id="37"/>
      <w:bookmarkEnd w:id="38"/>
      <w:r>
        <w:rPr>
          <w:rFonts w:hint="eastAsia" w:ascii="宋体" w:hAnsi="宋体" w:cs="宋体"/>
          <w:b/>
          <w:color w:val="auto"/>
          <w:sz w:val="24"/>
          <w:highlight w:val="none"/>
        </w:rPr>
        <w:t>：</w:t>
      </w:r>
    </w:p>
    <w:p w14:paraId="191A382E">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1、首次响应文件开启时间：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日9时00分（北京时间）</w:t>
      </w:r>
    </w:p>
    <w:p w14:paraId="1DEA07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2、地点：</w:t>
      </w:r>
      <w:r>
        <w:rPr>
          <w:rFonts w:hint="eastAsia" w:ascii="宋体" w:hAnsi="宋体" w:cs="宋体"/>
          <w:color w:val="auto"/>
          <w:szCs w:val="21"/>
          <w:highlight w:val="none"/>
          <w:lang w:bidi="ar"/>
        </w:rPr>
        <w:t>本项目将在广西政府采购云平台电子开标大厅解密、开启。</w:t>
      </w:r>
    </w:p>
    <w:p w14:paraId="361CEBAA">
      <w:pPr>
        <w:spacing w:line="360" w:lineRule="auto"/>
        <w:rPr>
          <w:rFonts w:ascii="宋体" w:hAnsi="宋体" w:cs="宋体"/>
          <w:b/>
          <w:color w:val="auto"/>
          <w:sz w:val="24"/>
          <w:highlight w:val="none"/>
        </w:rPr>
      </w:pPr>
      <w:bookmarkStart w:id="39" w:name="_Toc35393634"/>
      <w:bookmarkStart w:id="40" w:name="_Toc28359094"/>
      <w:bookmarkStart w:id="41" w:name="_Toc35393803"/>
      <w:bookmarkStart w:id="42" w:name="_Toc44229883"/>
      <w:bookmarkStart w:id="43" w:name="_Toc28359017"/>
      <w:bookmarkStart w:id="44" w:name="_Toc71365910"/>
      <w:r>
        <w:rPr>
          <w:rFonts w:hint="eastAsia" w:ascii="宋体" w:hAnsi="宋体" w:cs="宋体"/>
          <w:b/>
          <w:color w:val="auto"/>
          <w:sz w:val="24"/>
          <w:highlight w:val="none"/>
        </w:rPr>
        <w:t>六、公告期限</w:t>
      </w:r>
      <w:bookmarkEnd w:id="39"/>
      <w:bookmarkEnd w:id="40"/>
      <w:bookmarkEnd w:id="41"/>
      <w:bookmarkEnd w:id="42"/>
      <w:bookmarkEnd w:id="43"/>
      <w:bookmarkEnd w:id="44"/>
      <w:r>
        <w:rPr>
          <w:rFonts w:hint="eastAsia" w:ascii="宋体" w:hAnsi="宋体" w:cs="宋体"/>
          <w:b/>
          <w:color w:val="auto"/>
          <w:sz w:val="24"/>
          <w:highlight w:val="none"/>
        </w:rPr>
        <w:t>：</w:t>
      </w:r>
    </w:p>
    <w:p w14:paraId="0E89BB3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54DFFA61">
      <w:pPr>
        <w:spacing w:line="360" w:lineRule="auto"/>
        <w:rPr>
          <w:rFonts w:ascii="宋体" w:hAnsi="宋体" w:cs="宋体"/>
          <w:b/>
          <w:color w:val="auto"/>
          <w:sz w:val="24"/>
          <w:highlight w:val="none"/>
        </w:rPr>
      </w:pPr>
      <w:bookmarkStart w:id="45" w:name="_Toc71365911"/>
      <w:bookmarkStart w:id="46" w:name="_Toc35393804"/>
      <w:bookmarkStart w:id="47" w:name="_Toc44229884"/>
      <w:bookmarkStart w:id="48" w:name="_Toc35393635"/>
      <w:r>
        <w:rPr>
          <w:rFonts w:hint="eastAsia" w:ascii="宋体" w:hAnsi="宋体" w:cs="宋体"/>
          <w:b/>
          <w:color w:val="auto"/>
          <w:sz w:val="24"/>
          <w:highlight w:val="none"/>
        </w:rPr>
        <w:t>七、其他补充事宜</w:t>
      </w:r>
      <w:bookmarkEnd w:id="45"/>
      <w:bookmarkEnd w:id="46"/>
      <w:bookmarkEnd w:id="47"/>
      <w:bookmarkEnd w:id="48"/>
      <w:r>
        <w:rPr>
          <w:rFonts w:hint="eastAsia" w:ascii="宋体" w:hAnsi="宋体" w:cs="宋体"/>
          <w:b/>
          <w:color w:val="auto"/>
          <w:sz w:val="24"/>
          <w:highlight w:val="none"/>
        </w:rPr>
        <w:t>：</w:t>
      </w:r>
    </w:p>
    <w:p w14:paraId="2F954D6E">
      <w:pPr>
        <w:widowControl/>
        <w:wordWrap w:val="0"/>
        <w:spacing w:line="360" w:lineRule="auto"/>
        <w:ind w:firstLine="420" w:firstLineChars="200"/>
        <w:rPr>
          <w:rFonts w:ascii="宋体" w:hAnsi="宋体" w:cs="宋体"/>
          <w:color w:val="auto"/>
          <w:szCs w:val="21"/>
          <w:highlight w:val="none"/>
        </w:rPr>
      </w:pPr>
      <w:bookmarkStart w:id="49" w:name="_Hlk37429674"/>
      <w:bookmarkStart w:id="50" w:name="_Toc35393636"/>
      <w:bookmarkStart w:id="51" w:name="_Toc28359095"/>
      <w:bookmarkStart w:id="52" w:name="_Toc28359018"/>
      <w:bookmarkStart w:id="53" w:name="_Toc44229885"/>
      <w:bookmarkStart w:id="54" w:name="_Toc35393805"/>
      <w:r>
        <w:rPr>
          <w:rFonts w:hint="eastAsia" w:ascii="宋体" w:hAnsi="宋体" w:cs="宋体"/>
          <w:color w:val="auto"/>
          <w:szCs w:val="21"/>
          <w:highlight w:val="none"/>
        </w:rPr>
        <w:t>1、磋商保证金（人民币）：25000.00元。</w:t>
      </w:r>
    </w:p>
    <w:p w14:paraId="0DC847E9">
      <w:pPr>
        <w:widowControl/>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577B6C0B">
      <w:pPr>
        <w:widowControl/>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4ECB6E4">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4、网上查询地址：</w:t>
      </w:r>
      <w:r>
        <w:rPr>
          <w:rFonts w:hint="eastAsia" w:ascii="宋体" w:hAnsi="宋体" w:cs="宋体"/>
          <w:bCs/>
          <w:color w:val="auto"/>
          <w:szCs w:val="21"/>
          <w:highlight w:val="none"/>
        </w:rPr>
        <w:t>中国政府采购网</w:t>
      </w:r>
      <w:r>
        <w:rPr>
          <w:rFonts w:hint="eastAsia" w:ascii="宋体" w:hAnsi="宋体" w:cs="宋体"/>
          <w:bCs/>
          <w:color w:val="auto"/>
          <w:szCs w:val="21"/>
          <w:highlight w:val="none"/>
          <w:lang w:eastAsia="zh-CN"/>
        </w:rPr>
        <w:t>（http://www.ccgp.gov.cn/）</w:t>
      </w:r>
      <w:r>
        <w:rPr>
          <w:rFonts w:hint="eastAsia" w:ascii="宋体" w:hAnsi="宋体" w:cs="宋体"/>
          <w:bCs/>
          <w:color w:val="auto"/>
          <w:szCs w:val="21"/>
          <w:highlight w:val="none"/>
        </w:rPr>
        <w:t>、广西政府采购网</w:t>
      </w:r>
      <w:r>
        <w:rPr>
          <w:rFonts w:hint="eastAsia" w:ascii="宋体" w:hAnsi="宋体" w:cs="宋体"/>
          <w:bCs/>
          <w:color w:val="auto"/>
          <w:szCs w:val="21"/>
          <w:highlight w:val="none"/>
          <w:lang w:eastAsia="zh-CN"/>
        </w:rPr>
        <w:t>（http://www.ccgp-guangxi.gov.cn/）</w:t>
      </w:r>
      <w:r>
        <w:rPr>
          <w:rFonts w:hint="eastAsia" w:ascii="宋体" w:hAnsi="宋体" w:cs="宋体"/>
          <w:bCs/>
          <w:color w:val="auto"/>
          <w:szCs w:val="21"/>
          <w:highlight w:val="none"/>
        </w:rPr>
        <w:t>、广西正海招标有限公司网</w:t>
      </w:r>
      <w:r>
        <w:rPr>
          <w:rFonts w:hint="eastAsia" w:ascii="宋体" w:hAnsi="宋体" w:cs="宋体"/>
          <w:bCs/>
          <w:color w:val="auto"/>
          <w:szCs w:val="21"/>
          <w:highlight w:val="none"/>
          <w:lang w:eastAsia="zh-CN"/>
        </w:rPr>
        <w:t>（http://gxzhenghai.com/）</w:t>
      </w:r>
      <w:r>
        <w:rPr>
          <w:rFonts w:hint="eastAsia" w:ascii="宋体" w:hAnsi="宋体" w:cs="宋体"/>
          <w:color w:val="auto"/>
          <w:szCs w:val="21"/>
          <w:highlight w:val="none"/>
        </w:rPr>
        <w:t>。</w:t>
      </w:r>
    </w:p>
    <w:p w14:paraId="78311AF2">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5、本项目需要落实的政府采购政策：</w:t>
      </w:r>
    </w:p>
    <w:p w14:paraId="0EE3B91E">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51416979">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55781BED">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7BD42C2F">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15B00628">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1CE8E268">
      <w:pPr>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6、磋商注意事项：</w:t>
      </w:r>
    </w:p>
    <w:p w14:paraId="2D427A43">
      <w:pPr>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（1）本项目为全流程电子化采购项目，通过广西政府采购云平台（</w:t>
      </w:r>
      <w:r>
        <w:rPr>
          <w:rFonts w:hint="eastAsia" w:ascii="宋体" w:hAnsi="宋体" w:cs="宋体"/>
          <w:color w:val="auto"/>
          <w:szCs w:val="21"/>
          <w:highlight w:val="none"/>
          <w:lang w:eastAsia="zh-CN" w:bidi="ar"/>
        </w:rPr>
        <w:t>https://www.gcy.zfcg.gxzf.gov.cn/</w:t>
      </w:r>
      <w:r>
        <w:rPr>
          <w:rFonts w:hint="eastAsia" w:ascii="宋体" w:hAnsi="宋体" w:cs="宋体"/>
          <w:color w:val="auto"/>
          <w:szCs w:val="21"/>
          <w:highlight w:val="none"/>
          <w:lang w:bidi="ar"/>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 ，依次进入“服务中心-项目采购-操作流程-电子招投标-政府采购项目电子交易管理操作指南-供应商”查看电子竞标具体操作流程。</w:t>
      </w:r>
    </w:p>
    <w:p w14:paraId="6A5924F1">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 ，依次进入“服务中心-入驻与配置”中查看CA数字证书办理操作流程。如在操作过程中遇到问题或者需要技术支持，请致电桂采云客服热线：95763）。</w:t>
      </w:r>
    </w:p>
    <w:p w14:paraId="78EB3220">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（3）CA证书在线解密：首次响应文件开启时，需携带制作响应文件时用来加密的有效数字证书（CA认证）登录广西政府采购云平台 电子开标大厅现场按规定时间对加密的响应文件进行解密，否则后果自负。</w:t>
      </w:r>
    </w:p>
    <w:p w14:paraId="71EEEA23">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注：1）为确保网上操作合法、有效和安全，请供应商确保在电子竞标过程中能够对相关数据电文进行加密和使用电子签章，妥善保管CA数字证书并使用有效的CA数字证书参与整个采购活动。</w:t>
      </w:r>
    </w:p>
    <w:p w14:paraId="75992BEF">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2）供应商应当在提交响应文件截止时间前完成电子响应文件的提交（上传），提交响应文件截止时间前可以补充、修改或者撤回响应文件。补充或者修改响应文件，应当先行撤回原响应文件，补充、修改后重新提交（上传），提交响应文件截止时间前未完成提交（上传）的，视为撤回响应文件。提交响应文件截止时间以后提交（上传）的响应文件，广西政府采购云平台将予以拒收。</w:t>
      </w:r>
    </w:p>
    <w:p w14:paraId="10376D55">
      <w:pPr>
        <w:widowControl/>
        <w:wordWrap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lang w:bidi="ar"/>
        </w:rPr>
        <w:t>（4）供应商需要在具备有摄像头及语音功能且互联网网络状况良好的电脑登录广西政府采购云平台远程开标大厅参与本次磋商，否则后果自负。</w:t>
      </w:r>
    </w:p>
    <w:bookmarkEnd w:id="49"/>
    <w:p w14:paraId="396A12F2">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50"/>
      <w:bookmarkEnd w:id="51"/>
      <w:bookmarkEnd w:id="52"/>
      <w:bookmarkEnd w:id="53"/>
      <w:bookmarkEnd w:id="54"/>
      <w:r>
        <w:rPr>
          <w:rFonts w:hint="eastAsia" w:ascii="宋体" w:hAnsi="宋体" w:cs="宋体"/>
          <w:b/>
          <w:color w:val="auto"/>
          <w:sz w:val="24"/>
          <w:highlight w:val="none"/>
        </w:rPr>
        <w:t>：</w:t>
      </w:r>
    </w:p>
    <w:p w14:paraId="3565A92D">
      <w:pPr>
        <w:widowControl/>
        <w:wordWrap w:val="0"/>
        <w:spacing w:line="360" w:lineRule="auto"/>
        <w:ind w:firstLine="420" w:firstLineChars="200"/>
        <w:rPr>
          <w:rFonts w:ascii="宋体" w:hAnsi="宋体" w:cs="宋体"/>
          <w:color w:val="auto"/>
          <w:szCs w:val="21"/>
          <w:highlight w:val="none"/>
          <w:lang w:bidi="ar"/>
        </w:rPr>
      </w:pPr>
      <w:bookmarkStart w:id="55" w:name="_Toc35393806"/>
      <w:bookmarkStart w:id="56" w:name="_Toc28359096"/>
      <w:bookmarkStart w:id="57" w:name="_Toc35393637"/>
      <w:bookmarkStart w:id="58" w:name="_Toc28359019"/>
      <w:r>
        <w:rPr>
          <w:rFonts w:hint="eastAsia" w:ascii="宋体" w:hAnsi="宋体" w:cs="宋体"/>
          <w:color w:val="auto"/>
          <w:szCs w:val="21"/>
          <w:highlight w:val="none"/>
          <w:lang w:bidi="ar"/>
        </w:rPr>
        <w:t>1、采购人信息</w:t>
      </w:r>
    </w:p>
    <w:p w14:paraId="18180655">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名称：</w:t>
      </w:r>
      <w:r>
        <w:rPr>
          <w:rFonts w:hint="eastAsia" w:ascii="宋体" w:hAnsi="宋体" w:cs="宋体"/>
          <w:color w:val="auto"/>
          <w:szCs w:val="21"/>
          <w:highlight w:val="none"/>
          <w:lang w:eastAsia="zh-CN" w:bidi="ar"/>
        </w:rPr>
        <w:t>广西职业技术大学</w:t>
      </w:r>
      <w:r>
        <w:rPr>
          <w:rFonts w:hint="eastAsia" w:ascii="宋体" w:hAnsi="宋体" w:cs="宋体"/>
          <w:color w:val="auto"/>
          <w:szCs w:val="21"/>
          <w:highlight w:val="none"/>
          <w:lang w:bidi="ar"/>
        </w:rPr>
        <w:t xml:space="preserve">  地址：南宁市江南区明阳大道19号 </w:t>
      </w:r>
    </w:p>
    <w:p w14:paraId="6CB79C54">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 xml:space="preserve">项目联系人：凌老师      联系电话：0771-4213138             </w:t>
      </w:r>
    </w:p>
    <w:p w14:paraId="5AF53E39">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2、采购代理机构信息</w:t>
      </w:r>
    </w:p>
    <w:p w14:paraId="0D60E65A">
      <w:pPr>
        <w:widowControl/>
        <w:wordWrap w:val="0"/>
        <w:spacing w:line="360" w:lineRule="auto"/>
        <w:ind w:firstLine="420" w:firstLineChars="200"/>
        <w:jc w:val="left"/>
        <w:rPr>
          <w:rFonts w:ascii="宋体" w:hAnsi="宋体" w:cs="宋体"/>
          <w:color w:val="auto"/>
          <w:szCs w:val="21"/>
          <w:highlight w:val="none"/>
          <w:lang w:bidi="ar"/>
        </w:rPr>
      </w:pPr>
      <w:r>
        <w:rPr>
          <w:rFonts w:hint="eastAsia" w:ascii="宋体" w:hAnsi="宋体" w:cs="宋体"/>
          <w:color w:val="auto"/>
          <w:szCs w:val="21"/>
          <w:highlight w:val="none"/>
          <w:lang w:bidi="ar"/>
        </w:rPr>
        <w:t>名称：广西正海招标有限公司　地址：南宁市青秀区茅桥路2号习艺基地A栋1号电梯3楼</w:t>
      </w:r>
    </w:p>
    <w:p w14:paraId="5971D5C6">
      <w:pPr>
        <w:widowControl/>
        <w:wordWrap w:val="0"/>
        <w:spacing w:line="360" w:lineRule="auto"/>
        <w:ind w:firstLine="420" w:firstLineChars="200"/>
        <w:rPr>
          <w:rFonts w:ascii="宋体" w:hAnsi="宋体" w:cs="宋体"/>
          <w:color w:val="auto"/>
          <w:szCs w:val="21"/>
          <w:highlight w:val="none"/>
          <w:lang w:bidi="ar"/>
        </w:rPr>
      </w:pPr>
      <w:r>
        <w:rPr>
          <w:rFonts w:hint="eastAsia" w:ascii="宋体" w:hAnsi="宋体" w:cs="宋体"/>
          <w:color w:val="auto"/>
          <w:szCs w:val="21"/>
          <w:highlight w:val="none"/>
          <w:lang w:bidi="ar"/>
        </w:rPr>
        <w:t>项目联系人：覃相健      联系电话：0771-2865989</w:t>
      </w:r>
    </w:p>
    <w:p w14:paraId="7F22E6EA">
      <w:pPr>
        <w:spacing w:line="380" w:lineRule="exact"/>
        <w:ind w:firstLine="5880" w:firstLineChars="2800"/>
        <w:jc w:val="right"/>
        <w:rPr>
          <w:rFonts w:ascii="宋体" w:hAnsi="宋体" w:cs="宋体"/>
          <w:color w:val="auto"/>
          <w:szCs w:val="21"/>
          <w:highlight w:val="none"/>
        </w:rPr>
      </w:pPr>
    </w:p>
    <w:p w14:paraId="7901A4FA">
      <w:pPr>
        <w:spacing w:line="380" w:lineRule="exact"/>
        <w:ind w:firstLine="5880" w:firstLineChars="2800"/>
        <w:jc w:val="right"/>
        <w:rPr>
          <w:rFonts w:ascii="宋体" w:hAnsi="宋体" w:cs="宋体"/>
          <w:color w:val="auto"/>
          <w:szCs w:val="21"/>
          <w:highlight w:val="none"/>
        </w:rPr>
      </w:pPr>
      <w:r>
        <w:rPr>
          <w:rFonts w:hint="eastAsia" w:ascii="宋体" w:hAnsi="宋体" w:cs="宋体"/>
          <w:color w:val="auto"/>
          <w:szCs w:val="21"/>
          <w:highlight w:val="none"/>
        </w:rPr>
        <w:t>广西正海招标有限公司</w:t>
      </w:r>
    </w:p>
    <w:p w14:paraId="4F230255">
      <w:pPr>
        <w:snapToGrid w:val="0"/>
        <w:spacing w:line="380" w:lineRule="exact"/>
        <w:ind w:left="238"/>
        <w:jc w:val="right"/>
        <w:rPr>
          <w:rFonts w:ascii="宋体" w:hAnsi="宋体" w:cs="宋体"/>
          <w:color w:val="auto"/>
          <w:highlight w:val="none"/>
        </w:rPr>
      </w:pPr>
      <w:r>
        <w:rPr>
          <w:rFonts w:hint="eastAsia" w:ascii="宋体" w:hAnsi="宋体" w:cs="宋体"/>
          <w:color w:val="auto"/>
          <w:highlight w:val="none"/>
        </w:rPr>
        <w:t xml:space="preserve">                                                   </w:t>
      </w:r>
      <w:bookmarkEnd w:id="55"/>
      <w:bookmarkEnd w:id="56"/>
      <w:bookmarkEnd w:id="57"/>
      <w:bookmarkEnd w:id="58"/>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6</w:t>
      </w:r>
      <w:r>
        <w:rPr>
          <w:rFonts w:hint="eastAsia" w:ascii="宋体" w:hAnsi="宋体" w:cs="宋体"/>
          <w:color w:val="auto"/>
          <w:highlight w:val="none"/>
        </w:rPr>
        <w:t>月</w:t>
      </w:r>
      <w:r>
        <w:rPr>
          <w:rFonts w:hint="eastAsia" w:ascii="宋体" w:hAnsi="宋体" w:cs="宋体"/>
          <w:color w:val="auto"/>
          <w:highlight w:val="none"/>
          <w:lang w:val="en-US" w:eastAsia="zh-CN"/>
        </w:rPr>
        <w:t>25</w:t>
      </w:r>
      <w:r>
        <w:rPr>
          <w:rFonts w:hint="eastAsia" w:ascii="宋体" w:hAnsi="宋体" w:cs="宋体"/>
          <w:color w:val="auto"/>
          <w:highlight w:val="none"/>
        </w:rPr>
        <w:t>日</w:t>
      </w:r>
    </w:p>
    <w:p w14:paraId="0D1D45EF">
      <w:pPr>
        <w:snapToGrid w:val="0"/>
        <w:spacing w:line="380" w:lineRule="exact"/>
        <w:ind w:left="238"/>
        <w:jc w:val="right"/>
        <w:rPr>
          <w:rFonts w:ascii="宋体" w:hAnsi="宋体" w:cs="宋体"/>
          <w:color w:val="auto"/>
          <w:highlight w:val="none"/>
        </w:rPr>
      </w:pPr>
    </w:p>
    <w:p w14:paraId="37108724">
      <w:pPr>
        <w:pStyle w:val="3"/>
        <w:spacing w:before="0" w:after="0" w:line="700" w:lineRule="exact"/>
        <w:jc w:val="center"/>
        <w:rPr>
          <w:rFonts w:ascii="宋体" w:hAnsi="宋体" w:cs="宋体"/>
          <w:color w:val="auto"/>
          <w:highlight w:val="none"/>
        </w:rPr>
      </w:pPr>
      <w:bookmarkStart w:id="59" w:name="_Toc107326202"/>
      <w:r>
        <w:rPr>
          <w:rFonts w:hint="eastAsia" w:ascii="宋体" w:hAnsi="宋体" w:cs="宋体"/>
          <w:color w:val="auto"/>
          <w:highlight w:val="none"/>
        </w:rPr>
        <w:t>第二章 供应商须知</w:t>
      </w:r>
      <w:bookmarkEnd w:id="59"/>
    </w:p>
    <w:p w14:paraId="101D3517">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29"/>
        <w:tblW w:w="97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793"/>
      </w:tblGrid>
      <w:tr w14:paraId="64512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4B8A71FF">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8793" w:type="dxa"/>
          </w:tcPr>
          <w:p w14:paraId="194417C9">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0D4C8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3153F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8793" w:type="dxa"/>
            <w:vAlign w:val="center"/>
          </w:tcPr>
          <w:p w14:paraId="146F4F93">
            <w:pPr>
              <w:spacing w:line="360" w:lineRule="exact"/>
              <w:rPr>
                <w:rFonts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6FF7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BA0FA0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5.1</w:t>
            </w:r>
          </w:p>
        </w:tc>
        <w:tc>
          <w:tcPr>
            <w:tcW w:w="8793" w:type="dxa"/>
            <w:vAlign w:val="center"/>
          </w:tcPr>
          <w:p w14:paraId="79A5FD6B">
            <w:pPr>
              <w:spacing w:line="360" w:lineRule="exact"/>
              <w:rPr>
                <w:rFonts w:ascii="宋体" w:hAnsi="宋体" w:cs="宋体"/>
                <w:color w:val="auto"/>
                <w:szCs w:val="21"/>
                <w:highlight w:val="none"/>
              </w:rPr>
            </w:pPr>
            <w:r>
              <w:rPr>
                <w:rFonts w:hint="eastAsia" w:ascii="宋体" w:hAnsi="宋体" w:cs="宋体"/>
                <w:color w:val="auto"/>
                <w:szCs w:val="21"/>
                <w:highlight w:val="none"/>
              </w:rPr>
              <w:t>是否接受联合体竞标：本项目不接受联合体竞标</w:t>
            </w:r>
          </w:p>
        </w:tc>
      </w:tr>
      <w:tr w14:paraId="69FEC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96058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6.2</w:t>
            </w:r>
          </w:p>
        </w:tc>
        <w:tc>
          <w:tcPr>
            <w:tcW w:w="8793" w:type="dxa"/>
            <w:vAlign w:val="center"/>
          </w:tcPr>
          <w:p w14:paraId="5A5E7530">
            <w:pPr>
              <w:tabs>
                <w:tab w:val="left" w:pos="1996"/>
              </w:tabs>
              <w:spacing w:before="98"/>
              <w:rPr>
                <w:rFonts w:ascii="宋体" w:hAnsi="宋体" w:cs="宋体"/>
                <w:color w:val="auto"/>
                <w:szCs w:val="21"/>
                <w:highlight w:val="none"/>
              </w:rPr>
            </w:pPr>
            <w:r>
              <w:rPr>
                <w:rFonts w:hint="eastAsia" w:ascii="宋体" w:hAnsi="宋体" w:cs="宋体"/>
                <w:color w:val="auto"/>
                <w:szCs w:val="21"/>
                <w:highlight w:val="none"/>
              </w:rPr>
              <w:t>本项目不允许分包。</w:t>
            </w:r>
          </w:p>
          <w:p w14:paraId="74C2A347">
            <w:pPr>
              <w:tabs>
                <w:tab w:val="left" w:pos="1996"/>
              </w:tabs>
              <w:spacing w:before="98"/>
              <w:rPr>
                <w:rFonts w:ascii="宋体" w:hAnsi="宋体" w:cs="宋体"/>
                <w:color w:val="auto"/>
                <w:szCs w:val="21"/>
                <w:highlight w:val="none"/>
              </w:rPr>
            </w:pPr>
            <w:r>
              <w:rPr>
                <w:rFonts w:hint="eastAsia" w:ascii="宋体" w:hAnsi="宋体" w:cs="宋体"/>
                <w:color w:val="auto"/>
                <w:szCs w:val="22"/>
                <w:highlight w:val="none"/>
              </w:rPr>
              <w:t>分包内容：/。</w:t>
            </w:r>
          </w:p>
        </w:tc>
      </w:tr>
      <w:tr w14:paraId="58CE1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8F182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8793" w:type="dxa"/>
            <w:vAlign w:val="center"/>
          </w:tcPr>
          <w:p w14:paraId="029D7F1C">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6F2215D5">
            <w:pPr>
              <w:widowControl/>
              <w:numPr>
                <w:ilvl w:val="0"/>
                <w:numId w:val="1"/>
              </w:numPr>
              <w:spacing w:line="380" w:lineRule="exact"/>
              <w:ind w:left="0"/>
              <w:jc w:val="left"/>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09AC8339">
            <w:pPr>
              <w:widowControl/>
              <w:numPr>
                <w:ilvl w:val="0"/>
                <w:numId w:val="1"/>
              </w:numPr>
              <w:spacing w:line="380" w:lineRule="exact"/>
              <w:ind w:left="0"/>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内任意一个月的依法缴纳税收的凭据复印件（如税务部门开具的完税证、银行缴税付款凭证或缴款回单等；如为非税务部门开具的凭证或回单的，应清晰反映：付款人名称、帐号，征收机关名称，缴款金额，税种名称，所属时期等内容）；如供应商半年内为零纳税的，供应商应出具其具备经营能力的相关证明材料。供应商符合依法免税条件的，应出具所在地的税务部门出具的《依法免税证明》复印件。从取得营业执照时间起到响应文件提交截止时间为止不足要求月数的，只需提供从取得营业执照起的依法缴纳税收相应证明文件】；（</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3A32C90C">
            <w:pPr>
              <w:widowControl/>
              <w:numPr>
                <w:ilvl w:val="0"/>
                <w:numId w:val="1"/>
              </w:numPr>
              <w:spacing w:line="380" w:lineRule="exact"/>
              <w:ind w:left="0"/>
              <w:jc w:val="left"/>
              <w:rPr>
                <w:rFonts w:ascii="宋体" w:hAnsi="宋体" w:cs="宋体"/>
                <w:color w:val="auto"/>
                <w:szCs w:val="21"/>
                <w:highlight w:val="none"/>
              </w:rPr>
            </w:pPr>
            <w:r>
              <w:rPr>
                <w:rFonts w:hint="eastAsia" w:ascii="宋体" w:hAnsi="宋体" w:cs="宋体"/>
                <w:color w:val="auto"/>
                <w:szCs w:val="21"/>
                <w:highlight w:val="none"/>
              </w:rPr>
              <w:t>3、磋商供应商依法缴纳社会保障资金的相关材料【202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内任意一个月的依法缴纳社会保障资金的缴费凭证（专用收据或者社会保险缴纳清单）复印件；并附上项目实施人员社保缴存证明（如社保部门开具的证明、收款收据等，或银行缴款凭证、回单等；如为非社保部门开具的凭证或回单的，应清晰反映：缴款单位名称、社保单位名称、保险险种名称、缴款金额等内容）。无缴费记录的，应提供供应商所在地社保部门出具的《依法免缴社保费证明》复印件。从取得营业执照时间起到响应文件提交截止时间为止不足要求月数的只需提供从取得营业执照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495792B2">
            <w:pPr>
              <w:widowControl/>
              <w:numPr>
                <w:ilvl w:val="0"/>
                <w:numId w:val="1"/>
              </w:numPr>
              <w:spacing w:line="380" w:lineRule="exact"/>
              <w:ind w:left="0"/>
              <w:jc w:val="left"/>
              <w:rPr>
                <w:rFonts w:ascii="宋体" w:hAnsi="宋体" w:cs="宋体"/>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年度经第三方审计的财务审计报告复印件</w:t>
            </w:r>
            <w:r>
              <w:rPr>
                <w:rFonts w:hint="eastAsia"/>
                <w:color w:val="auto"/>
                <w:szCs w:val="21"/>
                <w:highlight w:val="none"/>
              </w:rPr>
              <w:t>或者银行出具的资信证明，或者中国人民银行征信中心出具的信用报告（企业竞标的提供企业信用报告，自然人竞标的提供个人信用报告）；供应商属于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3FA39F7D">
            <w:pPr>
              <w:widowControl/>
              <w:numPr>
                <w:ilvl w:val="0"/>
                <w:numId w:val="1"/>
              </w:numPr>
              <w:spacing w:line="380" w:lineRule="exact"/>
              <w:ind w:left="0"/>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5、供应商直接控股、管理关系信息表（格式附后）；（</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032A5CAD">
            <w:pPr>
              <w:widowControl/>
              <w:numPr>
                <w:ilvl w:val="0"/>
                <w:numId w:val="1"/>
              </w:numPr>
              <w:spacing w:line="380" w:lineRule="exact"/>
              <w:ind w:left="0"/>
              <w:jc w:val="left"/>
              <w:rPr>
                <w:rFonts w:ascii="宋体" w:hAnsi="宋体" w:cs="宋体"/>
                <w:color w:val="auto"/>
                <w:highlight w:val="none"/>
              </w:rPr>
            </w:pPr>
            <w:r>
              <w:rPr>
                <w:rFonts w:hint="eastAsia" w:ascii="宋体" w:hAnsi="宋体" w:cs="宋体"/>
                <w:color w:val="auto"/>
                <w:szCs w:val="21"/>
                <w:highlight w:val="none"/>
              </w:rPr>
              <w:t>6、磋商声明（格式附后）；（</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0B31F94C">
            <w:pPr>
              <w:widowControl/>
              <w:numPr>
                <w:ilvl w:val="0"/>
                <w:numId w:val="1"/>
              </w:numPr>
              <w:spacing w:line="380" w:lineRule="exact"/>
              <w:ind w:left="0"/>
              <w:jc w:val="left"/>
              <w:rPr>
                <w:rFonts w:ascii="宋体" w:hAnsi="宋体" w:cs="宋体"/>
                <w:color w:val="auto"/>
                <w:highlight w:val="none"/>
              </w:rPr>
            </w:pPr>
            <w:r>
              <w:rPr>
                <w:rFonts w:hint="eastAsia" w:ascii="宋体" w:hAnsi="宋体" w:cs="宋体"/>
                <w:color w:val="auto"/>
                <w:szCs w:val="21"/>
                <w:highlight w:val="none"/>
              </w:rPr>
              <w:t>7、特定资格要求</w:t>
            </w:r>
            <w:r>
              <w:rPr>
                <w:rFonts w:hint="eastAsia" w:ascii="宋体" w:hAnsi="宋体" w:cs="宋体"/>
                <w:color w:val="auto"/>
                <w:szCs w:val="21"/>
                <w:highlight w:val="none"/>
                <w:lang w:eastAsia="zh-CN"/>
              </w:rPr>
              <w:t>证明材料复印件</w:t>
            </w:r>
            <w:r>
              <w:rPr>
                <w:rFonts w:hint="eastAsia" w:ascii="宋体" w:hAnsi="宋体" w:cs="宋体"/>
                <w:color w:val="auto"/>
                <w:szCs w:val="21"/>
                <w:highlight w:val="none"/>
              </w:rPr>
              <w:t>：</w:t>
            </w:r>
            <w:r>
              <w:rPr>
                <w:rFonts w:hint="eastAsia" w:ascii="宋体" w:hAnsi="宋体"/>
                <w:color w:val="auto"/>
                <w:szCs w:val="21"/>
                <w:highlight w:val="none"/>
              </w:rPr>
              <w:t>供应商具备有效的建筑工程施工总承包三级（含）以上资质或建筑装修装饰工程专业承包二级及以上资质，同时具备有效的省级及以上建设行政主管部门颁发的安全生产许可证</w:t>
            </w:r>
            <w:r>
              <w:rPr>
                <w:rFonts w:hint="eastAsia" w:ascii="宋体" w:hAnsi="宋体" w:cs="宋体"/>
                <w:color w:val="auto"/>
                <w:szCs w:val="21"/>
                <w:highlight w:val="none"/>
              </w:rPr>
              <w:t>；</w:t>
            </w:r>
            <w:r>
              <w:rPr>
                <w:rFonts w:hint="eastAsia" w:ascii="宋体" w:hAnsi="宋体" w:cs="宋体"/>
                <w:color w:val="auto"/>
                <w:highlight w:val="none"/>
              </w:rPr>
              <w:t>拟派的项目经理须具备</w:t>
            </w:r>
            <w:r>
              <w:rPr>
                <w:rFonts w:hint="eastAsia" w:ascii="宋体" w:hAnsi="宋体"/>
                <w:color w:val="auto"/>
                <w:szCs w:val="20"/>
                <w:highlight w:val="none"/>
              </w:rPr>
              <w:t>建筑工程专业二级（含）以上</w:t>
            </w:r>
            <w:r>
              <w:rPr>
                <w:rFonts w:hint="eastAsia" w:ascii="宋体" w:hAnsi="宋体" w:cs="宋体"/>
                <w:color w:val="auto"/>
                <w:highlight w:val="none"/>
              </w:rPr>
              <w:t>注册建造师执业资格和具备有效的安全生产考核合格证书（B类）；拟派的专职安全生产管理人员须具备安全生产考核合格证书（C类）的</w:t>
            </w:r>
            <w:r>
              <w:rPr>
                <w:rFonts w:hint="eastAsia" w:ascii="宋体" w:hAnsi="宋体" w:cs="宋体"/>
                <w:color w:val="auto"/>
                <w:szCs w:val="21"/>
                <w:highlight w:val="none"/>
              </w:rPr>
              <w:t>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7357EAE">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b/>
                <w:color w:val="auto"/>
                <w:szCs w:val="21"/>
                <w:highlight w:val="none"/>
              </w:rPr>
              <w:t>中小企业声明函</w:t>
            </w:r>
            <w:r>
              <w:rPr>
                <w:rFonts w:hint="eastAsia" w:ascii="宋体" w:hAnsi="宋体" w:cs="宋体"/>
                <w:color w:val="auto"/>
                <w:szCs w:val="21"/>
                <w:highlight w:val="none"/>
              </w:rPr>
              <w:t>或</w:t>
            </w:r>
            <w:r>
              <w:rPr>
                <w:rFonts w:hint="eastAsia" w:ascii="宋体" w:hAnsi="宋体" w:cs="宋体"/>
                <w:b/>
                <w:color w:val="auto"/>
                <w:szCs w:val="21"/>
                <w:highlight w:val="none"/>
              </w:rPr>
              <w:t>监狱企业由省级以上监狱管理局、戒毒管理局（含新疆生产建设兵团）出具的属于监狱企业的证明文件</w:t>
            </w:r>
            <w:r>
              <w:rPr>
                <w:rFonts w:hint="eastAsia" w:ascii="宋体" w:hAnsi="宋体" w:cs="宋体"/>
                <w:color w:val="auto"/>
                <w:szCs w:val="21"/>
                <w:highlight w:val="none"/>
              </w:rPr>
              <w:t>或</w:t>
            </w:r>
            <w:r>
              <w:rPr>
                <w:rFonts w:hint="eastAsia" w:ascii="宋体" w:hAnsi="宋体" w:cs="宋体"/>
                <w:b/>
                <w:color w:val="auto"/>
                <w:szCs w:val="21"/>
                <w:highlight w:val="none"/>
              </w:rPr>
              <w:t>残疾人福利性单位声明函</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A4987CE">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71EBDA0A">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注：</w:t>
            </w:r>
          </w:p>
          <w:p w14:paraId="00189EF5">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1、以上标明“必须提供”的材料属于复印件的，必须加盖供应商公章，否则响应文件按无效响应处理。</w:t>
            </w:r>
          </w:p>
          <w:p w14:paraId="4B96D114">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磋商</w:t>
            </w:r>
            <w:r>
              <w:rPr>
                <w:rFonts w:hint="eastAsia" w:ascii="宋体" w:hAnsi="宋体" w:cs="宋体"/>
                <w:b/>
                <w:color w:val="auto"/>
                <w:szCs w:val="21"/>
                <w:highlight w:val="none"/>
              </w:rPr>
              <w:t>声明必须由法定代表人在规定签章处签字并加盖供应商公章，否则响应文件按无效响应处理。</w:t>
            </w:r>
          </w:p>
          <w:p w14:paraId="73DFCF52">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3、供应商直接控股、管理关系信息表必须由法定代表人或者委托代理人在规定签章处签字并加盖供应商公章，否则响应文件按无效响应处理。</w:t>
            </w:r>
          </w:p>
          <w:p w14:paraId="6C216935">
            <w:pPr>
              <w:pStyle w:val="13"/>
              <w:spacing w:line="360" w:lineRule="exact"/>
              <w:rPr>
                <w:rFonts w:ascii="宋体" w:hAnsi="宋体" w:cs="宋体"/>
                <w:b/>
                <w:color w:val="auto"/>
                <w:szCs w:val="21"/>
                <w:highlight w:val="none"/>
              </w:rPr>
            </w:pPr>
            <w:r>
              <w:rPr>
                <w:rFonts w:hint="eastAsia" w:ascii="宋体" w:hAnsi="宋体" w:cs="宋体"/>
                <w:b/>
                <w:color w:val="auto"/>
                <w:szCs w:val="21"/>
                <w:highlight w:val="none"/>
              </w:rPr>
              <w:t>4、</w:t>
            </w:r>
            <w:r>
              <w:rPr>
                <w:rFonts w:hint="eastAsia" w:ascii="宋体" w:hAnsi="宋体" w:cs="宋体"/>
                <w:b/>
                <w:bCs/>
                <w:color w:val="auto"/>
                <w:szCs w:val="21"/>
                <w:highlight w:val="none"/>
              </w:rPr>
              <w:t>分公司参加竞标的，应当取得总公司授权</w:t>
            </w:r>
            <w:r>
              <w:rPr>
                <w:rFonts w:hint="eastAsia" w:ascii="宋体" w:hAnsi="宋体" w:cs="宋体"/>
                <w:b/>
                <w:color w:val="auto"/>
                <w:szCs w:val="21"/>
                <w:highlight w:val="none"/>
              </w:rPr>
              <w:t>，否则响应文件按无效响应处理。</w:t>
            </w:r>
          </w:p>
        </w:tc>
      </w:tr>
      <w:tr w14:paraId="2C27B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4EE31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8793" w:type="dxa"/>
            <w:vAlign w:val="center"/>
          </w:tcPr>
          <w:p w14:paraId="116BB0CC">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报价商务技术文件</w:t>
            </w:r>
          </w:p>
          <w:p w14:paraId="6B6A2CE4">
            <w:pPr>
              <w:spacing w:line="360" w:lineRule="exact"/>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3491C2A">
            <w:pPr>
              <w:spacing w:line="360" w:lineRule="exact"/>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6CA627C">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3、法定代表人身份证明书及法定代表人有效身份证正反面复印件（格式后附）；（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30DFC1">
            <w:pPr>
              <w:spacing w:line="360" w:lineRule="exact"/>
              <w:rPr>
                <w:rFonts w:ascii="宋体" w:hAnsi="宋体" w:cs="宋体"/>
                <w:b/>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704A522">
            <w:pPr>
              <w:spacing w:line="360" w:lineRule="exact"/>
              <w:rPr>
                <w:rFonts w:ascii="宋体" w:hAnsi="宋体" w:cs="宋体"/>
                <w:color w:val="auto"/>
                <w:szCs w:val="21"/>
                <w:highlight w:val="none"/>
              </w:rPr>
            </w:pPr>
            <w:r>
              <w:rPr>
                <w:rFonts w:hint="eastAsia" w:ascii="宋体" w:hAnsi="宋体" w:cs="宋体"/>
                <w:color w:val="auto"/>
                <w:szCs w:val="21"/>
                <w:highlight w:val="none"/>
              </w:rPr>
              <w:t>5、磋商保证金提交凭证；（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8400822">
            <w:pPr>
              <w:widowControl/>
              <w:spacing w:line="380" w:lineRule="exact"/>
              <w:jc w:val="left"/>
              <w:rPr>
                <w:rFonts w:ascii="宋体" w:hAnsi="宋体" w:cs="宋体"/>
                <w:color w:val="auto"/>
                <w:szCs w:val="21"/>
                <w:highlight w:val="none"/>
              </w:rPr>
            </w:pPr>
            <w:r>
              <w:rPr>
                <w:rFonts w:hint="eastAsia" w:ascii="宋体" w:hAnsi="宋体" w:cs="宋体"/>
                <w:color w:val="auto"/>
                <w:szCs w:val="21"/>
                <w:highlight w:val="none"/>
              </w:rPr>
              <w:t>6、商务要求偏离表（格式附后）；（</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1B84C0B8">
            <w:pPr>
              <w:widowControl/>
              <w:spacing w:line="380" w:lineRule="exact"/>
              <w:jc w:val="left"/>
              <w:rPr>
                <w:rFonts w:ascii="宋体" w:hAnsi="宋体" w:cs="宋体"/>
                <w:color w:val="auto"/>
                <w:szCs w:val="21"/>
                <w:highlight w:val="none"/>
              </w:rPr>
            </w:pPr>
            <w:r>
              <w:rPr>
                <w:rFonts w:hint="eastAsia" w:ascii="宋体" w:hAnsi="宋体" w:cs="宋体"/>
                <w:color w:val="auto"/>
                <w:szCs w:val="21"/>
                <w:highlight w:val="none"/>
              </w:rPr>
              <w:t>7、技术要求偏离表（格式附后）；（</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4EE20771">
            <w:pPr>
              <w:spacing w:line="360" w:lineRule="exact"/>
              <w:rPr>
                <w:rFonts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color w:val="auto"/>
                <w:highlight w:val="none"/>
              </w:rPr>
              <w:t>农民工工资保证金承诺书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0446785">
            <w:pPr>
              <w:spacing w:line="360" w:lineRule="exact"/>
              <w:rPr>
                <w:rFonts w:ascii="宋体" w:hAnsi="宋体" w:cs="宋体"/>
                <w:color w:val="auto"/>
                <w:szCs w:val="21"/>
                <w:highlight w:val="none"/>
              </w:rPr>
            </w:pPr>
            <w:r>
              <w:rPr>
                <w:rFonts w:hint="eastAsia" w:ascii="宋体" w:hAnsi="宋体" w:cs="宋体"/>
                <w:color w:val="auto"/>
                <w:szCs w:val="21"/>
                <w:highlight w:val="none"/>
              </w:rPr>
              <w:t>9、建筑材料和设备节能环保要求承诺书（格式后附）；（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B44419D">
            <w:pPr>
              <w:spacing w:line="360" w:lineRule="exact"/>
              <w:rPr>
                <w:rFonts w:ascii="宋体" w:hAnsi="宋体" w:cs="宋体"/>
                <w:color w:val="auto"/>
                <w:szCs w:val="21"/>
                <w:highlight w:val="none"/>
              </w:rPr>
            </w:pPr>
            <w:r>
              <w:rPr>
                <w:rFonts w:hint="eastAsia" w:ascii="宋体" w:hAnsi="宋体" w:cs="宋体"/>
                <w:color w:val="auto"/>
                <w:szCs w:val="21"/>
                <w:highlight w:val="none"/>
              </w:rPr>
              <w:t>10、</w:t>
            </w:r>
            <w:r>
              <w:rPr>
                <w:rFonts w:hint="eastAsia" w:ascii="宋体" w:hAnsi="宋体" w:cs="宋体"/>
                <w:color w:val="auto"/>
                <w:highlight w:val="none"/>
              </w:rPr>
              <w:t>项目管理机构配备情况表</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961E3F">
            <w:pPr>
              <w:spacing w:line="360" w:lineRule="exact"/>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highlight w:val="none"/>
              </w:rPr>
              <w:t>拟委任的项目经理资历表（格式后附）；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E131440">
            <w:pPr>
              <w:spacing w:line="360" w:lineRule="exact"/>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highlight w:val="none"/>
              </w:rPr>
              <w:t>施工组织设计</w:t>
            </w:r>
            <w:r>
              <w:rPr>
                <w:rFonts w:hint="eastAsia" w:ascii="宋体" w:hAnsi="宋体" w:cs="宋体"/>
                <w:color w:val="auto"/>
                <w:szCs w:val="21"/>
                <w:highlight w:val="none"/>
              </w:rPr>
              <w:t>【包括但不限于：（1）主要施工方法；（2）施工进度计划和各阶段进度的保证措施；（3）主要工程项目的施工方案、方法与技术措施；（4）工程质量管理体系及保证措施；（5）劳动力和材料投入计划；（6）拟投入本工程的主要施工机械设备情况及主要施工机械进场计划；（7）文明施工的技术组织措施】（格式自拟）；（</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CFCD263">
            <w:pPr>
              <w:spacing w:line="360" w:lineRule="exact"/>
              <w:rPr>
                <w:rFonts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highlight w:val="none"/>
              </w:rPr>
              <w:t>已标价的工程量清单</w:t>
            </w:r>
            <w:r>
              <w:rPr>
                <w:rFonts w:hint="eastAsia" w:ascii="宋体" w:hAnsi="宋体" w:cs="宋体"/>
                <w:color w:val="auto"/>
                <w:szCs w:val="21"/>
                <w:highlight w:val="none"/>
              </w:rPr>
              <w:t>（按工程量清单格式编写）；（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A1FF29C">
            <w:pPr>
              <w:spacing w:line="360" w:lineRule="exact"/>
              <w:rPr>
                <w:rFonts w:ascii="宋体" w:hAnsi="宋体" w:cs="宋体"/>
                <w:color w:val="auto"/>
                <w:szCs w:val="21"/>
                <w:highlight w:val="none"/>
              </w:rPr>
            </w:pPr>
            <w:r>
              <w:rPr>
                <w:rFonts w:hint="eastAsia" w:ascii="宋体" w:hAnsi="宋体" w:cs="宋体"/>
                <w:color w:val="auto"/>
                <w:szCs w:val="21"/>
                <w:highlight w:val="none"/>
              </w:rPr>
              <w:t>14、对应采购需求的技术要求、商务要求提供的其他文件资料（格式自拟）；</w:t>
            </w:r>
          </w:p>
          <w:p w14:paraId="46AB31EC">
            <w:pPr>
              <w:spacing w:line="360" w:lineRule="exact"/>
              <w:rPr>
                <w:rFonts w:ascii="宋体" w:hAnsi="宋体" w:cs="宋体"/>
                <w:color w:val="auto"/>
                <w:szCs w:val="21"/>
                <w:highlight w:val="none"/>
              </w:rPr>
            </w:pPr>
            <w:r>
              <w:rPr>
                <w:rFonts w:hint="eastAsia" w:ascii="宋体" w:hAnsi="宋体" w:cs="宋体"/>
                <w:color w:val="auto"/>
                <w:szCs w:val="21"/>
                <w:highlight w:val="none"/>
              </w:rPr>
              <w:t>15、供应商认为需要提供的其他有关资料。</w:t>
            </w:r>
          </w:p>
          <w:p w14:paraId="30A7101D">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注：</w:t>
            </w:r>
          </w:p>
          <w:p w14:paraId="1421F929">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1、以上标明“必须提供”的材料属于复印件的，必须加盖供应商公章，否则响应文件按无效响应处理。</w:t>
            </w:r>
          </w:p>
          <w:p w14:paraId="76605E73">
            <w:pPr>
              <w:widowControl/>
              <w:snapToGrid w:val="0"/>
              <w:spacing w:line="380" w:lineRule="exact"/>
              <w:jc w:val="left"/>
              <w:rPr>
                <w:rFonts w:ascii="宋体" w:hAnsi="宋体" w:cs="宋体"/>
                <w:b/>
                <w:color w:val="auto"/>
                <w:szCs w:val="21"/>
                <w:highlight w:val="none"/>
              </w:rPr>
            </w:pPr>
            <w:r>
              <w:rPr>
                <w:rFonts w:hint="eastAsia" w:ascii="宋体" w:hAnsi="宋体" w:cs="宋体"/>
                <w:b/>
                <w:bCs/>
                <w:color w:val="auto"/>
                <w:szCs w:val="21"/>
                <w:highlight w:val="none"/>
              </w:rPr>
              <w:t>2、电子响应文件中所须加盖公章部分均建议采用CA签章。若响应文件中有专门标注的某关联点，并要求供应商在电子投标系统中作出磋商响应的，如供应商未对关联点进行响应或者在响应文件其它内容进行描述，造成电子评审不能查询的责任由供应商自行承担。</w:t>
            </w:r>
          </w:p>
          <w:p w14:paraId="6A1469B2">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3、以上材料未附格式的，由供应商自行拟定。</w:t>
            </w:r>
          </w:p>
        </w:tc>
      </w:tr>
      <w:tr w14:paraId="0C2F9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CB246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15.2</w:t>
            </w:r>
          </w:p>
        </w:tc>
        <w:tc>
          <w:tcPr>
            <w:tcW w:w="8793" w:type="dxa"/>
            <w:vAlign w:val="center"/>
          </w:tcPr>
          <w:p w14:paraId="0B41562C">
            <w:pPr>
              <w:spacing w:line="360" w:lineRule="exact"/>
              <w:rPr>
                <w:rFonts w:ascii="宋体" w:hAnsi="宋体" w:cs="宋体"/>
                <w:color w:val="auto"/>
                <w:szCs w:val="21"/>
                <w:highlight w:val="none"/>
              </w:rPr>
            </w:pPr>
            <w:r>
              <w:rPr>
                <w:rFonts w:hint="eastAsia" w:ascii="宋体" w:hAnsi="宋体" w:cs="宋体"/>
                <w:color w:val="auto"/>
                <w:szCs w:val="21"/>
                <w:highlight w:val="none"/>
              </w:rPr>
              <w:t>磋商报价：本工程磋商报价采用工程量清单报价。供应商应就采购人提供的工程量清单全部内容作完整唯一报价，漏项报价的或有选择的或有条件的报价，其磋商将视为无效。</w:t>
            </w:r>
          </w:p>
          <w:p w14:paraId="64939107">
            <w:pPr>
              <w:spacing w:line="360" w:lineRule="exact"/>
              <w:rPr>
                <w:rFonts w:ascii="宋体" w:hAnsi="宋体" w:cs="宋体"/>
                <w:color w:val="auto"/>
                <w:szCs w:val="21"/>
                <w:highlight w:val="none"/>
              </w:rPr>
            </w:pPr>
            <w:r>
              <w:rPr>
                <w:rFonts w:hint="eastAsia" w:ascii="宋体" w:hAnsi="宋体" w:cs="宋体"/>
                <w:color w:val="auto"/>
                <w:szCs w:val="21"/>
                <w:highlight w:val="none"/>
              </w:rPr>
              <w:t>磋商小组要求的每轮磋商报价，供应商均须提供相应完整的已标价的工程量清单。</w:t>
            </w:r>
          </w:p>
        </w:tc>
      </w:tr>
      <w:tr w14:paraId="304AF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F95F7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16.2</w:t>
            </w:r>
          </w:p>
        </w:tc>
        <w:tc>
          <w:tcPr>
            <w:tcW w:w="8793" w:type="dxa"/>
            <w:vAlign w:val="center"/>
          </w:tcPr>
          <w:p w14:paraId="31D0BF63">
            <w:pPr>
              <w:spacing w:line="360" w:lineRule="exact"/>
              <w:rPr>
                <w:rFonts w:ascii="宋体" w:hAnsi="宋体" w:cs="宋体"/>
                <w:color w:val="auto"/>
                <w:szCs w:val="21"/>
                <w:highlight w:val="none"/>
              </w:rPr>
            </w:pPr>
            <w:r>
              <w:rPr>
                <w:rFonts w:hint="eastAsia" w:ascii="宋体" w:hAnsi="宋体" w:cs="宋体"/>
                <w:color w:val="auto"/>
                <w:szCs w:val="21"/>
                <w:highlight w:val="none"/>
              </w:rPr>
              <w:t>竞标有效期：首次响应文件提交截止之日起60天内。</w:t>
            </w:r>
          </w:p>
        </w:tc>
      </w:tr>
      <w:tr w14:paraId="63DCB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7144C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17.1</w:t>
            </w:r>
          </w:p>
        </w:tc>
        <w:tc>
          <w:tcPr>
            <w:tcW w:w="8793" w:type="dxa"/>
            <w:vAlign w:val="center"/>
          </w:tcPr>
          <w:p w14:paraId="5F69245E">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本项目收取磋商保证金，具体规定如下：</w:t>
            </w:r>
          </w:p>
          <w:p w14:paraId="5FA51751">
            <w:pPr>
              <w:spacing w:line="360" w:lineRule="exact"/>
              <w:rPr>
                <w:rFonts w:ascii="宋体" w:hAnsi="宋体" w:cs="宋体"/>
                <w:color w:val="auto"/>
                <w:kern w:val="0"/>
                <w:szCs w:val="21"/>
                <w:highlight w:val="none"/>
              </w:rPr>
            </w:pPr>
            <w:r>
              <w:rPr>
                <w:rFonts w:hint="eastAsia" w:ascii="宋体" w:hAnsi="宋体" w:cs="宋体"/>
                <w:color w:val="auto"/>
                <w:kern w:val="0"/>
                <w:szCs w:val="21"/>
                <w:highlight w:val="none"/>
              </w:rPr>
              <w:t>磋商保证金人民币：25000.00元。</w:t>
            </w:r>
          </w:p>
          <w:p w14:paraId="5B7C7137">
            <w:pPr>
              <w:snapToGrid w:val="0"/>
              <w:spacing w:line="360" w:lineRule="exact"/>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磋商保证金的交纳方式：银行转账、支票、汇票、本票或者金融、担保金融、担保机构出具的保函，禁止采用现钞方式。采用银行转账方式的，在响应文件提交截止时间前交至指定账户并且到账</w:t>
            </w:r>
            <w:r>
              <w:rPr>
                <w:rFonts w:hint="eastAsia" w:ascii="宋体" w:hAnsi="宋体" w:cs="宋体"/>
                <w:b/>
                <w:bCs/>
                <w:color w:val="auto"/>
                <w:kern w:val="0"/>
                <w:szCs w:val="21"/>
                <w:highlight w:val="none"/>
              </w:rPr>
              <w:t>（开户银行：</w:t>
            </w:r>
            <w:r>
              <w:rPr>
                <w:rFonts w:hint="eastAsia" w:ascii="宋体" w:hAnsi="宋体" w:cs="宋体"/>
                <w:b/>
                <w:bCs/>
                <w:color w:val="auto"/>
                <w:kern w:val="0"/>
                <w:szCs w:val="21"/>
                <w:highlight w:val="none"/>
                <w:u w:val="single"/>
              </w:rPr>
              <w:t>广西北部湾银行南宁市兴宁支行（行号：313611014014）</w:t>
            </w:r>
            <w:r>
              <w:rPr>
                <w:rFonts w:hint="eastAsia" w:ascii="宋体" w:hAnsi="宋体" w:cs="宋体"/>
                <w:b/>
                <w:bCs/>
                <w:color w:val="auto"/>
                <w:kern w:val="0"/>
                <w:szCs w:val="21"/>
                <w:highlight w:val="none"/>
              </w:rPr>
              <w:t>，开户名称：</w:t>
            </w:r>
            <w:r>
              <w:rPr>
                <w:rFonts w:hint="eastAsia" w:ascii="宋体" w:hAnsi="宋体" w:cs="宋体"/>
                <w:b/>
                <w:bCs/>
                <w:color w:val="auto"/>
                <w:kern w:val="0"/>
                <w:szCs w:val="21"/>
                <w:highlight w:val="none"/>
                <w:u w:val="single"/>
              </w:rPr>
              <w:t>广西正海招标有限公司</w:t>
            </w:r>
            <w:r>
              <w:rPr>
                <w:rFonts w:hint="eastAsia" w:ascii="宋体" w:hAnsi="宋体" w:cs="宋体"/>
                <w:b/>
                <w:bCs/>
                <w:color w:val="auto"/>
                <w:kern w:val="0"/>
                <w:szCs w:val="21"/>
                <w:highlight w:val="none"/>
              </w:rPr>
              <w:t>，银行账号：</w:t>
            </w:r>
            <w:r>
              <w:rPr>
                <w:rFonts w:hint="eastAsia" w:ascii="宋体" w:hAnsi="宋体" w:cs="宋体"/>
                <w:b/>
                <w:bCs/>
                <w:color w:val="auto"/>
                <w:kern w:val="0"/>
                <w:szCs w:val="21"/>
                <w:highlight w:val="none"/>
                <w:u w:val="single"/>
              </w:rPr>
              <w:t>800105504300012</w:t>
            </w:r>
            <w:r>
              <w:rPr>
                <w:rFonts w:hint="eastAsia" w:ascii="宋体" w:hAnsi="宋体" w:cs="宋体"/>
                <w:b/>
                <w:bCs/>
                <w:color w:val="auto"/>
                <w:kern w:val="0"/>
                <w:szCs w:val="21"/>
                <w:highlight w:val="none"/>
              </w:rPr>
              <w:t>）</w:t>
            </w:r>
            <w:r>
              <w:rPr>
                <w:rFonts w:hint="eastAsia" w:ascii="宋体" w:hAnsi="宋体" w:cs="宋体"/>
                <w:color w:val="auto"/>
                <w:kern w:val="0"/>
                <w:szCs w:val="21"/>
                <w:highlight w:val="none"/>
              </w:rPr>
              <w:t>；采用支票、汇票、本票或者保函等方式的，在响应文件提交截止时间前，供应商必须提交支票、汇票、本票或者保函原件。否则视为无效磋商保证金。</w:t>
            </w:r>
            <w:r>
              <w:rPr>
                <w:rFonts w:hint="eastAsia" w:ascii="宋体" w:hAnsi="宋体" w:cs="宋体"/>
                <w:b/>
                <w:color w:val="auto"/>
                <w:szCs w:val="21"/>
                <w:highlight w:val="none"/>
              </w:rPr>
              <w:t>办理磋商保证金手续时，请务必在银行进账单或电汇单的附言或用途栏上注明项目编号、分标号（如有）及“磋商保证金”字样等信息；否则，信息不明确或有误的视为未按规定提交磋商保证金处理。</w:t>
            </w:r>
          </w:p>
          <w:p w14:paraId="50102F4F">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相关要求：</w:t>
            </w:r>
          </w:p>
          <w:p w14:paraId="17F3CBDC">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1、磋商保证金采用银行转账交纳方式的，在响应文件提交截止时间前交至指定账户并且到账，供应商应将银行转账底单的复印件作为磋商保证金提交凭证，放置于报价商务技术文件中，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EE06872">
            <w:pPr>
              <w:snapToGrid w:val="0"/>
              <w:spacing w:line="360" w:lineRule="exact"/>
              <w:rPr>
                <w:rFonts w:ascii="宋体" w:hAnsi="宋体" w:cs="宋体"/>
                <w:b/>
                <w:color w:val="auto"/>
                <w:szCs w:val="21"/>
                <w:highlight w:val="none"/>
              </w:rPr>
            </w:pPr>
            <w:r>
              <w:rPr>
                <w:rFonts w:hint="eastAsia" w:ascii="宋体" w:hAnsi="宋体" w:cs="宋体"/>
                <w:color w:val="auto"/>
                <w:szCs w:val="21"/>
                <w:highlight w:val="none"/>
              </w:rPr>
              <w:t>2、磋商保证金采用支票、汇票、本票或者金融、担保机构出具的保函交纳方式的，供应商应将支票、汇票、本票或者金融、担保机构出具的保函的复印件作为磋商保证金提交凭证，放置于报价商务技术文件中，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r>
              <w:rPr>
                <w:rFonts w:hint="eastAsia" w:ascii="宋体" w:hAnsi="宋体" w:cs="宋体"/>
                <w:b/>
                <w:color w:val="auto"/>
                <w:szCs w:val="21"/>
                <w:highlight w:val="none"/>
              </w:rPr>
              <w:t>供应商必须在首次响应文件提交截止时间前将支票、汇票、本票或者金融、担保机构出具的保函原件提交给采购代理机构，由采购代理机构向供应商出具回执，并妥善保管。</w:t>
            </w:r>
          </w:p>
          <w:p w14:paraId="0213E018">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3、未成交供应商的磋商保证金在成交通知书发出后5个工作日内退还，成交供应商的磋商保证金在成交供应商与采购人签订合同后5个工作日内退还，磋商保证金不计息。</w:t>
            </w:r>
          </w:p>
          <w:p w14:paraId="4F88A3CD">
            <w:pPr>
              <w:snapToGrid w:val="0"/>
              <w:spacing w:line="360" w:lineRule="exact"/>
              <w:rPr>
                <w:rFonts w:ascii="宋体" w:hAnsi="宋体" w:cs="宋体"/>
                <w:b/>
                <w:color w:val="auto"/>
                <w:szCs w:val="21"/>
                <w:highlight w:val="none"/>
              </w:rPr>
            </w:pPr>
            <w:r>
              <w:rPr>
                <w:rFonts w:hint="eastAsia" w:ascii="宋体" w:hAnsi="宋体" w:cs="宋体"/>
                <w:b/>
                <w:color w:val="auto"/>
                <w:szCs w:val="21"/>
                <w:highlight w:val="none"/>
              </w:rPr>
              <w:t>备注：</w:t>
            </w:r>
          </w:p>
          <w:p w14:paraId="4800DA53">
            <w:pPr>
              <w:snapToGrid w:val="0"/>
              <w:spacing w:line="360" w:lineRule="exact"/>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63C46D61">
            <w:pPr>
              <w:snapToGrid w:val="0"/>
              <w:spacing w:line="360" w:lineRule="exact"/>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01A50A2B">
            <w:pPr>
              <w:snapToGrid w:val="0"/>
              <w:spacing w:line="360" w:lineRule="exact"/>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3383C4A0">
            <w:pPr>
              <w:snapToGrid w:val="0"/>
              <w:spacing w:line="360" w:lineRule="exact"/>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611B0005">
            <w:pPr>
              <w:snapToGrid w:val="0"/>
              <w:spacing w:line="360" w:lineRule="exact"/>
              <w:rPr>
                <w:rFonts w:ascii="宋体" w:hAnsi="宋体" w:cs="宋体"/>
                <w:color w:val="auto"/>
                <w:szCs w:val="21"/>
                <w:highlight w:val="none"/>
              </w:rPr>
            </w:pPr>
            <w:r>
              <w:rPr>
                <w:rFonts w:hint="eastAsia" w:ascii="宋体" w:hAnsi="宋体" w:cs="宋体"/>
                <w:b/>
                <w:color w:val="auto"/>
                <w:szCs w:val="21"/>
                <w:highlight w:val="none"/>
              </w:rPr>
              <w:t>5、采用金融、担保机构出具保函的，必须为无条件保函，否则视为无效磋商保证金。</w:t>
            </w:r>
          </w:p>
        </w:tc>
      </w:tr>
      <w:tr w14:paraId="2E7FE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vAlign w:val="center"/>
          </w:tcPr>
          <w:p w14:paraId="25C98C8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18.2</w:t>
            </w:r>
          </w:p>
        </w:tc>
        <w:tc>
          <w:tcPr>
            <w:tcW w:w="8793" w:type="dxa"/>
            <w:vAlign w:val="center"/>
          </w:tcPr>
          <w:p w14:paraId="40203436">
            <w:pPr>
              <w:spacing w:line="360" w:lineRule="exact"/>
              <w:rPr>
                <w:rFonts w:ascii="宋体" w:hAnsi="宋体" w:cs="宋体"/>
                <w:color w:val="auto"/>
                <w:szCs w:val="21"/>
                <w:highlight w:val="none"/>
              </w:rPr>
            </w:pPr>
            <w:r>
              <w:rPr>
                <w:rFonts w:hint="eastAsia" w:ascii="宋体" w:hAnsi="宋体" w:cs="宋体"/>
                <w:color w:val="auto"/>
                <w:szCs w:val="21"/>
                <w:highlight w:val="none"/>
              </w:rPr>
              <w:t>响应文件应按资格证明文件、报价商务技术文件分别编制，并按广西政府采购云平台的要求编制、加密、上传。</w:t>
            </w:r>
          </w:p>
        </w:tc>
      </w:tr>
      <w:tr w14:paraId="6A8C9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B90FFA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20.1</w:t>
            </w:r>
          </w:p>
        </w:tc>
        <w:tc>
          <w:tcPr>
            <w:tcW w:w="8793" w:type="dxa"/>
            <w:vAlign w:val="center"/>
          </w:tcPr>
          <w:p w14:paraId="04ABA174">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首次响应文件提交截止时间：详见竞争性磋商公告。</w:t>
            </w:r>
          </w:p>
          <w:p w14:paraId="475D8A39">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16185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9EFD2D">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24.1</w:t>
            </w:r>
          </w:p>
        </w:tc>
        <w:tc>
          <w:tcPr>
            <w:tcW w:w="8793" w:type="dxa"/>
            <w:vAlign w:val="center"/>
          </w:tcPr>
          <w:p w14:paraId="246371FA">
            <w:pPr>
              <w:snapToGrid w:val="0"/>
              <w:spacing w:line="360" w:lineRule="exact"/>
              <w:rPr>
                <w:rFonts w:ascii="宋体" w:hAnsi="宋体" w:cs="宋体"/>
                <w:color w:val="auto"/>
                <w:szCs w:val="21"/>
                <w:highlight w:val="none"/>
                <w:u w:val="single"/>
              </w:rPr>
            </w:pPr>
            <w:r>
              <w:rPr>
                <w:rFonts w:hint="eastAsia" w:ascii="宋体" w:hAnsi="宋体" w:cs="宋体"/>
                <w:color w:val="auto"/>
                <w:szCs w:val="21"/>
                <w:highlight w:val="none"/>
              </w:rPr>
              <w:t>磋商小组的人数：3人。</w:t>
            </w:r>
          </w:p>
        </w:tc>
      </w:tr>
      <w:tr w14:paraId="5B004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4F73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25.2</w:t>
            </w:r>
          </w:p>
        </w:tc>
        <w:tc>
          <w:tcPr>
            <w:tcW w:w="8793" w:type="dxa"/>
            <w:vAlign w:val="center"/>
          </w:tcPr>
          <w:p w14:paraId="6618A86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cs="宋体"/>
                <w:b/>
                <w:bCs/>
                <w:color w:val="auto"/>
                <w:szCs w:val="21"/>
                <w:highlight w:val="none"/>
              </w:rPr>
              <w:t>文件无效。</w:t>
            </w:r>
          </w:p>
        </w:tc>
      </w:tr>
      <w:tr w14:paraId="392DC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3" w:hRule="atLeast"/>
          <w:jc w:val="center"/>
        </w:trPr>
        <w:tc>
          <w:tcPr>
            <w:tcW w:w="992" w:type="dxa"/>
            <w:vAlign w:val="center"/>
          </w:tcPr>
          <w:p w14:paraId="35E2C07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26</w:t>
            </w:r>
          </w:p>
        </w:tc>
        <w:tc>
          <w:tcPr>
            <w:tcW w:w="8793" w:type="dxa"/>
            <w:vAlign w:val="center"/>
          </w:tcPr>
          <w:p w14:paraId="56FD4694">
            <w:pPr>
              <w:widowControl/>
              <w:spacing w:line="380" w:lineRule="exact"/>
              <w:jc w:val="left"/>
              <w:rPr>
                <w:rFonts w:ascii="宋体" w:hAnsi="宋体" w:cs="宋体"/>
                <w:color w:val="auto"/>
                <w:szCs w:val="21"/>
                <w:highlight w:val="none"/>
              </w:rPr>
            </w:pPr>
            <w:r>
              <w:rPr>
                <w:rFonts w:hint="eastAsia" w:ascii="宋体" w:hAnsi="宋体" w:cs="宋体"/>
                <w:color w:val="auto"/>
                <w:szCs w:val="21"/>
                <w:highlight w:val="none"/>
              </w:rPr>
              <w:t>磋商的顺序：</w:t>
            </w:r>
          </w:p>
          <w:p w14:paraId="4D8976F4">
            <w:pPr>
              <w:widowControl/>
              <w:spacing w:line="380" w:lineRule="exact"/>
              <w:jc w:val="left"/>
              <w:rPr>
                <w:rFonts w:ascii="宋体" w:hAnsi="宋体" w:cs="宋体"/>
                <w:color w:val="auto"/>
                <w:szCs w:val="21"/>
                <w:highlight w:val="none"/>
              </w:rPr>
            </w:pPr>
            <w:r>
              <w:rPr>
                <w:rFonts w:hint="eastAsia" w:ascii="宋体" w:hAnsi="宋体" w:cs="宋体"/>
                <w:b/>
                <w:bCs/>
                <w:color w:val="auto"/>
                <w:szCs w:val="21"/>
                <w:highlight w:val="none"/>
              </w:rPr>
              <w:fldChar w:fldCharType="begin"/>
            </w:r>
            <w:r>
              <w:rPr>
                <w:rFonts w:hint="eastAsia" w:ascii="宋体" w:hAnsi="宋体" w:cs="宋体"/>
                <w:b/>
                <w:bCs/>
                <w:color w:val="auto"/>
                <w:szCs w:val="21"/>
                <w:highlight w:val="none"/>
              </w:rPr>
              <w:instrText xml:space="preserve"> eq \o\ac(□,√)</w:instrText>
            </w:r>
            <w:r>
              <w:rPr>
                <w:rFonts w:hint="eastAsia" w:ascii="宋体" w:hAnsi="宋体" w:cs="宋体"/>
                <w:b/>
                <w:bCs/>
                <w:color w:val="auto"/>
                <w:szCs w:val="21"/>
                <w:highlight w:val="none"/>
              </w:rPr>
              <w:fldChar w:fldCharType="end"/>
            </w:r>
            <w:r>
              <w:rPr>
                <w:rFonts w:hint="eastAsia" w:ascii="宋体" w:hAnsi="宋体" w:cs="宋体"/>
                <w:b/>
                <w:bCs/>
                <w:color w:val="auto"/>
                <w:szCs w:val="21"/>
                <w:highlight w:val="none"/>
              </w:rPr>
              <w:t>按照响应文件的解密顺序。通知磋商时，若磋商过程中某供应商未能按时参加磋商（该供应商排序到最后磋商），按照响应文件的解密顺序由其下一位供应商先参与磋商。</w:t>
            </w:r>
            <w:r>
              <w:rPr>
                <w:rFonts w:hint="eastAsia" w:ascii="宋体" w:hAnsi="宋体" w:cs="宋体"/>
                <w:b/>
                <w:color w:val="auto"/>
                <w:szCs w:val="21"/>
                <w:highlight w:val="none"/>
              </w:rPr>
              <w:t>未在规定时间内参加磋商的视同放弃参加磋商权利，其响应文件按无效响应处理。</w:t>
            </w:r>
          </w:p>
          <w:p w14:paraId="2DA54AA7">
            <w:pPr>
              <w:pStyle w:val="13"/>
              <w:spacing w:line="320" w:lineRule="exact"/>
              <w:jc w:val="both"/>
              <w:rPr>
                <w:rFonts w:ascii="宋体" w:hAnsi="宋体" w:cs="宋体"/>
                <w:color w:val="auto"/>
                <w:szCs w:val="21"/>
                <w:highlight w:val="none"/>
              </w:rPr>
            </w:pPr>
            <w:r>
              <w:rPr>
                <w:rFonts w:hint="eastAsia" w:ascii="宋体" w:hAnsi="宋体" w:cs="宋体"/>
                <w:color w:val="auto"/>
                <w:szCs w:val="21"/>
                <w:highlight w:val="none"/>
              </w:rPr>
              <w:t>□随机排序。</w:t>
            </w:r>
          </w:p>
        </w:tc>
      </w:tr>
      <w:tr w14:paraId="5F75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BDC434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28.1</w:t>
            </w:r>
          </w:p>
        </w:tc>
        <w:tc>
          <w:tcPr>
            <w:tcW w:w="8793" w:type="dxa"/>
            <w:vAlign w:val="center"/>
          </w:tcPr>
          <w:p w14:paraId="3C0DD3E2">
            <w:pPr>
              <w:widowControl/>
              <w:spacing w:line="380" w:lineRule="exact"/>
              <w:jc w:val="left"/>
              <w:rPr>
                <w:rFonts w:ascii="宋体" w:hAnsi="宋体" w:cs="宋体"/>
                <w:color w:val="auto"/>
                <w:szCs w:val="21"/>
                <w:highlight w:val="none"/>
              </w:rPr>
            </w:pPr>
            <w:r>
              <w:rPr>
                <w:rFonts w:hint="eastAsia" w:ascii="宋体" w:hAnsi="宋体" w:cs="宋体"/>
                <w:b/>
                <w:bCs/>
                <w:color w:val="auto"/>
                <w:szCs w:val="21"/>
                <w:highlight w:val="none"/>
              </w:rPr>
              <w:fldChar w:fldCharType="begin"/>
            </w:r>
            <w:r>
              <w:rPr>
                <w:rFonts w:hint="eastAsia" w:ascii="宋体" w:hAnsi="宋体" w:cs="宋体"/>
                <w:b/>
                <w:bCs/>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本项目不收取履约保证金。</w:t>
            </w:r>
          </w:p>
          <w:p w14:paraId="79865DD0">
            <w:pPr>
              <w:widowControl/>
              <w:spacing w:line="380" w:lineRule="exact"/>
              <w:jc w:val="left"/>
              <w:rPr>
                <w:rFonts w:ascii="宋体" w:hAnsi="宋体" w:cs="宋体"/>
                <w:color w:val="auto"/>
                <w:szCs w:val="21"/>
                <w:highlight w:val="none"/>
              </w:rPr>
            </w:pPr>
            <w:r>
              <w:rPr>
                <w:rFonts w:hint="eastAsia" w:ascii="宋体" w:hAnsi="宋体" w:cs="宋体"/>
                <w:b/>
                <w:bCs/>
                <w:color w:val="auto"/>
                <w:szCs w:val="21"/>
                <w:highlight w:val="none"/>
              </w:rPr>
              <w:t>☑</w:t>
            </w:r>
            <w:r>
              <w:rPr>
                <w:rFonts w:hint="eastAsia" w:ascii="宋体" w:hAnsi="宋体" w:cs="宋体"/>
                <w:b/>
                <w:color w:val="auto"/>
                <w:szCs w:val="21"/>
                <w:highlight w:val="none"/>
              </w:rPr>
              <w:t>本项目收取履约保证金：</w:t>
            </w:r>
          </w:p>
          <w:p w14:paraId="32C9F72A">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具体规定如下：</w:t>
            </w:r>
          </w:p>
          <w:p w14:paraId="091BD0D1">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履约保证金金额：签订合同前向采购人缴纳成交金额的2%。</w:t>
            </w:r>
          </w:p>
          <w:p w14:paraId="0B268B24">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履约保证金提交方式：银行转账、支票、汇票、本票或者金融、担保机构出具的保函等非现金方式（参照磋商保证金）。</w:t>
            </w:r>
          </w:p>
          <w:p w14:paraId="60B493CE">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履约保证金退付方式、时间及条件：服务期满后由成交供应商向履约保证金收取单位提供《广西壮族自治区政府采购项目合同验收书》（详见桂财采〔2015〕22号），保证金收取单位在收到合格材料后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个工作日内办理退还手续（不计利息）。</w:t>
            </w:r>
          </w:p>
          <w:p w14:paraId="0A973ABA">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66B4B2D5">
            <w:pPr>
              <w:spacing w:line="360" w:lineRule="auto"/>
              <w:contextualSpacing/>
              <w:rPr>
                <w:rFonts w:ascii="宋体" w:hAnsi="宋体" w:cs="宋体"/>
                <w:b/>
                <w:bCs/>
                <w:color w:val="auto"/>
                <w:szCs w:val="21"/>
                <w:highlight w:val="none"/>
              </w:rPr>
            </w:pPr>
            <w:r>
              <w:rPr>
                <w:rFonts w:hint="eastAsia" w:ascii="宋体" w:hAnsi="宋体" w:cs="宋体"/>
                <w:b/>
                <w:bCs/>
                <w:color w:val="auto"/>
                <w:szCs w:val="21"/>
                <w:highlight w:val="none"/>
              </w:rPr>
              <w:t>开户名称：</w:t>
            </w:r>
            <w:r>
              <w:rPr>
                <w:rFonts w:hint="eastAsia" w:ascii="宋体" w:hAnsi="宋体" w:cs="宋体"/>
                <w:b/>
                <w:bCs/>
                <w:color w:val="auto"/>
                <w:szCs w:val="21"/>
                <w:highlight w:val="none"/>
                <w:lang w:eastAsia="zh-CN"/>
              </w:rPr>
              <w:t>广西职业技术大学</w:t>
            </w:r>
            <w:r>
              <w:rPr>
                <w:rFonts w:hint="eastAsia" w:ascii="宋体" w:hAnsi="宋体" w:cs="宋体"/>
                <w:b/>
                <w:bCs/>
                <w:color w:val="auto"/>
                <w:szCs w:val="21"/>
                <w:highlight w:val="none"/>
              </w:rPr>
              <w:t>，开户行：农行南宁明阳支行，账号：20030701040000371。</w:t>
            </w:r>
          </w:p>
          <w:p w14:paraId="3D3D773C">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备注：</w:t>
            </w:r>
          </w:p>
          <w:p w14:paraId="7A141B2D">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1</w:t>
            </w:r>
            <w:bookmarkStart w:id="60" w:name="_Hlk54170335"/>
            <w:r>
              <w:rPr>
                <w:rFonts w:hint="eastAsia" w:ascii="宋体" w:hAnsi="宋体" w:cs="宋体"/>
                <w:b/>
                <w:color w:val="auto"/>
                <w:szCs w:val="21"/>
                <w:highlight w:val="none"/>
              </w:rPr>
              <w:t>、根据《广西壮族自治区财政厅关于持续优化政府采购营商环境推动高质量发展的通知》（桂财采〔2024〕55号），采购文件要求成交供应商缴纳履约保证金的，履约保证金数额不得超过政府采购合同金额的5%，对中小企业收取的履约保证金数额不得超过政府采购合同金额的2%。</w:t>
            </w:r>
            <w:bookmarkEnd w:id="60"/>
          </w:p>
          <w:p w14:paraId="70637A24">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2、履约保证金不足额缴纳的，或者金融、担保机构出具的保函额度不足的或者保函有效期低于合同履行期限（即签订采购合同之日起至履行完合同约定的权利及义务之日止）的，不予签订合同。</w:t>
            </w:r>
          </w:p>
          <w:p w14:paraId="3351AD64">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3、采用金融、担保机构出具的保函的，必须为无条件保函，否则不予签订合同。</w:t>
            </w:r>
          </w:p>
        </w:tc>
      </w:tr>
      <w:tr w14:paraId="7DD39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B9E2B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29.1</w:t>
            </w:r>
          </w:p>
        </w:tc>
        <w:tc>
          <w:tcPr>
            <w:tcW w:w="8793" w:type="dxa"/>
            <w:vAlign w:val="center"/>
          </w:tcPr>
          <w:p w14:paraId="593B1F21">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C262BF9">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1、委托代理人负责签订合同的，须携带授权委托书及委托代理人身份证原件等其他资格证件。</w:t>
            </w:r>
          </w:p>
          <w:p w14:paraId="6F71DA61">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2、法定代表人负责签订合同的，须携带法定代表人身份证明原件及身份证原件等其他证明材料。</w:t>
            </w:r>
          </w:p>
        </w:tc>
      </w:tr>
      <w:tr w14:paraId="55029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A3304C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31.2</w:t>
            </w:r>
          </w:p>
        </w:tc>
        <w:tc>
          <w:tcPr>
            <w:tcW w:w="8793" w:type="dxa"/>
            <w:vAlign w:val="center"/>
          </w:tcPr>
          <w:p w14:paraId="524AB821">
            <w:pPr>
              <w:pStyle w:val="20"/>
              <w:snapToGrid w:val="0"/>
              <w:spacing w:line="360" w:lineRule="exact"/>
              <w:rPr>
                <w:rFonts w:hAnsi="宋体" w:cs="宋体"/>
                <w:color w:val="auto"/>
                <w:sz w:val="21"/>
                <w:highlight w:val="none"/>
              </w:rPr>
            </w:pPr>
            <w:r>
              <w:rPr>
                <w:rFonts w:hint="eastAsia" w:hAnsi="宋体" w:cs="宋体"/>
                <w:color w:val="auto"/>
                <w:sz w:val="21"/>
                <w:highlight w:val="none"/>
              </w:rPr>
              <w:t>接收质疑函方式：以书面形式。</w:t>
            </w:r>
          </w:p>
          <w:p w14:paraId="1786BD88">
            <w:pPr>
              <w:pStyle w:val="20"/>
              <w:snapToGrid w:val="0"/>
              <w:spacing w:line="360" w:lineRule="exact"/>
              <w:rPr>
                <w:rFonts w:hAnsi="宋体" w:cs="宋体"/>
                <w:color w:val="auto"/>
                <w:sz w:val="21"/>
                <w:highlight w:val="none"/>
              </w:rPr>
            </w:pPr>
            <w:r>
              <w:rPr>
                <w:rFonts w:hint="eastAsia" w:hAnsi="宋体" w:cs="宋体"/>
                <w:color w:val="auto"/>
                <w:sz w:val="21"/>
                <w:highlight w:val="none"/>
              </w:rPr>
              <w:t>质疑联系部门及联系方式：广西正海招标有限公司，质疑联系人：覃相健，联系电话：0771-2865989，通讯地址：南宁市青秀区茅桥路2号习艺基地A栋1号电梯3楼。</w:t>
            </w:r>
          </w:p>
          <w:p w14:paraId="2721C155">
            <w:pPr>
              <w:pStyle w:val="20"/>
              <w:snapToGrid w:val="0"/>
              <w:spacing w:line="360" w:lineRule="exact"/>
              <w:rPr>
                <w:rFonts w:hAnsi="宋体" w:cs="宋体"/>
                <w:color w:val="auto"/>
                <w:sz w:val="21"/>
                <w:highlight w:val="none"/>
              </w:rPr>
            </w:pPr>
            <w:r>
              <w:rPr>
                <w:rFonts w:hint="eastAsia" w:hAnsi="宋体" w:cs="宋体"/>
                <w:color w:val="auto"/>
                <w:sz w:val="21"/>
                <w:highlight w:val="none"/>
              </w:rPr>
              <w:t>现场提交质疑办理业务时间：工作日，上午8：00-12：00；下午15：00-18：00（北京时间）</w:t>
            </w:r>
          </w:p>
        </w:tc>
      </w:tr>
      <w:tr w14:paraId="44BD2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jc w:val="center"/>
        </w:trPr>
        <w:tc>
          <w:tcPr>
            <w:tcW w:w="992" w:type="dxa"/>
            <w:vAlign w:val="center"/>
          </w:tcPr>
          <w:p w14:paraId="5EC7844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32.1</w:t>
            </w:r>
          </w:p>
        </w:tc>
        <w:tc>
          <w:tcPr>
            <w:tcW w:w="8793" w:type="dxa"/>
            <w:vAlign w:val="center"/>
          </w:tcPr>
          <w:p w14:paraId="272AEA58">
            <w:pPr>
              <w:pStyle w:val="20"/>
              <w:numPr>
                <w:ilvl w:val="0"/>
                <w:numId w:val="2"/>
              </w:numPr>
              <w:snapToGrid w:val="0"/>
              <w:spacing w:line="400" w:lineRule="exact"/>
              <w:rPr>
                <w:rFonts w:hAnsi="宋体" w:cs="宋体"/>
                <w:color w:val="auto"/>
                <w:highlight w:val="none"/>
              </w:rPr>
            </w:pPr>
            <w:r>
              <w:rPr>
                <w:rFonts w:hint="eastAsia" w:hAnsi="宋体" w:cs="宋体"/>
                <w:color w:val="auto"/>
                <w:sz w:val="21"/>
                <w:highlight w:val="none"/>
              </w:rPr>
              <w:t>采购代理服务费支付方式：本项目采购代理服务费参考桂价费【2011】55号文标准采用差额定率累进计费方式（工程类）计算，由成交供应商在领取成交通知书前，一次性向采购代理机构支付。</w:t>
            </w:r>
          </w:p>
          <w:p w14:paraId="346CF52E">
            <w:pPr>
              <w:pStyle w:val="20"/>
              <w:numPr>
                <w:ilvl w:val="0"/>
                <w:numId w:val="2"/>
              </w:numPr>
              <w:snapToGrid w:val="0"/>
              <w:spacing w:line="400" w:lineRule="exact"/>
              <w:rPr>
                <w:rFonts w:hAnsi="宋体" w:cs="宋体"/>
                <w:color w:val="auto"/>
                <w:sz w:val="21"/>
                <w:highlight w:val="none"/>
              </w:rPr>
            </w:pPr>
            <w:r>
              <w:rPr>
                <w:rFonts w:hint="eastAsia" w:hAnsi="宋体" w:cs="宋体"/>
                <w:color w:val="auto"/>
                <w:sz w:val="21"/>
                <w:highlight w:val="none"/>
              </w:rPr>
              <w:t>采购代理服务费收取银行账户：</w:t>
            </w:r>
          </w:p>
          <w:p w14:paraId="5306BCED">
            <w:pPr>
              <w:widowControl/>
              <w:spacing w:line="38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户名：广西正海招标有限公司</w:t>
            </w:r>
          </w:p>
          <w:p w14:paraId="448ABA6C">
            <w:pPr>
              <w:widowControl/>
              <w:spacing w:line="38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开户行：中国光大银行南宁长湖支行</w:t>
            </w:r>
          </w:p>
          <w:p w14:paraId="191E9169">
            <w:pPr>
              <w:pStyle w:val="20"/>
              <w:snapToGrid w:val="0"/>
              <w:spacing w:line="360" w:lineRule="exact"/>
              <w:rPr>
                <w:rFonts w:hAnsi="宋体" w:cs="宋体"/>
                <w:color w:val="auto"/>
                <w:sz w:val="21"/>
                <w:highlight w:val="none"/>
              </w:rPr>
            </w:pPr>
            <w:r>
              <w:rPr>
                <w:rFonts w:hint="eastAsia" w:hAnsi="宋体" w:cs="宋体"/>
                <w:b/>
                <w:bCs/>
                <w:color w:val="auto"/>
                <w:highlight w:val="none"/>
              </w:rPr>
              <w:t>账号：79080188000035937</w:t>
            </w:r>
          </w:p>
        </w:tc>
      </w:tr>
      <w:tr w14:paraId="4F890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80AF9E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33.1</w:t>
            </w:r>
          </w:p>
        </w:tc>
        <w:tc>
          <w:tcPr>
            <w:tcW w:w="8793" w:type="dxa"/>
            <w:vAlign w:val="center"/>
          </w:tcPr>
          <w:p w14:paraId="4821B0D0">
            <w:pPr>
              <w:pStyle w:val="20"/>
              <w:snapToGrid w:val="0"/>
              <w:spacing w:line="360" w:lineRule="exact"/>
              <w:rPr>
                <w:rFonts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64B1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6F5C2A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33.2</w:t>
            </w:r>
          </w:p>
        </w:tc>
        <w:tc>
          <w:tcPr>
            <w:tcW w:w="8793" w:type="dxa"/>
            <w:vAlign w:val="center"/>
          </w:tcPr>
          <w:p w14:paraId="2D39C92D">
            <w:pPr>
              <w:pStyle w:val="20"/>
              <w:snapToGrid w:val="0"/>
              <w:spacing w:line="360" w:lineRule="exact"/>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含电子印章），除本磋商文件有特殊规定外，供应商的财务章、部门章、分公司章、工会章、合同章、竞标专用章、业务专用章及银行的转账章、现金收讫章、现金付讫章等其他形式印章均不能代替公章。</w:t>
            </w:r>
          </w:p>
          <w:p w14:paraId="1CE79FE3">
            <w:pPr>
              <w:pStyle w:val="20"/>
              <w:snapToGrid w:val="0"/>
              <w:spacing w:line="360" w:lineRule="exact"/>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7CED8773">
            <w:pPr>
              <w:pStyle w:val="20"/>
              <w:snapToGrid w:val="0"/>
              <w:spacing w:line="360" w:lineRule="exact"/>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3、本磋商文件中描述供应商的“签字”是指供应商的法定代表人或者委托代理人在文件规定签署处签名的行为（含电子签名），私章、印鉴等其他形式均不能代替签字。</w:t>
            </w:r>
          </w:p>
          <w:p w14:paraId="3F724BA0">
            <w:pPr>
              <w:pStyle w:val="20"/>
              <w:snapToGrid w:val="0"/>
              <w:spacing w:line="360" w:lineRule="exact"/>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1ECC14EA">
            <w:pPr>
              <w:pStyle w:val="20"/>
              <w:snapToGrid w:val="0"/>
              <w:spacing w:line="360" w:lineRule="exact"/>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5A7F8CF7">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6A4FB7B2">
      <w:pPr>
        <w:rPr>
          <w:color w:val="auto"/>
          <w:highlight w:val="none"/>
        </w:rPr>
      </w:pPr>
    </w:p>
    <w:p w14:paraId="0F470AF3">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一、总则</w:t>
      </w:r>
    </w:p>
    <w:p w14:paraId="337BB33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2B9816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49F84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76B170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103603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336914F">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5F7138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589A9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5D286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2.5“工程”按照招标投标法及其实施条例必须进行招标的工程建设项目以外的工程建设项目。</w:t>
      </w:r>
    </w:p>
    <w:p w14:paraId="7180A2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2.6“竞标”是指供应商按照本项目竞争性磋商公告规定的方式获取磋商文件、提交响应文件并希望获得标的的行为。</w:t>
      </w:r>
    </w:p>
    <w:p w14:paraId="6EF31067">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DC92F95">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A33643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2.9“实质性要求”是指磋商文件中已经指明不满足则响应文件按无效响应处理的条款，或者不能负偏离的条款，或者采购需求中带“▲”的条款。</w:t>
      </w:r>
    </w:p>
    <w:p w14:paraId="10973F1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2.10“正偏离”，是指响应文件对磋商文件“采购需求”中有关条款作出的响应优于条款要求并有利于采购人的情形。</w:t>
      </w:r>
    </w:p>
    <w:p w14:paraId="155AF01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2.11“负偏离”，是指响应文件对磋商文件“采购需求”中有关条款作出的响应不满足条款要求，导致采购人要求不能得到满足的情形。</w:t>
      </w:r>
    </w:p>
    <w:p w14:paraId="5CB8E9A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3CE7D8C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2574E7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10F4EBF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4.竞标费用</w:t>
      </w:r>
    </w:p>
    <w:p w14:paraId="1F0D43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AED724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62469B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5.1本项目不接受联合体竞标。</w:t>
      </w:r>
    </w:p>
    <w:p w14:paraId="49B58DE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55124351">
      <w:pPr>
        <w:pStyle w:val="7"/>
        <w:keepNext w:val="0"/>
        <w:keepLines w:val="0"/>
        <w:spacing w:before="0" w:after="0" w:line="360" w:lineRule="auto"/>
        <w:ind w:left="420" w:leftChars="200"/>
        <w:rPr>
          <w:rFonts w:ascii="宋体" w:hAnsi="宋体" w:cs="宋体"/>
          <w:b w:val="0"/>
          <w:color w:val="auto"/>
          <w:sz w:val="21"/>
          <w:szCs w:val="21"/>
          <w:highlight w:val="none"/>
        </w:rPr>
      </w:pPr>
      <w:bookmarkStart w:id="61" w:name="_Toc254970532"/>
      <w:bookmarkStart w:id="62" w:name="_Toc254970673"/>
      <w:r>
        <w:rPr>
          <w:rFonts w:hint="eastAsia" w:ascii="宋体" w:hAnsi="宋体" w:cs="宋体"/>
          <w:b w:val="0"/>
          <w:color w:val="auto"/>
          <w:sz w:val="21"/>
          <w:szCs w:val="21"/>
          <w:highlight w:val="none"/>
        </w:rPr>
        <w:t>6.1本项目不允许转包。</w:t>
      </w:r>
    </w:p>
    <w:p w14:paraId="38AD5730">
      <w:pPr>
        <w:pStyle w:val="7"/>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6CF6A154">
      <w:pPr>
        <w:pStyle w:val="7"/>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C980C0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7.特别说明</w:t>
      </w:r>
      <w:bookmarkEnd w:id="61"/>
      <w:bookmarkEnd w:id="62"/>
    </w:p>
    <w:p w14:paraId="001138D7">
      <w:pPr>
        <w:spacing w:line="360" w:lineRule="auto"/>
        <w:ind w:firstLine="420" w:firstLineChars="200"/>
        <w:rPr>
          <w:rFonts w:ascii="宋体" w:hAnsi="宋体" w:cs="宋体"/>
          <w:color w:val="auto"/>
          <w:szCs w:val="21"/>
          <w:highlight w:val="none"/>
        </w:rPr>
      </w:pPr>
      <w:bookmarkStart w:id="63" w:name="_8.1提供相同品牌产品且通过资格审查、符合性审查的不同投标人参加同一合"/>
      <w:bookmarkEnd w:id="63"/>
      <w:r>
        <w:rPr>
          <w:rFonts w:hint="eastAsia" w:ascii="宋体" w:hAnsi="宋体" w:cs="宋体"/>
          <w:color w:val="auto"/>
          <w:szCs w:val="21"/>
          <w:highlight w:val="none"/>
        </w:rPr>
        <w:t>7.1</w:t>
      </w:r>
      <w:bookmarkStart w:id="64"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4"/>
    <w:p w14:paraId="2FBE45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318119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7.3供应商在竞标活动中提供任何疑似虚假材料，将报监管部门查处；签订合同后发现的，成交供应商须依法赔偿采购人，且民事赔偿并不免除违法供应商的行政与刑事责任。</w:t>
      </w:r>
    </w:p>
    <w:p w14:paraId="40B4D6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749793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6006D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097205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64313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64461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8593F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2F25D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6EEDF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14FFEC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918A9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2340C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1BF3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F279B1B">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6D7630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6A41BC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6E22C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DD778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2E4145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9021C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10B1C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247E2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AD0B4E3">
      <w:pPr>
        <w:rPr>
          <w:color w:val="auto"/>
          <w:highlight w:val="none"/>
        </w:rPr>
      </w:pPr>
    </w:p>
    <w:p w14:paraId="73B82EDB">
      <w:pPr>
        <w:spacing w:line="360" w:lineRule="auto"/>
        <w:jc w:val="center"/>
        <w:rPr>
          <w:rFonts w:ascii="宋体" w:hAnsi="宋体" w:cs="宋体"/>
          <w:b/>
          <w:bCs/>
          <w:color w:val="auto"/>
          <w:sz w:val="32"/>
          <w:szCs w:val="32"/>
          <w:highlight w:val="none"/>
        </w:rPr>
      </w:pPr>
      <w:bookmarkStart w:id="65" w:name="_Toc254970675"/>
      <w:bookmarkStart w:id="66" w:name="_Toc254970534"/>
      <w:r>
        <w:rPr>
          <w:rFonts w:hint="eastAsia" w:ascii="宋体" w:hAnsi="宋体" w:cs="宋体"/>
          <w:b/>
          <w:bCs/>
          <w:color w:val="auto"/>
          <w:sz w:val="32"/>
          <w:szCs w:val="32"/>
          <w:highlight w:val="none"/>
        </w:rPr>
        <w:t>二、磋商文件</w:t>
      </w:r>
      <w:bookmarkEnd w:id="65"/>
      <w:bookmarkEnd w:id="66"/>
    </w:p>
    <w:p w14:paraId="7BEA8D8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70446B8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0BDEF5A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（2）供应商须知； </w:t>
      </w:r>
    </w:p>
    <w:p w14:paraId="038239F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w:t>
      </w:r>
    </w:p>
    <w:p w14:paraId="35F6AB1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530DB26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4F82ADC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（6）合同文本。</w:t>
      </w:r>
    </w:p>
    <w:p w14:paraId="63509AC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264DCF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否则，由此产生的后果由供应商自行负责。</w:t>
      </w:r>
    </w:p>
    <w:p w14:paraId="1220549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7D596B0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5日前，在原公告发布媒体上发布更正公告；不足5日的，采购人、采购代理机构应当顺延提交首次响应文件截止时间。</w:t>
      </w:r>
    </w:p>
    <w:p w14:paraId="6A6B233C">
      <w:pPr>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10.2采购人和采购代理机构可以视采购具体情况，变更</w:t>
      </w:r>
      <w:r>
        <w:rPr>
          <w:rFonts w:hint="eastAsia" w:ascii="宋体" w:hAnsi="宋体" w:cs="宋体"/>
          <w:color w:val="auto"/>
          <w:szCs w:val="21"/>
          <w:highlight w:val="none"/>
        </w:rPr>
        <w:t>首次响应文件提交截止时间和开启时间</w:t>
      </w:r>
      <w:r>
        <w:rPr>
          <w:rFonts w:hint="eastAsia" w:ascii="宋体" w:hAnsi="宋体" w:cs="宋体"/>
          <w:color w:val="auto"/>
          <w:highlight w:val="none"/>
        </w:rPr>
        <w:t>，并</w:t>
      </w:r>
      <w:r>
        <w:rPr>
          <w:rFonts w:hint="eastAsia" w:ascii="宋体" w:hAnsi="宋体" w:cs="宋体"/>
          <w:color w:val="auto"/>
          <w:szCs w:val="21"/>
          <w:highlight w:val="none"/>
        </w:rPr>
        <w:t>在原公告发布媒体上发布更正公告。</w:t>
      </w:r>
    </w:p>
    <w:p w14:paraId="2B33AA3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10.3</w:t>
      </w:r>
      <w:r>
        <w:rPr>
          <w:rFonts w:hint="eastAsia" w:ascii="宋体" w:hAnsi="宋体" w:cs="宋体"/>
          <w:color w:val="auto"/>
          <w:szCs w:val="21"/>
          <w:highlight w:val="none"/>
        </w:rPr>
        <w:t>磋商文件澄清、答复、修改、补充的内容为磋商文件的组成部分。当磋商文件与磋商文件的澄清、答复、修改、补充通知就同一内容的表述不一致时，以最后发出的书面文件为准。</w:t>
      </w:r>
    </w:p>
    <w:p w14:paraId="7815A54B">
      <w:pPr>
        <w:spacing w:line="400" w:lineRule="exact"/>
        <w:ind w:firstLine="422" w:firstLineChars="200"/>
        <w:rPr>
          <w:rFonts w:ascii="宋体" w:hAnsi="宋体" w:cs="宋体"/>
          <w:b/>
          <w:color w:val="auto"/>
          <w:szCs w:val="21"/>
          <w:highlight w:val="none"/>
        </w:rPr>
      </w:pPr>
      <w:r>
        <w:rPr>
          <w:rFonts w:hint="eastAsia" w:ascii="宋体" w:hAnsi="宋体" w:cs="宋体"/>
          <w:b/>
          <w:color w:val="auto"/>
          <w:highlight w:val="none"/>
        </w:rPr>
        <w:t>10.4</w:t>
      </w:r>
      <w:r>
        <w:rPr>
          <w:rFonts w:hint="eastAsia" w:ascii="宋体" w:hAnsi="宋体" w:cs="宋体"/>
          <w:b/>
          <w:color w:val="auto"/>
          <w:szCs w:val="21"/>
          <w:highlight w:val="none"/>
        </w:rPr>
        <w:t>响应文件未按磋商文件的澄清、修改后的内容编制的，其响应文件作无效响应处理。</w:t>
      </w:r>
    </w:p>
    <w:p w14:paraId="7173199E">
      <w:pPr>
        <w:rPr>
          <w:color w:val="auto"/>
          <w:highlight w:val="none"/>
        </w:rPr>
      </w:pPr>
    </w:p>
    <w:p w14:paraId="67AAA77A">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三、响应文件的编制</w:t>
      </w:r>
    </w:p>
    <w:p w14:paraId="18E7CE8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FEA2D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5D6591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2B24E9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12.1响应文件由资格证明文件、报价商务技术文件两部分组成。</w:t>
      </w:r>
    </w:p>
    <w:p w14:paraId="420D70D0">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18ADB448">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12.1.2报价商务技术文件：详见须知前附表</w:t>
      </w:r>
    </w:p>
    <w:p w14:paraId="5AE9E40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59DDD1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DB68B9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F153A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C689DC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15.竞标报价</w:t>
      </w:r>
    </w:p>
    <w:p w14:paraId="54792CFD">
      <w:pPr>
        <w:spacing w:line="440" w:lineRule="exact"/>
        <w:ind w:firstLine="407" w:firstLineChars="194"/>
        <w:rPr>
          <w:rFonts w:ascii="宋体" w:hAnsi="宋体" w:cs="宋体"/>
          <w:b/>
          <w:bCs/>
          <w:color w:val="auto"/>
          <w:highlight w:val="none"/>
        </w:rPr>
      </w:pPr>
      <w:r>
        <w:rPr>
          <w:rFonts w:hint="eastAsia" w:ascii="宋体" w:hAnsi="宋体" w:cs="宋体"/>
          <w:color w:val="auto"/>
          <w:szCs w:val="21"/>
          <w:highlight w:val="none"/>
        </w:rPr>
        <w:t>15.1</w:t>
      </w:r>
      <w:r>
        <w:rPr>
          <w:rFonts w:hint="eastAsia" w:ascii="宋体" w:hAnsi="宋体" w:cs="宋体"/>
          <w:b/>
          <w:bCs/>
          <w:color w:val="auto"/>
          <w:highlight w:val="none"/>
        </w:rPr>
        <w:t>本工程的报价方式为工程量清单报价，合同承包方式为包工包料，以固定单价包干。本合同实施期间供应商应严格按业主下达的计划来进行施工，如发生超过计划数等情形，釆购人不再支付任何费用。</w:t>
      </w:r>
    </w:p>
    <w:p w14:paraId="47BFB629">
      <w:pPr>
        <w:spacing w:line="440" w:lineRule="exact"/>
        <w:ind w:firstLine="480"/>
        <w:rPr>
          <w:rFonts w:ascii="宋体" w:hAnsi="宋体" w:cs="宋体"/>
          <w:color w:val="auto"/>
          <w:highlight w:val="none"/>
        </w:rPr>
      </w:pPr>
      <w:r>
        <w:rPr>
          <w:rFonts w:hint="eastAsia" w:ascii="宋体" w:hAnsi="宋体" w:cs="宋体"/>
          <w:b/>
          <w:color w:val="auto"/>
          <w:highlight w:val="none"/>
        </w:rPr>
        <w:t>磋商供应商报价以工程量清单报价为准</w:t>
      </w:r>
      <w:r>
        <w:rPr>
          <w:rFonts w:hint="eastAsia" w:ascii="宋体" w:hAnsi="宋体" w:cs="宋体"/>
          <w:color w:val="auto"/>
          <w:highlight w:val="none"/>
        </w:rPr>
        <w:t>。磋商供应商的磋商报价须按竞争性磋商采购文件及澄清答疑中所确认的工程量清单进行报价。小写与大写不符的，以大写为准。如果因磋商供应商原因引起的报价失误，同时又被磋商时所接受，其后果由磋商供应商自负。</w:t>
      </w:r>
    </w:p>
    <w:p w14:paraId="20BC0AFA">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报价汇总表中的价格应包括施工设备、劳务、管理、材料、安装、安全生产费、维护、保险、利润、税金、政策性文件规定及合同包含的应有风险、责任等所有成本费用的总和，经评审小组审核严重不平衡的报价将不予接受。</w:t>
      </w:r>
    </w:p>
    <w:p w14:paraId="68FDE89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FD1E065">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15.3竞标报价要求</w:t>
      </w:r>
    </w:p>
    <w:p w14:paraId="619A6B3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15.3.1供应商的竞标报价应符合以下要求，否则响应文件按无效响应处理：</w:t>
      </w:r>
    </w:p>
    <w:p w14:paraId="7C1005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（1）供应商必须就“采购需求”中所竞标的内容按工程量清单中的全部内容作完整唯一总价报价，不得存在漏项报价；</w:t>
      </w:r>
    </w:p>
    <w:p w14:paraId="0DBB8E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6F471C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15.3.2最后报价超过所竞标规定的采购预算金额或者最高限价的，其响应文件将按无效响应处理。</w:t>
      </w:r>
      <w:bookmarkStart w:id="67" w:name="_Hlk42592874"/>
    </w:p>
    <w:bookmarkEnd w:id="67"/>
    <w:p w14:paraId="160B860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532063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CA45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670B64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B0E797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3556E51C">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61A027F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5829B21A">
      <w:pPr>
        <w:spacing w:line="360" w:lineRule="auto"/>
        <w:ind w:firstLine="420" w:firstLineChars="200"/>
        <w:rPr>
          <w:rFonts w:ascii="宋体" w:hAnsi="宋体" w:cs="宋体"/>
          <w:color w:val="auto"/>
          <w:szCs w:val="21"/>
          <w:highlight w:val="none"/>
        </w:rPr>
      </w:pPr>
      <w:bookmarkStart w:id="68"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8"/>
      <w:r>
        <w:rPr>
          <w:rFonts w:hint="eastAsia" w:ascii="宋体" w:hAnsi="宋体" w:cs="宋体"/>
          <w:color w:val="auto"/>
          <w:szCs w:val="21"/>
          <w:highlight w:val="none"/>
        </w:rPr>
        <w:t xml:space="preserve"> </w:t>
      </w:r>
    </w:p>
    <w:p w14:paraId="52A26FF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3CADBBA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7005EC7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（1）供应商在提交首次响应文件截止时间后撤回响应文件的；</w:t>
      </w:r>
    </w:p>
    <w:p w14:paraId="2E4D3413">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62D3823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67372C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AA4D803">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30FFC5C1">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5F524EB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73A26E89">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18.1供应商应按本磋商文件规定的格式和顺序编制响应文件并标注页码，响应文件内容</w:t>
      </w:r>
      <w:r>
        <w:rPr>
          <w:rFonts w:hint="eastAsia" w:ascii="宋体" w:hAnsi="宋体" w:cs="宋体"/>
          <w:color w:val="auto"/>
          <w:spacing w:val="-6"/>
          <w:szCs w:val="21"/>
          <w:highlight w:val="none"/>
        </w:rPr>
        <w:t>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pacing w:val="-6"/>
          <w:szCs w:val="21"/>
          <w:highlight w:val="none"/>
        </w:rPr>
        <w:t>后果由供应商承担。</w:t>
      </w:r>
    </w:p>
    <w:p w14:paraId="397776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18.2响应文件应按资格证明文件、报价商务技术文件分别编制电子文件，并按广西政府采购云平台的要求编制、加密、上传。</w:t>
      </w:r>
    </w:p>
    <w:p w14:paraId="370918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69" w:name="_Hlk65832699"/>
      <w:r>
        <w:rPr>
          <w:rFonts w:hint="eastAsia" w:ascii="宋体" w:hAnsi="宋体" w:cs="宋体"/>
          <w:color w:val="auto"/>
          <w:szCs w:val="21"/>
          <w:highlight w:val="none"/>
        </w:rPr>
        <w:t>3响应文件须由供应商在规定位置盖公章并签字</w:t>
      </w:r>
      <w:bookmarkStart w:id="70" w:name="_Hlk65832569"/>
      <w:r>
        <w:rPr>
          <w:rFonts w:hint="eastAsia" w:ascii="宋体" w:hAnsi="宋体" w:cs="宋体"/>
          <w:color w:val="auto"/>
          <w:szCs w:val="21"/>
          <w:highlight w:val="none"/>
        </w:rPr>
        <w:t>（具体以供应商须知前附表或响应文件格式规定为准）</w:t>
      </w:r>
      <w:bookmarkEnd w:id="69"/>
      <w:bookmarkEnd w:id="70"/>
      <w:r>
        <w:rPr>
          <w:rFonts w:hint="eastAsia" w:ascii="宋体" w:hAnsi="宋体" w:cs="宋体"/>
          <w:color w:val="auto"/>
          <w:szCs w:val="21"/>
          <w:highlight w:val="none"/>
        </w:rPr>
        <w:t>，否则其响应文件按无效响应处理。</w:t>
      </w:r>
    </w:p>
    <w:p w14:paraId="72EFCD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18.4响应文件中标注的供应商名称应与营业执照（事业单位法人证书、执业许可证、自然人身份证）及公章一致，否则其响应文件按无效响应处理。</w:t>
      </w:r>
    </w:p>
    <w:p w14:paraId="749F4F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1EA9855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w:t>
      </w:r>
      <w:r>
        <w:rPr>
          <w:rFonts w:hint="eastAsia" w:ascii="宋体" w:hAnsi="宋体" w:cs="宋体"/>
          <w:color w:val="auto"/>
          <w:sz w:val="24"/>
          <w:highlight w:val="none"/>
        </w:rPr>
        <w:t>加密、解密</w:t>
      </w:r>
    </w:p>
    <w:p w14:paraId="686E05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19.1电子响应文件编制完成后，供应商应按广西政府采购云平台的要求进行加密，并在规定时间内解密，否则，由此产生的后果由供应商自行负责。</w:t>
      </w:r>
    </w:p>
    <w:p w14:paraId="5FCA22C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68A547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27BF26BC">
      <w:pPr>
        <w:widowControl/>
        <w:wordWrap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20.2本项目为全流程电子化政府采购项目，通过广西政府采购云平台（</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实行在线电子竞标，供应商应先安装“政采云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auto"/>
          <w:szCs w:val="21"/>
          <w:highlight w:val="none"/>
        </w:rPr>
        <w:t>供应商在广西政府采购云平台提交电子版响应文件时，请填写参加远程开标活动经办人联系方式。</w:t>
      </w:r>
    </w:p>
    <w:p w14:paraId="6B3DCFCA">
      <w:pPr>
        <w:pStyle w:val="7"/>
        <w:keepNext w:val="0"/>
        <w:keepLines w:val="0"/>
        <w:spacing w:before="0" w:after="0" w:line="360" w:lineRule="auto"/>
        <w:ind w:firstLine="420" w:firstLineChars="200"/>
        <w:jc w:val="left"/>
        <w:rPr>
          <w:rFonts w:ascii="宋体" w:hAnsi="宋体" w:cs="宋体"/>
          <w:b w:val="0"/>
          <w:color w:val="auto"/>
          <w:sz w:val="21"/>
          <w:szCs w:val="21"/>
          <w:highlight w:val="none"/>
        </w:rPr>
      </w:pPr>
      <w:r>
        <w:rPr>
          <w:rFonts w:hint="eastAsia" w:ascii="宋体" w:hAnsi="宋体" w:cs="宋体"/>
          <w:b w:val="0"/>
          <w:color w:val="auto"/>
          <w:sz w:val="21"/>
          <w:szCs w:val="21"/>
          <w:highlight w:val="none"/>
        </w:rPr>
        <w:t>20.3未在规定时间内上传或者未按广西政府采购云平台的要求编制、加密的电子响应文件，广西政府采购云平台将拒收。</w:t>
      </w:r>
    </w:p>
    <w:p w14:paraId="3D595BE3">
      <w:pPr>
        <w:widowControl/>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20.4电子响应文件提交方式见“竞争性磋商公告”中“四、响应文件提交”。</w:t>
      </w:r>
    </w:p>
    <w:p w14:paraId="2826F5B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79AC8C8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6B97C8DE">
      <w:pPr>
        <w:spacing w:line="360" w:lineRule="auto"/>
        <w:ind w:firstLine="482" w:firstLineChars="200"/>
        <w:rPr>
          <w:rFonts w:ascii="宋体" w:hAnsi="宋体" w:cs="宋体"/>
          <w:b/>
          <w:bCs/>
          <w:color w:val="auto"/>
          <w:sz w:val="24"/>
          <w:highlight w:val="none"/>
        </w:rPr>
      </w:pPr>
      <w:bookmarkStart w:id="71" w:name="_Hlk45702405"/>
      <w:r>
        <w:rPr>
          <w:rFonts w:hint="eastAsia" w:ascii="宋体" w:hAnsi="宋体" w:cs="宋体"/>
          <w:b/>
          <w:bCs/>
          <w:color w:val="auto"/>
          <w:sz w:val="24"/>
          <w:highlight w:val="none"/>
        </w:rPr>
        <w:t>22. 首次响应文件的退回</w:t>
      </w:r>
    </w:p>
    <w:p w14:paraId="3901E4E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18B786A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53B57D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23.1供应商在首次响应文件提交截止时间后书面通知采购人、采购代理机构书面撤回响应文件的，将根据本须知正文17.4的规定不予退还其磋商保证金。</w:t>
      </w:r>
    </w:p>
    <w:p w14:paraId="749C6041">
      <w:pPr>
        <w:rPr>
          <w:color w:val="auto"/>
          <w:highlight w:val="none"/>
        </w:rPr>
      </w:pPr>
    </w:p>
    <w:bookmarkEnd w:id="71"/>
    <w:p w14:paraId="2E2585C4">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089764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648ABB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953DB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19900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2CB729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09AE76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响应文件未按时解密的，视为视为响应文件无效。</w:t>
      </w:r>
      <w:r>
        <w:rPr>
          <w:rFonts w:hint="eastAsia" w:ascii="宋体" w:hAnsi="宋体" w:cs="宋体"/>
          <w:color w:val="auto"/>
          <w:szCs w:val="21"/>
          <w:highlight w:val="none"/>
        </w:rPr>
        <w:t>（解密异常情况处理：详见本章26.2电子交易活动的中止。）</w:t>
      </w:r>
    </w:p>
    <w:p w14:paraId="04FCF9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25.3成功解密响应文件的供应商不足3家的，不得开启。</w:t>
      </w:r>
    </w:p>
    <w:p w14:paraId="77F4176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6A3363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506AC07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26.2电子交易活动的中止。采购过程中出现以下情形，导致电子交易平台无法正常运行，或者无法保证电子交易的公平、公正和安全时，采购机构可中止电子交易活动：</w:t>
      </w:r>
    </w:p>
    <w:p w14:paraId="2A663C32">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2F200F0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7BED303E">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560BD4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7B49FEEB">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60C56B10">
      <w:pPr>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26.3出现以上情形，不影响采购公平、公正性的，采购代理机构可以待上述情形消除后继续组织电子交易活动；影响或可能影响采购公平、公正性的，经采购代理机构确认后，应当重新采购。</w:t>
      </w:r>
    </w:p>
    <w:p w14:paraId="10A942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485681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9AB25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2"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2"/>
    </w:p>
    <w:p w14:paraId="75C62C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p>
    <w:p w14:paraId="4EA89C3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357D5587">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w:t>
      </w:r>
    </w:p>
    <w:p w14:paraId="2446DF55">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28.2在履约保证金退还日期前，若成交供应商的开户名称、开户银行、帐号有变动的，请以书面形式通知履约保证金收取单位，否则由此产生的后果由成交供应商自行承担。</w:t>
      </w:r>
    </w:p>
    <w:p w14:paraId="4DF277B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69E6F43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29.1成交供应商在收到成交通知书（书面或电子）后，应当在签订合同时向采购人出示相关证明材料，具体内容详见 “供应商须知前附表”，经采购人核验合格后方可签订合同（书面或电子）。</w:t>
      </w:r>
    </w:p>
    <w:p w14:paraId="5C344BFB">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 签订合同时间：按成交通知书规定的时间与采购人签订政府采购合同。</w:t>
      </w:r>
    </w:p>
    <w:p w14:paraId="5D53C02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29.3成交供应商拒绝与采购人签订合同的，按照本须知正文第27.3条的规定执行。</w:t>
      </w:r>
    </w:p>
    <w:p w14:paraId="70FEE46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7D8CBC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B34C51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31.询问、质疑和投诉</w:t>
      </w:r>
    </w:p>
    <w:p w14:paraId="5279E67C">
      <w:pPr>
        <w:pStyle w:val="8"/>
        <w:spacing w:line="360" w:lineRule="auto"/>
        <w:rPr>
          <w:rFonts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298C08C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14:paraId="7C3A6D9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688A76B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22F9544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5222DC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E7955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2FC982F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0B25FC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3612110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6E2497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0CC5C4E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1A204A9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63DAF0F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615B8A6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0FD954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（1）对采购文件提出的质疑，依法通过澄清或者修改可以继续开展采购活动的，澄清或者修改采购文件后继续开展采购活动；否则应当修改采购文件后重新开展采购活动。</w:t>
      </w:r>
    </w:p>
    <w:p w14:paraId="1F821C5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（2）对采购过程或者成交结果提出的质疑，合格供应商符合法定数量时，可以从合格的成交候选人中另行确定成交供应商的，应当依法另行确定成交供应商；否则应当重新开展采购活动。</w:t>
      </w:r>
    </w:p>
    <w:p w14:paraId="5D8681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C19B5A5">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15A274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32.其他内容</w:t>
      </w:r>
    </w:p>
    <w:p w14:paraId="0AA27CD5">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32.1代理服务费：代理服务收取标准及缴费账户详见“供应商须知前附表”。</w:t>
      </w:r>
    </w:p>
    <w:p w14:paraId="169BB247">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32.2本项目采购代理服务费参考桂价费【2011】55号文标准采用差额定率累进计费方式（服务类）计算，如低于壹万元的按壹万元收取，由成交供应商在领取成交通知书前，一次性向采购代理机构支付。</w:t>
      </w:r>
    </w:p>
    <w:p w14:paraId="6E12F86D">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32.3 代理服务费交纳银行账号信息</w:t>
      </w:r>
    </w:p>
    <w:p w14:paraId="68D154FF">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户名：广西正海招标有限公司</w:t>
      </w:r>
    </w:p>
    <w:p w14:paraId="41B6ADF4">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开户行：中国光大银行南宁长湖支行</w:t>
      </w:r>
    </w:p>
    <w:p w14:paraId="183C3206">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账号：79080188000035937</w:t>
      </w:r>
    </w:p>
    <w:p w14:paraId="5857D57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3CA5F6ED">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33.1本磋商文件解释规则详见“供应商须知前附表”。</w:t>
      </w:r>
    </w:p>
    <w:p w14:paraId="45FEA5C2">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33.2 其他事项详见“供应商须知前附表”。</w:t>
      </w:r>
    </w:p>
    <w:p w14:paraId="5529DE24">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23BDCAD">
      <w:pPr>
        <w:pStyle w:val="20"/>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0D8DAB46">
      <w:pPr>
        <w:pStyle w:val="20"/>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0EF0486A">
      <w:pPr>
        <w:pStyle w:val="20"/>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316D5E3">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w:t>
      </w:r>
    </w:p>
    <w:p w14:paraId="0E1834F8">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51B4B6DB">
      <w:pPr>
        <w:pStyle w:val="20"/>
        <w:snapToGrid w:val="0"/>
        <w:spacing w:before="120" w:after="120"/>
        <w:rPr>
          <w:rFonts w:hAnsi="宋体" w:cs="宋体"/>
          <w:color w:val="auto"/>
          <w:highlight w:val="none"/>
        </w:rPr>
      </w:pPr>
    </w:p>
    <w:p w14:paraId="1CD7C235">
      <w:pPr>
        <w:jc w:val="left"/>
        <w:rPr>
          <w:rFonts w:ascii="宋体" w:hAnsi="宋体" w:cs="宋体"/>
          <w:b/>
          <w:color w:val="auto"/>
          <w:sz w:val="32"/>
          <w:szCs w:val="32"/>
          <w:highlight w:val="none"/>
        </w:rPr>
      </w:pPr>
    </w:p>
    <w:p w14:paraId="1C422C25">
      <w:pPr>
        <w:pStyle w:val="3"/>
        <w:spacing w:before="100" w:beforeAutospacing="1" w:after="100" w:afterAutospacing="1" w:line="600" w:lineRule="exact"/>
        <w:jc w:val="center"/>
        <w:rPr>
          <w:rFonts w:ascii="宋体" w:hAnsi="宋体" w:cs="宋体"/>
          <w:color w:val="auto"/>
          <w:highlight w:val="none"/>
        </w:rPr>
        <w:sectPr>
          <w:headerReference r:id="rId8" w:type="default"/>
          <w:footerReference r:id="rId9" w:type="default"/>
          <w:pgSz w:w="11911" w:h="16843"/>
          <w:pgMar w:top="1134" w:right="1434" w:bottom="1134" w:left="1434" w:header="0" w:footer="1191" w:gutter="0"/>
          <w:pgNumType w:start="1"/>
          <w:cols w:space="720" w:num="1"/>
        </w:sectPr>
      </w:pPr>
      <w:bookmarkStart w:id="73" w:name="_Toc107326203"/>
    </w:p>
    <w:p w14:paraId="31A44675">
      <w:pPr>
        <w:pStyle w:val="3"/>
        <w:spacing w:before="100" w:beforeAutospacing="1" w:after="100" w:afterAutospacing="1" w:line="600" w:lineRule="exact"/>
        <w:jc w:val="center"/>
        <w:rPr>
          <w:rFonts w:ascii="宋体" w:hAnsi="宋体" w:cs="宋体"/>
          <w:color w:val="auto"/>
          <w:highlight w:val="none"/>
        </w:rPr>
      </w:pPr>
      <w:r>
        <w:rPr>
          <w:rFonts w:hint="eastAsia" w:ascii="宋体" w:hAnsi="宋体" w:cs="宋体"/>
          <w:color w:val="auto"/>
          <w:highlight w:val="none"/>
        </w:rPr>
        <w:t>第三章 采购需求</w:t>
      </w:r>
      <w:bookmarkEnd w:id="73"/>
    </w:p>
    <w:p w14:paraId="062FC721">
      <w:pPr>
        <w:pStyle w:val="20"/>
        <w:spacing w:line="360" w:lineRule="auto"/>
        <w:textAlignment w:val="center"/>
        <w:rPr>
          <w:rFonts w:hAnsi="宋体" w:cs="宋体"/>
          <w:color w:val="auto"/>
          <w:kern w:val="2"/>
          <w:sz w:val="21"/>
          <w:highlight w:val="none"/>
        </w:rPr>
      </w:pPr>
      <w:r>
        <w:rPr>
          <w:rFonts w:hint="eastAsia" w:hAnsi="宋体" w:cs="宋体"/>
          <w:color w:val="auto"/>
          <w:kern w:val="2"/>
          <w:sz w:val="21"/>
          <w:highlight w:val="none"/>
        </w:rPr>
        <w:t>说明：</w:t>
      </w:r>
    </w:p>
    <w:p w14:paraId="71F7018C">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1、“实质性要求”是指采购需求中带“▲”的条款或者不能负偏离的条款或者已经指明不满足按响应文件按无效处理的条款。</w:t>
      </w:r>
    </w:p>
    <w:p w14:paraId="2C03396B">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2、供应商必须自行为其竞标产品侵犯他人的知识产权或者专利成果的行为承担相应法律责任。</w:t>
      </w:r>
    </w:p>
    <w:tbl>
      <w:tblPr>
        <w:tblStyle w:val="29"/>
        <w:tblW w:w="93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
        <w:gridCol w:w="723"/>
        <w:gridCol w:w="1104"/>
        <w:gridCol w:w="1090"/>
        <w:gridCol w:w="1066"/>
        <w:gridCol w:w="5347"/>
      </w:tblGrid>
      <w:tr w14:paraId="1CA92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4" w:hRule="atLeast"/>
          <w:jc w:val="center"/>
        </w:trPr>
        <w:tc>
          <w:tcPr>
            <w:tcW w:w="730" w:type="dxa"/>
            <w:gridSpan w:val="2"/>
            <w:tcBorders>
              <w:top w:val="single" w:color="000000" w:sz="2" w:space="0"/>
              <w:bottom w:val="single" w:color="000000" w:sz="2" w:space="0"/>
            </w:tcBorders>
            <w:vAlign w:val="center"/>
          </w:tcPr>
          <w:p w14:paraId="12BE8488">
            <w:pPr>
              <w:spacing w:line="360" w:lineRule="auto"/>
              <w:jc w:val="center"/>
              <w:rPr>
                <w:rFonts w:ascii="宋体" w:hAnsi="宋体" w:cs="宋体"/>
                <w:b/>
                <w:bCs/>
                <w:color w:val="auto"/>
                <w:szCs w:val="21"/>
                <w:highlight w:val="none"/>
              </w:rPr>
            </w:pPr>
            <w:r>
              <w:rPr>
                <w:rFonts w:hint="eastAsia" w:ascii="宋体" w:hAnsi="宋体" w:cs="宋体"/>
                <w:b/>
                <w:bCs/>
                <w:color w:val="auto"/>
                <w:spacing w:val="-2"/>
                <w:szCs w:val="21"/>
                <w:highlight w:val="none"/>
              </w:rPr>
              <w:t>序号</w:t>
            </w:r>
          </w:p>
        </w:tc>
        <w:tc>
          <w:tcPr>
            <w:tcW w:w="1104" w:type="dxa"/>
            <w:tcBorders>
              <w:top w:val="single" w:color="000000" w:sz="2" w:space="0"/>
              <w:bottom w:val="single" w:color="000000" w:sz="2" w:space="0"/>
            </w:tcBorders>
            <w:vAlign w:val="center"/>
          </w:tcPr>
          <w:p w14:paraId="31EF13E6">
            <w:pPr>
              <w:spacing w:line="360" w:lineRule="auto"/>
              <w:jc w:val="center"/>
              <w:rPr>
                <w:rFonts w:ascii="宋体" w:hAnsi="宋体" w:cs="宋体"/>
                <w:b/>
                <w:bCs/>
                <w:color w:val="auto"/>
                <w:spacing w:val="-3"/>
                <w:szCs w:val="21"/>
                <w:highlight w:val="none"/>
              </w:rPr>
            </w:pPr>
            <w:r>
              <w:rPr>
                <w:rFonts w:hint="eastAsia" w:ascii="宋体" w:hAnsi="宋体" w:cs="宋体"/>
                <w:b/>
                <w:bCs/>
                <w:color w:val="auto"/>
                <w:spacing w:val="-4"/>
                <w:szCs w:val="21"/>
                <w:highlight w:val="none"/>
              </w:rPr>
              <w:t>标的名</w:t>
            </w:r>
            <w:r>
              <w:rPr>
                <w:rFonts w:hint="eastAsia" w:ascii="宋体" w:hAnsi="宋体" w:cs="宋体"/>
                <w:b/>
                <w:bCs/>
                <w:color w:val="auto"/>
                <w:spacing w:val="-2"/>
                <w:szCs w:val="21"/>
                <w:highlight w:val="none"/>
              </w:rPr>
              <w:t>称</w:t>
            </w:r>
          </w:p>
        </w:tc>
        <w:tc>
          <w:tcPr>
            <w:tcW w:w="1090" w:type="dxa"/>
            <w:tcBorders>
              <w:top w:val="single" w:color="000000" w:sz="2" w:space="0"/>
              <w:bottom w:val="single" w:color="000000" w:sz="2" w:space="0"/>
            </w:tcBorders>
            <w:vAlign w:val="center"/>
          </w:tcPr>
          <w:p w14:paraId="3BDB24C3">
            <w:pPr>
              <w:spacing w:line="360" w:lineRule="auto"/>
              <w:jc w:val="center"/>
              <w:rPr>
                <w:rFonts w:ascii="宋体" w:hAnsi="宋体" w:cs="宋体"/>
                <w:b/>
                <w:bCs/>
                <w:color w:val="auto"/>
                <w:spacing w:val="-20"/>
                <w:szCs w:val="21"/>
                <w:highlight w:val="none"/>
              </w:rPr>
            </w:pPr>
            <w:r>
              <w:rPr>
                <w:rFonts w:hint="eastAsia" w:ascii="宋体" w:hAnsi="宋体" w:cs="宋体"/>
                <w:b/>
                <w:bCs/>
                <w:color w:val="auto"/>
                <w:spacing w:val="-3"/>
                <w:szCs w:val="21"/>
                <w:highlight w:val="none"/>
              </w:rPr>
              <w:t>数量及单</w:t>
            </w:r>
            <w:r>
              <w:rPr>
                <w:rFonts w:hint="eastAsia" w:ascii="宋体" w:hAnsi="宋体" w:cs="宋体"/>
                <w:b/>
                <w:bCs/>
                <w:color w:val="auto"/>
                <w:spacing w:val="-2"/>
                <w:szCs w:val="21"/>
                <w:highlight w:val="none"/>
              </w:rPr>
              <w:t>位</w:t>
            </w:r>
          </w:p>
        </w:tc>
        <w:tc>
          <w:tcPr>
            <w:tcW w:w="1066" w:type="dxa"/>
            <w:tcBorders>
              <w:top w:val="single" w:color="000000" w:sz="2" w:space="0"/>
              <w:bottom w:val="single" w:color="000000" w:sz="2" w:space="0"/>
            </w:tcBorders>
            <w:vAlign w:val="center"/>
          </w:tcPr>
          <w:p w14:paraId="611E2E3F">
            <w:pPr>
              <w:spacing w:line="360" w:lineRule="auto"/>
              <w:jc w:val="center"/>
              <w:rPr>
                <w:rFonts w:ascii="宋体" w:hAnsi="宋体" w:cs="宋体"/>
                <w:b/>
                <w:bCs/>
                <w:color w:val="auto"/>
                <w:spacing w:val="-6"/>
                <w:szCs w:val="21"/>
                <w:highlight w:val="none"/>
              </w:rPr>
            </w:pPr>
            <w:r>
              <w:rPr>
                <w:rFonts w:hint="eastAsia" w:ascii="宋体" w:hAnsi="宋体" w:cs="宋体"/>
                <w:b/>
                <w:bCs/>
                <w:color w:val="auto"/>
                <w:spacing w:val="-4"/>
                <w:szCs w:val="21"/>
                <w:highlight w:val="none"/>
              </w:rPr>
              <w:t>所属行</w:t>
            </w:r>
            <w:r>
              <w:rPr>
                <w:rFonts w:hint="eastAsia" w:ascii="宋体" w:hAnsi="宋体" w:cs="宋体"/>
                <w:b/>
                <w:bCs/>
                <w:color w:val="auto"/>
                <w:spacing w:val="-2"/>
                <w:szCs w:val="21"/>
                <w:highlight w:val="none"/>
              </w:rPr>
              <w:t>业</w:t>
            </w:r>
          </w:p>
        </w:tc>
        <w:tc>
          <w:tcPr>
            <w:tcW w:w="5347" w:type="dxa"/>
            <w:tcBorders>
              <w:top w:val="single" w:color="000000" w:sz="2" w:space="0"/>
              <w:bottom w:val="single" w:color="000000" w:sz="2" w:space="0"/>
            </w:tcBorders>
            <w:vAlign w:val="center"/>
          </w:tcPr>
          <w:p w14:paraId="5DE105D2">
            <w:pPr>
              <w:spacing w:before="68" w:line="360" w:lineRule="auto"/>
              <w:jc w:val="center"/>
              <w:rPr>
                <w:rFonts w:ascii="宋体" w:hAnsi="宋体" w:cs="宋体"/>
                <w:b/>
                <w:bCs/>
                <w:color w:val="auto"/>
                <w:spacing w:val="-2"/>
                <w:szCs w:val="21"/>
                <w:highlight w:val="none"/>
              </w:rPr>
            </w:pPr>
            <w:r>
              <w:rPr>
                <w:rFonts w:hint="eastAsia" w:ascii="宋体" w:hAnsi="宋体" w:cs="宋体"/>
                <w:b/>
                <w:bCs/>
                <w:color w:val="auto"/>
                <w:spacing w:val="-2"/>
                <w:szCs w:val="21"/>
                <w:highlight w:val="none"/>
              </w:rPr>
              <w:t>技术要求</w:t>
            </w:r>
          </w:p>
        </w:tc>
      </w:tr>
      <w:tr w14:paraId="16F02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18" w:hRule="atLeast"/>
          <w:jc w:val="center"/>
        </w:trPr>
        <w:tc>
          <w:tcPr>
            <w:tcW w:w="730" w:type="dxa"/>
            <w:gridSpan w:val="2"/>
            <w:tcBorders>
              <w:top w:val="single" w:color="000000" w:sz="2" w:space="0"/>
              <w:bottom w:val="single" w:color="000000" w:sz="2" w:space="0"/>
            </w:tcBorders>
            <w:vAlign w:val="center"/>
          </w:tcPr>
          <w:p w14:paraId="2081917B">
            <w:pPr>
              <w:spacing w:before="68" w:line="360" w:lineRule="auto"/>
              <w:ind w:left="294"/>
              <w:rPr>
                <w:rFonts w:ascii="宋体" w:hAnsi="宋体" w:cs="宋体"/>
                <w:color w:val="auto"/>
                <w:szCs w:val="21"/>
                <w:highlight w:val="none"/>
              </w:rPr>
            </w:pPr>
            <w:r>
              <w:rPr>
                <w:rFonts w:hint="eastAsia" w:ascii="宋体" w:hAnsi="宋体" w:cs="宋体"/>
                <w:color w:val="auto"/>
                <w:szCs w:val="21"/>
                <w:highlight w:val="none"/>
              </w:rPr>
              <w:t>1</w:t>
            </w:r>
          </w:p>
        </w:tc>
        <w:tc>
          <w:tcPr>
            <w:tcW w:w="1104" w:type="dxa"/>
            <w:tcBorders>
              <w:top w:val="single" w:color="000000" w:sz="2" w:space="0"/>
              <w:bottom w:val="single" w:color="000000" w:sz="2" w:space="0"/>
            </w:tcBorders>
            <w:vAlign w:val="center"/>
          </w:tcPr>
          <w:p w14:paraId="25B6DD06">
            <w:pPr>
              <w:spacing w:line="360" w:lineRule="auto"/>
              <w:jc w:val="center"/>
              <w:rPr>
                <w:rFonts w:ascii="宋体" w:hAnsi="宋体" w:cs="宋体"/>
                <w:color w:val="auto"/>
                <w:szCs w:val="21"/>
                <w:highlight w:val="none"/>
              </w:rPr>
            </w:pPr>
            <w:r>
              <w:rPr>
                <w:rFonts w:hint="eastAsia" w:ascii="宋体" w:hAnsi="宋体" w:cs="宋体"/>
                <w:color w:val="auto"/>
                <w:spacing w:val="-3"/>
                <w:szCs w:val="21"/>
                <w:highlight w:val="none"/>
              </w:rPr>
              <w:t>B08综合实训楼项目（北楼群）实训教室、教师休息室装修工程</w:t>
            </w:r>
          </w:p>
        </w:tc>
        <w:tc>
          <w:tcPr>
            <w:tcW w:w="1090" w:type="dxa"/>
            <w:tcBorders>
              <w:top w:val="single" w:color="000000" w:sz="2" w:space="0"/>
              <w:bottom w:val="single" w:color="000000" w:sz="2" w:space="0"/>
            </w:tcBorders>
            <w:vAlign w:val="center"/>
          </w:tcPr>
          <w:p w14:paraId="7349F1A3">
            <w:pPr>
              <w:spacing w:before="69" w:line="360" w:lineRule="auto"/>
              <w:jc w:val="center"/>
              <w:rPr>
                <w:rFonts w:ascii="宋体" w:hAnsi="宋体" w:cs="宋体"/>
                <w:color w:val="auto"/>
                <w:szCs w:val="21"/>
                <w:highlight w:val="none"/>
              </w:rPr>
            </w:pPr>
            <w:r>
              <w:rPr>
                <w:rFonts w:hint="eastAsia" w:ascii="宋体" w:hAnsi="宋体" w:cs="宋体"/>
                <w:color w:val="auto"/>
                <w:spacing w:val="-19"/>
                <w:szCs w:val="21"/>
                <w:highlight w:val="none"/>
              </w:rPr>
              <w:t>1项</w:t>
            </w:r>
          </w:p>
        </w:tc>
        <w:tc>
          <w:tcPr>
            <w:tcW w:w="1066" w:type="dxa"/>
            <w:tcBorders>
              <w:top w:val="single" w:color="000000" w:sz="2" w:space="0"/>
              <w:bottom w:val="single" w:color="000000" w:sz="2" w:space="0"/>
            </w:tcBorders>
            <w:vAlign w:val="center"/>
          </w:tcPr>
          <w:p w14:paraId="76C7FED6">
            <w:pPr>
              <w:spacing w:before="68" w:line="360" w:lineRule="auto"/>
              <w:ind w:left="244" w:right="135" w:hanging="101"/>
              <w:jc w:val="center"/>
              <w:rPr>
                <w:rFonts w:ascii="宋体" w:hAnsi="宋体" w:cs="宋体"/>
                <w:color w:val="auto"/>
                <w:szCs w:val="21"/>
                <w:highlight w:val="none"/>
              </w:rPr>
            </w:pPr>
            <w:r>
              <w:rPr>
                <w:rFonts w:hint="eastAsia" w:ascii="宋体" w:hAnsi="宋体" w:cs="宋体"/>
                <w:color w:val="auto"/>
                <w:spacing w:val="-6"/>
                <w:szCs w:val="21"/>
                <w:highlight w:val="none"/>
              </w:rPr>
              <w:t>建</w:t>
            </w:r>
            <w:r>
              <w:rPr>
                <w:rFonts w:hint="eastAsia" w:ascii="宋体" w:hAnsi="宋体" w:cs="宋体"/>
                <w:color w:val="auto"/>
                <w:spacing w:val="-5"/>
                <w:szCs w:val="21"/>
                <w:highlight w:val="none"/>
              </w:rPr>
              <w:t>筑</w:t>
            </w:r>
            <w:r>
              <w:rPr>
                <w:rFonts w:hint="eastAsia" w:ascii="宋体" w:hAnsi="宋体" w:cs="宋体"/>
                <w:color w:val="auto"/>
                <w:szCs w:val="21"/>
                <w:highlight w:val="none"/>
              </w:rPr>
              <w:t>业</w:t>
            </w:r>
          </w:p>
        </w:tc>
        <w:tc>
          <w:tcPr>
            <w:tcW w:w="5347" w:type="dxa"/>
            <w:tcBorders>
              <w:top w:val="single" w:color="000000" w:sz="2" w:space="0"/>
              <w:bottom w:val="single" w:color="000000" w:sz="2" w:space="0"/>
            </w:tcBorders>
            <w:vAlign w:val="center"/>
          </w:tcPr>
          <w:p w14:paraId="7188450F">
            <w:pPr>
              <w:spacing w:line="360" w:lineRule="auto"/>
              <w:ind w:firstLine="416" w:firstLineChars="200"/>
              <w:jc w:val="left"/>
              <w:rPr>
                <w:rFonts w:ascii="宋体" w:hAnsi="宋体" w:cs="宋体"/>
                <w:color w:val="auto"/>
                <w:spacing w:val="-8"/>
                <w:szCs w:val="21"/>
                <w:highlight w:val="none"/>
              </w:rPr>
            </w:pPr>
            <w:r>
              <w:rPr>
                <w:rFonts w:hint="eastAsia" w:ascii="宋体" w:hAnsi="宋体" w:cs="宋体"/>
                <w:color w:val="auto"/>
                <w:spacing w:val="-1"/>
                <w:szCs w:val="21"/>
                <w:highlight w:val="none"/>
              </w:rPr>
              <w:t>▲</w:t>
            </w:r>
            <w:r>
              <w:rPr>
                <w:rFonts w:hint="eastAsia" w:ascii="宋体" w:hAnsi="宋体" w:cs="宋体"/>
                <w:color w:val="auto"/>
                <w:spacing w:val="-8"/>
                <w:szCs w:val="21"/>
                <w:highlight w:val="none"/>
              </w:rPr>
              <w:t>1.采购范围：</w:t>
            </w:r>
            <w:r>
              <w:rPr>
                <w:rFonts w:hint="eastAsia" w:ascii="宋体" w:hAnsi="宋体" w:cs="宋体"/>
                <w:color w:val="auto"/>
                <w:spacing w:val="-3"/>
                <w:szCs w:val="21"/>
                <w:highlight w:val="none"/>
              </w:rPr>
              <w:t>B08综合实训楼项目（北楼群）实训教室、教师休息室装修工程</w:t>
            </w:r>
            <w:r>
              <w:rPr>
                <w:rFonts w:hint="eastAsia" w:ascii="宋体" w:hAnsi="宋体" w:cs="宋体"/>
                <w:color w:val="auto"/>
                <w:spacing w:val="-8"/>
                <w:szCs w:val="21"/>
                <w:highlight w:val="none"/>
              </w:rPr>
              <w:t>，具体内容详见工程量清单及图纸。</w:t>
            </w:r>
          </w:p>
          <w:p w14:paraId="13CE5141">
            <w:pPr>
              <w:spacing w:line="360" w:lineRule="auto"/>
              <w:ind w:firstLine="416" w:firstLineChars="200"/>
              <w:jc w:val="left"/>
              <w:rPr>
                <w:rFonts w:ascii="宋体" w:hAnsi="宋体" w:cs="宋体"/>
                <w:color w:val="auto"/>
                <w:spacing w:val="-8"/>
                <w:szCs w:val="21"/>
                <w:highlight w:val="none"/>
              </w:rPr>
            </w:pPr>
            <w:r>
              <w:rPr>
                <w:rFonts w:hint="eastAsia" w:ascii="宋体" w:hAnsi="宋体" w:cs="宋体"/>
                <w:color w:val="auto"/>
                <w:spacing w:val="-1"/>
                <w:szCs w:val="21"/>
                <w:highlight w:val="none"/>
              </w:rPr>
              <w:t>▲</w:t>
            </w:r>
            <w:r>
              <w:rPr>
                <w:rFonts w:hint="eastAsia" w:ascii="宋体" w:hAnsi="宋体" w:cs="宋体"/>
                <w:color w:val="auto"/>
                <w:spacing w:val="-8"/>
                <w:szCs w:val="21"/>
                <w:highlight w:val="none"/>
              </w:rPr>
              <w:t>2.技术标准和要求：符合国家、行业、地区现行的工程建设标准、技术规范及强制性标准条文、以及施工图纸载明的其他有关规范标准。</w:t>
            </w:r>
          </w:p>
          <w:p w14:paraId="6D0FE761">
            <w:pPr>
              <w:spacing w:line="360" w:lineRule="auto"/>
              <w:ind w:firstLine="416" w:firstLineChars="200"/>
              <w:jc w:val="left"/>
              <w:rPr>
                <w:rFonts w:ascii="宋体" w:hAnsi="宋体" w:cs="宋体"/>
                <w:color w:val="auto"/>
                <w:spacing w:val="-8"/>
                <w:szCs w:val="21"/>
                <w:highlight w:val="none"/>
              </w:rPr>
            </w:pPr>
            <w:r>
              <w:rPr>
                <w:rFonts w:hint="eastAsia" w:ascii="宋体" w:hAnsi="宋体" w:cs="宋体"/>
                <w:color w:val="auto"/>
                <w:spacing w:val="-1"/>
                <w:szCs w:val="21"/>
                <w:highlight w:val="none"/>
              </w:rPr>
              <w:t>▲</w:t>
            </w:r>
            <w:r>
              <w:rPr>
                <w:rFonts w:hint="eastAsia" w:ascii="宋体" w:hAnsi="宋体" w:cs="宋体"/>
                <w:color w:val="auto"/>
                <w:spacing w:val="-8"/>
                <w:szCs w:val="21"/>
                <w:highlight w:val="none"/>
              </w:rPr>
              <w:t>3.工程质量要求：合格。</w:t>
            </w:r>
          </w:p>
          <w:p w14:paraId="162C59FE">
            <w:pPr>
              <w:spacing w:line="360" w:lineRule="auto"/>
              <w:ind w:firstLine="416" w:firstLineChars="200"/>
              <w:jc w:val="left"/>
              <w:rPr>
                <w:rFonts w:ascii="宋体" w:hAnsi="宋体" w:cs="宋体"/>
                <w:color w:val="auto"/>
                <w:spacing w:val="-8"/>
                <w:szCs w:val="21"/>
                <w:highlight w:val="none"/>
              </w:rPr>
            </w:pPr>
            <w:r>
              <w:rPr>
                <w:rFonts w:hint="eastAsia" w:ascii="宋体" w:hAnsi="宋体" w:cs="宋体"/>
                <w:color w:val="auto"/>
                <w:spacing w:val="-1"/>
                <w:szCs w:val="21"/>
                <w:highlight w:val="none"/>
              </w:rPr>
              <w:t>▲</w:t>
            </w:r>
            <w:r>
              <w:rPr>
                <w:rFonts w:hint="eastAsia" w:ascii="宋体" w:hAnsi="宋体" w:cs="宋体"/>
                <w:color w:val="auto"/>
                <w:spacing w:val="-8"/>
                <w:szCs w:val="21"/>
                <w:highlight w:val="none"/>
              </w:rPr>
              <w:t>4.报价方式：工程量清单报价，施工过程中负责协调当地相关部门，办理相关手续。</w:t>
            </w:r>
          </w:p>
          <w:p w14:paraId="3E853286">
            <w:pPr>
              <w:spacing w:line="360" w:lineRule="auto"/>
              <w:ind w:firstLine="416" w:firstLineChars="200"/>
              <w:jc w:val="left"/>
              <w:rPr>
                <w:rFonts w:ascii="宋体" w:hAnsi="宋体" w:cs="宋体"/>
                <w:color w:val="auto"/>
                <w:spacing w:val="-8"/>
                <w:szCs w:val="21"/>
                <w:highlight w:val="none"/>
              </w:rPr>
            </w:pPr>
            <w:r>
              <w:rPr>
                <w:rFonts w:hint="eastAsia" w:ascii="宋体" w:hAnsi="宋体" w:cs="宋体"/>
                <w:color w:val="auto"/>
                <w:spacing w:val="-1"/>
                <w:szCs w:val="21"/>
                <w:highlight w:val="none"/>
              </w:rPr>
              <w:t>▲</w:t>
            </w:r>
            <w:r>
              <w:rPr>
                <w:rFonts w:hint="eastAsia" w:ascii="宋体" w:hAnsi="宋体" w:cs="宋体"/>
                <w:color w:val="auto"/>
                <w:spacing w:val="-8"/>
                <w:szCs w:val="21"/>
                <w:highlight w:val="none"/>
              </w:rPr>
              <w:t>5.承包方式：固定综合单价，结算按实际工程量计算。</w:t>
            </w:r>
          </w:p>
        </w:tc>
      </w:tr>
      <w:tr w14:paraId="5EE87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jc w:val="center"/>
        </w:trPr>
        <w:tc>
          <w:tcPr>
            <w:tcW w:w="9337" w:type="dxa"/>
            <w:gridSpan w:val="6"/>
            <w:tcBorders>
              <w:top w:val="single" w:color="000000" w:sz="2" w:space="0"/>
              <w:bottom w:val="single" w:color="000000" w:sz="2" w:space="0"/>
            </w:tcBorders>
            <w:vAlign w:val="center"/>
          </w:tcPr>
          <w:p w14:paraId="15790604">
            <w:pPr>
              <w:spacing w:line="360" w:lineRule="auto"/>
              <w:ind w:left="116"/>
              <w:jc w:val="left"/>
              <w:rPr>
                <w:rFonts w:ascii="宋体" w:hAnsi="宋体" w:cs="宋体"/>
                <w:color w:val="auto"/>
                <w:spacing w:val="-2"/>
                <w:szCs w:val="21"/>
                <w:highlight w:val="none"/>
              </w:rPr>
            </w:pPr>
            <w:r>
              <w:rPr>
                <w:rFonts w:hint="eastAsia" w:ascii="宋体" w:hAnsi="宋体" w:cs="宋体"/>
                <w:b/>
                <w:bCs/>
                <w:color w:val="auto"/>
                <w:spacing w:val="7"/>
                <w:szCs w:val="21"/>
                <w:highlight w:val="none"/>
              </w:rPr>
              <w:t>▲</w:t>
            </w:r>
            <w:r>
              <w:rPr>
                <w:rFonts w:hint="eastAsia" w:ascii="宋体" w:hAnsi="宋体" w:cs="宋体"/>
                <w:b/>
                <w:bCs/>
                <w:color w:val="auto"/>
                <w:spacing w:val="6"/>
                <w:szCs w:val="21"/>
                <w:highlight w:val="none"/>
              </w:rPr>
              <w:t>商务要求</w:t>
            </w:r>
          </w:p>
        </w:tc>
      </w:tr>
      <w:tr w14:paraId="2A90A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jc w:val="center"/>
        </w:trPr>
        <w:tc>
          <w:tcPr>
            <w:tcW w:w="1834" w:type="dxa"/>
            <w:gridSpan w:val="3"/>
            <w:tcBorders>
              <w:top w:val="single" w:color="000000" w:sz="2" w:space="0"/>
              <w:bottom w:val="single" w:color="000000" w:sz="2" w:space="0"/>
            </w:tcBorders>
            <w:vAlign w:val="center"/>
          </w:tcPr>
          <w:p w14:paraId="18142A63">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施工工期</w:t>
            </w:r>
          </w:p>
        </w:tc>
        <w:tc>
          <w:tcPr>
            <w:tcW w:w="7503" w:type="dxa"/>
            <w:gridSpan w:val="3"/>
            <w:tcBorders>
              <w:top w:val="single" w:color="000000" w:sz="2" w:space="0"/>
              <w:bottom w:val="single" w:color="000000" w:sz="2" w:space="0"/>
            </w:tcBorders>
            <w:vAlign w:val="center"/>
          </w:tcPr>
          <w:p w14:paraId="58AAC692">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45日历天。</w:t>
            </w:r>
          </w:p>
        </w:tc>
      </w:tr>
      <w:tr w14:paraId="4B682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jc w:val="center"/>
        </w:trPr>
        <w:tc>
          <w:tcPr>
            <w:tcW w:w="1834" w:type="dxa"/>
            <w:gridSpan w:val="3"/>
            <w:tcBorders>
              <w:top w:val="single" w:color="000000" w:sz="2" w:space="0"/>
              <w:bottom w:val="single" w:color="000000" w:sz="2" w:space="0"/>
            </w:tcBorders>
            <w:vAlign w:val="center"/>
          </w:tcPr>
          <w:p w14:paraId="0A8ED2B5">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建设地点</w:t>
            </w:r>
          </w:p>
        </w:tc>
        <w:tc>
          <w:tcPr>
            <w:tcW w:w="7503" w:type="dxa"/>
            <w:gridSpan w:val="3"/>
            <w:tcBorders>
              <w:top w:val="single" w:color="000000" w:sz="2" w:space="0"/>
              <w:bottom w:val="single" w:color="000000" w:sz="2" w:space="0"/>
            </w:tcBorders>
            <w:vAlign w:val="center"/>
          </w:tcPr>
          <w:p w14:paraId="24361FA1">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南宁市江南区明阳大道19号采购人指定地点。</w:t>
            </w:r>
          </w:p>
        </w:tc>
      </w:tr>
      <w:tr w14:paraId="173FD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jc w:val="center"/>
        </w:trPr>
        <w:tc>
          <w:tcPr>
            <w:tcW w:w="1834" w:type="dxa"/>
            <w:gridSpan w:val="3"/>
            <w:tcBorders>
              <w:top w:val="single" w:color="000000" w:sz="2" w:space="0"/>
              <w:bottom w:val="single" w:color="000000" w:sz="2" w:space="0"/>
            </w:tcBorders>
            <w:vAlign w:val="center"/>
          </w:tcPr>
          <w:p w14:paraId="76B84BB2">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合同签订时间</w:t>
            </w:r>
          </w:p>
        </w:tc>
        <w:tc>
          <w:tcPr>
            <w:tcW w:w="7503" w:type="dxa"/>
            <w:gridSpan w:val="3"/>
            <w:tcBorders>
              <w:top w:val="single" w:color="000000" w:sz="2" w:space="0"/>
              <w:bottom w:val="single" w:color="000000" w:sz="2" w:space="0"/>
            </w:tcBorders>
            <w:vAlign w:val="center"/>
          </w:tcPr>
          <w:p w14:paraId="173CEC3E">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自成交通知书发出之日起25日内。</w:t>
            </w:r>
          </w:p>
        </w:tc>
      </w:tr>
      <w:tr w14:paraId="030A4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2" w:hRule="atLeast"/>
          <w:jc w:val="center"/>
        </w:trPr>
        <w:tc>
          <w:tcPr>
            <w:tcW w:w="1834" w:type="dxa"/>
            <w:gridSpan w:val="3"/>
            <w:tcBorders>
              <w:top w:val="single" w:color="000000" w:sz="2" w:space="0"/>
              <w:bottom w:val="single" w:color="000000" w:sz="2" w:space="0"/>
            </w:tcBorders>
            <w:vAlign w:val="center"/>
          </w:tcPr>
          <w:p w14:paraId="06CEB5A3">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付款条件</w:t>
            </w:r>
          </w:p>
          <w:p w14:paraId="431AD7F3">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（进度和方式）</w:t>
            </w:r>
          </w:p>
        </w:tc>
        <w:tc>
          <w:tcPr>
            <w:tcW w:w="7503" w:type="dxa"/>
            <w:gridSpan w:val="3"/>
            <w:tcBorders>
              <w:top w:val="single" w:color="000000" w:sz="2" w:space="0"/>
              <w:bottom w:val="single" w:color="000000" w:sz="2" w:space="0"/>
            </w:tcBorders>
            <w:vAlign w:val="center"/>
          </w:tcPr>
          <w:p w14:paraId="77DB65C8">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1、付款方式：银行转账。</w:t>
            </w:r>
          </w:p>
          <w:p w14:paraId="36DCA810">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2、预付款：在供应商按合同约定进场后20天内采购人向供应商支付合同总价30%作为预付款，该预付款系合同价款扣除暂估专业工程、暂列金额后的30%。第1次支付进度款时，先扣除预付款。</w:t>
            </w:r>
          </w:p>
          <w:p w14:paraId="4A2831C6">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3、付款周期：工程款原则上按月支付，合同内进度款支付限额为已完成工程量的80%，工程变更部分进度款支付限额为已完成工程量的70%，每次拨付工程进度款时供应商应提前开具本次所拨付款项的建筑发票，否则采购人不予拨付该次工程款；工程结算经有关部门审定，供应商向采购人缴纳结算金额3%的质量保证金并开具经审定结算金额的全额建筑发票后，采购人支付至结算总价的100%（含已支付的），工程质量保修金待工程质量保修期满后返还（无息）。</w:t>
            </w:r>
          </w:p>
        </w:tc>
      </w:tr>
      <w:tr w14:paraId="40F56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7" w:type="dxa"/>
          <w:trHeight w:val="415" w:hRule="atLeast"/>
          <w:jc w:val="center"/>
        </w:trPr>
        <w:tc>
          <w:tcPr>
            <w:tcW w:w="1827" w:type="dxa"/>
            <w:gridSpan w:val="2"/>
            <w:tcBorders>
              <w:top w:val="single" w:color="000000" w:sz="2" w:space="0"/>
              <w:bottom w:val="single" w:color="000000" w:sz="2" w:space="0"/>
            </w:tcBorders>
            <w:vAlign w:val="center"/>
          </w:tcPr>
          <w:p w14:paraId="3CA351EC">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缺陷责任期</w:t>
            </w:r>
          </w:p>
        </w:tc>
        <w:tc>
          <w:tcPr>
            <w:tcW w:w="7503" w:type="dxa"/>
            <w:gridSpan w:val="3"/>
            <w:tcBorders>
              <w:top w:val="single" w:color="000000" w:sz="2" w:space="0"/>
              <w:bottom w:val="single" w:color="000000" w:sz="2" w:space="0"/>
            </w:tcBorders>
            <w:vAlign w:val="center"/>
          </w:tcPr>
          <w:p w14:paraId="608A9EA8">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竣工验收后24个月。</w:t>
            </w:r>
          </w:p>
        </w:tc>
      </w:tr>
      <w:tr w14:paraId="467D8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7" w:type="dxa"/>
          <w:trHeight w:val="524" w:hRule="atLeast"/>
          <w:jc w:val="center"/>
        </w:trPr>
        <w:tc>
          <w:tcPr>
            <w:tcW w:w="1827" w:type="dxa"/>
            <w:gridSpan w:val="2"/>
            <w:tcBorders>
              <w:top w:val="single" w:color="000000" w:sz="2" w:space="0"/>
              <w:bottom w:val="single" w:color="000000" w:sz="2" w:space="0"/>
            </w:tcBorders>
            <w:vAlign w:val="center"/>
          </w:tcPr>
          <w:p w14:paraId="2295163A">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质量保证金退还</w:t>
            </w:r>
          </w:p>
        </w:tc>
        <w:tc>
          <w:tcPr>
            <w:tcW w:w="7503" w:type="dxa"/>
            <w:gridSpan w:val="3"/>
            <w:tcBorders>
              <w:top w:val="single" w:color="000000" w:sz="2" w:space="0"/>
              <w:bottom w:val="single" w:color="000000" w:sz="2" w:space="0"/>
            </w:tcBorders>
            <w:vAlign w:val="center"/>
          </w:tcPr>
          <w:p w14:paraId="4C8286E3">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按保修书约定返还。</w:t>
            </w:r>
          </w:p>
        </w:tc>
      </w:tr>
      <w:tr w14:paraId="2354C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7" w:type="dxa"/>
          <w:trHeight w:val="1077" w:hRule="atLeast"/>
          <w:jc w:val="center"/>
        </w:trPr>
        <w:tc>
          <w:tcPr>
            <w:tcW w:w="1827" w:type="dxa"/>
            <w:gridSpan w:val="2"/>
            <w:tcBorders>
              <w:top w:val="single" w:color="000000" w:sz="2" w:space="0"/>
              <w:bottom w:val="single" w:color="000000" w:sz="2" w:space="0"/>
            </w:tcBorders>
            <w:vAlign w:val="center"/>
          </w:tcPr>
          <w:p w14:paraId="58CFE5C4">
            <w:pPr>
              <w:spacing w:line="360" w:lineRule="auto"/>
              <w:jc w:val="center"/>
              <w:rPr>
                <w:rFonts w:ascii="宋体" w:hAnsi="宋体" w:cs="宋体"/>
                <w:color w:val="auto"/>
                <w:spacing w:val="-8"/>
                <w:szCs w:val="21"/>
                <w:highlight w:val="none"/>
              </w:rPr>
            </w:pPr>
            <w:r>
              <w:rPr>
                <w:rFonts w:hint="eastAsia" w:ascii="宋体" w:hAnsi="宋体" w:cs="宋体"/>
                <w:color w:val="auto"/>
                <w:spacing w:val="-8"/>
                <w:szCs w:val="21"/>
                <w:highlight w:val="none"/>
              </w:rPr>
              <w:t>其他要求</w:t>
            </w:r>
          </w:p>
        </w:tc>
        <w:tc>
          <w:tcPr>
            <w:tcW w:w="7503" w:type="dxa"/>
            <w:gridSpan w:val="3"/>
            <w:tcBorders>
              <w:top w:val="single" w:color="000000" w:sz="2" w:space="0"/>
              <w:bottom w:val="single" w:color="000000" w:sz="2" w:space="0"/>
            </w:tcBorders>
            <w:vAlign w:val="center"/>
          </w:tcPr>
          <w:p w14:paraId="3AAE7AAD">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1、本项目涉及校内施工，施工人员必须服从采购人管理要求。</w:t>
            </w:r>
          </w:p>
          <w:p w14:paraId="52A51CF5">
            <w:pPr>
              <w:spacing w:line="360" w:lineRule="auto"/>
              <w:jc w:val="left"/>
              <w:rPr>
                <w:rFonts w:ascii="宋体" w:hAnsi="宋体" w:cs="宋体"/>
                <w:color w:val="auto"/>
                <w:spacing w:val="-8"/>
                <w:szCs w:val="21"/>
                <w:highlight w:val="none"/>
              </w:rPr>
            </w:pPr>
            <w:r>
              <w:rPr>
                <w:rFonts w:hint="eastAsia" w:ascii="宋体" w:hAnsi="宋体" w:cs="宋体"/>
                <w:color w:val="auto"/>
                <w:spacing w:val="-8"/>
                <w:szCs w:val="21"/>
                <w:highlight w:val="none"/>
              </w:rPr>
              <w:t>2、施工人员需自行解决住宿问题，采购人无法提供场地给成交人搭建临时设施给施工人员住宿。</w:t>
            </w:r>
          </w:p>
        </w:tc>
      </w:tr>
    </w:tbl>
    <w:p w14:paraId="05AC72D5">
      <w:pPr>
        <w:pStyle w:val="3"/>
        <w:spacing w:before="0" w:after="0" w:line="360" w:lineRule="auto"/>
        <w:jc w:val="center"/>
        <w:rPr>
          <w:rFonts w:ascii="宋体" w:hAnsi="宋体" w:cs="宋体"/>
          <w:color w:val="auto"/>
          <w:highlight w:val="none"/>
        </w:rPr>
      </w:pPr>
      <w:bookmarkStart w:id="74" w:name="_Toc107326204"/>
      <w:r>
        <w:rPr>
          <w:rFonts w:hint="eastAsia" w:ascii="宋体" w:hAnsi="宋体" w:cs="宋体"/>
          <w:color w:val="auto"/>
          <w:highlight w:val="none"/>
        </w:rPr>
        <w:br w:type="page"/>
      </w:r>
      <w:r>
        <w:rPr>
          <w:rFonts w:hint="eastAsia" w:ascii="宋体" w:hAnsi="宋体" w:cs="宋体"/>
          <w:color w:val="auto"/>
          <w:highlight w:val="none"/>
        </w:rPr>
        <w:t>第四章 评审程序、评审方法和评审标准</w:t>
      </w:r>
      <w:bookmarkEnd w:id="74"/>
    </w:p>
    <w:p w14:paraId="43BE1298">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6DDC3A6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1.资格审查</w:t>
      </w:r>
    </w:p>
    <w:p w14:paraId="34B9F59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5D103A50">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rPr>
        <w:t>www.ccgp.gov.cn</w:t>
      </w:r>
      <w:r>
        <w:rPr>
          <w:rFonts w:hint="eastAsia" w:ascii="宋体" w:hAnsi="宋体" w:cs="宋体"/>
          <w:color w:val="auto"/>
          <w:highlight w:val="none"/>
        </w:rPr>
        <w:fldChar w:fldCharType="end"/>
      </w:r>
      <w:r>
        <w:rPr>
          <w:rFonts w:hint="eastAsia" w:ascii="宋体" w:hAnsi="宋体" w:cs="宋体"/>
          <w:color w:val="auto"/>
          <w:szCs w:val="21"/>
          <w:highlight w:val="none"/>
        </w:rPr>
        <w:t>）</w:t>
      </w:r>
    </w:p>
    <w:p w14:paraId="5299E45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4D95F7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（3）查询记录和证据留存方式：通过政采云平台链接到相关查询网站进行查询及记录。</w:t>
      </w:r>
    </w:p>
    <w:p w14:paraId="5230B9E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25923BF">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20BD12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108645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A27AD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（2）响应文件的资格证明文件缺少任一项“供应商须知前附表”资格证明文件规定的“必须提供”的文件资料的；</w:t>
      </w:r>
    </w:p>
    <w:p w14:paraId="2F335D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（3）响应文件中的资格证明文件出现任一项不符合“供应商须知前附表”资格证明文件规定的“必须提供”的文件资料要求或者无效的；</w:t>
      </w:r>
    </w:p>
    <w:p w14:paraId="608564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785B7C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68C2E13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17469163">
      <w:pPr>
        <w:spacing w:line="360" w:lineRule="auto"/>
        <w:ind w:firstLine="420" w:firstLineChars="200"/>
        <w:rPr>
          <w:rFonts w:ascii="宋体" w:hAnsi="宋体" w:cs="宋体"/>
          <w:color w:val="auto"/>
          <w:szCs w:val="21"/>
          <w:highlight w:val="none"/>
        </w:rPr>
      </w:pPr>
      <w:bookmarkStart w:id="75" w:name="_Hlk42528882"/>
      <w:r>
        <w:rPr>
          <w:rFonts w:hint="eastAsia" w:ascii="宋体" w:hAnsi="宋体" w:cs="宋体"/>
          <w:color w:val="auto"/>
          <w:szCs w:val="21"/>
          <w:highlight w:val="none"/>
        </w:rPr>
        <w:t>2.1由磋商小组对资格审查的合格供应商的响应文件的竞标报价、商务、技术等实质性要求进行符合性审查，以确定其是否满足磋商文件的实质性要求。</w:t>
      </w:r>
    </w:p>
    <w:bookmarkEnd w:id="75"/>
    <w:p w14:paraId="094442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AB26A2A">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szCs w:val="21"/>
          <w:highlight w:val="none"/>
        </w:rPr>
        <w:t>。供应商为自然人的，必须由本人签字并附身份证明。</w:t>
      </w:r>
    </w:p>
    <w:p w14:paraId="499F7D36">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69364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F71FB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2CEE5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65081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991EA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DDC13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2.5商务技术报价评审</w:t>
      </w:r>
    </w:p>
    <w:p w14:paraId="4EDF01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在评审时，如发现下列情形之一的，将被视为响应文件无效响应处理：</w:t>
      </w:r>
    </w:p>
    <w:p w14:paraId="5C472A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12946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77434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6014F4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1EF8ED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4）响应文件中提供的报价商务技术文件出现任一项不符合“供应商须知前附表”中 报价商务技术文件中“必须提供”或者“委托时必须提供”文件资料要求的规定或者提供的报价商务技术文件无效。</w:t>
      </w:r>
    </w:p>
    <w:p w14:paraId="4ECA5E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44A1C4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0CF525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33B523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4717BC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749812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10）虚假竞标，或者出现其他情形而导致被磋商小组认定无效；</w:t>
      </w:r>
    </w:p>
    <w:p w14:paraId="091254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w:t>
      </w:r>
      <w:bookmarkStart w:id="76"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76"/>
    </w:p>
    <w:p w14:paraId="1F3C41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12）响应文件标注的项目名称或者项目编号与磋商文件标注的项目名称或者项目编号不一致的；</w:t>
      </w:r>
    </w:p>
    <w:p w14:paraId="65A75F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13）竞争性磋商文件明确不允许分包，响应文件拟分包的；</w:t>
      </w:r>
    </w:p>
    <w:p w14:paraId="611997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2DDE33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406B99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7ADAC3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 报价商务技术文件中规定的“竞标报价表”；</w:t>
      </w:r>
    </w:p>
    <w:p w14:paraId="359213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4001EF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内容进行报价或者存在漏项报价；供应商未就所竞标内容的单项内容作唯一报价；供应商未就所竞标内容的全部内容作完整唯一总价报价；供应商响应文件中存在有选择、有条件报价的（磋商文件允许有备选方案或者其他约定的除外）；</w:t>
      </w:r>
    </w:p>
    <w:p w14:paraId="254968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4）最后报价超过所竞标项目规定的采购预算金额或者最高限价的（如本项目公布了最高限价）；</w:t>
      </w:r>
      <w:bookmarkStart w:id="77" w:name="_Hlk42596405"/>
      <w:r>
        <w:rPr>
          <w:rFonts w:hint="eastAsia" w:ascii="宋体" w:hAnsi="宋体" w:cs="宋体"/>
          <w:color w:val="auto"/>
          <w:szCs w:val="21"/>
          <w:highlight w:val="none"/>
        </w:rPr>
        <w:t xml:space="preserve"> </w:t>
      </w:r>
      <w:bookmarkEnd w:id="77"/>
    </w:p>
    <w:p w14:paraId="0C29B8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5）修正后的报价，供应商不确认的；或者经供应商确认修正后的最后报价超过所竞标项目规定的采购预算金额或者最高限价（如本项目公布了最高限价）；</w:t>
      </w:r>
    </w:p>
    <w:p w14:paraId="379EAB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5D2BE1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776CA4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DE2081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3.磋商程序</w:t>
      </w:r>
    </w:p>
    <w:p w14:paraId="035E374D">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07C34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7FBCC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3.3对磋商文件作出的实质性变动是磋商文件的有效组成部分，由磋商小组及时以电子磋商记录形式同时通知所有参加磋商的供应商。</w:t>
      </w:r>
    </w:p>
    <w:p w14:paraId="21CFAD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374933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0E49C1C5">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3.6磋商过程中重新提交的响应文件，供应商可以在开启前补充、修改。</w:t>
      </w:r>
    </w:p>
    <w:p w14:paraId="3E9B573E">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3.7对磋商过程提交的响应文件进行有效性、完整性和响应程度审查，通过审查的合格供应商不足3家的，采购人或者采购代理机构应当重新开展采购活动。</w:t>
      </w:r>
    </w:p>
    <w:p w14:paraId="686EB399">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3.8</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9ECD8C2">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0E4485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由磋商小组要求所有继续参加磋商的供应商在规定时间内以电子文件形式提交最后报价，除本章第2.7、3.8、4.3条外，提交最后报价的供应商不得少于3家，否则必须重新采购。</w:t>
      </w:r>
    </w:p>
    <w:p w14:paraId="75B170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38DF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本章第3.8条情形的，</w:t>
      </w:r>
      <w:r>
        <w:rPr>
          <w:rFonts w:hint="eastAsia" w:ascii="宋体" w:hAnsi="宋体" w:cs="宋体"/>
          <w:color w:val="auto"/>
          <w:szCs w:val="21"/>
          <w:highlight w:val="none"/>
        </w:rPr>
        <w:t>提交最后报价的供应商可以为2家。</w:t>
      </w:r>
    </w:p>
    <w:p w14:paraId="27EA61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65BC2F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w:t>
      </w:r>
    </w:p>
    <w:p w14:paraId="7F8359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4.6磋商小组收齐最后报价后或达到规定时间后统一开启，磋商小组对最后报价进行有效性、完整性和响应程度的审查。</w:t>
      </w:r>
    </w:p>
    <w:p w14:paraId="6D1C48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4.7响应文件最后报价出现前后不一致的，按照本章第2.4条的规定修正。 </w:t>
      </w:r>
    </w:p>
    <w:p w14:paraId="710545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4.8经供应商确认修正后的最后报价作为评审及签订合同的依据。</w:t>
      </w:r>
    </w:p>
    <w:p w14:paraId="1D219460">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4.9异常低价响应审查</w:t>
      </w:r>
    </w:p>
    <w:p w14:paraId="509DAB41">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（1）磋商小组在评审中发现下列情形之一的，应当启动异常低价响应审查程序：</w:t>
      </w:r>
    </w:p>
    <w:p w14:paraId="215E38A4">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①响应报价低于全部通过符合性审查供应商响应报价平均值65%的，即响应报价＜全部通过符合性审查供应商响应报价平均值×65%；（范围为50%—65%）</w:t>
      </w:r>
    </w:p>
    <w:p w14:paraId="239560DA">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②响应报价低于通过符合性审查的次低报价供应商响应报价 65% 的，即响应报价＜通过符合性审查的次低报价供应商响应报价×65%；（范围为50%—65%）</w:t>
      </w:r>
    </w:p>
    <w:p w14:paraId="006EF937">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③响应报价低于采购项目最高限价65%的，即响应报价＜采购项目最高限价×65% ；（范围为45%—65%）</w:t>
      </w:r>
    </w:p>
    <w:p w14:paraId="10A28065">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④磋商小组基于专业判断，认为供应商报价过低，有可能影响产品质量或者不能诚信履约的其他情形。</w:t>
      </w:r>
    </w:p>
    <w:p w14:paraId="4AE9C899">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26AF88A">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48DCAEBF">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6859D99">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异常低价响应审查的启动原因、审查意见和审查结果应当在评审报告中记录，并随供应商提供的相关书面说明及证明材料，以及磋商小组有关互联网浏览、查询历史一并归档。</w:t>
      </w:r>
    </w:p>
    <w:p w14:paraId="723BFE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供应商出现最后报价按无效响应处理或者响应文件按无效响应处理时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02AED4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最后报价结束后，磋商小组不得再与供应商进行任何形式的商谈。</w:t>
      </w:r>
    </w:p>
    <w:p w14:paraId="0810E66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0B64BB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3270F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33D117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777788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3FADA1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031EFA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5669C1A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w:t>
      </w:r>
      <w:r>
        <w:rPr>
          <w:rFonts w:hint="eastAsia" w:ascii="宋体" w:hAnsi="宋体" w:cs="宋体"/>
          <w:color w:val="auto"/>
          <w:szCs w:val="21"/>
          <w:highlight w:val="none"/>
        </w:rPr>
        <w:t>2.7、3.8、4.3</w:t>
      </w:r>
      <w:r>
        <w:rPr>
          <w:rFonts w:hint="eastAsia" w:ascii="宋体" w:hAnsi="宋体" w:cs="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3236A326">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51DA8D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二、评审标准</w:t>
      </w:r>
    </w:p>
    <w:p w14:paraId="0DE4321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6.评审依据：磋商小组将以磋商响应文件为评审依据，对供应商的报价、技术等方面内容按百分制打分。（计分方法按四舍五入取至百分位）</w:t>
      </w:r>
    </w:p>
    <w:tbl>
      <w:tblPr>
        <w:tblStyle w:val="29"/>
        <w:tblW w:w="9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104"/>
        <w:gridCol w:w="6051"/>
      </w:tblGrid>
      <w:tr w14:paraId="0EF9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14:paraId="0662E731">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序号</w:t>
            </w:r>
          </w:p>
        </w:tc>
        <w:tc>
          <w:tcPr>
            <w:tcW w:w="1280" w:type="dxa"/>
            <w:vAlign w:val="center"/>
          </w:tcPr>
          <w:p w14:paraId="1B4BEAD1">
            <w:pPr>
              <w:adjustRightInd w:val="0"/>
              <w:spacing w:line="400" w:lineRule="exact"/>
              <w:jc w:val="center"/>
              <w:textAlignment w:val="baseline"/>
              <w:rPr>
                <w:rFonts w:ascii="宋体" w:hAnsi="宋体" w:cs="宋体"/>
                <w:color w:val="auto"/>
                <w:szCs w:val="21"/>
                <w:highlight w:val="none"/>
              </w:rPr>
            </w:pPr>
            <w:r>
              <w:rPr>
                <w:rFonts w:hint="eastAsia" w:ascii="宋体" w:hAnsi="宋体" w:cs="宋体"/>
                <w:b/>
                <w:color w:val="auto"/>
                <w:szCs w:val="21"/>
                <w:highlight w:val="none"/>
              </w:rPr>
              <w:t>评审因素</w:t>
            </w:r>
          </w:p>
        </w:tc>
        <w:tc>
          <w:tcPr>
            <w:tcW w:w="709" w:type="dxa"/>
            <w:vAlign w:val="center"/>
          </w:tcPr>
          <w:p w14:paraId="4A7C0740">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分值</w:t>
            </w:r>
          </w:p>
        </w:tc>
        <w:tc>
          <w:tcPr>
            <w:tcW w:w="7155" w:type="dxa"/>
            <w:gridSpan w:val="2"/>
            <w:vAlign w:val="center"/>
          </w:tcPr>
          <w:p w14:paraId="132F0C5A">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评标标准</w:t>
            </w:r>
          </w:p>
        </w:tc>
      </w:tr>
      <w:tr w14:paraId="7C07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14:paraId="17AE3836">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w:t>
            </w:r>
          </w:p>
        </w:tc>
        <w:tc>
          <w:tcPr>
            <w:tcW w:w="1280" w:type="dxa"/>
            <w:vAlign w:val="center"/>
          </w:tcPr>
          <w:p w14:paraId="11AF1C0E">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报价分</w:t>
            </w:r>
          </w:p>
        </w:tc>
        <w:tc>
          <w:tcPr>
            <w:tcW w:w="709" w:type="dxa"/>
            <w:vAlign w:val="center"/>
          </w:tcPr>
          <w:p w14:paraId="05D3ED8D">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30分</w:t>
            </w:r>
          </w:p>
        </w:tc>
        <w:tc>
          <w:tcPr>
            <w:tcW w:w="7155" w:type="dxa"/>
            <w:gridSpan w:val="2"/>
            <w:vAlign w:val="center"/>
          </w:tcPr>
          <w:p w14:paraId="2E4CF0FF">
            <w:pPr>
              <w:pStyle w:val="20"/>
              <w:spacing w:line="400" w:lineRule="exact"/>
              <w:rPr>
                <w:rFonts w:hAnsi="宋体" w:cs="宋体"/>
                <w:b/>
                <w:bCs/>
                <w:color w:val="auto"/>
                <w:kern w:val="2"/>
                <w:sz w:val="21"/>
                <w:highlight w:val="none"/>
              </w:rPr>
            </w:pPr>
            <w:r>
              <w:rPr>
                <w:rFonts w:hint="eastAsia" w:hAnsi="宋体" w:cs="宋体"/>
                <w:b/>
                <w:bCs/>
                <w:color w:val="auto"/>
                <w:kern w:val="2"/>
                <w:sz w:val="21"/>
                <w:highlight w:val="none"/>
              </w:rPr>
              <w:t>一、政府采购政策扣除</w:t>
            </w:r>
          </w:p>
          <w:p w14:paraId="58C63802">
            <w:pPr>
              <w:pStyle w:val="20"/>
              <w:spacing w:line="400" w:lineRule="exact"/>
              <w:rPr>
                <w:rFonts w:hAnsi="宋体" w:cs="宋体"/>
                <w:color w:val="auto"/>
                <w:kern w:val="2"/>
                <w:sz w:val="21"/>
                <w:highlight w:val="none"/>
              </w:rPr>
            </w:pPr>
            <w:r>
              <w:rPr>
                <w:rFonts w:hint="eastAsia" w:hAnsi="宋体" w:cs="宋体"/>
                <w:color w:val="auto"/>
                <w:kern w:val="2"/>
                <w:sz w:val="21"/>
                <w:highlight w:val="none"/>
              </w:rPr>
              <w:t>本项目为专门面向中小企业采购的项目，不再执行价格评审优惠的扶持政策。</w:t>
            </w:r>
          </w:p>
          <w:p w14:paraId="475F889B">
            <w:pPr>
              <w:pStyle w:val="20"/>
              <w:spacing w:line="400" w:lineRule="exact"/>
              <w:rPr>
                <w:rFonts w:hAnsi="宋体" w:cs="宋体"/>
                <w:b/>
                <w:color w:val="auto"/>
                <w:sz w:val="21"/>
                <w:highlight w:val="none"/>
              </w:rPr>
            </w:pPr>
            <w:r>
              <w:rPr>
                <w:rFonts w:hint="eastAsia" w:hAnsi="宋体" w:cs="宋体"/>
                <w:b/>
                <w:color w:val="auto"/>
                <w:sz w:val="21"/>
                <w:highlight w:val="none"/>
              </w:rPr>
              <w:t>二、报价分（满分30分）</w:t>
            </w:r>
          </w:p>
          <w:p w14:paraId="37088105">
            <w:pPr>
              <w:pStyle w:val="20"/>
              <w:spacing w:line="420" w:lineRule="exact"/>
              <w:rPr>
                <w:rFonts w:hAnsi="宋体"/>
                <w:bCs/>
                <w:color w:val="auto"/>
                <w:sz w:val="21"/>
                <w:highlight w:val="none"/>
              </w:rPr>
            </w:pPr>
            <w:r>
              <w:rPr>
                <w:rFonts w:hint="eastAsia"/>
                <w:color w:val="auto"/>
                <w:sz w:val="21"/>
                <w:highlight w:val="none"/>
              </w:rPr>
              <w:t>1、</w:t>
            </w:r>
            <w:r>
              <w:rPr>
                <w:rFonts w:hint="eastAsia" w:hAnsi="宋体"/>
                <w:bCs/>
                <w:color w:val="auto"/>
                <w:sz w:val="21"/>
                <w:highlight w:val="none"/>
              </w:rPr>
              <w:t>报价</w:t>
            </w:r>
            <w:r>
              <w:rPr>
                <w:rFonts w:hAnsi="宋体"/>
                <w:bCs/>
                <w:color w:val="auto"/>
                <w:sz w:val="21"/>
                <w:highlight w:val="none"/>
              </w:rPr>
              <w:t>分采用低价优先法计算，满足</w:t>
            </w:r>
            <w:r>
              <w:rPr>
                <w:rFonts w:hint="eastAsia" w:hAnsi="宋体"/>
                <w:bCs/>
                <w:color w:val="auto"/>
                <w:sz w:val="21"/>
                <w:highlight w:val="none"/>
              </w:rPr>
              <w:t>磋商</w:t>
            </w:r>
            <w:r>
              <w:rPr>
                <w:rFonts w:hAnsi="宋体"/>
                <w:bCs/>
                <w:color w:val="auto"/>
                <w:sz w:val="21"/>
                <w:highlight w:val="none"/>
              </w:rPr>
              <w:t>文件要求且</w:t>
            </w:r>
            <w:r>
              <w:rPr>
                <w:rFonts w:hint="eastAsia" w:hAnsi="宋体"/>
                <w:bCs/>
                <w:color w:val="auto"/>
                <w:sz w:val="21"/>
                <w:highlight w:val="none"/>
              </w:rPr>
              <w:t>最后报价</w:t>
            </w:r>
            <w:r>
              <w:rPr>
                <w:rFonts w:hAnsi="宋体"/>
                <w:bCs/>
                <w:color w:val="auto"/>
                <w:sz w:val="21"/>
                <w:highlight w:val="none"/>
              </w:rPr>
              <w:t>最低的</w:t>
            </w:r>
            <w:r>
              <w:rPr>
                <w:rFonts w:hint="eastAsia" w:hAnsi="宋体"/>
                <w:bCs/>
                <w:color w:val="auto"/>
                <w:sz w:val="21"/>
                <w:highlight w:val="none"/>
              </w:rPr>
              <w:t>有效供应商的报价</w:t>
            </w:r>
            <w:r>
              <w:rPr>
                <w:rFonts w:hAnsi="宋体"/>
                <w:bCs/>
                <w:color w:val="auto"/>
                <w:sz w:val="21"/>
                <w:highlight w:val="none"/>
              </w:rPr>
              <w:t>为评标基准价，其</w:t>
            </w:r>
            <w:r>
              <w:rPr>
                <w:rFonts w:hint="eastAsia" w:hAnsi="宋体"/>
                <w:bCs/>
                <w:color w:val="auto"/>
                <w:sz w:val="21"/>
                <w:highlight w:val="none"/>
              </w:rPr>
              <w:t>报价</w:t>
            </w:r>
            <w:r>
              <w:rPr>
                <w:rFonts w:hAnsi="宋体"/>
                <w:bCs/>
                <w:color w:val="auto"/>
                <w:sz w:val="21"/>
                <w:highlight w:val="none"/>
              </w:rPr>
              <w:t>分为满分。</w:t>
            </w:r>
          </w:p>
          <w:p w14:paraId="5C4A6712">
            <w:pPr>
              <w:pStyle w:val="20"/>
              <w:spacing w:line="420" w:lineRule="exact"/>
              <w:rPr>
                <w:rFonts w:hAnsi="宋体"/>
                <w:bCs/>
                <w:color w:val="auto"/>
                <w:sz w:val="21"/>
                <w:highlight w:val="none"/>
              </w:rPr>
            </w:pPr>
            <w:r>
              <w:rPr>
                <w:rFonts w:hint="eastAsia" w:hAnsi="宋体"/>
                <w:bCs/>
                <w:color w:val="auto"/>
                <w:sz w:val="21"/>
                <w:highlight w:val="none"/>
              </w:rPr>
              <w:t>2、</w:t>
            </w:r>
            <w:r>
              <w:rPr>
                <w:rFonts w:hAnsi="宋体"/>
                <w:bCs/>
                <w:color w:val="auto"/>
                <w:sz w:val="21"/>
                <w:highlight w:val="none"/>
              </w:rPr>
              <w:t>其他供应商的价格分统一按照下列公式计算：</w:t>
            </w:r>
          </w:p>
          <w:p w14:paraId="2D60F79B">
            <w:pPr>
              <w:pStyle w:val="20"/>
              <w:spacing w:line="400" w:lineRule="exact"/>
              <w:rPr>
                <w:rFonts w:hAnsi="宋体" w:cs="宋体"/>
                <w:bCs/>
                <w:color w:val="auto"/>
                <w:kern w:val="2"/>
                <w:sz w:val="21"/>
                <w:highlight w:val="none"/>
              </w:rPr>
            </w:pPr>
            <w:r>
              <w:rPr>
                <w:rFonts w:hint="eastAsia" w:hAnsi="宋体" w:cs="宋体"/>
                <w:bCs/>
                <w:color w:val="auto"/>
                <w:sz w:val="21"/>
                <w:highlight w:val="none"/>
              </w:rPr>
              <w:t>某有效供应商的报价分=（评标基准价／某有效供应商最后报价）×30分。</w:t>
            </w:r>
          </w:p>
        </w:tc>
      </w:tr>
      <w:tr w14:paraId="49DC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vAlign w:val="center"/>
          </w:tcPr>
          <w:p w14:paraId="4ECBA2B5">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w:t>
            </w:r>
          </w:p>
        </w:tc>
        <w:tc>
          <w:tcPr>
            <w:tcW w:w="1280" w:type="dxa"/>
            <w:vMerge w:val="restart"/>
            <w:vAlign w:val="center"/>
          </w:tcPr>
          <w:p w14:paraId="752DC91A">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技术分</w:t>
            </w:r>
          </w:p>
        </w:tc>
        <w:tc>
          <w:tcPr>
            <w:tcW w:w="709" w:type="dxa"/>
            <w:vMerge w:val="restart"/>
            <w:vAlign w:val="center"/>
          </w:tcPr>
          <w:p w14:paraId="7888D1FE">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60分</w:t>
            </w:r>
          </w:p>
        </w:tc>
        <w:tc>
          <w:tcPr>
            <w:tcW w:w="1104" w:type="dxa"/>
            <w:vAlign w:val="center"/>
          </w:tcPr>
          <w:p w14:paraId="33ECFEAD">
            <w:pPr>
              <w:spacing w:line="300" w:lineRule="auto"/>
              <w:jc w:val="center"/>
              <w:rPr>
                <w:rFonts w:ascii="宋体" w:hAnsi="宋体" w:cs="宋体"/>
                <w:color w:val="auto"/>
                <w:szCs w:val="21"/>
                <w:highlight w:val="none"/>
              </w:rPr>
            </w:pPr>
            <w:r>
              <w:rPr>
                <w:rFonts w:hint="eastAsia" w:ascii="宋体" w:hAnsi="宋体" w:cs="宋体"/>
                <w:b/>
                <w:bCs/>
                <w:color w:val="auto"/>
                <w:szCs w:val="21"/>
                <w:highlight w:val="none"/>
              </w:rPr>
              <w:t>项目管理机构（满分8分）</w:t>
            </w:r>
          </w:p>
        </w:tc>
        <w:tc>
          <w:tcPr>
            <w:tcW w:w="6051" w:type="dxa"/>
            <w:vAlign w:val="center"/>
          </w:tcPr>
          <w:p w14:paraId="25F30100">
            <w:pPr>
              <w:widowControl/>
              <w:spacing w:line="300" w:lineRule="auto"/>
              <w:rPr>
                <w:rFonts w:ascii="宋体" w:hAnsi="宋体" w:cs="宋体"/>
                <w:b/>
                <w:bCs/>
                <w:color w:val="auto"/>
                <w:szCs w:val="21"/>
                <w:highlight w:val="none"/>
              </w:rPr>
            </w:pPr>
            <w:r>
              <w:rPr>
                <w:rFonts w:hint="eastAsia" w:ascii="宋体" w:hAnsi="宋体" w:cs="宋体"/>
                <w:b/>
                <w:bCs/>
                <w:color w:val="auto"/>
                <w:szCs w:val="21"/>
                <w:highlight w:val="none"/>
              </w:rPr>
              <w:t>达不到一档要求的不得分。</w:t>
            </w:r>
          </w:p>
          <w:p w14:paraId="767A21C8">
            <w:pPr>
              <w:widowControl/>
              <w:spacing w:line="300" w:lineRule="auto"/>
              <w:rPr>
                <w:rFonts w:ascii="宋体" w:hAnsi="宋体" w:cs="宋体"/>
                <w:color w:val="auto"/>
                <w:szCs w:val="21"/>
                <w:highlight w:val="none"/>
              </w:rPr>
            </w:pPr>
            <w:r>
              <w:rPr>
                <w:rFonts w:hint="eastAsia" w:ascii="宋体" w:hAnsi="宋体" w:cs="宋体"/>
                <w:b/>
                <w:bCs/>
                <w:color w:val="auto"/>
                <w:szCs w:val="21"/>
                <w:highlight w:val="none"/>
              </w:rPr>
              <w:t>一档（4分）：</w:t>
            </w:r>
            <w:r>
              <w:rPr>
                <w:rFonts w:hint="eastAsia" w:ascii="宋体" w:hAnsi="宋体" w:cs="宋体"/>
                <w:color w:val="auto"/>
                <w:szCs w:val="21"/>
                <w:highlight w:val="none"/>
              </w:rPr>
              <w:t>拟投入本项目的项目经理和技术负责人具有</w:t>
            </w:r>
            <w:r>
              <w:rPr>
                <w:rFonts w:hint="eastAsia" w:ascii="宋体" w:hAnsi="宋体"/>
                <w:color w:val="auto"/>
                <w:szCs w:val="21"/>
                <w:highlight w:val="none"/>
              </w:rPr>
              <w:t>建筑工程类专业</w:t>
            </w:r>
            <w:r>
              <w:rPr>
                <w:rFonts w:hint="eastAsia" w:ascii="宋体" w:hAnsi="宋体" w:cs="宋体"/>
                <w:color w:val="auto"/>
                <w:szCs w:val="21"/>
                <w:highlight w:val="none"/>
              </w:rPr>
              <w:t>中级或以上技术职称；施工员、安全员、质检员或质量员、材料员、造价人员各岗位每个不少于1人并有1人具有中级或以上技术职称；且拟投入的项目管理人员符合国家及广西壮族自治区的规定。</w:t>
            </w:r>
          </w:p>
          <w:p w14:paraId="466EEC1E">
            <w:pPr>
              <w:widowControl/>
              <w:spacing w:line="300" w:lineRule="auto"/>
              <w:rPr>
                <w:rFonts w:ascii="宋体" w:hAnsi="宋体" w:cs="宋体"/>
                <w:color w:val="auto"/>
                <w:szCs w:val="21"/>
                <w:highlight w:val="none"/>
              </w:rPr>
            </w:pPr>
            <w:r>
              <w:rPr>
                <w:rFonts w:hint="eastAsia" w:ascii="宋体" w:hAnsi="宋体" w:cs="宋体"/>
                <w:b/>
                <w:bCs/>
                <w:color w:val="auto"/>
                <w:szCs w:val="21"/>
                <w:highlight w:val="none"/>
              </w:rPr>
              <w:t>二档（6分）：</w:t>
            </w:r>
            <w:r>
              <w:rPr>
                <w:rFonts w:hint="eastAsia" w:ascii="宋体" w:hAnsi="宋体" w:cs="宋体"/>
                <w:color w:val="auto"/>
                <w:szCs w:val="21"/>
                <w:highlight w:val="none"/>
              </w:rPr>
              <w:t>拟投入本项目的项目经理具有</w:t>
            </w:r>
            <w:r>
              <w:rPr>
                <w:rFonts w:hint="eastAsia" w:ascii="宋体" w:hAnsi="宋体"/>
                <w:color w:val="auto"/>
                <w:szCs w:val="21"/>
                <w:highlight w:val="none"/>
              </w:rPr>
              <w:t>建筑工程类专业</w:t>
            </w:r>
            <w:r>
              <w:rPr>
                <w:rFonts w:hint="eastAsia" w:ascii="宋体" w:hAnsi="宋体" w:cs="宋体"/>
                <w:color w:val="auto"/>
                <w:szCs w:val="21"/>
                <w:highlight w:val="none"/>
              </w:rPr>
              <w:t>中级或以上技术职称；技术负责人具有</w:t>
            </w:r>
            <w:r>
              <w:rPr>
                <w:rFonts w:hint="eastAsia" w:ascii="宋体" w:hAnsi="宋体"/>
                <w:color w:val="auto"/>
                <w:szCs w:val="21"/>
                <w:highlight w:val="none"/>
              </w:rPr>
              <w:t>建筑工程类专业</w:t>
            </w:r>
            <w:r>
              <w:rPr>
                <w:rFonts w:hint="eastAsia" w:ascii="宋体" w:hAnsi="宋体" w:cs="宋体"/>
                <w:color w:val="auto"/>
                <w:szCs w:val="21"/>
                <w:highlight w:val="none"/>
              </w:rPr>
              <w:t>高级或以上技术职称；施工员、安全员、质检员或质量员、材料员、造价人员各岗位每个不少于1人并有2人具有中级或以上技术职称；且拟投入的项目管理人员符合国家及广西壮族自治区的规定。</w:t>
            </w:r>
          </w:p>
          <w:p w14:paraId="28651B7C">
            <w:pPr>
              <w:widowControl/>
              <w:spacing w:line="300" w:lineRule="auto"/>
              <w:rPr>
                <w:rFonts w:ascii="宋体" w:hAnsi="宋体" w:cs="宋体"/>
                <w:color w:val="auto"/>
                <w:szCs w:val="21"/>
                <w:highlight w:val="none"/>
              </w:rPr>
            </w:pPr>
            <w:r>
              <w:rPr>
                <w:rFonts w:hint="eastAsia" w:ascii="宋体" w:hAnsi="宋体" w:cs="宋体"/>
                <w:b/>
                <w:bCs/>
                <w:color w:val="auto"/>
                <w:szCs w:val="21"/>
                <w:highlight w:val="none"/>
              </w:rPr>
              <w:t>三档（8分）：</w:t>
            </w:r>
            <w:r>
              <w:rPr>
                <w:rFonts w:hint="eastAsia" w:ascii="宋体" w:hAnsi="宋体" w:cs="宋体"/>
                <w:color w:val="auto"/>
                <w:szCs w:val="21"/>
                <w:highlight w:val="none"/>
              </w:rPr>
              <w:t>拟投入本项目的项目经理和技术负责人具有建筑工程类专业高级或以上技术职称；施工员、安全员、质检员或质量员、材料员、造价人员各岗位每个不少于1人并有3人或以上具有中级或以上技术职称；且拟投入的项目管理人员符合国家及广西壮族自治区的规定。</w:t>
            </w:r>
          </w:p>
        </w:tc>
      </w:tr>
      <w:tr w14:paraId="64A4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vAlign w:val="center"/>
          </w:tcPr>
          <w:p w14:paraId="1C45986E">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34F57D8B">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48DDFF35">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07947990">
            <w:pPr>
              <w:spacing w:line="277" w:lineRule="auto"/>
              <w:jc w:val="center"/>
              <w:rPr>
                <w:rFonts w:ascii="宋体" w:hAnsi="宋体" w:cs="宋体"/>
                <w:color w:val="auto"/>
                <w:szCs w:val="21"/>
                <w:highlight w:val="none"/>
              </w:rPr>
            </w:pPr>
          </w:p>
          <w:p w14:paraId="66082C9A">
            <w:pPr>
              <w:spacing w:line="365" w:lineRule="auto"/>
              <w:jc w:val="center"/>
              <w:rPr>
                <w:rFonts w:ascii="宋体" w:hAnsi="宋体" w:cs="宋体"/>
                <w:b/>
                <w:bCs/>
                <w:color w:val="auto"/>
                <w:szCs w:val="21"/>
                <w:highlight w:val="none"/>
              </w:rPr>
            </w:pPr>
            <w:r>
              <w:rPr>
                <w:rFonts w:hint="eastAsia" w:ascii="宋体" w:hAnsi="宋体" w:cs="宋体"/>
                <w:b/>
                <w:bCs/>
                <w:color w:val="auto"/>
                <w:szCs w:val="21"/>
                <w:highlight w:val="none"/>
              </w:rPr>
              <w:t>施工机械设备情况（满分6分）</w:t>
            </w:r>
          </w:p>
        </w:tc>
        <w:tc>
          <w:tcPr>
            <w:tcW w:w="6051" w:type="dxa"/>
          </w:tcPr>
          <w:p w14:paraId="62A3FEFD">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达不到一档要求的不得分。</w:t>
            </w:r>
          </w:p>
          <w:p w14:paraId="487A1118">
            <w:pPr>
              <w:spacing w:line="400" w:lineRule="exact"/>
              <w:rPr>
                <w:rFonts w:ascii="宋体" w:hAnsi="宋体" w:cs="宋体"/>
                <w:color w:val="auto"/>
                <w:szCs w:val="21"/>
                <w:highlight w:val="none"/>
              </w:rPr>
            </w:pPr>
            <w:r>
              <w:rPr>
                <w:rFonts w:hint="eastAsia" w:ascii="宋体" w:hAnsi="宋体" w:cs="宋体"/>
                <w:b/>
                <w:bCs/>
                <w:color w:val="auto"/>
                <w:szCs w:val="21"/>
                <w:highlight w:val="none"/>
              </w:rPr>
              <w:t>一档（2分）：</w:t>
            </w:r>
            <w:r>
              <w:rPr>
                <w:rFonts w:hint="eastAsia" w:ascii="宋体" w:hAnsi="宋体" w:cs="宋体"/>
                <w:color w:val="auto"/>
                <w:szCs w:val="21"/>
                <w:highlight w:val="none"/>
              </w:rPr>
              <w:t>拟投入的施工机械、设备、机具有组织计划，设备数量、选型配置、进场投入计划与进度计划呼应，基本满足施工需要；且拟投入施工机械设备合计少于8台。</w:t>
            </w:r>
          </w:p>
          <w:p w14:paraId="0DEE8FC0">
            <w:pPr>
              <w:spacing w:line="400" w:lineRule="exact"/>
              <w:rPr>
                <w:rFonts w:ascii="宋体" w:hAnsi="宋体" w:cs="宋体"/>
                <w:color w:val="auto"/>
                <w:szCs w:val="21"/>
                <w:highlight w:val="none"/>
              </w:rPr>
            </w:pPr>
            <w:r>
              <w:rPr>
                <w:rFonts w:hint="eastAsia" w:ascii="宋体" w:hAnsi="宋体" w:cs="宋体"/>
                <w:b/>
                <w:bCs/>
                <w:color w:val="auto"/>
                <w:szCs w:val="21"/>
                <w:highlight w:val="none"/>
              </w:rPr>
              <w:t>二档（4分）</w:t>
            </w:r>
            <w:r>
              <w:rPr>
                <w:rFonts w:hint="eastAsia" w:ascii="宋体" w:hAnsi="宋体" w:cs="宋体"/>
                <w:color w:val="auto"/>
                <w:szCs w:val="21"/>
                <w:highlight w:val="none"/>
              </w:rPr>
              <w:t>：拟投入的施工机械、设备、机具有详细的组织计划且计划周密，设备数量、选型配置、进场时间安排合理，满足施工需要；且拟投入施工机械设备合计8台（含）至12台（含）。</w:t>
            </w:r>
          </w:p>
          <w:p w14:paraId="140D7DE9">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三档（6分）：</w:t>
            </w:r>
            <w:r>
              <w:rPr>
                <w:rFonts w:hint="eastAsia" w:ascii="宋体" w:hAnsi="宋体" w:cs="宋体"/>
                <w:color w:val="auto"/>
                <w:szCs w:val="21"/>
                <w:highlight w:val="none"/>
              </w:rPr>
              <w:t>拟投入的主要机械设备、辅助施工设备、器具齐全且配备科学合理，投入计划与进度计划呼应，设备型号、数量完全满足施工需要且配置科学合理，采用目前国际、国内先进的机械设备；且施工机械设备合计13台或以上。</w:t>
            </w:r>
          </w:p>
        </w:tc>
      </w:tr>
      <w:tr w14:paraId="2FA5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730" w:type="dxa"/>
            <w:vMerge w:val="continue"/>
            <w:vAlign w:val="center"/>
          </w:tcPr>
          <w:p w14:paraId="0774F69D">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2D259896">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165B8B23">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50F56C9F">
            <w:pPr>
              <w:spacing w:line="222" w:lineRule="auto"/>
              <w:jc w:val="center"/>
              <w:rPr>
                <w:rFonts w:ascii="宋体" w:hAnsi="宋体" w:cs="宋体"/>
                <w:color w:val="auto"/>
                <w:szCs w:val="21"/>
                <w:highlight w:val="none"/>
              </w:rPr>
            </w:pPr>
            <w:r>
              <w:rPr>
                <w:rFonts w:hint="eastAsia" w:ascii="宋体" w:hAnsi="宋体" w:cs="宋体"/>
                <w:b/>
                <w:bCs/>
                <w:color w:val="auto"/>
                <w:szCs w:val="21"/>
                <w:highlight w:val="none"/>
              </w:rPr>
              <w:t>主要施工方法（满分10分）</w:t>
            </w:r>
          </w:p>
        </w:tc>
        <w:tc>
          <w:tcPr>
            <w:tcW w:w="6051" w:type="dxa"/>
          </w:tcPr>
          <w:p w14:paraId="7254DE5C">
            <w:pPr>
              <w:spacing w:line="400" w:lineRule="exact"/>
              <w:rPr>
                <w:rFonts w:ascii="宋体" w:hAnsi="宋体" w:cs="宋体"/>
                <w:color w:val="auto"/>
                <w:szCs w:val="21"/>
                <w:highlight w:val="none"/>
              </w:rPr>
            </w:pPr>
            <w:r>
              <w:rPr>
                <w:rFonts w:hint="eastAsia" w:ascii="宋体" w:hAnsi="宋体" w:cs="宋体"/>
                <w:b/>
                <w:color w:val="auto"/>
                <w:szCs w:val="21"/>
                <w:highlight w:val="none"/>
              </w:rPr>
              <w:t>达不到一档要求的不得分。</w:t>
            </w:r>
          </w:p>
          <w:p w14:paraId="3CE35E04">
            <w:pPr>
              <w:spacing w:line="400" w:lineRule="exact"/>
              <w:rPr>
                <w:rFonts w:ascii="宋体" w:hAnsi="宋体" w:cs="宋体"/>
                <w:color w:val="auto"/>
                <w:szCs w:val="21"/>
                <w:highlight w:val="none"/>
              </w:rPr>
            </w:pPr>
            <w:r>
              <w:rPr>
                <w:rFonts w:hint="eastAsia" w:ascii="宋体" w:hAnsi="宋体" w:cs="宋体"/>
                <w:b/>
                <w:bCs/>
                <w:color w:val="auto"/>
                <w:szCs w:val="21"/>
                <w:highlight w:val="none"/>
              </w:rPr>
              <w:t>一档（4分）：</w:t>
            </w:r>
            <w:r>
              <w:rPr>
                <w:rFonts w:hint="eastAsia" w:ascii="宋体" w:hAnsi="宋体" w:cs="宋体"/>
                <w:color w:val="auto"/>
                <w:szCs w:val="21"/>
                <w:highlight w:val="none"/>
              </w:rPr>
              <w:t>各分部施工方法基本符合项目实际，施工技术方案较详尽，方案基本合理，基本能指导具体施工并确保安全。采用的工艺和技术水平较旧，基本保证工程质量。</w:t>
            </w:r>
          </w:p>
          <w:p w14:paraId="799A9D2F">
            <w:pPr>
              <w:spacing w:line="400" w:lineRule="exact"/>
              <w:rPr>
                <w:rFonts w:ascii="宋体" w:hAnsi="宋体" w:cs="宋体"/>
                <w:color w:val="auto"/>
                <w:szCs w:val="21"/>
                <w:highlight w:val="none"/>
              </w:rPr>
            </w:pPr>
            <w:r>
              <w:rPr>
                <w:rFonts w:hint="eastAsia" w:ascii="宋体" w:hAnsi="宋体" w:cs="宋体"/>
                <w:b/>
                <w:bCs/>
                <w:color w:val="auto"/>
                <w:szCs w:val="21"/>
                <w:highlight w:val="none"/>
              </w:rPr>
              <w:t>二档（7分）：</w:t>
            </w:r>
            <w:r>
              <w:rPr>
                <w:rFonts w:hint="eastAsia" w:ascii="宋体" w:hAnsi="宋体" w:cs="宋体"/>
                <w:color w:val="auto"/>
                <w:szCs w:val="21"/>
                <w:highlight w:val="none"/>
              </w:rPr>
              <w:t xml:space="preserve">各分部施工方法符合项目实际，施工技术方案详尽有针对性，方案科学合理，满足项目施工需求且能指导具体施工并确保安全。有主要施工材料的资源稳定供应的保证措施。采用先进的工艺和技术且技术成熟，能优化部分项目施工，且保证工程质量和工期。 </w:t>
            </w:r>
          </w:p>
          <w:p w14:paraId="3B8D1D32">
            <w:pPr>
              <w:spacing w:line="400" w:lineRule="exact"/>
              <w:rPr>
                <w:rFonts w:ascii="宋体" w:hAnsi="宋体" w:cs="宋体"/>
                <w:color w:val="auto"/>
                <w:szCs w:val="21"/>
                <w:highlight w:val="none"/>
              </w:rPr>
            </w:pPr>
            <w:r>
              <w:rPr>
                <w:rFonts w:hint="eastAsia" w:ascii="宋体" w:hAnsi="宋体" w:cs="宋体"/>
                <w:b/>
                <w:bCs/>
                <w:color w:val="auto"/>
                <w:szCs w:val="21"/>
                <w:highlight w:val="none"/>
              </w:rPr>
              <w:t>三档（10分）：</w:t>
            </w:r>
            <w:r>
              <w:rPr>
                <w:rFonts w:hint="eastAsia" w:ascii="宋体" w:hAnsi="宋体" w:cs="宋体"/>
                <w:color w:val="auto"/>
                <w:szCs w:val="21"/>
                <w:highlight w:val="none"/>
              </w:rPr>
              <w:t>各分部施工方法符合项目实际，施工技术方案详尽有针对性，方案科学合理，全部满足项目施工需求，且能指导具体施工并确保安全。有主要施工材料的资源稳定供应的保证措施。采用先进的工艺和技术且技术成熟，既能优化整体项目施工保证工程质量和工期，又不增加成本。</w:t>
            </w:r>
          </w:p>
        </w:tc>
      </w:tr>
      <w:tr w14:paraId="07D8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30" w:type="dxa"/>
            <w:vMerge w:val="continue"/>
            <w:vAlign w:val="center"/>
          </w:tcPr>
          <w:p w14:paraId="064BDC5B">
            <w:pPr>
              <w:spacing w:line="222" w:lineRule="auto"/>
              <w:jc w:val="center"/>
              <w:rPr>
                <w:color w:val="auto"/>
                <w:highlight w:val="none"/>
              </w:rPr>
            </w:pPr>
          </w:p>
        </w:tc>
        <w:tc>
          <w:tcPr>
            <w:tcW w:w="1280" w:type="dxa"/>
            <w:vMerge w:val="continue"/>
            <w:vAlign w:val="center"/>
          </w:tcPr>
          <w:p w14:paraId="275134E6">
            <w:pPr>
              <w:spacing w:line="222" w:lineRule="auto"/>
              <w:jc w:val="center"/>
              <w:rPr>
                <w:color w:val="auto"/>
                <w:highlight w:val="none"/>
              </w:rPr>
            </w:pPr>
          </w:p>
        </w:tc>
        <w:tc>
          <w:tcPr>
            <w:tcW w:w="709" w:type="dxa"/>
            <w:vMerge w:val="continue"/>
            <w:vAlign w:val="center"/>
          </w:tcPr>
          <w:p w14:paraId="71672AFA">
            <w:pPr>
              <w:spacing w:line="222" w:lineRule="auto"/>
              <w:jc w:val="center"/>
              <w:rPr>
                <w:color w:val="auto"/>
                <w:highlight w:val="none"/>
              </w:rPr>
            </w:pPr>
          </w:p>
        </w:tc>
        <w:tc>
          <w:tcPr>
            <w:tcW w:w="1104" w:type="dxa"/>
            <w:vAlign w:val="center"/>
          </w:tcPr>
          <w:p w14:paraId="1DE8A758">
            <w:pPr>
              <w:spacing w:line="222" w:lineRule="auto"/>
              <w:jc w:val="center"/>
              <w:rPr>
                <w:rFonts w:ascii="宋体" w:hAnsi="宋体" w:cs="宋体"/>
                <w:b/>
                <w:bCs/>
                <w:color w:val="auto"/>
                <w:szCs w:val="21"/>
                <w:highlight w:val="none"/>
              </w:rPr>
            </w:pPr>
            <w:r>
              <w:rPr>
                <w:rFonts w:hint="eastAsia" w:ascii="宋体" w:hAnsi="宋体" w:cs="宋体"/>
                <w:b/>
                <w:bCs/>
                <w:color w:val="auto"/>
                <w:szCs w:val="21"/>
                <w:highlight w:val="none"/>
              </w:rPr>
              <w:t>劳动力安排计划（满分6分）</w:t>
            </w:r>
          </w:p>
        </w:tc>
        <w:tc>
          <w:tcPr>
            <w:tcW w:w="6051" w:type="dxa"/>
          </w:tcPr>
          <w:p w14:paraId="01688B74">
            <w:pPr>
              <w:spacing w:line="400" w:lineRule="exact"/>
              <w:rPr>
                <w:rFonts w:ascii="宋体" w:hAnsi="宋体" w:cs="宋体"/>
                <w:color w:val="auto"/>
                <w:szCs w:val="21"/>
                <w:highlight w:val="none"/>
              </w:rPr>
            </w:pPr>
            <w:r>
              <w:rPr>
                <w:rFonts w:hint="eastAsia" w:ascii="宋体" w:hAnsi="宋体" w:cs="宋体"/>
                <w:b/>
                <w:color w:val="auto"/>
                <w:szCs w:val="21"/>
                <w:highlight w:val="none"/>
              </w:rPr>
              <w:t>达不到一档要求的不得分。</w:t>
            </w:r>
          </w:p>
          <w:p w14:paraId="22BA8243">
            <w:pPr>
              <w:spacing w:line="400" w:lineRule="exact"/>
              <w:rPr>
                <w:rFonts w:ascii="宋体" w:hAnsi="宋体" w:cs="宋体"/>
                <w:color w:val="auto"/>
                <w:szCs w:val="21"/>
                <w:highlight w:val="none"/>
              </w:rPr>
            </w:pPr>
            <w:r>
              <w:rPr>
                <w:rFonts w:hint="eastAsia" w:ascii="宋体" w:hAnsi="宋体" w:cs="宋体"/>
                <w:b/>
                <w:bCs/>
                <w:color w:val="auto"/>
                <w:szCs w:val="21"/>
                <w:highlight w:val="none"/>
              </w:rPr>
              <w:t>一档（2分）：</w:t>
            </w:r>
            <w:r>
              <w:rPr>
                <w:rFonts w:hint="eastAsia" w:ascii="宋体" w:hAnsi="宋体" w:cs="宋体"/>
                <w:color w:val="auto"/>
                <w:szCs w:val="21"/>
                <w:highlight w:val="none"/>
              </w:rPr>
              <w:t>各主要施工工序有劳动力安排计划，有各工种劳动力安排计划，劳动力投入基本合理，基本满足施工需要。</w:t>
            </w:r>
          </w:p>
          <w:p w14:paraId="682402C1">
            <w:pPr>
              <w:spacing w:line="400" w:lineRule="exact"/>
              <w:rPr>
                <w:rFonts w:ascii="宋体" w:hAnsi="宋体" w:cs="宋体"/>
                <w:color w:val="auto"/>
                <w:szCs w:val="21"/>
                <w:highlight w:val="none"/>
              </w:rPr>
            </w:pPr>
            <w:r>
              <w:rPr>
                <w:rFonts w:hint="eastAsia" w:ascii="宋体" w:hAnsi="宋体" w:cs="宋体"/>
                <w:b/>
                <w:bCs/>
                <w:color w:val="auto"/>
                <w:szCs w:val="21"/>
                <w:highlight w:val="none"/>
              </w:rPr>
              <w:t>二档（4分）：</w:t>
            </w:r>
            <w:r>
              <w:rPr>
                <w:rFonts w:hint="eastAsia" w:ascii="宋体" w:hAnsi="宋体" w:cs="宋体"/>
                <w:color w:val="auto"/>
                <w:szCs w:val="21"/>
                <w:highlight w:val="none"/>
              </w:rPr>
              <w:t>各主要施工工序有较详细周密劳动力安排计划，有较详细周密的各工种劳动力安排计划，劳动力投入合理，基本满足施工需要。</w:t>
            </w:r>
          </w:p>
          <w:p w14:paraId="488A9738">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三档（6分）：</w:t>
            </w:r>
            <w:r>
              <w:rPr>
                <w:rFonts w:hint="eastAsia" w:ascii="宋体" w:hAnsi="宋体" w:cs="宋体"/>
                <w:color w:val="auto"/>
                <w:szCs w:val="21"/>
                <w:highlight w:val="none"/>
              </w:rPr>
              <w:t>各主要施工工序有非常详细周密的劳动力安排计划，有非常详细周密的各工种劳动力安排计划，劳动力投入科学合理，完全满足施工需要。 并承诺拟投入本项目的劳动力稳定。</w:t>
            </w:r>
          </w:p>
        </w:tc>
      </w:tr>
      <w:tr w14:paraId="36EC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vAlign w:val="center"/>
          </w:tcPr>
          <w:p w14:paraId="067C2692">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63E06D61">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33D100E0">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741B54A8">
            <w:pPr>
              <w:spacing w:line="352" w:lineRule="auto"/>
              <w:jc w:val="center"/>
              <w:rPr>
                <w:rFonts w:ascii="宋体" w:hAnsi="宋体" w:cs="宋体"/>
                <w:color w:val="auto"/>
                <w:szCs w:val="21"/>
                <w:highlight w:val="none"/>
              </w:rPr>
            </w:pPr>
            <w:r>
              <w:rPr>
                <w:rFonts w:hint="eastAsia" w:ascii="宋体" w:hAnsi="宋体" w:cs="宋体"/>
                <w:b/>
                <w:bCs/>
                <w:color w:val="auto"/>
                <w:szCs w:val="21"/>
                <w:highlight w:val="none"/>
              </w:rPr>
              <w:t>确保工程质量的技术组织措施（满分6分）</w:t>
            </w:r>
          </w:p>
        </w:tc>
        <w:tc>
          <w:tcPr>
            <w:tcW w:w="6051" w:type="dxa"/>
          </w:tcPr>
          <w:p w14:paraId="578BB594">
            <w:pPr>
              <w:spacing w:line="400" w:lineRule="exact"/>
              <w:rPr>
                <w:rFonts w:ascii="宋体" w:hAnsi="宋体" w:cs="宋体"/>
                <w:color w:val="auto"/>
                <w:szCs w:val="21"/>
                <w:highlight w:val="none"/>
              </w:rPr>
            </w:pPr>
            <w:r>
              <w:rPr>
                <w:rFonts w:hint="eastAsia" w:ascii="宋体" w:hAnsi="宋体" w:cs="宋体"/>
                <w:b/>
                <w:color w:val="auto"/>
                <w:szCs w:val="21"/>
                <w:highlight w:val="none"/>
              </w:rPr>
              <w:t>达不到一档要求的不得分。</w:t>
            </w:r>
          </w:p>
          <w:p w14:paraId="25C1D50B">
            <w:pPr>
              <w:spacing w:line="400" w:lineRule="exact"/>
              <w:rPr>
                <w:rFonts w:ascii="宋体" w:hAnsi="宋体" w:cs="宋体"/>
                <w:color w:val="auto"/>
                <w:szCs w:val="21"/>
                <w:highlight w:val="none"/>
              </w:rPr>
            </w:pPr>
            <w:r>
              <w:rPr>
                <w:rFonts w:hint="eastAsia" w:ascii="宋体" w:hAnsi="宋体" w:cs="宋体"/>
                <w:b/>
                <w:bCs/>
                <w:color w:val="auto"/>
                <w:szCs w:val="21"/>
                <w:highlight w:val="none"/>
              </w:rPr>
              <w:t>一档（2分）：</w:t>
            </w:r>
            <w:r>
              <w:rPr>
                <w:rFonts w:hint="eastAsia" w:ascii="宋体" w:hAnsi="宋体" w:cs="宋体"/>
                <w:color w:val="auto"/>
                <w:szCs w:val="21"/>
                <w:highlight w:val="none"/>
              </w:rPr>
              <w:t>质量技术管理班子人员配备基本合理，有质量技术保证措施和手段，能有效保证技术质量。</w:t>
            </w:r>
          </w:p>
          <w:p w14:paraId="1816DE84">
            <w:pPr>
              <w:spacing w:line="400" w:lineRule="exact"/>
              <w:rPr>
                <w:rFonts w:ascii="宋体" w:hAnsi="宋体" w:cs="宋体"/>
                <w:color w:val="auto"/>
                <w:szCs w:val="21"/>
                <w:highlight w:val="none"/>
              </w:rPr>
            </w:pPr>
            <w:r>
              <w:rPr>
                <w:rFonts w:hint="eastAsia" w:ascii="宋体" w:hAnsi="宋体" w:cs="宋体"/>
                <w:b/>
                <w:bCs/>
                <w:color w:val="auto"/>
                <w:szCs w:val="21"/>
                <w:highlight w:val="none"/>
              </w:rPr>
              <w:t>二档（4分）：</w:t>
            </w:r>
            <w:r>
              <w:rPr>
                <w:rFonts w:hint="eastAsia" w:ascii="宋体" w:hAnsi="宋体" w:cs="宋体"/>
                <w:color w:val="auto"/>
                <w:szCs w:val="21"/>
                <w:highlight w:val="none"/>
              </w:rPr>
              <w:t>有专门的质量技术管理班子和制度，且人员配备制度健全。主要工序有质量技术保证措施和手段，自控体系完整，能有效保证技术质量。</w:t>
            </w:r>
          </w:p>
          <w:p w14:paraId="4063276C">
            <w:pPr>
              <w:spacing w:line="400" w:lineRule="exact"/>
              <w:rPr>
                <w:rFonts w:ascii="宋体" w:hAnsi="宋体" w:cs="宋体"/>
                <w:color w:val="auto"/>
                <w:szCs w:val="21"/>
                <w:highlight w:val="none"/>
              </w:rPr>
            </w:pPr>
            <w:r>
              <w:rPr>
                <w:rFonts w:hint="eastAsia" w:ascii="宋体" w:hAnsi="宋体" w:cs="宋体"/>
                <w:b/>
                <w:bCs/>
                <w:color w:val="auto"/>
                <w:szCs w:val="21"/>
                <w:highlight w:val="none"/>
              </w:rPr>
              <w:t>三档（6分）：</w:t>
            </w:r>
            <w:r>
              <w:rPr>
                <w:rFonts w:hint="eastAsia" w:ascii="宋体" w:hAnsi="宋体" w:cs="宋体"/>
                <w:color w:val="auto"/>
                <w:szCs w:val="21"/>
                <w:highlight w:val="none"/>
              </w:rPr>
              <w:t>有专门的质量技术管理班子和制度，且人员配备合理，制度健全、责任分工明确。主要工序有质量技术保证措施和手段，且方法先进、具体，自控体系完整、科学及施工验收标准规范，达到承诺的质量标准。</w:t>
            </w:r>
          </w:p>
        </w:tc>
      </w:tr>
      <w:tr w14:paraId="1963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vAlign w:val="center"/>
          </w:tcPr>
          <w:p w14:paraId="206B197F">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47BDE2F8">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5AB92905">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0C67985C">
            <w:pPr>
              <w:adjustRightInd w:val="0"/>
              <w:spacing w:line="40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确保安全生产的技术组织措施（满分6分）</w:t>
            </w:r>
          </w:p>
        </w:tc>
        <w:tc>
          <w:tcPr>
            <w:tcW w:w="6051" w:type="dxa"/>
            <w:vAlign w:val="center"/>
          </w:tcPr>
          <w:p w14:paraId="7D4CB857">
            <w:pPr>
              <w:pStyle w:val="62"/>
              <w:spacing w:line="400" w:lineRule="exact"/>
              <w:rPr>
                <w:rFonts w:hAnsi="宋体" w:cs="宋体"/>
                <w:bCs/>
                <w:color w:val="auto"/>
                <w:sz w:val="21"/>
                <w:highlight w:val="none"/>
              </w:rPr>
            </w:pPr>
            <w:r>
              <w:rPr>
                <w:rFonts w:hint="eastAsia" w:hAnsi="宋体" w:cs="宋体"/>
                <w:b/>
                <w:color w:val="auto"/>
                <w:sz w:val="21"/>
                <w:highlight w:val="none"/>
              </w:rPr>
              <w:t>达不到一档要求的不得分。</w:t>
            </w:r>
          </w:p>
          <w:p w14:paraId="0348E748">
            <w:pPr>
              <w:pStyle w:val="62"/>
              <w:spacing w:line="400" w:lineRule="exact"/>
              <w:rPr>
                <w:rFonts w:hAnsi="宋体" w:cs="宋体"/>
                <w:bCs/>
                <w:color w:val="auto"/>
                <w:sz w:val="21"/>
                <w:highlight w:val="none"/>
              </w:rPr>
            </w:pPr>
            <w:r>
              <w:rPr>
                <w:rFonts w:hint="eastAsia" w:hAnsi="宋体" w:cs="宋体"/>
                <w:b/>
                <w:color w:val="auto"/>
                <w:sz w:val="21"/>
                <w:highlight w:val="none"/>
              </w:rPr>
              <w:t>一档（2分）：</w:t>
            </w:r>
            <w:r>
              <w:rPr>
                <w:rFonts w:hint="eastAsia" w:hAnsi="宋体" w:cs="宋体"/>
                <w:bCs/>
                <w:color w:val="auto"/>
                <w:sz w:val="21"/>
                <w:highlight w:val="none"/>
              </w:rPr>
              <w:t>有配备满足项目要求的安全负责人，安全管理制度基本健全，各道工序安全技术措施基本符合，满足有关安全技术标准要求。现场防火、应急救援等安全措施不存在错误。</w:t>
            </w:r>
          </w:p>
          <w:p w14:paraId="1EDD6A6F">
            <w:pPr>
              <w:pStyle w:val="62"/>
              <w:spacing w:line="400" w:lineRule="exact"/>
              <w:rPr>
                <w:rFonts w:hAnsi="宋体" w:cs="宋体"/>
                <w:bCs/>
                <w:color w:val="auto"/>
                <w:sz w:val="21"/>
                <w:highlight w:val="none"/>
              </w:rPr>
            </w:pPr>
            <w:r>
              <w:rPr>
                <w:rFonts w:hint="eastAsia" w:hAnsi="宋体" w:cs="宋体"/>
                <w:b/>
                <w:color w:val="auto"/>
                <w:sz w:val="21"/>
                <w:highlight w:val="none"/>
              </w:rPr>
              <w:t>二档（4分）：</w:t>
            </w:r>
            <w:r>
              <w:rPr>
                <w:rFonts w:hint="eastAsia" w:hAnsi="宋体" w:cs="宋体"/>
                <w:bCs/>
                <w:color w:val="auto"/>
                <w:sz w:val="21"/>
                <w:highlight w:val="none"/>
              </w:rPr>
              <w:t>有配备满足项目要求的安全负责人，人员配备合理，有健全的安全管理制度，各道工序安全技术措施符合实际且满足有关安全技术标准要求。现场防火、应急救援、社会治安等安全措施规范。</w:t>
            </w:r>
          </w:p>
          <w:p w14:paraId="2F48DD6C">
            <w:pPr>
              <w:pStyle w:val="62"/>
              <w:spacing w:line="400" w:lineRule="exact"/>
              <w:rPr>
                <w:rFonts w:hAnsi="宋体" w:cs="宋体"/>
                <w:bCs/>
                <w:color w:val="auto"/>
                <w:sz w:val="21"/>
                <w:highlight w:val="none"/>
              </w:rPr>
            </w:pPr>
            <w:r>
              <w:rPr>
                <w:rFonts w:hint="eastAsia" w:hAnsi="宋体" w:cs="宋体"/>
                <w:b/>
                <w:color w:val="auto"/>
                <w:sz w:val="21"/>
                <w:highlight w:val="none"/>
              </w:rPr>
              <w:t>三档（6分）：</w:t>
            </w:r>
            <w:r>
              <w:rPr>
                <w:rFonts w:hint="eastAsia" w:hAnsi="宋体" w:cs="宋体"/>
                <w:bCs/>
                <w:color w:val="auto"/>
                <w:sz w:val="21"/>
                <w:highlight w:val="none"/>
              </w:rPr>
              <w:t>有配备满足项目要求的专职安全员，人员配备合理、充足。有健全的安全管理制度，各道工序安全技术措施针对性强，符合实际且高于国家有关安全技术标准要求。现场防火、应急救援、社会治安等安全措施得力、方法科学规范。</w:t>
            </w:r>
          </w:p>
        </w:tc>
      </w:tr>
      <w:tr w14:paraId="0FB4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vAlign w:val="center"/>
          </w:tcPr>
          <w:p w14:paraId="125ED3EE">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5AF5163E">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07633EFD">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05742A0F">
            <w:pPr>
              <w:adjustRightInd w:val="0"/>
              <w:spacing w:line="40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确保工期的技术组织措施（满分6分）</w:t>
            </w:r>
          </w:p>
        </w:tc>
        <w:tc>
          <w:tcPr>
            <w:tcW w:w="6051" w:type="dxa"/>
            <w:vAlign w:val="center"/>
          </w:tcPr>
          <w:p w14:paraId="547E3320">
            <w:pPr>
              <w:pStyle w:val="62"/>
              <w:spacing w:line="400" w:lineRule="exact"/>
              <w:rPr>
                <w:rFonts w:hAnsi="宋体" w:cs="宋体"/>
                <w:bCs/>
                <w:color w:val="auto"/>
                <w:sz w:val="21"/>
                <w:highlight w:val="none"/>
              </w:rPr>
            </w:pPr>
            <w:r>
              <w:rPr>
                <w:rFonts w:hint="eastAsia" w:hAnsi="宋体" w:cs="宋体"/>
                <w:b/>
                <w:color w:val="auto"/>
                <w:sz w:val="21"/>
                <w:highlight w:val="none"/>
              </w:rPr>
              <w:t>达不到一档要求的不得分。</w:t>
            </w:r>
          </w:p>
          <w:p w14:paraId="087C3CE1">
            <w:pPr>
              <w:pStyle w:val="62"/>
              <w:spacing w:line="400" w:lineRule="exact"/>
              <w:rPr>
                <w:rFonts w:hAnsi="宋体" w:cs="宋体"/>
                <w:bCs/>
                <w:color w:val="auto"/>
                <w:sz w:val="21"/>
                <w:highlight w:val="none"/>
              </w:rPr>
            </w:pPr>
            <w:r>
              <w:rPr>
                <w:rFonts w:hint="eastAsia" w:hAnsi="宋体" w:cs="宋体"/>
                <w:b/>
                <w:color w:val="auto"/>
                <w:sz w:val="21"/>
                <w:highlight w:val="none"/>
              </w:rPr>
              <w:t>一档（2分）</w:t>
            </w:r>
            <w:r>
              <w:rPr>
                <w:rFonts w:hint="eastAsia" w:hAnsi="宋体" w:cs="宋体"/>
                <w:bCs/>
                <w:color w:val="auto"/>
                <w:sz w:val="21"/>
                <w:highlight w:val="none"/>
              </w:rPr>
              <w:t>：施工工艺、施工方法、劳动力安排等方面有保证工期的具体措施。有施工总进度表或施工网络图，符合本项目施工要求。</w:t>
            </w:r>
          </w:p>
          <w:p w14:paraId="21382695">
            <w:pPr>
              <w:pStyle w:val="62"/>
              <w:spacing w:line="400" w:lineRule="exact"/>
              <w:rPr>
                <w:rFonts w:hAnsi="宋体" w:cs="宋体"/>
                <w:bCs/>
                <w:color w:val="auto"/>
                <w:sz w:val="21"/>
                <w:highlight w:val="none"/>
              </w:rPr>
            </w:pPr>
            <w:r>
              <w:rPr>
                <w:rFonts w:hint="eastAsia" w:hAnsi="宋体" w:cs="宋体"/>
                <w:b/>
                <w:color w:val="auto"/>
                <w:sz w:val="21"/>
                <w:highlight w:val="none"/>
              </w:rPr>
              <w:t>二档（4分）：</w:t>
            </w:r>
            <w:r>
              <w:rPr>
                <w:rFonts w:hint="eastAsia" w:hAnsi="宋体" w:cs="宋体"/>
                <w:bCs/>
                <w:color w:val="auto"/>
                <w:sz w:val="21"/>
                <w:highlight w:val="none"/>
              </w:rPr>
              <w:t>在施工工艺、施工方法、材料选用、劳动力安排等方面有保证工期的具体措施。有控制工期的施工进度计划。有施工总进度表或施工网络图，安排合理，符合本项目施工实际要求。</w:t>
            </w:r>
          </w:p>
          <w:p w14:paraId="022CE75E">
            <w:pPr>
              <w:pStyle w:val="62"/>
              <w:spacing w:line="400" w:lineRule="exact"/>
              <w:rPr>
                <w:rFonts w:hAnsi="宋体" w:cs="宋体"/>
                <w:bCs/>
                <w:color w:val="auto"/>
                <w:sz w:val="21"/>
                <w:highlight w:val="none"/>
              </w:rPr>
            </w:pPr>
            <w:r>
              <w:rPr>
                <w:rFonts w:hint="eastAsia" w:hAnsi="宋体" w:cs="宋体"/>
                <w:b/>
                <w:color w:val="auto"/>
                <w:sz w:val="21"/>
                <w:highlight w:val="none"/>
              </w:rPr>
              <w:t>三档（6分）：</w:t>
            </w:r>
            <w:r>
              <w:rPr>
                <w:rFonts w:hint="eastAsia" w:hAnsi="宋体" w:cs="宋体"/>
                <w:bCs/>
                <w:color w:val="auto"/>
                <w:sz w:val="21"/>
                <w:highlight w:val="none"/>
              </w:rPr>
              <w:t>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tc>
      </w:tr>
      <w:tr w14:paraId="3F29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vAlign w:val="center"/>
          </w:tcPr>
          <w:p w14:paraId="2190BAAA">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4855D6B0">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2019E9FE">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1D3276C3">
            <w:pPr>
              <w:adjustRightInd w:val="0"/>
              <w:spacing w:line="40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确保文明施工的技术组织措施（满分6分）</w:t>
            </w:r>
          </w:p>
        </w:tc>
        <w:tc>
          <w:tcPr>
            <w:tcW w:w="6051" w:type="dxa"/>
            <w:vAlign w:val="center"/>
          </w:tcPr>
          <w:p w14:paraId="3402E73D">
            <w:pPr>
              <w:pStyle w:val="62"/>
              <w:spacing w:line="400" w:lineRule="exact"/>
              <w:rPr>
                <w:rFonts w:hAnsi="宋体" w:cs="宋体"/>
                <w:bCs/>
                <w:color w:val="auto"/>
                <w:sz w:val="21"/>
                <w:highlight w:val="none"/>
              </w:rPr>
            </w:pPr>
            <w:r>
              <w:rPr>
                <w:rFonts w:hint="eastAsia" w:hAnsi="宋体" w:cs="宋体"/>
                <w:b/>
                <w:color w:val="auto"/>
                <w:sz w:val="21"/>
                <w:highlight w:val="none"/>
              </w:rPr>
              <w:t>达不到一档要求的不得分。</w:t>
            </w:r>
          </w:p>
          <w:p w14:paraId="6E6DE52D">
            <w:pPr>
              <w:pStyle w:val="62"/>
              <w:spacing w:line="400" w:lineRule="exact"/>
              <w:rPr>
                <w:rFonts w:hAnsi="宋体" w:cs="宋体"/>
                <w:bCs/>
                <w:color w:val="auto"/>
                <w:sz w:val="21"/>
                <w:highlight w:val="none"/>
              </w:rPr>
            </w:pPr>
            <w:r>
              <w:rPr>
                <w:rFonts w:hint="eastAsia" w:hAnsi="宋体" w:cs="宋体"/>
                <w:b/>
                <w:color w:val="auto"/>
                <w:sz w:val="21"/>
                <w:highlight w:val="none"/>
              </w:rPr>
              <w:t>一档（2分）：</w:t>
            </w:r>
            <w:r>
              <w:rPr>
                <w:rFonts w:hint="eastAsia" w:hAnsi="宋体" w:cs="宋体"/>
                <w:color w:val="auto"/>
                <w:sz w:val="21"/>
                <w:szCs w:val="24"/>
                <w:highlight w:val="none"/>
              </w:rPr>
              <w:t>针对本工程项目特点，提供项目施工期间对环境造成的影响及防治措施，提供针对校园文明施工措施，有现场文明施工、噪声控制措施，且措施内容基本达到《建筑施工安全生产检查标准》（JGJ59-2011）合格标准并符合《广西壮族自治区建筑工程文明施工导则》要求。各项措施一般。有基本的实现现场文明施工目标的承诺</w:t>
            </w:r>
            <w:r>
              <w:rPr>
                <w:rFonts w:hint="eastAsia" w:hAnsi="宋体" w:cs="宋体"/>
                <w:bCs/>
                <w:color w:val="auto"/>
                <w:sz w:val="21"/>
                <w:highlight w:val="none"/>
              </w:rPr>
              <w:t>。</w:t>
            </w:r>
          </w:p>
          <w:p w14:paraId="08FDDD45">
            <w:pPr>
              <w:pStyle w:val="62"/>
              <w:spacing w:line="400" w:lineRule="exact"/>
              <w:rPr>
                <w:rFonts w:hAnsi="宋体" w:cs="宋体"/>
                <w:bCs/>
                <w:color w:val="auto"/>
                <w:sz w:val="21"/>
                <w:highlight w:val="none"/>
              </w:rPr>
            </w:pPr>
            <w:r>
              <w:rPr>
                <w:rFonts w:hint="eastAsia" w:hAnsi="宋体" w:cs="宋体"/>
                <w:b/>
                <w:color w:val="auto"/>
                <w:sz w:val="21"/>
                <w:highlight w:val="none"/>
              </w:rPr>
              <w:t>二档（4分）：</w:t>
            </w:r>
            <w:r>
              <w:rPr>
                <w:rFonts w:hint="eastAsia" w:hAnsi="宋体" w:cs="宋体"/>
                <w:color w:val="auto"/>
                <w:sz w:val="21"/>
                <w:szCs w:val="24"/>
                <w:highlight w:val="none"/>
              </w:rPr>
              <w:t>针对本工程项目特点，提供项目施工期间对环境造成的影响及防治措施，提供针对校园文明施工措施，有现场文明施工、噪声控制措施，且措施内容满足《建筑施工安全生产检查标准》（JGJ59-2011）合格标准并符合《广西壮族自治区建筑工程文明施工导则》要求。各项措施比较周全、具体、有效。有较具体的实现现场文明施工目标的承诺</w:t>
            </w:r>
            <w:r>
              <w:rPr>
                <w:rFonts w:hint="eastAsia" w:hAnsi="宋体" w:cs="宋体"/>
                <w:bCs/>
                <w:color w:val="auto"/>
                <w:sz w:val="21"/>
                <w:highlight w:val="none"/>
              </w:rPr>
              <w:t>。</w:t>
            </w:r>
          </w:p>
          <w:p w14:paraId="0E1E6587">
            <w:pPr>
              <w:pStyle w:val="62"/>
              <w:spacing w:line="400" w:lineRule="exact"/>
              <w:rPr>
                <w:rFonts w:hAnsi="宋体" w:cs="宋体"/>
                <w:bCs/>
                <w:color w:val="auto"/>
                <w:sz w:val="21"/>
                <w:highlight w:val="none"/>
              </w:rPr>
            </w:pPr>
            <w:r>
              <w:rPr>
                <w:rFonts w:hint="eastAsia" w:hAnsi="宋体" w:cs="宋体"/>
                <w:b/>
                <w:color w:val="auto"/>
                <w:sz w:val="21"/>
                <w:highlight w:val="none"/>
              </w:rPr>
              <w:t>三档（6分）：</w:t>
            </w:r>
            <w:r>
              <w:rPr>
                <w:rFonts w:hint="eastAsia" w:hAnsi="宋体" w:cs="宋体"/>
                <w:bCs/>
                <w:color w:val="auto"/>
                <w:sz w:val="21"/>
                <w:highlight w:val="none"/>
              </w:rPr>
              <w:t>针对本工程项目特点，提供项目施工期间对环境造成的影响及防治措施，提供针对校园文明施工措施，有现场文明施工、噪声控制措施，且措施内容完全满足《建筑施工安全生产检查标准》（JGJ59-2011）合格标准并符合《广西壮族自治区建筑工程文明施工导则》要求。各项措施周全、具体、有效。有具体实现现场文明施工目标的承诺。</w:t>
            </w:r>
          </w:p>
        </w:tc>
      </w:tr>
      <w:tr w14:paraId="280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vAlign w:val="center"/>
          </w:tcPr>
          <w:p w14:paraId="3D0A09C5">
            <w:pPr>
              <w:adjustRightInd w:val="0"/>
              <w:spacing w:line="400" w:lineRule="exact"/>
              <w:jc w:val="center"/>
              <w:textAlignment w:val="baseline"/>
              <w:rPr>
                <w:rFonts w:ascii="宋体" w:hAnsi="宋体" w:cs="宋体"/>
                <w:b/>
                <w:color w:val="auto"/>
                <w:szCs w:val="21"/>
                <w:highlight w:val="none"/>
              </w:rPr>
            </w:pPr>
          </w:p>
        </w:tc>
        <w:tc>
          <w:tcPr>
            <w:tcW w:w="1280" w:type="dxa"/>
            <w:vMerge w:val="continue"/>
            <w:vAlign w:val="center"/>
          </w:tcPr>
          <w:p w14:paraId="4525A5FB">
            <w:pPr>
              <w:adjustRightInd w:val="0"/>
              <w:spacing w:line="400" w:lineRule="exact"/>
              <w:jc w:val="center"/>
              <w:textAlignment w:val="baseline"/>
              <w:rPr>
                <w:rFonts w:ascii="宋体" w:hAnsi="宋体" w:cs="宋体"/>
                <w:b/>
                <w:color w:val="auto"/>
                <w:szCs w:val="21"/>
                <w:highlight w:val="none"/>
              </w:rPr>
            </w:pPr>
          </w:p>
        </w:tc>
        <w:tc>
          <w:tcPr>
            <w:tcW w:w="709" w:type="dxa"/>
            <w:vMerge w:val="continue"/>
            <w:vAlign w:val="center"/>
          </w:tcPr>
          <w:p w14:paraId="505D58BD">
            <w:pPr>
              <w:adjustRightInd w:val="0"/>
              <w:spacing w:line="400" w:lineRule="exact"/>
              <w:jc w:val="center"/>
              <w:textAlignment w:val="baseline"/>
              <w:rPr>
                <w:rFonts w:ascii="宋体" w:hAnsi="宋体" w:cs="宋体"/>
                <w:b/>
                <w:color w:val="auto"/>
                <w:szCs w:val="21"/>
                <w:highlight w:val="none"/>
              </w:rPr>
            </w:pPr>
          </w:p>
        </w:tc>
        <w:tc>
          <w:tcPr>
            <w:tcW w:w="1104" w:type="dxa"/>
            <w:vAlign w:val="center"/>
          </w:tcPr>
          <w:p w14:paraId="28221A3C">
            <w:pPr>
              <w:adjustRightInd w:val="0"/>
              <w:spacing w:line="40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工程施工的重点和难点及保 证措施（满分6分）</w:t>
            </w:r>
          </w:p>
        </w:tc>
        <w:tc>
          <w:tcPr>
            <w:tcW w:w="6051" w:type="dxa"/>
            <w:vAlign w:val="center"/>
          </w:tcPr>
          <w:p w14:paraId="3F5545E4">
            <w:pPr>
              <w:pStyle w:val="62"/>
              <w:spacing w:line="400" w:lineRule="exact"/>
              <w:rPr>
                <w:rFonts w:hAnsi="宋体" w:cs="宋体"/>
                <w:b/>
                <w:color w:val="auto"/>
                <w:sz w:val="21"/>
                <w:highlight w:val="none"/>
              </w:rPr>
            </w:pPr>
            <w:r>
              <w:rPr>
                <w:rFonts w:hint="eastAsia" w:hAnsi="宋体" w:cs="宋体"/>
                <w:b/>
                <w:color w:val="auto"/>
                <w:sz w:val="21"/>
                <w:highlight w:val="none"/>
              </w:rPr>
              <w:t>达不到一档要求的不得分。</w:t>
            </w:r>
          </w:p>
          <w:p w14:paraId="45670A5A">
            <w:pPr>
              <w:pStyle w:val="62"/>
              <w:spacing w:line="400" w:lineRule="exact"/>
              <w:rPr>
                <w:rFonts w:hAnsi="宋体" w:cs="宋体"/>
                <w:bCs/>
                <w:color w:val="auto"/>
                <w:sz w:val="21"/>
                <w:highlight w:val="none"/>
              </w:rPr>
            </w:pPr>
            <w:r>
              <w:rPr>
                <w:rFonts w:hint="eastAsia" w:hAnsi="宋体" w:cs="宋体"/>
                <w:b/>
                <w:color w:val="auto"/>
                <w:sz w:val="21"/>
                <w:highlight w:val="none"/>
              </w:rPr>
              <w:t>一档（2分）：</w:t>
            </w:r>
            <w:r>
              <w:rPr>
                <w:rFonts w:hint="eastAsia" w:hAnsi="宋体" w:cs="宋体"/>
                <w:bCs/>
                <w:color w:val="auto"/>
                <w:sz w:val="21"/>
                <w:highlight w:val="none"/>
              </w:rPr>
              <w:t>针对本工程的特点，阐述本工程的重点和难点，有解决重点和难点问题的方法，但方法与本项目无关。</w:t>
            </w:r>
          </w:p>
          <w:p w14:paraId="1D050653">
            <w:pPr>
              <w:pStyle w:val="62"/>
              <w:spacing w:line="400" w:lineRule="exact"/>
              <w:rPr>
                <w:rFonts w:hAnsi="宋体" w:cs="宋体"/>
                <w:bCs/>
                <w:color w:val="auto"/>
                <w:sz w:val="21"/>
                <w:highlight w:val="none"/>
              </w:rPr>
            </w:pPr>
            <w:r>
              <w:rPr>
                <w:rFonts w:hint="eastAsia" w:hAnsi="宋体" w:cs="宋体"/>
                <w:b/>
                <w:color w:val="auto"/>
                <w:sz w:val="21"/>
                <w:highlight w:val="none"/>
              </w:rPr>
              <w:t>二档（4分）：</w:t>
            </w:r>
            <w:r>
              <w:rPr>
                <w:rFonts w:hint="eastAsia" w:hAnsi="宋体" w:cs="宋体"/>
                <w:bCs/>
                <w:color w:val="auto"/>
                <w:sz w:val="21"/>
                <w:highlight w:val="none"/>
              </w:rPr>
              <w:t>针对本工程的特点，阐述本工程的重点和难点，解决重点和难点问题的方法得当，应用于本项目。</w:t>
            </w:r>
          </w:p>
          <w:p w14:paraId="64D059A5">
            <w:pPr>
              <w:pStyle w:val="62"/>
              <w:spacing w:line="400" w:lineRule="exact"/>
              <w:rPr>
                <w:rFonts w:hAnsi="宋体" w:cs="宋体"/>
                <w:bCs/>
                <w:color w:val="auto"/>
                <w:highlight w:val="none"/>
              </w:rPr>
            </w:pPr>
            <w:r>
              <w:rPr>
                <w:rFonts w:hint="eastAsia" w:hAnsi="宋体" w:cs="宋体"/>
                <w:b/>
                <w:color w:val="auto"/>
                <w:sz w:val="21"/>
                <w:highlight w:val="none"/>
              </w:rPr>
              <w:t>三档（6分）：</w:t>
            </w:r>
            <w:r>
              <w:rPr>
                <w:rFonts w:hint="eastAsia" w:hAnsi="宋体" w:cs="宋体"/>
                <w:bCs/>
                <w:color w:val="auto"/>
                <w:sz w:val="21"/>
                <w:highlight w:val="none"/>
              </w:rPr>
              <w:t>针对本工程的特点，阐述本工程的重点和难点，解决重点和难点问题的方法科学合理且全面，能落地实施和开展推行于本项目。</w:t>
            </w:r>
          </w:p>
        </w:tc>
      </w:tr>
      <w:tr w14:paraId="6491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14:paraId="6D35C395">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3</w:t>
            </w:r>
          </w:p>
        </w:tc>
        <w:tc>
          <w:tcPr>
            <w:tcW w:w="1280" w:type="dxa"/>
            <w:vAlign w:val="center"/>
          </w:tcPr>
          <w:p w14:paraId="429D2171">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商务分</w:t>
            </w:r>
          </w:p>
        </w:tc>
        <w:tc>
          <w:tcPr>
            <w:tcW w:w="709" w:type="dxa"/>
            <w:vAlign w:val="center"/>
          </w:tcPr>
          <w:p w14:paraId="2118BEB3">
            <w:pPr>
              <w:adjustRightInd w:val="0"/>
              <w:spacing w:line="40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10分</w:t>
            </w:r>
          </w:p>
        </w:tc>
        <w:tc>
          <w:tcPr>
            <w:tcW w:w="7155" w:type="dxa"/>
            <w:gridSpan w:val="2"/>
            <w:vAlign w:val="center"/>
          </w:tcPr>
          <w:p w14:paraId="4D5899EA">
            <w:pPr>
              <w:pStyle w:val="20"/>
              <w:spacing w:line="400" w:lineRule="exact"/>
              <w:jc w:val="left"/>
              <w:rPr>
                <w:rFonts w:hAnsi="宋体" w:cs="宋体"/>
                <w:color w:val="auto"/>
                <w:sz w:val="21"/>
                <w:highlight w:val="none"/>
              </w:rPr>
            </w:pPr>
            <w:r>
              <w:rPr>
                <w:rFonts w:hint="eastAsia" w:hAnsi="宋体" w:cs="宋体"/>
                <w:color w:val="auto"/>
                <w:sz w:val="21"/>
                <w:highlight w:val="none"/>
              </w:rPr>
              <w:t>1、供应商202</w:t>
            </w:r>
            <w:r>
              <w:rPr>
                <w:rFonts w:hint="eastAsia" w:hAnsi="宋体" w:cs="宋体"/>
                <w:color w:val="auto"/>
                <w:sz w:val="21"/>
                <w:highlight w:val="none"/>
                <w:lang w:val="en-US" w:eastAsia="zh-CN"/>
              </w:rPr>
              <w:t>3</w:t>
            </w:r>
            <w:r>
              <w:rPr>
                <w:rFonts w:hint="eastAsia" w:hAnsi="宋体" w:cs="宋体"/>
                <w:color w:val="auto"/>
                <w:sz w:val="21"/>
                <w:highlight w:val="none"/>
              </w:rPr>
              <w:t>年6月以来有</w:t>
            </w:r>
            <w:r>
              <w:rPr>
                <w:rFonts w:hint="eastAsia" w:hAnsi="宋体" w:cs="宋体"/>
                <w:color w:val="auto"/>
                <w:sz w:val="21"/>
                <w:highlight w:val="none"/>
                <w:lang w:eastAsia="zh-CN"/>
              </w:rPr>
              <w:t>修缮或</w:t>
            </w:r>
            <w:r>
              <w:rPr>
                <w:rFonts w:hint="eastAsia" w:hAnsi="宋体" w:cs="宋体"/>
                <w:color w:val="auto"/>
                <w:sz w:val="21"/>
                <w:highlight w:val="none"/>
              </w:rPr>
              <w:t>装修</w:t>
            </w:r>
            <w:r>
              <w:rPr>
                <w:rFonts w:hint="eastAsia" w:hAnsi="宋体" w:cs="宋体"/>
                <w:color w:val="auto"/>
                <w:sz w:val="21"/>
                <w:highlight w:val="none"/>
                <w:lang w:eastAsia="zh-CN"/>
              </w:rPr>
              <w:t>等</w:t>
            </w:r>
            <w:r>
              <w:rPr>
                <w:rFonts w:hint="eastAsia" w:hAnsi="宋体" w:cs="宋体"/>
                <w:color w:val="auto"/>
                <w:sz w:val="21"/>
                <w:highlight w:val="none"/>
              </w:rPr>
              <w:t>类似业绩的每个得2分，满分4分。（须提供合同或中标（成交）通知书复印件并加盖供应商公章，否则不得分）</w:t>
            </w:r>
          </w:p>
          <w:p w14:paraId="5B158B62">
            <w:pPr>
              <w:pStyle w:val="20"/>
              <w:spacing w:line="400" w:lineRule="exact"/>
              <w:jc w:val="left"/>
              <w:rPr>
                <w:color w:val="auto"/>
                <w:highlight w:val="none"/>
              </w:rPr>
            </w:pPr>
            <w:r>
              <w:rPr>
                <w:rFonts w:hint="eastAsia" w:hAnsi="宋体" w:cs="宋体"/>
                <w:color w:val="auto"/>
                <w:sz w:val="21"/>
                <w:highlight w:val="none"/>
              </w:rPr>
              <w:t>2、供应商具有有效的质量管理体系证书，职业健康安全管理体系证书，环境管理体系证书的每个得2分，满分6分。（须提供有效证书复印件并加盖供应商公章，否则不得分）</w:t>
            </w:r>
          </w:p>
        </w:tc>
      </w:tr>
      <w:tr w14:paraId="713D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4" w:type="dxa"/>
            <w:gridSpan w:val="5"/>
            <w:vAlign w:val="center"/>
          </w:tcPr>
          <w:p w14:paraId="2F5BD66B">
            <w:pPr>
              <w:pStyle w:val="20"/>
              <w:spacing w:line="400" w:lineRule="exact"/>
              <w:ind w:left="420" w:hanging="420"/>
              <w:rPr>
                <w:rFonts w:hAnsi="宋体" w:cs="宋体"/>
                <w:bCs/>
                <w:color w:val="auto"/>
                <w:kern w:val="2"/>
                <w:sz w:val="21"/>
                <w:highlight w:val="none"/>
              </w:rPr>
            </w:pPr>
            <w:r>
              <w:rPr>
                <w:rFonts w:hint="eastAsia" w:hAnsi="宋体" w:cs="宋体"/>
                <w:b/>
                <w:bCs/>
                <w:color w:val="auto"/>
                <w:kern w:val="2"/>
                <w:sz w:val="21"/>
                <w:highlight w:val="none"/>
              </w:rPr>
              <w:t>总得分=1+2+3。</w:t>
            </w:r>
          </w:p>
        </w:tc>
      </w:tr>
    </w:tbl>
    <w:p w14:paraId="5FB38CA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7.由磋商小组根据综合评分情况，按照评审得分由高到低顺序推荐3名以上成交候选供应商，并编写评审报告。符合本章第</w:t>
      </w:r>
      <w:r>
        <w:rPr>
          <w:rFonts w:hint="eastAsia" w:ascii="宋体" w:hAnsi="宋体" w:cs="宋体"/>
          <w:color w:val="auto"/>
          <w:szCs w:val="21"/>
          <w:highlight w:val="none"/>
        </w:rPr>
        <w:t>2.7、3.8、4.3</w:t>
      </w:r>
      <w:r>
        <w:rPr>
          <w:rFonts w:hint="eastAsia" w:ascii="宋体" w:hAnsi="宋体" w:cs="宋体"/>
          <w:bCs/>
          <w:color w:val="auto"/>
          <w:szCs w:val="21"/>
          <w:highlight w:val="none"/>
        </w:rPr>
        <w:t>条情形的，可以推荐2家成交候选供应商。评审得分相同的，按照最后报价由低到高的顺序推荐。评审得分且最后报价（不计算价格折扣）相同的，按照技术指标优劣顺序推荐（</w:t>
      </w:r>
      <w:r>
        <w:rPr>
          <w:rFonts w:hint="eastAsia" w:ascii="宋体" w:hAnsi="宋体" w:cs="宋体"/>
          <w:color w:val="auto"/>
          <w:szCs w:val="21"/>
          <w:highlight w:val="none"/>
        </w:rPr>
        <w:t>按综合评分中技术水平、履约能力得分高低依次确定</w:t>
      </w:r>
      <w:r>
        <w:rPr>
          <w:rFonts w:hint="eastAsia" w:ascii="宋体" w:hAnsi="宋体" w:cs="宋体"/>
          <w:bCs/>
          <w:color w:val="auto"/>
          <w:szCs w:val="21"/>
          <w:highlight w:val="none"/>
        </w:rPr>
        <w:t>）。</w:t>
      </w:r>
    </w:p>
    <w:p w14:paraId="0628EC92">
      <w:pPr>
        <w:pStyle w:val="3"/>
        <w:jc w:val="center"/>
        <w:rPr>
          <w:rFonts w:ascii="宋体" w:hAnsi="宋体" w:cs="宋体"/>
          <w:color w:val="auto"/>
          <w:highlight w:val="none"/>
        </w:rPr>
      </w:pPr>
      <w:r>
        <w:rPr>
          <w:rFonts w:hint="eastAsia" w:ascii="宋体" w:hAnsi="宋体" w:cs="宋体"/>
          <w:color w:val="auto"/>
          <w:highlight w:val="none"/>
        </w:rPr>
        <w:br w:type="page"/>
      </w:r>
    </w:p>
    <w:p w14:paraId="6B084C17">
      <w:pPr>
        <w:rPr>
          <w:rFonts w:ascii="宋体" w:hAnsi="宋体" w:cs="宋体"/>
          <w:color w:val="auto"/>
          <w:highlight w:val="none"/>
        </w:rPr>
      </w:pPr>
    </w:p>
    <w:p w14:paraId="385C1142">
      <w:pPr>
        <w:rPr>
          <w:rFonts w:ascii="宋体" w:hAnsi="宋体" w:cs="宋体"/>
          <w:color w:val="auto"/>
          <w:highlight w:val="none"/>
        </w:rPr>
      </w:pPr>
    </w:p>
    <w:p w14:paraId="3F0ED10A">
      <w:pPr>
        <w:rPr>
          <w:rFonts w:ascii="宋体" w:hAnsi="宋体" w:cs="宋体"/>
          <w:color w:val="auto"/>
          <w:highlight w:val="none"/>
        </w:rPr>
      </w:pPr>
    </w:p>
    <w:p w14:paraId="36765216">
      <w:pPr>
        <w:rPr>
          <w:rFonts w:ascii="宋体" w:hAnsi="宋体" w:cs="宋体"/>
          <w:color w:val="auto"/>
          <w:highlight w:val="none"/>
        </w:rPr>
      </w:pPr>
    </w:p>
    <w:p w14:paraId="7437ED95">
      <w:pPr>
        <w:rPr>
          <w:rFonts w:ascii="宋体" w:hAnsi="宋体" w:cs="宋体"/>
          <w:color w:val="auto"/>
          <w:highlight w:val="none"/>
        </w:rPr>
      </w:pPr>
    </w:p>
    <w:p w14:paraId="20A253EF">
      <w:pPr>
        <w:rPr>
          <w:rFonts w:ascii="宋体" w:hAnsi="宋体" w:cs="宋体"/>
          <w:color w:val="auto"/>
          <w:highlight w:val="none"/>
        </w:rPr>
      </w:pPr>
    </w:p>
    <w:p w14:paraId="0E7AB365">
      <w:pPr>
        <w:rPr>
          <w:rFonts w:ascii="宋体" w:hAnsi="宋体" w:cs="宋体"/>
          <w:color w:val="auto"/>
          <w:highlight w:val="none"/>
        </w:rPr>
      </w:pPr>
    </w:p>
    <w:p w14:paraId="1440ECAE">
      <w:pPr>
        <w:rPr>
          <w:rFonts w:ascii="宋体" w:hAnsi="宋体" w:cs="宋体"/>
          <w:color w:val="auto"/>
          <w:highlight w:val="none"/>
        </w:rPr>
      </w:pPr>
    </w:p>
    <w:p w14:paraId="19C49186">
      <w:pPr>
        <w:rPr>
          <w:rFonts w:ascii="宋体" w:hAnsi="宋体" w:cs="宋体"/>
          <w:color w:val="auto"/>
          <w:highlight w:val="none"/>
        </w:rPr>
      </w:pPr>
    </w:p>
    <w:p w14:paraId="250F9201">
      <w:pPr>
        <w:rPr>
          <w:rFonts w:ascii="宋体" w:hAnsi="宋体" w:cs="宋体"/>
          <w:color w:val="auto"/>
          <w:highlight w:val="none"/>
        </w:rPr>
      </w:pPr>
    </w:p>
    <w:p w14:paraId="6160FF69">
      <w:pPr>
        <w:rPr>
          <w:rFonts w:ascii="宋体" w:hAnsi="宋体" w:cs="宋体"/>
          <w:color w:val="auto"/>
          <w:highlight w:val="none"/>
        </w:rPr>
      </w:pPr>
    </w:p>
    <w:p w14:paraId="6133512F">
      <w:pPr>
        <w:rPr>
          <w:rFonts w:ascii="宋体" w:hAnsi="宋体" w:cs="宋体"/>
          <w:color w:val="auto"/>
          <w:highlight w:val="none"/>
        </w:rPr>
      </w:pPr>
    </w:p>
    <w:p w14:paraId="08BE6373">
      <w:pPr>
        <w:rPr>
          <w:rFonts w:ascii="宋体" w:hAnsi="宋体" w:cs="宋体"/>
          <w:color w:val="auto"/>
          <w:highlight w:val="none"/>
        </w:rPr>
      </w:pPr>
    </w:p>
    <w:p w14:paraId="0AF9F16C">
      <w:pPr>
        <w:pStyle w:val="3"/>
        <w:jc w:val="center"/>
        <w:rPr>
          <w:rFonts w:ascii="宋体" w:hAnsi="宋体" w:cs="宋体"/>
          <w:color w:val="auto"/>
          <w:highlight w:val="none"/>
        </w:rPr>
      </w:pPr>
      <w:bookmarkStart w:id="78" w:name="_Toc107326205"/>
      <w:r>
        <w:rPr>
          <w:rFonts w:hint="eastAsia" w:ascii="宋体" w:hAnsi="宋体" w:cs="宋体"/>
          <w:color w:val="auto"/>
          <w:highlight w:val="none"/>
        </w:rPr>
        <w:t>第五章 响应文件格式</w:t>
      </w:r>
      <w:bookmarkEnd w:id="78"/>
    </w:p>
    <w:p w14:paraId="31AF6A04">
      <w:pPr>
        <w:spacing w:line="240" w:lineRule="atLeast"/>
        <w:rPr>
          <w:rFonts w:ascii="宋体" w:hAnsi="宋体" w:cs="宋体"/>
          <w:b/>
          <w:color w:val="auto"/>
          <w:sz w:val="32"/>
          <w:szCs w:val="32"/>
          <w:highlight w:val="none"/>
        </w:rPr>
      </w:pPr>
    </w:p>
    <w:p w14:paraId="3182F49E">
      <w:pPr>
        <w:spacing w:line="240" w:lineRule="atLeast"/>
        <w:rPr>
          <w:rFonts w:ascii="宋体" w:hAnsi="宋体" w:cs="宋体"/>
          <w:b/>
          <w:color w:val="auto"/>
          <w:sz w:val="32"/>
          <w:szCs w:val="32"/>
          <w:highlight w:val="none"/>
        </w:rPr>
      </w:pPr>
    </w:p>
    <w:p w14:paraId="07EF3116">
      <w:pPr>
        <w:spacing w:line="240" w:lineRule="atLeast"/>
        <w:rPr>
          <w:rFonts w:ascii="宋体" w:hAnsi="宋体" w:cs="宋体"/>
          <w:b/>
          <w:color w:val="auto"/>
          <w:sz w:val="32"/>
          <w:szCs w:val="32"/>
          <w:highlight w:val="none"/>
        </w:rPr>
      </w:pPr>
    </w:p>
    <w:p w14:paraId="7E3ACABE">
      <w:pPr>
        <w:spacing w:line="240" w:lineRule="atLeast"/>
        <w:rPr>
          <w:rFonts w:ascii="宋体" w:hAnsi="宋体" w:cs="宋体"/>
          <w:b/>
          <w:color w:val="auto"/>
          <w:sz w:val="32"/>
          <w:szCs w:val="32"/>
          <w:highlight w:val="none"/>
        </w:rPr>
      </w:pPr>
    </w:p>
    <w:p w14:paraId="3080CC3E">
      <w:pPr>
        <w:spacing w:line="240" w:lineRule="atLeast"/>
        <w:rPr>
          <w:rFonts w:ascii="宋体" w:hAnsi="宋体" w:cs="宋体"/>
          <w:b/>
          <w:color w:val="auto"/>
          <w:sz w:val="32"/>
          <w:szCs w:val="32"/>
          <w:highlight w:val="none"/>
        </w:rPr>
      </w:pPr>
    </w:p>
    <w:p w14:paraId="58282BAE">
      <w:pPr>
        <w:spacing w:line="240" w:lineRule="atLeast"/>
        <w:rPr>
          <w:rFonts w:ascii="宋体" w:hAnsi="宋体" w:cs="宋体"/>
          <w:b/>
          <w:color w:val="auto"/>
          <w:sz w:val="32"/>
          <w:szCs w:val="32"/>
          <w:highlight w:val="none"/>
        </w:rPr>
      </w:pPr>
    </w:p>
    <w:p w14:paraId="1820A527">
      <w:pPr>
        <w:spacing w:line="240" w:lineRule="atLeast"/>
        <w:rPr>
          <w:rFonts w:ascii="宋体" w:hAnsi="宋体" w:cs="宋体"/>
          <w:b/>
          <w:color w:val="auto"/>
          <w:sz w:val="32"/>
          <w:szCs w:val="32"/>
          <w:highlight w:val="none"/>
        </w:rPr>
      </w:pPr>
    </w:p>
    <w:p w14:paraId="376C9512">
      <w:pPr>
        <w:spacing w:line="240" w:lineRule="atLeast"/>
        <w:rPr>
          <w:rFonts w:ascii="宋体" w:hAnsi="宋体" w:cs="宋体"/>
          <w:b/>
          <w:color w:val="auto"/>
          <w:sz w:val="32"/>
          <w:szCs w:val="32"/>
          <w:highlight w:val="none"/>
        </w:rPr>
      </w:pPr>
    </w:p>
    <w:p w14:paraId="5B9FAD74">
      <w:pPr>
        <w:spacing w:line="240" w:lineRule="atLeast"/>
        <w:rPr>
          <w:rFonts w:ascii="宋体" w:hAnsi="宋体" w:cs="宋体"/>
          <w:b/>
          <w:color w:val="auto"/>
          <w:sz w:val="32"/>
          <w:szCs w:val="32"/>
          <w:highlight w:val="none"/>
        </w:rPr>
      </w:pPr>
    </w:p>
    <w:p w14:paraId="17CE13C9">
      <w:pPr>
        <w:spacing w:line="240" w:lineRule="atLeast"/>
        <w:rPr>
          <w:rFonts w:ascii="宋体" w:hAnsi="宋体" w:cs="宋体"/>
          <w:bCs/>
          <w:color w:val="auto"/>
          <w:sz w:val="32"/>
          <w:szCs w:val="32"/>
          <w:highlight w:val="none"/>
        </w:rPr>
      </w:pPr>
    </w:p>
    <w:p w14:paraId="57D9B4EC">
      <w:pPr>
        <w:rPr>
          <w:rFonts w:ascii="宋体" w:hAnsi="宋体" w:cs="宋体"/>
          <w:b/>
          <w:color w:val="auto"/>
          <w:sz w:val="32"/>
          <w:szCs w:val="32"/>
          <w:highlight w:val="none"/>
        </w:rPr>
      </w:pPr>
      <w:bookmarkStart w:id="79" w:name="_Toc35611516"/>
      <w:bookmarkStart w:id="80" w:name="_Toc31728084"/>
      <w:bookmarkStart w:id="81" w:name="_Toc35611438"/>
      <w:bookmarkStart w:id="82" w:name="_Toc71365925"/>
      <w:bookmarkStart w:id="83" w:name="_Toc31723070"/>
      <w:bookmarkStart w:id="84" w:name="_Toc44229899"/>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一、资格证明文件格式</w:t>
      </w:r>
      <w:bookmarkEnd w:id="79"/>
      <w:bookmarkEnd w:id="80"/>
      <w:bookmarkEnd w:id="81"/>
      <w:bookmarkEnd w:id="82"/>
      <w:bookmarkEnd w:id="83"/>
      <w:bookmarkEnd w:id="84"/>
    </w:p>
    <w:p w14:paraId="55FEB6B2">
      <w:pPr>
        <w:snapToGrid w:val="0"/>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7B3B943">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34D6F6B6">
      <w:pPr>
        <w:snapToGrid w:val="0"/>
        <w:spacing w:before="156" w:beforeLines="50" w:after="50"/>
        <w:rPr>
          <w:rFonts w:ascii="宋体" w:hAnsi="宋体" w:cs="宋体"/>
          <w:color w:val="auto"/>
          <w:sz w:val="24"/>
          <w:szCs w:val="20"/>
          <w:highlight w:val="none"/>
        </w:rPr>
      </w:pPr>
    </w:p>
    <w:p w14:paraId="35C386E0">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291A024A">
      <w:pPr>
        <w:snapToGrid w:val="0"/>
        <w:spacing w:before="156" w:beforeLines="50" w:after="50"/>
        <w:jc w:val="center"/>
        <w:rPr>
          <w:rFonts w:ascii="宋体" w:hAnsi="宋体" w:cs="宋体"/>
          <w:bCs/>
          <w:color w:val="auto"/>
          <w:sz w:val="44"/>
          <w:szCs w:val="44"/>
          <w:highlight w:val="none"/>
        </w:rPr>
      </w:pPr>
    </w:p>
    <w:p w14:paraId="65D68C39">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72CE6183">
      <w:pPr>
        <w:snapToGrid w:val="0"/>
        <w:spacing w:before="156" w:beforeLines="50" w:after="50"/>
        <w:rPr>
          <w:rFonts w:ascii="宋体" w:hAnsi="宋体" w:cs="宋体"/>
          <w:bCs/>
          <w:color w:val="auto"/>
          <w:sz w:val="24"/>
          <w:szCs w:val="20"/>
          <w:highlight w:val="none"/>
        </w:rPr>
      </w:pPr>
    </w:p>
    <w:p w14:paraId="727FD3A0">
      <w:pPr>
        <w:snapToGrid w:val="0"/>
        <w:spacing w:before="156" w:beforeLines="50" w:after="50"/>
        <w:rPr>
          <w:rFonts w:ascii="宋体" w:hAnsi="宋体" w:cs="宋体"/>
          <w:bCs/>
          <w:color w:val="auto"/>
          <w:sz w:val="24"/>
          <w:szCs w:val="20"/>
          <w:highlight w:val="none"/>
        </w:rPr>
      </w:pPr>
    </w:p>
    <w:p w14:paraId="2CE696D7">
      <w:pPr>
        <w:snapToGrid w:val="0"/>
        <w:spacing w:before="156" w:beforeLines="50" w:after="50"/>
        <w:rPr>
          <w:rFonts w:ascii="宋体" w:hAnsi="宋体" w:cs="宋体"/>
          <w:bCs/>
          <w:color w:val="auto"/>
          <w:sz w:val="24"/>
          <w:szCs w:val="20"/>
          <w:highlight w:val="none"/>
        </w:rPr>
      </w:pPr>
    </w:p>
    <w:p w14:paraId="2535775F">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F313302">
      <w:pPr>
        <w:snapToGrid w:val="0"/>
        <w:spacing w:before="156" w:beforeLines="50" w:after="50"/>
        <w:ind w:firstLine="720" w:firstLineChars="225"/>
        <w:rPr>
          <w:rFonts w:ascii="宋体" w:hAnsi="宋体" w:cs="宋体"/>
          <w:bCs/>
          <w:color w:val="auto"/>
          <w:sz w:val="32"/>
          <w:szCs w:val="32"/>
          <w:highlight w:val="none"/>
        </w:rPr>
      </w:pPr>
    </w:p>
    <w:p w14:paraId="6D7E8FBE">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B5D58D2">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725403D">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w:t>
      </w:r>
    </w:p>
    <w:p w14:paraId="2B1E36BC">
      <w:pPr>
        <w:snapToGrid w:val="0"/>
        <w:spacing w:before="156" w:beforeLines="50" w:after="50"/>
        <w:ind w:firstLine="720" w:firstLineChars="225"/>
        <w:rPr>
          <w:rFonts w:ascii="宋体" w:hAnsi="宋体" w:cs="宋体"/>
          <w:bCs/>
          <w:color w:val="auto"/>
          <w:sz w:val="32"/>
          <w:szCs w:val="32"/>
          <w:highlight w:val="none"/>
        </w:rPr>
      </w:pPr>
    </w:p>
    <w:p w14:paraId="41268437">
      <w:pPr>
        <w:pStyle w:val="8"/>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DAB1B7A">
      <w:pPr>
        <w:pStyle w:val="8"/>
        <w:snapToGrid w:val="0"/>
        <w:spacing w:before="50" w:after="50"/>
        <w:ind w:firstLine="720" w:firstLineChars="225"/>
        <w:rPr>
          <w:rFonts w:ascii="宋体" w:hAnsi="宋体" w:cs="宋体"/>
          <w:bCs/>
          <w:color w:val="auto"/>
          <w:sz w:val="32"/>
          <w:szCs w:val="32"/>
          <w:highlight w:val="none"/>
        </w:rPr>
      </w:pPr>
    </w:p>
    <w:p w14:paraId="284A0DEF">
      <w:pPr>
        <w:pStyle w:val="8"/>
        <w:snapToGrid w:val="0"/>
        <w:spacing w:before="50" w:after="50"/>
        <w:ind w:firstLine="720" w:firstLineChars="225"/>
        <w:rPr>
          <w:rFonts w:ascii="宋体" w:hAnsi="宋体" w:cs="宋体"/>
          <w:bCs/>
          <w:color w:val="auto"/>
          <w:sz w:val="32"/>
          <w:szCs w:val="32"/>
          <w:highlight w:val="none"/>
        </w:rPr>
      </w:pPr>
    </w:p>
    <w:p w14:paraId="3C0551FB">
      <w:pPr>
        <w:pStyle w:val="8"/>
        <w:snapToGrid w:val="0"/>
        <w:spacing w:before="50" w:after="50"/>
        <w:ind w:firstLine="720" w:firstLineChars="225"/>
        <w:rPr>
          <w:rFonts w:ascii="宋体" w:hAnsi="宋体" w:cs="宋体"/>
          <w:bCs/>
          <w:color w:val="auto"/>
          <w:sz w:val="32"/>
          <w:szCs w:val="32"/>
          <w:highlight w:val="none"/>
        </w:rPr>
      </w:pPr>
    </w:p>
    <w:p w14:paraId="3326E0F4">
      <w:pPr>
        <w:pStyle w:val="8"/>
        <w:snapToGrid w:val="0"/>
        <w:spacing w:before="50" w:after="50"/>
        <w:ind w:firstLine="1280" w:firstLineChars="400"/>
        <w:rPr>
          <w:rFonts w:ascii="宋体" w:hAnsi="宋体" w:cs="宋体"/>
          <w:bCs/>
          <w:color w:val="auto"/>
          <w:sz w:val="32"/>
          <w:szCs w:val="32"/>
          <w:highlight w:val="none"/>
        </w:rPr>
      </w:pPr>
    </w:p>
    <w:p w14:paraId="7590B127">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4AE90E11">
      <w:pPr>
        <w:snapToGrid w:val="0"/>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69CD8767">
      <w:pPr>
        <w:snapToGrid w:val="0"/>
        <w:spacing w:before="156" w:beforeLines="50"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0CD06379">
      <w:pPr>
        <w:snapToGrid w:val="0"/>
        <w:spacing w:before="156" w:beforeLines="50" w:after="50"/>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184BF65">
      <w:pPr>
        <w:spacing w:line="300" w:lineRule="auto"/>
        <w:rPr>
          <w:rFonts w:ascii="宋体" w:hAnsi="宋体" w:cs="宋体"/>
          <w:color w:val="auto"/>
          <w:szCs w:val="21"/>
          <w:highlight w:val="none"/>
        </w:rPr>
      </w:pPr>
    </w:p>
    <w:p w14:paraId="4CAF6680">
      <w:pPr>
        <w:spacing w:line="300" w:lineRule="auto"/>
        <w:rPr>
          <w:rFonts w:ascii="宋体" w:hAnsi="宋体" w:cs="宋体"/>
          <w:color w:val="auto"/>
          <w:szCs w:val="21"/>
          <w:highlight w:val="none"/>
        </w:rPr>
      </w:pPr>
    </w:p>
    <w:p w14:paraId="7FFC0A0C">
      <w:pPr>
        <w:spacing w:line="300" w:lineRule="auto"/>
        <w:rPr>
          <w:rFonts w:ascii="宋体" w:hAnsi="宋体" w:cs="宋体"/>
          <w:color w:val="auto"/>
          <w:szCs w:val="21"/>
          <w:highlight w:val="none"/>
        </w:rPr>
      </w:pPr>
    </w:p>
    <w:p w14:paraId="031A6E7E">
      <w:pPr>
        <w:spacing w:line="300" w:lineRule="auto"/>
        <w:rPr>
          <w:rFonts w:ascii="宋体" w:hAnsi="宋体" w:cs="宋体"/>
          <w:color w:val="auto"/>
          <w:szCs w:val="21"/>
          <w:highlight w:val="none"/>
        </w:rPr>
      </w:pPr>
    </w:p>
    <w:p w14:paraId="280D7C44">
      <w:pPr>
        <w:spacing w:line="300" w:lineRule="auto"/>
        <w:rPr>
          <w:rFonts w:ascii="宋体" w:hAnsi="宋体" w:cs="宋体"/>
          <w:color w:val="auto"/>
          <w:szCs w:val="21"/>
          <w:highlight w:val="none"/>
        </w:rPr>
      </w:pPr>
    </w:p>
    <w:p w14:paraId="286501CB">
      <w:pPr>
        <w:spacing w:line="300" w:lineRule="auto"/>
        <w:rPr>
          <w:rFonts w:ascii="宋体" w:hAnsi="宋体" w:cs="宋体"/>
          <w:color w:val="auto"/>
          <w:szCs w:val="21"/>
          <w:highlight w:val="none"/>
        </w:rPr>
      </w:pPr>
    </w:p>
    <w:p w14:paraId="46027EFE">
      <w:pPr>
        <w:spacing w:line="300" w:lineRule="auto"/>
        <w:rPr>
          <w:rFonts w:ascii="宋体" w:hAnsi="宋体" w:cs="宋体"/>
          <w:color w:val="auto"/>
          <w:szCs w:val="21"/>
          <w:highlight w:val="none"/>
        </w:rPr>
      </w:pPr>
    </w:p>
    <w:p w14:paraId="68CEC397">
      <w:pPr>
        <w:spacing w:line="300" w:lineRule="auto"/>
        <w:rPr>
          <w:rFonts w:ascii="宋体" w:hAnsi="宋体" w:cs="宋体"/>
          <w:color w:val="auto"/>
          <w:szCs w:val="21"/>
          <w:highlight w:val="none"/>
        </w:rPr>
      </w:pPr>
    </w:p>
    <w:p w14:paraId="5F327895">
      <w:pPr>
        <w:spacing w:line="300" w:lineRule="auto"/>
        <w:rPr>
          <w:rFonts w:ascii="宋体" w:hAnsi="宋体" w:cs="宋体"/>
          <w:color w:val="auto"/>
          <w:szCs w:val="21"/>
          <w:highlight w:val="none"/>
        </w:rPr>
      </w:pPr>
    </w:p>
    <w:p w14:paraId="2E48C838">
      <w:pPr>
        <w:spacing w:line="300" w:lineRule="auto"/>
        <w:rPr>
          <w:rFonts w:ascii="宋体" w:hAnsi="宋体" w:cs="宋体"/>
          <w:color w:val="auto"/>
          <w:szCs w:val="21"/>
          <w:highlight w:val="none"/>
        </w:rPr>
      </w:pPr>
    </w:p>
    <w:p w14:paraId="3935C8E3">
      <w:pPr>
        <w:spacing w:line="300" w:lineRule="auto"/>
        <w:rPr>
          <w:rFonts w:ascii="宋体" w:hAnsi="宋体" w:cs="宋体"/>
          <w:color w:val="auto"/>
          <w:szCs w:val="21"/>
          <w:highlight w:val="none"/>
        </w:rPr>
      </w:pPr>
    </w:p>
    <w:p w14:paraId="5F687D50">
      <w:pPr>
        <w:spacing w:line="300" w:lineRule="auto"/>
        <w:rPr>
          <w:rFonts w:ascii="宋体" w:hAnsi="宋体" w:cs="宋体"/>
          <w:color w:val="auto"/>
          <w:szCs w:val="21"/>
          <w:highlight w:val="none"/>
        </w:rPr>
      </w:pPr>
    </w:p>
    <w:p w14:paraId="469C3F87">
      <w:pPr>
        <w:spacing w:line="300" w:lineRule="auto"/>
        <w:rPr>
          <w:rFonts w:ascii="宋体" w:hAnsi="宋体" w:cs="宋体"/>
          <w:color w:val="auto"/>
          <w:szCs w:val="21"/>
          <w:highlight w:val="none"/>
        </w:rPr>
      </w:pPr>
    </w:p>
    <w:p w14:paraId="733DF33C">
      <w:pPr>
        <w:spacing w:line="300" w:lineRule="auto"/>
        <w:rPr>
          <w:rFonts w:ascii="宋体" w:hAnsi="宋体" w:cs="宋体"/>
          <w:color w:val="auto"/>
          <w:szCs w:val="21"/>
          <w:highlight w:val="none"/>
        </w:rPr>
      </w:pPr>
    </w:p>
    <w:p w14:paraId="2AA932CB">
      <w:pPr>
        <w:spacing w:line="300" w:lineRule="auto"/>
        <w:rPr>
          <w:rFonts w:ascii="宋体" w:hAnsi="宋体" w:cs="宋体"/>
          <w:color w:val="auto"/>
          <w:szCs w:val="21"/>
          <w:highlight w:val="none"/>
        </w:rPr>
      </w:pPr>
    </w:p>
    <w:p w14:paraId="380E6219">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 xml:space="preserve"> </w:t>
      </w:r>
    </w:p>
    <w:p w14:paraId="1AD63672">
      <w:pPr>
        <w:wordWrap w:val="0"/>
        <w:spacing w:before="156" w:beforeLines="50" w:after="50" w:line="320" w:lineRule="exact"/>
        <w:ind w:right="482" w:firstLine="210" w:firstLineChars="100"/>
        <w:contextualSpacing/>
        <w:jc w:val="center"/>
        <w:rPr>
          <w:rFonts w:ascii="宋体" w:hAnsi="宋体" w:cs="宋体"/>
          <w:color w:val="auto"/>
          <w:szCs w:val="21"/>
          <w:highlight w:val="none"/>
        </w:rPr>
      </w:pPr>
    </w:p>
    <w:p w14:paraId="26F37354">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649C3508">
      <w:pPr>
        <w:snapToGrid w:val="0"/>
        <w:spacing w:before="156" w:beforeLines="50" w:after="50" w:line="360" w:lineRule="auto"/>
        <w:jc w:val="center"/>
        <w:rPr>
          <w:rFonts w:ascii="宋体" w:hAnsi="宋体" w:cs="宋体"/>
          <w:b/>
          <w:color w:val="auto"/>
          <w:sz w:val="24"/>
          <w:highlight w:val="none"/>
        </w:rPr>
      </w:pPr>
    </w:p>
    <w:p w14:paraId="57AB53BD">
      <w:pPr>
        <w:spacing w:line="360" w:lineRule="auto"/>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2B85FB6">
      <w:pPr>
        <w:spacing w:line="360" w:lineRule="auto"/>
        <w:contextualSpacing/>
        <w:jc w:val="center"/>
        <w:rPr>
          <w:rFonts w:ascii="宋体" w:hAnsi="宋体" w:cs="宋体"/>
          <w:b/>
          <w:color w:val="auto"/>
          <w:sz w:val="24"/>
          <w:highlight w:val="none"/>
        </w:rPr>
      </w:pPr>
    </w:p>
    <w:tbl>
      <w:tblPr>
        <w:tblStyle w:val="29"/>
        <w:tblW w:w="9579" w:type="dxa"/>
        <w:jc w:val="center"/>
        <w:shd w:val="clear" w:color="auto" w:fill="FBFBFB"/>
        <w:tblLayout w:type="fixed"/>
        <w:tblCellMar>
          <w:top w:w="0" w:type="dxa"/>
          <w:left w:w="0" w:type="dxa"/>
          <w:bottom w:w="0" w:type="dxa"/>
          <w:right w:w="0" w:type="dxa"/>
        </w:tblCellMar>
      </w:tblPr>
      <w:tblGrid>
        <w:gridCol w:w="880"/>
        <w:gridCol w:w="2267"/>
        <w:gridCol w:w="1296"/>
        <w:gridCol w:w="4307"/>
        <w:gridCol w:w="829"/>
      </w:tblGrid>
      <w:tr w14:paraId="41A7F2D0">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3CB21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89088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96"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19EE2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30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D21B6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2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72BC1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019128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1AF1A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B55036">
            <w:pPr>
              <w:widowControl/>
              <w:spacing w:line="360" w:lineRule="auto"/>
              <w:contextualSpacing/>
              <w:jc w:val="center"/>
              <w:rPr>
                <w:rFonts w:ascii="宋体" w:hAnsi="宋体" w:cs="宋体"/>
                <w:color w:val="auto"/>
                <w:kern w:val="0"/>
                <w:sz w:val="24"/>
                <w:highlight w:val="none"/>
              </w:rPr>
            </w:pPr>
          </w:p>
        </w:tc>
        <w:tc>
          <w:tcPr>
            <w:tcW w:w="1296"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D2F878">
            <w:pPr>
              <w:widowControl/>
              <w:spacing w:line="360" w:lineRule="auto"/>
              <w:contextualSpacing/>
              <w:jc w:val="center"/>
              <w:rPr>
                <w:rFonts w:ascii="宋体" w:hAnsi="宋体" w:cs="宋体"/>
                <w:color w:val="auto"/>
                <w:kern w:val="0"/>
                <w:sz w:val="24"/>
                <w:highlight w:val="none"/>
              </w:rPr>
            </w:pPr>
          </w:p>
        </w:tc>
        <w:tc>
          <w:tcPr>
            <w:tcW w:w="430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92C6B2">
            <w:pPr>
              <w:widowControl/>
              <w:spacing w:line="360" w:lineRule="auto"/>
              <w:contextualSpacing/>
              <w:jc w:val="center"/>
              <w:rPr>
                <w:rFonts w:ascii="宋体" w:hAnsi="宋体" w:cs="宋体"/>
                <w:color w:val="auto"/>
                <w:kern w:val="0"/>
                <w:sz w:val="24"/>
                <w:highlight w:val="none"/>
              </w:rPr>
            </w:pPr>
          </w:p>
        </w:tc>
        <w:tc>
          <w:tcPr>
            <w:tcW w:w="82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DD6FDB">
            <w:pPr>
              <w:widowControl/>
              <w:spacing w:line="360" w:lineRule="auto"/>
              <w:contextualSpacing/>
              <w:jc w:val="center"/>
              <w:rPr>
                <w:rFonts w:ascii="宋体" w:hAnsi="宋体" w:cs="宋体"/>
                <w:color w:val="auto"/>
                <w:kern w:val="0"/>
                <w:sz w:val="24"/>
                <w:highlight w:val="none"/>
              </w:rPr>
            </w:pPr>
          </w:p>
        </w:tc>
      </w:tr>
      <w:tr w14:paraId="04C2A9C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E99DF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5CDD8C">
            <w:pPr>
              <w:widowControl/>
              <w:spacing w:line="360" w:lineRule="auto"/>
              <w:contextualSpacing/>
              <w:jc w:val="center"/>
              <w:rPr>
                <w:rFonts w:ascii="宋体" w:hAnsi="宋体" w:cs="宋体"/>
                <w:color w:val="auto"/>
                <w:kern w:val="0"/>
                <w:sz w:val="24"/>
                <w:highlight w:val="none"/>
              </w:rPr>
            </w:pPr>
          </w:p>
        </w:tc>
        <w:tc>
          <w:tcPr>
            <w:tcW w:w="1296"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AC2A24">
            <w:pPr>
              <w:widowControl/>
              <w:spacing w:line="360" w:lineRule="auto"/>
              <w:contextualSpacing/>
              <w:jc w:val="center"/>
              <w:rPr>
                <w:rFonts w:ascii="宋体" w:hAnsi="宋体" w:cs="宋体"/>
                <w:color w:val="auto"/>
                <w:kern w:val="0"/>
                <w:sz w:val="24"/>
                <w:highlight w:val="none"/>
              </w:rPr>
            </w:pPr>
          </w:p>
        </w:tc>
        <w:tc>
          <w:tcPr>
            <w:tcW w:w="430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9583C">
            <w:pPr>
              <w:widowControl/>
              <w:spacing w:line="360" w:lineRule="auto"/>
              <w:contextualSpacing/>
              <w:jc w:val="center"/>
              <w:rPr>
                <w:rFonts w:ascii="宋体" w:hAnsi="宋体" w:cs="宋体"/>
                <w:color w:val="auto"/>
                <w:kern w:val="0"/>
                <w:sz w:val="24"/>
                <w:highlight w:val="none"/>
              </w:rPr>
            </w:pPr>
          </w:p>
        </w:tc>
        <w:tc>
          <w:tcPr>
            <w:tcW w:w="82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1AAF44">
            <w:pPr>
              <w:widowControl/>
              <w:spacing w:line="360" w:lineRule="auto"/>
              <w:contextualSpacing/>
              <w:jc w:val="center"/>
              <w:rPr>
                <w:rFonts w:ascii="宋体" w:hAnsi="宋体" w:cs="宋体"/>
                <w:color w:val="auto"/>
                <w:kern w:val="0"/>
                <w:sz w:val="24"/>
                <w:highlight w:val="none"/>
              </w:rPr>
            </w:pPr>
          </w:p>
        </w:tc>
      </w:tr>
      <w:tr w14:paraId="4F0F39C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F73A3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8209EE">
            <w:pPr>
              <w:widowControl/>
              <w:spacing w:line="360" w:lineRule="auto"/>
              <w:contextualSpacing/>
              <w:jc w:val="center"/>
              <w:rPr>
                <w:rFonts w:ascii="宋体" w:hAnsi="宋体" w:cs="宋体"/>
                <w:color w:val="auto"/>
                <w:kern w:val="0"/>
                <w:sz w:val="24"/>
                <w:highlight w:val="none"/>
              </w:rPr>
            </w:pPr>
          </w:p>
        </w:tc>
        <w:tc>
          <w:tcPr>
            <w:tcW w:w="1296"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C3CC26">
            <w:pPr>
              <w:widowControl/>
              <w:spacing w:line="360" w:lineRule="auto"/>
              <w:contextualSpacing/>
              <w:jc w:val="center"/>
              <w:rPr>
                <w:rFonts w:ascii="宋体" w:hAnsi="宋体" w:cs="宋体"/>
                <w:color w:val="auto"/>
                <w:kern w:val="0"/>
                <w:sz w:val="24"/>
                <w:highlight w:val="none"/>
              </w:rPr>
            </w:pPr>
          </w:p>
        </w:tc>
        <w:tc>
          <w:tcPr>
            <w:tcW w:w="430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7B9BBC">
            <w:pPr>
              <w:widowControl/>
              <w:spacing w:line="360" w:lineRule="auto"/>
              <w:contextualSpacing/>
              <w:jc w:val="center"/>
              <w:rPr>
                <w:rFonts w:ascii="宋体" w:hAnsi="宋体" w:cs="宋体"/>
                <w:color w:val="auto"/>
                <w:kern w:val="0"/>
                <w:sz w:val="24"/>
                <w:highlight w:val="none"/>
              </w:rPr>
            </w:pPr>
          </w:p>
        </w:tc>
        <w:tc>
          <w:tcPr>
            <w:tcW w:w="82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122B2D">
            <w:pPr>
              <w:widowControl/>
              <w:spacing w:line="360" w:lineRule="auto"/>
              <w:contextualSpacing/>
              <w:jc w:val="center"/>
              <w:rPr>
                <w:rFonts w:ascii="宋体" w:hAnsi="宋体" w:cs="宋体"/>
                <w:color w:val="auto"/>
                <w:kern w:val="0"/>
                <w:sz w:val="24"/>
                <w:highlight w:val="none"/>
              </w:rPr>
            </w:pPr>
          </w:p>
        </w:tc>
      </w:tr>
      <w:tr w14:paraId="00F2711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29999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F5CBBC">
            <w:pPr>
              <w:widowControl/>
              <w:spacing w:line="360" w:lineRule="auto"/>
              <w:contextualSpacing/>
              <w:jc w:val="center"/>
              <w:rPr>
                <w:rFonts w:ascii="宋体" w:hAnsi="宋体" w:cs="宋体"/>
                <w:color w:val="auto"/>
                <w:kern w:val="0"/>
                <w:sz w:val="24"/>
                <w:highlight w:val="none"/>
              </w:rPr>
            </w:pPr>
          </w:p>
        </w:tc>
        <w:tc>
          <w:tcPr>
            <w:tcW w:w="1296"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95C6A2">
            <w:pPr>
              <w:widowControl/>
              <w:spacing w:line="360" w:lineRule="auto"/>
              <w:contextualSpacing/>
              <w:jc w:val="center"/>
              <w:rPr>
                <w:rFonts w:ascii="宋体" w:hAnsi="宋体" w:cs="宋体"/>
                <w:color w:val="auto"/>
                <w:kern w:val="0"/>
                <w:sz w:val="24"/>
                <w:highlight w:val="none"/>
              </w:rPr>
            </w:pPr>
          </w:p>
        </w:tc>
        <w:tc>
          <w:tcPr>
            <w:tcW w:w="430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F21ECD">
            <w:pPr>
              <w:widowControl/>
              <w:spacing w:line="360" w:lineRule="auto"/>
              <w:contextualSpacing/>
              <w:jc w:val="center"/>
              <w:rPr>
                <w:rFonts w:ascii="宋体" w:hAnsi="宋体" w:cs="宋体"/>
                <w:color w:val="auto"/>
                <w:kern w:val="0"/>
                <w:sz w:val="24"/>
                <w:highlight w:val="none"/>
              </w:rPr>
            </w:pPr>
          </w:p>
        </w:tc>
        <w:tc>
          <w:tcPr>
            <w:tcW w:w="82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947251">
            <w:pPr>
              <w:widowControl/>
              <w:spacing w:line="360" w:lineRule="auto"/>
              <w:contextualSpacing/>
              <w:jc w:val="center"/>
              <w:rPr>
                <w:rFonts w:ascii="宋体" w:hAnsi="宋体" w:cs="宋体"/>
                <w:color w:val="auto"/>
                <w:kern w:val="0"/>
                <w:sz w:val="24"/>
                <w:highlight w:val="none"/>
              </w:rPr>
            </w:pPr>
          </w:p>
        </w:tc>
      </w:tr>
    </w:tbl>
    <w:p w14:paraId="6FE8FC6E">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582904F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AF760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E4FDAA3">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18836EDE">
      <w:pPr>
        <w:snapToGrid w:val="0"/>
        <w:spacing w:line="360" w:lineRule="auto"/>
        <w:jc w:val="left"/>
        <w:rPr>
          <w:rFonts w:ascii="宋体" w:hAnsi="宋体" w:cs="宋体"/>
          <w:color w:val="auto"/>
          <w:sz w:val="24"/>
          <w:highlight w:val="none"/>
        </w:rPr>
      </w:pPr>
    </w:p>
    <w:p w14:paraId="0540F15A">
      <w:pPr>
        <w:snapToGrid w:val="0"/>
        <w:spacing w:line="360" w:lineRule="auto"/>
        <w:jc w:val="left"/>
        <w:rPr>
          <w:rFonts w:ascii="宋体" w:hAnsi="宋体" w:cs="宋体"/>
          <w:color w:val="auto"/>
          <w:sz w:val="24"/>
          <w:highlight w:val="none"/>
        </w:rPr>
      </w:pPr>
    </w:p>
    <w:p w14:paraId="2777ADBD">
      <w:pPr>
        <w:snapToGrid w:val="0"/>
        <w:spacing w:before="156" w:beforeLines="50" w:line="360" w:lineRule="auto"/>
        <w:ind w:right="480" w:firstLine="1920" w:firstLineChars="800"/>
        <w:rPr>
          <w:rFonts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p>
    <w:p w14:paraId="3550ED4C">
      <w:pPr>
        <w:snapToGrid w:val="0"/>
        <w:spacing w:before="156" w:beforeLines="50" w:after="50" w:line="360" w:lineRule="auto"/>
        <w:ind w:right="480" w:firstLine="3000" w:firstLineChars="1250"/>
        <w:rPr>
          <w:rFonts w:ascii="宋体" w:hAnsi="宋体" w:cs="宋体"/>
          <w:color w:val="auto"/>
          <w:sz w:val="24"/>
          <w:highlight w:val="none"/>
          <w:u w:val="single"/>
        </w:rPr>
      </w:pPr>
      <w:r>
        <w:rPr>
          <w:rFonts w:hint="eastAsia" w:ascii="宋体" w:hAnsi="宋体" w:cs="宋体"/>
          <w:color w:val="auto"/>
          <w:sz w:val="24"/>
          <w:highlight w:val="none"/>
        </w:rPr>
        <w:t>供应商（盖公章 ）：</w:t>
      </w:r>
      <w:r>
        <w:rPr>
          <w:rFonts w:hint="eastAsia" w:ascii="宋体" w:hAnsi="宋体" w:cs="宋体"/>
          <w:color w:val="auto"/>
          <w:sz w:val="24"/>
          <w:highlight w:val="none"/>
          <w:u w:val="single"/>
        </w:rPr>
        <w:t xml:space="preserve">                       </w:t>
      </w:r>
    </w:p>
    <w:p w14:paraId="7CAC5AF1">
      <w:pPr>
        <w:snapToGrid w:val="0"/>
        <w:spacing w:before="156" w:beforeLines="50" w:after="50" w:line="360" w:lineRule="auto"/>
        <w:ind w:right="480" w:firstLine="5280" w:firstLineChars="2200"/>
        <w:rPr>
          <w:rFonts w:ascii="宋体" w:hAnsi="宋体" w:cs="宋体"/>
          <w:color w:val="auto"/>
          <w:sz w:val="28"/>
          <w:szCs w:val="28"/>
          <w:highlight w:val="none"/>
        </w:rPr>
      </w:pPr>
      <w:r>
        <w:rPr>
          <w:rFonts w:hint="eastAsia" w:ascii="宋体" w:hAnsi="宋体" w:cs="宋体"/>
          <w:color w:val="auto"/>
          <w:sz w:val="24"/>
          <w:highlight w:val="none"/>
        </w:rPr>
        <w:t>年    月    日</w:t>
      </w:r>
    </w:p>
    <w:p w14:paraId="7B29C3B0">
      <w:pPr>
        <w:snapToGrid w:val="0"/>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0C4525C3">
      <w:pPr>
        <w:spacing w:line="320" w:lineRule="exact"/>
        <w:jc w:val="center"/>
        <w:rPr>
          <w:rFonts w:ascii="宋体" w:hAnsi="宋体" w:cs="宋体"/>
          <w:b/>
          <w:color w:val="auto"/>
          <w:sz w:val="32"/>
          <w:szCs w:val="32"/>
          <w:highlight w:val="none"/>
        </w:rPr>
      </w:pPr>
    </w:p>
    <w:p w14:paraId="53C64FD4">
      <w:pPr>
        <w:spacing w:line="320" w:lineRule="exact"/>
        <w:jc w:val="center"/>
        <w:rPr>
          <w:rFonts w:ascii="宋体" w:hAnsi="宋体" w:cs="宋体"/>
          <w:b/>
          <w:color w:val="auto"/>
          <w:sz w:val="32"/>
          <w:szCs w:val="32"/>
          <w:highlight w:val="none"/>
        </w:rPr>
      </w:pPr>
    </w:p>
    <w:p w14:paraId="79F15560">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A652A27">
      <w:pPr>
        <w:snapToGrid w:val="0"/>
        <w:spacing w:line="360" w:lineRule="auto"/>
        <w:jc w:val="center"/>
        <w:rPr>
          <w:rFonts w:ascii="宋体" w:hAnsi="宋体" w:cs="宋体"/>
          <w:b/>
          <w:color w:val="auto"/>
          <w:sz w:val="24"/>
          <w:highlight w:val="none"/>
        </w:rPr>
      </w:pPr>
    </w:p>
    <w:tbl>
      <w:tblPr>
        <w:tblStyle w:val="29"/>
        <w:tblW w:w="8980" w:type="dxa"/>
        <w:jc w:val="center"/>
        <w:shd w:val="clear" w:color="auto" w:fill="FBFBFB"/>
        <w:tblLayout w:type="fixed"/>
        <w:tblCellMar>
          <w:top w:w="0" w:type="dxa"/>
          <w:left w:w="0" w:type="dxa"/>
          <w:bottom w:w="0" w:type="dxa"/>
          <w:right w:w="0" w:type="dxa"/>
        </w:tblCellMar>
      </w:tblPr>
      <w:tblGrid>
        <w:gridCol w:w="808"/>
        <w:gridCol w:w="3195"/>
        <w:gridCol w:w="3193"/>
        <w:gridCol w:w="1784"/>
      </w:tblGrid>
      <w:tr w14:paraId="511D154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0EF1C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19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5D864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19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F533B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78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CE298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020B36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C57BA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19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25F7CF">
            <w:pPr>
              <w:widowControl/>
              <w:spacing w:line="360" w:lineRule="auto"/>
              <w:contextualSpacing/>
              <w:jc w:val="center"/>
              <w:rPr>
                <w:rFonts w:ascii="宋体" w:hAnsi="宋体" w:cs="宋体"/>
                <w:color w:val="auto"/>
                <w:kern w:val="0"/>
                <w:sz w:val="24"/>
                <w:highlight w:val="none"/>
              </w:rPr>
            </w:pPr>
          </w:p>
        </w:tc>
        <w:tc>
          <w:tcPr>
            <w:tcW w:w="319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A08BE1">
            <w:pPr>
              <w:widowControl/>
              <w:spacing w:line="360" w:lineRule="auto"/>
              <w:contextualSpacing/>
              <w:jc w:val="center"/>
              <w:rPr>
                <w:rFonts w:ascii="宋体" w:hAnsi="宋体" w:cs="宋体"/>
                <w:color w:val="auto"/>
                <w:kern w:val="0"/>
                <w:sz w:val="24"/>
                <w:highlight w:val="none"/>
              </w:rPr>
            </w:pPr>
          </w:p>
        </w:tc>
        <w:tc>
          <w:tcPr>
            <w:tcW w:w="178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2FBBF">
            <w:pPr>
              <w:widowControl/>
              <w:spacing w:line="360" w:lineRule="auto"/>
              <w:contextualSpacing/>
              <w:jc w:val="center"/>
              <w:rPr>
                <w:rFonts w:ascii="宋体" w:hAnsi="宋体" w:cs="宋体"/>
                <w:color w:val="auto"/>
                <w:kern w:val="0"/>
                <w:sz w:val="24"/>
                <w:highlight w:val="none"/>
              </w:rPr>
            </w:pPr>
          </w:p>
        </w:tc>
      </w:tr>
      <w:tr w14:paraId="3C133BC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8ED77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19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ED161F">
            <w:pPr>
              <w:widowControl/>
              <w:spacing w:line="360" w:lineRule="auto"/>
              <w:contextualSpacing/>
              <w:jc w:val="center"/>
              <w:rPr>
                <w:rFonts w:ascii="宋体" w:hAnsi="宋体" w:cs="宋体"/>
                <w:color w:val="auto"/>
                <w:kern w:val="0"/>
                <w:sz w:val="24"/>
                <w:highlight w:val="none"/>
              </w:rPr>
            </w:pPr>
          </w:p>
        </w:tc>
        <w:tc>
          <w:tcPr>
            <w:tcW w:w="319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7682F2">
            <w:pPr>
              <w:widowControl/>
              <w:spacing w:line="360" w:lineRule="auto"/>
              <w:contextualSpacing/>
              <w:jc w:val="center"/>
              <w:rPr>
                <w:rFonts w:ascii="宋体" w:hAnsi="宋体" w:cs="宋体"/>
                <w:color w:val="auto"/>
                <w:kern w:val="0"/>
                <w:sz w:val="24"/>
                <w:highlight w:val="none"/>
              </w:rPr>
            </w:pPr>
          </w:p>
        </w:tc>
        <w:tc>
          <w:tcPr>
            <w:tcW w:w="178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8A5608">
            <w:pPr>
              <w:widowControl/>
              <w:spacing w:line="360" w:lineRule="auto"/>
              <w:contextualSpacing/>
              <w:jc w:val="center"/>
              <w:rPr>
                <w:rFonts w:ascii="宋体" w:hAnsi="宋体" w:cs="宋体"/>
                <w:color w:val="auto"/>
                <w:kern w:val="0"/>
                <w:sz w:val="24"/>
                <w:highlight w:val="none"/>
              </w:rPr>
            </w:pPr>
          </w:p>
        </w:tc>
      </w:tr>
      <w:tr w14:paraId="630A268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E86CE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19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A785B5">
            <w:pPr>
              <w:widowControl/>
              <w:spacing w:line="360" w:lineRule="auto"/>
              <w:contextualSpacing/>
              <w:jc w:val="center"/>
              <w:rPr>
                <w:rFonts w:ascii="宋体" w:hAnsi="宋体" w:cs="宋体"/>
                <w:color w:val="auto"/>
                <w:kern w:val="0"/>
                <w:sz w:val="24"/>
                <w:highlight w:val="none"/>
              </w:rPr>
            </w:pPr>
          </w:p>
        </w:tc>
        <w:tc>
          <w:tcPr>
            <w:tcW w:w="319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C140C8">
            <w:pPr>
              <w:widowControl/>
              <w:spacing w:line="360" w:lineRule="auto"/>
              <w:contextualSpacing/>
              <w:jc w:val="center"/>
              <w:rPr>
                <w:rFonts w:ascii="宋体" w:hAnsi="宋体" w:cs="宋体"/>
                <w:color w:val="auto"/>
                <w:kern w:val="0"/>
                <w:sz w:val="24"/>
                <w:highlight w:val="none"/>
              </w:rPr>
            </w:pPr>
          </w:p>
        </w:tc>
        <w:tc>
          <w:tcPr>
            <w:tcW w:w="178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DEEBD5">
            <w:pPr>
              <w:widowControl/>
              <w:spacing w:line="360" w:lineRule="auto"/>
              <w:contextualSpacing/>
              <w:jc w:val="center"/>
              <w:rPr>
                <w:rFonts w:ascii="宋体" w:hAnsi="宋体" w:cs="宋体"/>
                <w:color w:val="auto"/>
                <w:kern w:val="0"/>
                <w:sz w:val="24"/>
                <w:highlight w:val="none"/>
              </w:rPr>
            </w:pPr>
          </w:p>
        </w:tc>
      </w:tr>
      <w:tr w14:paraId="1ACAB6F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756602">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19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D72775">
            <w:pPr>
              <w:widowControl/>
              <w:spacing w:line="360" w:lineRule="auto"/>
              <w:contextualSpacing/>
              <w:jc w:val="center"/>
              <w:rPr>
                <w:rFonts w:ascii="宋体" w:hAnsi="宋体" w:cs="宋体"/>
                <w:color w:val="auto"/>
                <w:kern w:val="0"/>
                <w:sz w:val="24"/>
                <w:highlight w:val="none"/>
              </w:rPr>
            </w:pPr>
          </w:p>
        </w:tc>
        <w:tc>
          <w:tcPr>
            <w:tcW w:w="319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1166FC">
            <w:pPr>
              <w:widowControl/>
              <w:spacing w:line="360" w:lineRule="auto"/>
              <w:contextualSpacing/>
              <w:jc w:val="center"/>
              <w:rPr>
                <w:rFonts w:ascii="宋体" w:hAnsi="宋体" w:cs="宋体"/>
                <w:color w:val="auto"/>
                <w:kern w:val="0"/>
                <w:sz w:val="24"/>
                <w:highlight w:val="none"/>
              </w:rPr>
            </w:pPr>
          </w:p>
        </w:tc>
        <w:tc>
          <w:tcPr>
            <w:tcW w:w="178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A87CDB">
            <w:pPr>
              <w:widowControl/>
              <w:spacing w:line="360" w:lineRule="auto"/>
              <w:contextualSpacing/>
              <w:jc w:val="center"/>
              <w:rPr>
                <w:rFonts w:ascii="宋体" w:hAnsi="宋体" w:cs="宋体"/>
                <w:color w:val="auto"/>
                <w:kern w:val="0"/>
                <w:sz w:val="24"/>
                <w:highlight w:val="none"/>
              </w:rPr>
            </w:pPr>
          </w:p>
        </w:tc>
      </w:tr>
    </w:tbl>
    <w:p w14:paraId="6DD95680">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45D85E9E">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18B29F74">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79BE6A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52EB7EE3">
      <w:pPr>
        <w:spacing w:line="360" w:lineRule="auto"/>
        <w:contextualSpacing/>
        <w:jc w:val="left"/>
        <w:rPr>
          <w:rFonts w:ascii="宋体" w:hAnsi="宋体" w:cs="宋体"/>
          <w:color w:val="auto"/>
          <w:sz w:val="24"/>
          <w:highlight w:val="none"/>
        </w:rPr>
      </w:pPr>
    </w:p>
    <w:p w14:paraId="2F6FA07C">
      <w:pPr>
        <w:spacing w:line="360" w:lineRule="auto"/>
        <w:contextualSpacing/>
        <w:jc w:val="left"/>
        <w:rPr>
          <w:rFonts w:ascii="宋体" w:hAnsi="宋体" w:cs="宋体"/>
          <w:color w:val="auto"/>
          <w:sz w:val="24"/>
          <w:highlight w:val="none"/>
        </w:rPr>
      </w:pPr>
    </w:p>
    <w:p w14:paraId="686C7C9A">
      <w:pPr>
        <w:spacing w:line="360" w:lineRule="auto"/>
        <w:contextualSpacing/>
        <w:jc w:val="left"/>
        <w:rPr>
          <w:rFonts w:ascii="宋体" w:hAnsi="宋体" w:cs="宋体"/>
          <w:color w:val="auto"/>
          <w:sz w:val="24"/>
          <w:highlight w:val="none"/>
        </w:rPr>
      </w:pPr>
    </w:p>
    <w:p w14:paraId="24F50BB2">
      <w:pPr>
        <w:spacing w:line="360" w:lineRule="auto"/>
        <w:contextualSpacing/>
        <w:jc w:val="left"/>
        <w:rPr>
          <w:rFonts w:ascii="宋体" w:hAnsi="宋体" w:cs="宋体"/>
          <w:color w:val="auto"/>
          <w:sz w:val="24"/>
          <w:highlight w:val="none"/>
        </w:rPr>
      </w:pPr>
    </w:p>
    <w:p w14:paraId="67CE66C8">
      <w:pPr>
        <w:spacing w:line="360" w:lineRule="auto"/>
        <w:contextualSpacing/>
        <w:jc w:val="left"/>
        <w:rPr>
          <w:rFonts w:ascii="宋体" w:hAnsi="宋体" w:cs="宋体"/>
          <w:color w:val="auto"/>
          <w:sz w:val="24"/>
          <w:highlight w:val="none"/>
        </w:rPr>
      </w:pPr>
    </w:p>
    <w:p w14:paraId="7449EC8E">
      <w:pPr>
        <w:spacing w:line="360" w:lineRule="auto"/>
        <w:contextualSpacing/>
        <w:jc w:val="left"/>
        <w:rPr>
          <w:rFonts w:ascii="宋体" w:hAnsi="宋体" w:cs="宋体"/>
          <w:color w:val="auto"/>
          <w:sz w:val="24"/>
          <w:highlight w:val="none"/>
        </w:rPr>
      </w:pPr>
    </w:p>
    <w:p w14:paraId="530504FC">
      <w:pPr>
        <w:spacing w:line="360" w:lineRule="auto"/>
        <w:ind w:right="480" w:firstLine="2160" w:firstLineChars="900"/>
        <w:contextualSpacing/>
        <w:rPr>
          <w:rFonts w:ascii="宋体" w:hAnsi="宋体" w:cs="宋体"/>
          <w:color w:val="auto"/>
          <w:sz w:val="24"/>
          <w:highlight w:val="none"/>
          <w:u w:val="single"/>
        </w:rPr>
      </w:pPr>
      <w:r>
        <w:rPr>
          <w:rFonts w:hint="eastAsia" w:ascii="宋体" w:hAnsi="宋体" w:cs="宋体"/>
          <w:color w:val="auto"/>
          <w:sz w:val="24"/>
          <w:highlight w:val="none"/>
        </w:rPr>
        <w:t>法定代表人或者委托代理人签字：</w:t>
      </w:r>
      <w:r>
        <w:rPr>
          <w:rFonts w:hint="eastAsia" w:ascii="宋体" w:hAnsi="宋体" w:cs="宋体"/>
          <w:color w:val="auto"/>
          <w:sz w:val="24"/>
          <w:highlight w:val="none"/>
          <w:u w:val="single"/>
        </w:rPr>
        <w:t xml:space="preserve">               </w:t>
      </w:r>
    </w:p>
    <w:p w14:paraId="029D2C10">
      <w:pPr>
        <w:spacing w:line="360" w:lineRule="auto"/>
        <w:ind w:right="480" w:firstLine="3360" w:firstLineChars="1400"/>
        <w:contextualSpacing/>
        <w:rPr>
          <w:rFonts w:ascii="宋体" w:hAnsi="宋体" w:cs="宋体"/>
          <w:color w:val="auto"/>
          <w:sz w:val="24"/>
          <w:highlight w:val="non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p>
    <w:p w14:paraId="62B02698">
      <w:pP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年    月    日</w:t>
      </w:r>
    </w:p>
    <w:p w14:paraId="1AC58BAF">
      <w:pPr>
        <w:spacing w:line="3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78C89B9">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w:t>
      </w:r>
    </w:p>
    <w:p w14:paraId="558C4D2E">
      <w:pPr>
        <w:spacing w:line="320" w:lineRule="exact"/>
        <w:jc w:val="center"/>
        <w:rPr>
          <w:rFonts w:ascii="宋体" w:hAnsi="宋体" w:cs="宋体"/>
          <w:color w:val="auto"/>
          <w:sz w:val="24"/>
          <w:szCs w:val="20"/>
          <w:highlight w:val="none"/>
        </w:rPr>
      </w:pPr>
    </w:p>
    <w:p w14:paraId="0279C8C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1518902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5EE66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BB1EF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6A0DAF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3FD877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04256C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C08619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4893DDE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6BB3D14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6C70C17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3CBB24C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27F072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E42AF6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F50A21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3664C3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687360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4C31303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612ACB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5794F1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79DCC27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51CE1D1">
      <w:pPr>
        <w:pStyle w:val="20"/>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600FC433">
      <w:pPr>
        <w:pStyle w:val="2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7E6B7FC">
      <w:pPr>
        <w:pStyle w:val="18"/>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492D281F">
      <w:pPr>
        <w:pStyle w:val="18"/>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6469047A">
      <w:pPr>
        <w:pStyle w:val="18"/>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2BDDA6A5">
      <w:pPr>
        <w:pStyle w:val="18"/>
        <w:tabs>
          <w:tab w:val="left" w:pos="939"/>
        </w:tabs>
        <w:spacing w:line="360" w:lineRule="auto"/>
        <w:ind w:left="0" w:leftChars="0" w:firstLine="480" w:firstLineChars="200"/>
        <w:rPr>
          <w:rFonts w:ascii="宋体" w:hAnsi="宋体" w:cs="宋体"/>
          <w:color w:val="auto"/>
          <w:sz w:val="24"/>
          <w:highlight w:val="none"/>
        </w:rPr>
      </w:pPr>
    </w:p>
    <w:p w14:paraId="714ED81D">
      <w:pP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法定代表人（签字）：</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8C5B802">
      <w:pPr>
        <w:spacing w:line="360" w:lineRule="auto"/>
        <w:ind w:firstLine="4320" w:firstLineChars="1800"/>
        <w:contextualSpacing/>
        <w:rPr>
          <w:rFonts w:ascii="宋体" w:hAnsi="宋体" w:cs="宋体"/>
          <w:color w:val="auto"/>
          <w:sz w:val="24"/>
          <w:highlight w:val="none"/>
          <w:u w:val="singl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4311F15">
      <w:pPr>
        <w:spacing w:line="360" w:lineRule="auto"/>
        <w:ind w:right="480" w:firstLine="240" w:firstLineChars="10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7B825A4B">
      <w:pPr>
        <w:snapToGrid w:val="0"/>
        <w:spacing w:before="156" w:beforeLines="50" w:after="50" w:line="360" w:lineRule="auto"/>
        <w:ind w:right="480"/>
        <w:rPr>
          <w:rFonts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报价商务技术文件格式</w:t>
      </w:r>
    </w:p>
    <w:p w14:paraId="52CEDE24">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1.报价商务技术文件封面格式</w:t>
      </w:r>
    </w:p>
    <w:p w14:paraId="652CDE52">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0559E86D">
      <w:pPr>
        <w:snapToGrid w:val="0"/>
        <w:spacing w:before="156" w:beforeLines="50" w:after="50"/>
        <w:rPr>
          <w:rFonts w:ascii="宋体" w:hAnsi="宋体" w:cs="宋体"/>
          <w:color w:val="auto"/>
          <w:sz w:val="24"/>
          <w:szCs w:val="20"/>
          <w:highlight w:val="none"/>
        </w:rPr>
      </w:pPr>
    </w:p>
    <w:p w14:paraId="65366201">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725ABA58">
      <w:pPr>
        <w:snapToGrid w:val="0"/>
        <w:spacing w:before="156" w:beforeLines="50" w:after="50"/>
        <w:rPr>
          <w:rFonts w:ascii="宋体" w:hAnsi="宋体" w:cs="宋体"/>
          <w:color w:val="auto"/>
          <w:sz w:val="24"/>
          <w:szCs w:val="20"/>
          <w:highlight w:val="none"/>
        </w:rPr>
      </w:pPr>
    </w:p>
    <w:p w14:paraId="1DABB716">
      <w:pPr>
        <w:snapToGrid w:val="0"/>
        <w:spacing w:before="156" w:beforeLines="50" w:after="50"/>
        <w:rPr>
          <w:rFonts w:ascii="宋体" w:hAnsi="宋体" w:cs="宋体"/>
          <w:color w:val="auto"/>
          <w:sz w:val="24"/>
          <w:szCs w:val="20"/>
          <w:highlight w:val="none"/>
        </w:rPr>
      </w:pPr>
    </w:p>
    <w:p w14:paraId="5F9B76DF">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商  务  技  术  文  件</w:t>
      </w:r>
    </w:p>
    <w:p w14:paraId="6A2C2579">
      <w:pPr>
        <w:snapToGrid w:val="0"/>
        <w:spacing w:before="156" w:beforeLines="50" w:after="50"/>
        <w:rPr>
          <w:rFonts w:ascii="宋体" w:hAnsi="宋体" w:cs="宋体"/>
          <w:bCs/>
          <w:color w:val="auto"/>
          <w:sz w:val="24"/>
          <w:szCs w:val="20"/>
          <w:highlight w:val="none"/>
        </w:rPr>
      </w:pPr>
    </w:p>
    <w:p w14:paraId="3AA67257">
      <w:pPr>
        <w:snapToGrid w:val="0"/>
        <w:spacing w:before="156" w:beforeLines="50" w:after="50"/>
        <w:rPr>
          <w:rFonts w:ascii="宋体" w:hAnsi="宋体" w:cs="宋体"/>
          <w:bCs/>
          <w:color w:val="auto"/>
          <w:sz w:val="24"/>
          <w:szCs w:val="20"/>
          <w:highlight w:val="none"/>
        </w:rPr>
      </w:pPr>
    </w:p>
    <w:p w14:paraId="1E7D5637">
      <w:pPr>
        <w:snapToGrid w:val="0"/>
        <w:spacing w:before="156" w:beforeLines="50" w:after="50"/>
        <w:rPr>
          <w:rFonts w:ascii="宋体" w:hAnsi="宋体" w:cs="宋体"/>
          <w:bCs/>
          <w:color w:val="auto"/>
          <w:sz w:val="24"/>
          <w:szCs w:val="20"/>
          <w:highlight w:val="none"/>
        </w:rPr>
      </w:pPr>
    </w:p>
    <w:p w14:paraId="496130F4">
      <w:pPr>
        <w:snapToGrid w:val="0"/>
        <w:spacing w:before="156" w:beforeLines="50" w:after="50"/>
        <w:rPr>
          <w:rFonts w:ascii="宋体" w:hAnsi="宋体" w:cs="宋体"/>
          <w:bCs/>
          <w:color w:val="auto"/>
          <w:sz w:val="24"/>
          <w:szCs w:val="20"/>
          <w:highlight w:val="none"/>
        </w:rPr>
      </w:pPr>
    </w:p>
    <w:p w14:paraId="309FEA97">
      <w:pPr>
        <w:snapToGrid w:val="0"/>
        <w:spacing w:before="156" w:beforeLines="50" w:after="50"/>
        <w:rPr>
          <w:rFonts w:ascii="宋体" w:hAnsi="宋体" w:cs="宋体"/>
          <w:bCs/>
          <w:color w:val="auto"/>
          <w:sz w:val="24"/>
          <w:szCs w:val="20"/>
          <w:highlight w:val="none"/>
        </w:rPr>
      </w:pPr>
    </w:p>
    <w:p w14:paraId="01F7768E">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D8BD4F2">
      <w:pPr>
        <w:snapToGrid w:val="0"/>
        <w:spacing w:before="156" w:beforeLines="50" w:after="50"/>
        <w:ind w:firstLine="720" w:firstLineChars="225"/>
        <w:rPr>
          <w:rFonts w:ascii="宋体" w:hAnsi="宋体" w:cs="宋体"/>
          <w:bCs/>
          <w:color w:val="auto"/>
          <w:sz w:val="32"/>
          <w:szCs w:val="32"/>
          <w:highlight w:val="none"/>
        </w:rPr>
      </w:pPr>
    </w:p>
    <w:p w14:paraId="4874F399">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9B22174">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1BA360F">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w:t>
      </w:r>
    </w:p>
    <w:p w14:paraId="6FB8ABE6">
      <w:pPr>
        <w:snapToGrid w:val="0"/>
        <w:spacing w:before="156" w:beforeLines="50" w:after="50"/>
        <w:ind w:firstLine="720" w:firstLineChars="225"/>
        <w:rPr>
          <w:rFonts w:ascii="宋体" w:hAnsi="宋体" w:cs="宋体"/>
          <w:bCs/>
          <w:color w:val="auto"/>
          <w:sz w:val="32"/>
          <w:szCs w:val="32"/>
          <w:highlight w:val="none"/>
        </w:rPr>
      </w:pPr>
    </w:p>
    <w:p w14:paraId="1AA77737">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59538BF">
      <w:pPr>
        <w:pStyle w:val="8"/>
        <w:snapToGrid w:val="0"/>
        <w:spacing w:before="50" w:after="50"/>
        <w:ind w:firstLine="720" w:firstLineChars="225"/>
        <w:rPr>
          <w:rFonts w:ascii="宋体" w:hAnsi="宋体" w:cs="宋体"/>
          <w:bCs/>
          <w:color w:val="auto"/>
          <w:sz w:val="32"/>
          <w:szCs w:val="32"/>
          <w:highlight w:val="none"/>
        </w:rPr>
      </w:pPr>
    </w:p>
    <w:p w14:paraId="68AEC0F7">
      <w:pPr>
        <w:pStyle w:val="8"/>
        <w:snapToGrid w:val="0"/>
        <w:spacing w:before="50" w:after="50"/>
        <w:ind w:firstLine="720" w:firstLineChars="225"/>
        <w:rPr>
          <w:rFonts w:ascii="宋体" w:hAnsi="宋体" w:cs="宋体"/>
          <w:bCs/>
          <w:color w:val="auto"/>
          <w:sz w:val="32"/>
          <w:szCs w:val="32"/>
          <w:highlight w:val="none"/>
        </w:rPr>
      </w:pPr>
    </w:p>
    <w:p w14:paraId="132DABCF">
      <w:pPr>
        <w:pStyle w:val="8"/>
        <w:snapToGrid w:val="0"/>
        <w:spacing w:before="50" w:after="50"/>
        <w:ind w:firstLine="1280" w:firstLineChars="400"/>
        <w:rPr>
          <w:rFonts w:ascii="宋体" w:hAnsi="宋体" w:cs="宋体"/>
          <w:bCs/>
          <w:color w:val="auto"/>
          <w:sz w:val="32"/>
          <w:szCs w:val="32"/>
          <w:highlight w:val="none"/>
        </w:rPr>
      </w:pPr>
    </w:p>
    <w:p w14:paraId="5A24E323">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542AA5BB">
      <w:pPr>
        <w:snapToGrid w:val="0"/>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2.报价商务技术文件目录</w:t>
      </w:r>
    </w:p>
    <w:p w14:paraId="0324E5FB">
      <w:pPr>
        <w:snapToGrid w:val="0"/>
        <w:spacing w:before="156"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39978901">
      <w:pPr>
        <w:spacing w:line="400" w:lineRule="exact"/>
        <w:rPr>
          <w:rFonts w:ascii="宋体" w:hAnsi="宋体" w:cs="宋体"/>
          <w:color w:val="auto"/>
          <w:sz w:val="32"/>
          <w:szCs w:val="32"/>
          <w:highlight w:val="none"/>
        </w:rPr>
      </w:pPr>
    </w:p>
    <w:p w14:paraId="056FB566">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298EBFDB">
      <w:pPr>
        <w:spacing w:line="360" w:lineRule="auto"/>
        <w:ind w:firstLine="640" w:firstLineChars="200"/>
        <w:contextualSpacing/>
        <w:rPr>
          <w:rFonts w:ascii="宋体" w:hAnsi="宋体" w:cs="宋体"/>
          <w:color w:val="auto"/>
          <w:sz w:val="32"/>
          <w:szCs w:val="32"/>
          <w:highlight w:val="none"/>
        </w:rPr>
      </w:pPr>
    </w:p>
    <w:p w14:paraId="6462F811">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43D3974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275EE58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7E98D7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4883660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73ED4F6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720B820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3E88F494">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271BB31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6CB29E0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B6615A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365901F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0FADC60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892340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3BE31A0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126A79CE">
      <w:pPr>
        <w:spacing w:line="360" w:lineRule="auto"/>
        <w:ind w:firstLine="480" w:firstLineChars="200"/>
        <w:contextualSpacing/>
        <w:rPr>
          <w:rFonts w:ascii="宋体" w:hAnsi="宋体" w:cs="宋体"/>
          <w:color w:val="auto"/>
          <w:sz w:val="24"/>
          <w:highlight w:val="none"/>
        </w:rPr>
      </w:pPr>
    </w:p>
    <w:p w14:paraId="19CF7F99">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85EC70E">
      <w:pPr>
        <w:spacing w:line="360" w:lineRule="auto"/>
        <w:contextualSpacing/>
        <w:rPr>
          <w:rFonts w:ascii="宋体" w:hAnsi="宋体" w:cs="宋体"/>
          <w:color w:val="auto"/>
          <w:sz w:val="24"/>
          <w:highlight w:val="none"/>
        </w:rPr>
      </w:pPr>
    </w:p>
    <w:p w14:paraId="77073FF2">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供应商（盖公章）：</w:t>
      </w:r>
    </w:p>
    <w:p w14:paraId="6C2D1B46">
      <w:pPr>
        <w:spacing w:line="360" w:lineRule="auto"/>
        <w:ind w:firstLine="480" w:firstLineChars="200"/>
        <w:contextualSpacing/>
        <w:jc w:val="center"/>
        <w:rPr>
          <w:rFonts w:ascii="宋体" w:hAnsi="宋体" w:cs="宋体"/>
          <w:color w:val="auto"/>
          <w:sz w:val="32"/>
          <w:szCs w:val="32"/>
          <w:highlight w:val="none"/>
        </w:rPr>
      </w:pPr>
      <w:r>
        <w:rPr>
          <w:rFonts w:hint="eastAsia" w:ascii="宋体" w:hAnsi="宋体" w:cs="宋体"/>
          <w:color w:val="auto"/>
          <w:sz w:val="24"/>
          <w:highlight w:val="none"/>
        </w:rPr>
        <w:t xml:space="preserve">                               年   月   日</w:t>
      </w:r>
    </w:p>
    <w:p w14:paraId="197C5015">
      <w:pPr>
        <w:spacing w:line="52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p>
    <w:p w14:paraId="5118EEA6">
      <w:pPr>
        <w:spacing w:line="520" w:lineRule="exact"/>
        <w:jc w:val="center"/>
        <w:rPr>
          <w:rFonts w:ascii="宋体" w:hAnsi="宋体" w:cs="宋体"/>
          <w:bCs/>
          <w:color w:val="auto"/>
          <w:sz w:val="32"/>
          <w:szCs w:val="32"/>
          <w:highlight w:val="none"/>
        </w:rPr>
      </w:pPr>
      <w:r>
        <w:rPr>
          <w:rFonts w:hint="eastAsia" w:ascii="宋体" w:hAnsi="宋体" w:cs="宋体"/>
          <w:bCs/>
          <w:color w:val="auto"/>
          <w:sz w:val="44"/>
          <w:szCs w:val="44"/>
          <w:highlight w:val="none"/>
        </w:rPr>
        <w:t>竞标报价表</w:t>
      </w:r>
    </w:p>
    <w:p w14:paraId="448838E9">
      <w:pPr>
        <w:spacing w:line="440" w:lineRule="exact"/>
        <w:jc w:val="center"/>
        <w:rPr>
          <w:rFonts w:ascii="宋体" w:hAnsi="宋体" w:cs="宋体"/>
          <w:bCs/>
          <w:color w:val="auto"/>
          <w:sz w:val="32"/>
          <w:szCs w:val="32"/>
          <w:highlight w:val="none"/>
        </w:rPr>
      </w:pPr>
    </w:p>
    <w:p w14:paraId="38FC1DFC">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B17102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ED2BC0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单位：元</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677"/>
        <w:gridCol w:w="1426"/>
        <w:gridCol w:w="2762"/>
        <w:gridCol w:w="1318"/>
      </w:tblGrid>
      <w:tr w14:paraId="524B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7584EE13">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序号</w:t>
            </w:r>
          </w:p>
        </w:tc>
        <w:tc>
          <w:tcPr>
            <w:tcW w:w="2677" w:type="dxa"/>
            <w:tcBorders>
              <w:top w:val="single" w:color="auto" w:sz="4" w:space="0"/>
              <w:left w:val="single" w:color="auto" w:sz="4" w:space="0"/>
              <w:bottom w:val="single" w:color="auto" w:sz="4" w:space="0"/>
              <w:right w:val="single" w:color="auto" w:sz="4" w:space="0"/>
            </w:tcBorders>
            <w:vAlign w:val="center"/>
          </w:tcPr>
          <w:p w14:paraId="07AE4751">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1426" w:type="dxa"/>
            <w:tcBorders>
              <w:top w:val="single" w:color="auto" w:sz="4" w:space="0"/>
              <w:left w:val="single" w:color="auto" w:sz="4" w:space="0"/>
              <w:bottom w:val="single" w:color="auto" w:sz="4" w:space="0"/>
              <w:right w:val="single" w:color="auto" w:sz="4" w:space="0"/>
            </w:tcBorders>
            <w:vAlign w:val="center"/>
          </w:tcPr>
          <w:p w14:paraId="43F29E01">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数量单位</w:t>
            </w:r>
          </w:p>
        </w:tc>
        <w:tc>
          <w:tcPr>
            <w:tcW w:w="2762" w:type="dxa"/>
            <w:tcBorders>
              <w:top w:val="single" w:color="auto" w:sz="4" w:space="0"/>
              <w:left w:val="single" w:color="auto" w:sz="4" w:space="0"/>
              <w:bottom w:val="single" w:color="auto" w:sz="4" w:space="0"/>
              <w:right w:val="single" w:color="auto" w:sz="4" w:space="0"/>
            </w:tcBorders>
            <w:vAlign w:val="center"/>
          </w:tcPr>
          <w:p w14:paraId="4DA47350">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总报价</w:t>
            </w:r>
          </w:p>
        </w:tc>
        <w:tc>
          <w:tcPr>
            <w:tcW w:w="1318" w:type="dxa"/>
            <w:tcBorders>
              <w:top w:val="single" w:color="auto" w:sz="4" w:space="0"/>
              <w:left w:val="single" w:color="auto" w:sz="4" w:space="0"/>
              <w:bottom w:val="single" w:color="auto" w:sz="4" w:space="0"/>
              <w:right w:val="single" w:color="auto" w:sz="4" w:space="0"/>
            </w:tcBorders>
            <w:vAlign w:val="center"/>
          </w:tcPr>
          <w:p w14:paraId="38E8B3E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备注</w:t>
            </w:r>
          </w:p>
        </w:tc>
      </w:tr>
      <w:tr w14:paraId="6286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3842AE1A">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2677" w:type="dxa"/>
            <w:tcBorders>
              <w:top w:val="single" w:color="auto" w:sz="4" w:space="0"/>
              <w:left w:val="single" w:color="auto" w:sz="4" w:space="0"/>
              <w:bottom w:val="single" w:color="auto" w:sz="4" w:space="0"/>
              <w:right w:val="single" w:color="auto" w:sz="4" w:space="0"/>
            </w:tcBorders>
            <w:vAlign w:val="center"/>
          </w:tcPr>
          <w:p w14:paraId="711DE4B9">
            <w:pPr>
              <w:spacing w:line="360" w:lineRule="auto"/>
              <w:contextualSpacing/>
              <w:jc w:val="center"/>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2DC7FC6">
            <w:pPr>
              <w:spacing w:line="360" w:lineRule="auto"/>
              <w:contextualSpacing/>
              <w:rPr>
                <w:rFonts w:ascii="宋体" w:hAnsi="宋体" w:cs="宋体"/>
                <w:color w:val="auto"/>
                <w:sz w:val="24"/>
                <w:highlight w:val="none"/>
              </w:rPr>
            </w:pPr>
          </w:p>
        </w:tc>
        <w:tc>
          <w:tcPr>
            <w:tcW w:w="2762" w:type="dxa"/>
            <w:tcBorders>
              <w:top w:val="single" w:color="auto" w:sz="4" w:space="0"/>
              <w:left w:val="single" w:color="auto" w:sz="4" w:space="0"/>
              <w:bottom w:val="single" w:color="auto" w:sz="4" w:space="0"/>
              <w:right w:val="single" w:color="auto" w:sz="4" w:space="0"/>
            </w:tcBorders>
          </w:tcPr>
          <w:p w14:paraId="001E9E6F">
            <w:pPr>
              <w:spacing w:line="360" w:lineRule="auto"/>
              <w:contextualSpacing/>
              <w:rPr>
                <w:rFonts w:ascii="宋体" w:hAnsi="宋体" w:cs="宋体"/>
                <w:color w:val="auto"/>
                <w:sz w:val="24"/>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14:paraId="31B0B116">
            <w:pPr>
              <w:spacing w:line="360" w:lineRule="auto"/>
              <w:contextualSpacing/>
              <w:rPr>
                <w:rFonts w:ascii="宋体" w:hAnsi="宋体" w:cs="宋体"/>
                <w:color w:val="auto"/>
                <w:sz w:val="24"/>
                <w:highlight w:val="none"/>
              </w:rPr>
            </w:pPr>
          </w:p>
        </w:tc>
      </w:tr>
      <w:tr w14:paraId="71D7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1" w:hRule="atLeast"/>
          <w:jc w:val="center"/>
        </w:trPr>
        <w:tc>
          <w:tcPr>
            <w:tcW w:w="8908" w:type="dxa"/>
            <w:gridSpan w:val="5"/>
            <w:tcBorders>
              <w:top w:val="single" w:color="auto" w:sz="4" w:space="0"/>
              <w:left w:val="single" w:color="auto" w:sz="4" w:space="0"/>
              <w:bottom w:val="single" w:color="auto" w:sz="4" w:space="0"/>
              <w:right w:val="single" w:color="auto" w:sz="4" w:space="0"/>
            </w:tcBorders>
            <w:vAlign w:val="center"/>
          </w:tcPr>
          <w:p w14:paraId="59DC41D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6257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8908" w:type="dxa"/>
            <w:gridSpan w:val="5"/>
            <w:tcBorders>
              <w:top w:val="single" w:color="auto" w:sz="4" w:space="0"/>
              <w:left w:val="single" w:color="auto" w:sz="4" w:space="0"/>
              <w:bottom w:val="single" w:color="auto" w:sz="4" w:space="0"/>
              <w:right w:val="single" w:color="auto" w:sz="4" w:space="0"/>
            </w:tcBorders>
            <w:vAlign w:val="center"/>
          </w:tcPr>
          <w:p w14:paraId="6644394D">
            <w:pPr>
              <w:spacing w:line="360" w:lineRule="auto"/>
              <w:contextualSpacing/>
              <w:rPr>
                <w:rFonts w:ascii="宋体" w:hAnsi="宋体" w:cs="宋体"/>
                <w:color w:val="auto"/>
                <w:sz w:val="24"/>
                <w:highlight w:val="none"/>
              </w:rPr>
            </w:pPr>
            <w:r>
              <w:rPr>
                <w:rFonts w:hint="eastAsia" w:ascii="宋体" w:hAnsi="宋体" w:cs="宋体"/>
                <w:color w:val="auto"/>
                <w:kern w:val="56"/>
                <w:sz w:val="24"/>
                <w:highlight w:val="none"/>
              </w:rPr>
              <w:t>施工工期：</w:t>
            </w:r>
            <w:r>
              <w:rPr>
                <w:rFonts w:hint="eastAsia" w:ascii="宋体" w:hAnsi="宋体" w:cs="宋体"/>
                <w:color w:val="auto"/>
                <w:kern w:val="56"/>
                <w:sz w:val="24"/>
                <w:highlight w:val="none"/>
                <w:u w:val="single"/>
              </w:rPr>
              <w:t xml:space="preserve">                </w:t>
            </w:r>
          </w:p>
        </w:tc>
      </w:tr>
      <w:tr w14:paraId="11D4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8908" w:type="dxa"/>
            <w:gridSpan w:val="5"/>
            <w:tcBorders>
              <w:top w:val="single" w:color="auto" w:sz="4" w:space="0"/>
              <w:left w:val="single" w:color="auto" w:sz="4" w:space="0"/>
              <w:bottom w:val="single" w:color="auto" w:sz="4" w:space="0"/>
              <w:right w:val="single" w:color="auto" w:sz="4" w:space="0"/>
            </w:tcBorders>
            <w:vAlign w:val="center"/>
          </w:tcPr>
          <w:p w14:paraId="44372006">
            <w:pPr>
              <w:spacing w:line="360" w:lineRule="auto"/>
              <w:contextualSpacing/>
              <w:rPr>
                <w:rFonts w:ascii="宋体" w:hAnsi="宋体" w:cs="宋体"/>
                <w:color w:val="auto"/>
                <w:kern w:val="56"/>
                <w:sz w:val="24"/>
                <w:highlight w:val="none"/>
              </w:rPr>
            </w:pPr>
            <w:r>
              <w:rPr>
                <w:rFonts w:hint="eastAsia" w:ascii="宋体" w:hAnsi="宋体" w:cs="宋体"/>
                <w:color w:val="auto"/>
                <w:kern w:val="56"/>
                <w:sz w:val="24"/>
                <w:highlight w:val="none"/>
              </w:rPr>
              <w:t>质量要求：</w:t>
            </w:r>
            <w:r>
              <w:rPr>
                <w:rFonts w:hint="eastAsia" w:ascii="宋体" w:hAnsi="宋体" w:cs="宋体"/>
                <w:color w:val="auto"/>
                <w:kern w:val="56"/>
                <w:sz w:val="24"/>
                <w:highlight w:val="none"/>
                <w:u w:val="single"/>
              </w:rPr>
              <w:t xml:space="preserve">                </w:t>
            </w:r>
          </w:p>
        </w:tc>
      </w:tr>
      <w:tr w14:paraId="3575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8908" w:type="dxa"/>
            <w:gridSpan w:val="5"/>
            <w:tcBorders>
              <w:top w:val="single" w:color="auto" w:sz="4" w:space="0"/>
              <w:left w:val="single" w:color="auto" w:sz="4" w:space="0"/>
              <w:bottom w:val="single" w:color="auto" w:sz="4" w:space="0"/>
              <w:right w:val="single" w:color="auto" w:sz="4" w:space="0"/>
            </w:tcBorders>
            <w:vAlign w:val="center"/>
          </w:tcPr>
          <w:p w14:paraId="1D9698EB">
            <w:pPr>
              <w:spacing w:line="360" w:lineRule="auto"/>
              <w:contextualSpacing/>
              <w:rPr>
                <w:rFonts w:ascii="宋体" w:hAnsi="宋体" w:cs="宋体"/>
                <w:color w:val="auto"/>
                <w:kern w:val="56"/>
                <w:sz w:val="24"/>
                <w:highlight w:val="none"/>
              </w:rPr>
            </w:pPr>
            <w:r>
              <w:rPr>
                <w:rFonts w:hint="eastAsia" w:ascii="宋体" w:hAnsi="宋体" w:cs="宋体"/>
                <w:color w:val="auto"/>
                <w:kern w:val="56"/>
                <w:sz w:val="24"/>
                <w:highlight w:val="none"/>
              </w:rPr>
              <w:t>项目经理：</w:t>
            </w:r>
            <w:r>
              <w:rPr>
                <w:rFonts w:hint="eastAsia" w:ascii="宋体" w:hAnsi="宋体" w:cs="宋体"/>
                <w:color w:val="auto"/>
                <w:kern w:val="56"/>
                <w:sz w:val="24"/>
                <w:highlight w:val="none"/>
                <w:u w:val="single"/>
              </w:rPr>
              <w:t xml:space="preserve">                </w:t>
            </w:r>
          </w:p>
        </w:tc>
      </w:tr>
    </w:tbl>
    <w:p w14:paraId="6D198A39">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 xml:space="preserve">注： </w:t>
      </w:r>
    </w:p>
    <w:p w14:paraId="07D88DE5">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1.供应商的报价表必须加盖供应商公章并由法定代表人或者委托代理人签字，</w:t>
      </w:r>
      <w:r>
        <w:rPr>
          <w:rFonts w:hint="eastAsia" w:ascii="宋体" w:hAnsi="宋体" w:cs="宋体"/>
          <w:b/>
          <w:color w:val="auto"/>
          <w:sz w:val="24"/>
          <w:highlight w:val="none"/>
        </w:rPr>
        <w:t>否则其响应文件按无效响应处理</w:t>
      </w:r>
      <w:r>
        <w:rPr>
          <w:rFonts w:hint="eastAsia" w:ascii="宋体" w:hAnsi="宋体" w:cs="宋体"/>
          <w:color w:val="auto"/>
          <w:sz w:val="24"/>
          <w:highlight w:val="none"/>
        </w:rPr>
        <w:t>。</w:t>
      </w:r>
    </w:p>
    <w:p w14:paraId="19C82DEF">
      <w:pPr>
        <w:spacing w:line="360" w:lineRule="auto"/>
        <w:ind w:firstLine="480" w:firstLineChars="200"/>
        <w:contextualSpacing/>
        <w:jc w:val="left"/>
        <w:rPr>
          <w:rFonts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报价一经涂改，应在涂改处加盖供应商公章或者由法定代表人或者委托代理人签字或者盖章</w:t>
      </w:r>
      <w:r>
        <w:rPr>
          <w:rFonts w:hint="eastAsia" w:ascii="宋体" w:hAnsi="宋体" w:cs="宋体"/>
          <w:b/>
          <w:color w:val="auto"/>
          <w:sz w:val="24"/>
          <w:highlight w:val="none"/>
        </w:rPr>
        <w:t>，否则其响应文件按无效响应处理。</w:t>
      </w:r>
    </w:p>
    <w:p w14:paraId="2F96F5F4">
      <w:pPr>
        <w:spacing w:line="360" w:lineRule="auto"/>
        <w:ind w:firstLine="480" w:firstLineChars="200"/>
        <w:contextualSpacing/>
        <w:jc w:val="left"/>
        <w:rPr>
          <w:rFonts w:ascii="宋体" w:hAnsi="宋体" w:cs="宋体"/>
          <w:b/>
          <w:color w:val="auto"/>
          <w:spacing w:val="-6"/>
          <w:sz w:val="24"/>
          <w:highlight w:val="none"/>
        </w:rPr>
      </w:pPr>
      <w:r>
        <w:rPr>
          <w:rFonts w:hint="eastAsia" w:ascii="宋体" w:hAnsi="宋体" w:cs="宋体"/>
          <w:color w:val="auto"/>
          <w:sz w:val="24"/>
          <w:highlight w:val="none"/>
        </w:rPr>
        <w:t>3.</w:t>
      </w:r>
      <w:r>
        <w:rPr>
          <w:rFonts w:hint="eastAsia" w:ascii="宋体" w:hAnsi="宋体" w:cs="宋体"/>
          <w:color w:val="auto"/>
          <w:spacing w:val="-6"/>
          <w:sz w:val="24"/>
          <w:highlight w:val="none"/>
        </w:rPr>
        <w:t>如有多分标，分别列明各分标的报价表，</w:t>
      </w:r>
      <w:r>
        <w:rPr>
          <w:rFonts w:hint="eastAsia" w:ascii="宋体" w:hAnsi="宋体" w:cs="宋体"/>
          <w:b/>
          <w:color w:val="auto"/>
          <w:spacing w:val="-6"/>
          <w:sz w:val="24"/>
          <w:highlight w:val="none"/>
        </w:rPr>
        <w:t>否则其响应文件按无效响应处理。</w:t>
      </w:r>
    </w:p>
    <w:p w14:paraId="4D665A19">
      <w:pPr>
        <w:spacing w:line="360" w:lineRule="auto"/>
        <w:ind w:firstLine="458" w:firstLineChars="200"/>
        <w:contextualSpacing/>
        <w:rPr>
          <w:rFonts w:ascii="宋体" w:hAnsi="宋体" w:cs="宋体"/>
          <w:color w:val="auto"/>
          <w:sz w:val="24"/>
          <w:highlight w:val="none"/>
        </w:rPr>
      </w:pPr>
      <w:r>
        <w:rPr>
          <w:rFonts w:hint="eastAsia" w:ascii="宋体" w:hAnsi="宋体" w:cs="宋体"/>
          <w:b/>
          <w:color w:val="auto"/>
          <w:spacing w:val="-6"/>
          <w:sz w:val="24"/>
          <w:highlight w:val="none"/>
        </w:rPr>
        <w:t>4.竞标报价表须后附已标价的工程量清单，清单格式详见采购人或采购代理机构提供的工程量清单，否则其响应文件按无效响应处理。</w:t>
      </w:r>
    </w:p>
    <w:p w14:paraId="6A9B3D5B">
      <w:pPr>
        <w:spacing w:line="360" w:lineRule="auto"/>
        <w:ind w:right="-817" w:rightChars="-389" w:firstLine="960" w:firstLineChars="400"/>
        <w:contextualSpacing/>
        <w:rPr>
          <w:rFonts w:ascii="宋体" w:hAnsi="宋体" w:cs="宋体"/>
          <w:color w:val="auto"/>
          <w:sz w:val="24"/>
          <w:highlight w:val="none"/>
        </w:rPr>
      </w:pPr>
    </w:p>
    <w:p w14:paraId="608DC8D0">
      <w:pPr>
        <w:spacing w:line="360" w:lineRule="auto"/>
        <w:ind w:right="-817" w:rightChars="-389" w:firstLine="960" w:firstLineChars="400"/>
        <w:contextualSpacing/>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3A5DBDF6">
      <w:pPr>
        <w:spacing w:line="360" w:lineRule="auto"/>
        <w:ind w:right="-817" w:rightChars="-389" w:firstLine="2640" w:firstLineChars="110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394D5D82">
      <w:pPr>
        <w:spacing w:line="360" w:lineRule="auto"/>
        <w:ind w:right="-817" w:rightChars="-389" w:firstLine="4080" w:firstLineChars="1700"/>
        <w:contextualSpacing/>
        <w:jc w:val="center"/>
        <w:rPr>
          <w:rFonts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color w:val="auto"/>
          <w:sz w:val="32"/>
          <w:szCs w:val="32"/>
          <w:highlight w:val="none"/>
        </w:rPr>
        <w:br w:type="page"/>
      </w:r>
    </w:p>
    <w:p w14:paraId="68092794">
      <w:pPr>
        <w:spacing w:line="360" w:lineRule="auto"/>
        <w:ind w:right="-817" w:rightChars="-389"/>
        <w:contextualSpacing/>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4240536C">
      <w:pPr>
        <w:spacing w:line="360" w:lineRule="auto"/>
        <w:ind w:left="540"/>
        <w:contextualSpacing/>
        <w:rPr>
          <w:rFonts w:ascii="宋体" w:hAnsi="宋体" w:cs="宋体"/>
          <w:color w:val="auto"/>
          <w:sz w:val="32"/>
          <w:szCs w:val="32"/>
          <w:highlight w:val="none"/>
        </w:rPr>
      </w:pPr>
    </w:p>
    <w:p w14:paraId="38CD3D56">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34B6E3A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67498970">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B2A77DD">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77451B85">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313DAD0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26240584">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4EF46B39">
      <w:pPr>
        <w:spacing w:line="360" w:lineRule="auto"/>
        <w:ind w:left="540"/>
        <w:contextualSpacing/>
        <w:rPr>
          <w:rFonts w:ascii="宋体" w:hAnsi="宋体" w:cs="宋体"/>
          <w:color w:val="auto"/>
          <w:sz w:val="24"/>
          <w:highlight w:val="none"/>
        </w:rPr>
      </w:pPr>
    </w:p>
    <w:p w14:paraId="11C2547C">
      <w:pPr>
        <w:spacing w:line="360" w:lineRule="auto"/>
        <w:ind w:left="540"/>
        <w:contextualSpacing/>
        <w:rPr>
          <w:rFonts w:ascii="宋体" w:hAnsi="宋体" w:cs="宋体"/>
          <w:color w:val="auto"/>
          <w:sz w:val="24"/>
          <w:highlight w:val="none"/>
        </w:rPr>
      </w:pPr>
    </w:p>
    <w:p w14:paraId="672FC64D">
      <w:pPr>
        <w:spacing w:line="360" w:lineRule="auto"/>
        <w:ind w:left="540"/>
        <w:contextualSpacing/>
        <w:rPr>
          <w:rFonts w:ascii="宋体" w:hAnsi="宋体" w:cs="宋体"/>
          <w:color w:val="auto"/>
          <w:sz w:val="24"/>
          <w:highlight w:val="none"/>
        </w:rPr>
      </w:pPr>
    </w:p>
    <w:p w14:paraId="2ED76D16">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980BB2A">
      <w:pPr>
        <w:spacing w:line="360" w:lineRule="auto"/>
        <w:ind w:left="540"/>
        <w:contextualSpacing/>
        <w:rPr>
          <w:rFonts w:ascii="宋体" w:hAnsi="宋体" w:cs="宋体"/>
          <w:color w:val="auto"/>
          <w:sz w:val="24"/>
          <w:highlight w:val="none"/>
        </w:rPr>
      </w:pPr>
    </w:p>
    <w:p w14:paraId="7A98E962">
      <w:pPr>
        <w:spacing w:line="360" w:lineRule="auto"/>
        <w:ind w:left="540"/>
        <w:contextualSpacing/>
        <w:jc w:val="right"/>
        <w:rPr>
          <w:rFonts w:ascii="宋体" w:hAnsi="宋体" w:cs="宋体"/>
          <w:color w:val="auto"/>
          <w:sz w:val="24"/>
          <w:highlight w:val="non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p>
    <w:p w14:paraId="573E5E78">
      <w:pPr>
        <w:spacing w:line="360" w:lineRule="auto"/>
        <w:ind w:firstLine="4080" w:firstLineChars="1700"/>
        <w:contextualSpacing/>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EBB03D4">
      <w:pPr>
        <w:spacing w:line="360" w:lineRule="auto"/>
        <w:contextualSpacing/>
        <w:jc w:val="center"/>
        <w:rPr>
          <w:rFonts w:ascii="宋体" w:hAnsi="宋体" w:cs="宋体"/>
          <w:b/>
          <w:color w:val="auto"/>
          <w:sz w:val="24"/>
          <w:highlight w:val="none"/>
        </w:rPr>
      </w:pPr>
    </w:p>
    <w:p w14:paraId="378E9483">
      <w:pPr>
        <w:spacing w:line="360" w:lineRule="auto"/>
        <w:contextualSpacing/>
        <w:jc w:val="left"/>
        <w:rPr>
          <w:rFonts w:ascii="宋体" w:hAnsi="宋体" w:cs="宋体"/>
          <w:color w:val="auto"/>
          <w:sz w:val="24"/>
          <w:highlight w:val="none"/>
        </w:rPr>
      </w:pPr>
    </w:p>
    <w:p w14:paraId="73E43DC7">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注：自然人竞标的无需提供。</w:t>
      </w:r>
    </w:p>
    <w:p w14:paraId="1622F37B">
      <w:pPr>
        <w:adjustRightInd w:val="0"/>
        <w:snapToGrid w:val="0"/>
        <w:spacing w:line="300" w:lineRule="auto"/>
        <w:jc w:val="left"/>
        <w:rPr>
          <w:rFonts w:ascii="宋体" w:hAnsi="宋体" w:cs="宋体"/>
          <w:b/>
          <w:color w:val="auto"/>
          <w:szCs w:val="21"/>
          <w:highlight w:val="none"/>
        </w:rPr>
      </w:pPr>
    </w:p>
    <w:p w14:paraId="55E376A5">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124B844A">
      <w:pPr>
        <w:spacing w:line="520" w:lineRule="exact"/>
        <w:jc w:val="center"/>
        <w:rPr>
          <w:rFonts w:ascii="宋体" w:hAnsi="宋体" w:cs="宋体"/>
          <w:color w:val="auto"/>
          <w:sz w:val="44"/>
          <w:szCs w:val="44"/>
          <w:highlight w:val="none"/>
        </w:rPr>
      </w:pPr>
      <w:bookmarkStart w:id="85" w:name="_Hlk65853643"/>
      <w:r>
        <w:rPr>
          <w:rFonts w:hint="eastAsia" w:ascii="宋体" w:hAnsi="宋体" w:cs="宋体"/>
          <w:color w:val="auto"/>
          <w:sz w:val="44"/>
          <w:szCs w:val="44"/>
          <w:highlight w:val="none"/>
        </w:rPr>
        <w:t>授权委托书</w:t>
      </w:r>
    </w:p>
    <w:p w14:paraId="761ED762">
      <w:pPr>
        <w:spacing w:line="520" w:lineRule="exact"/>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1839B5E7">
      <w:pPr>
        <w:spacing w:line="520" w:lineRule="exact"/>
        <w:rPr>
          <w:rFonts w:ascii="宋体" w:hAnsi="宋体" w:cs="宋体"/>
          <w:color w:val="auto"/>
          <w:sz w:val="32"/>
          <w:szCs w:val="32"/>
          <w:highlight w:val="none"/>
        </w:rPr>
      </w:pPr>
    </w:p>
    <w:p w14:paraId="79041696">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2CE377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2D5DB93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7F96CA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6E9E6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66406B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50727B5E">
      <w:pPr>
        <w:spacing w:line="360" w:lineRule="auto"/>
        <w:rPr>
          <w:rFonts w:ascii="宋体" w:hAnsi="宋体" w:cs="宋体"/>
          <w:color w:val="auto"/>
          <w:sz w:val="24"/>
          <w:highlight w:val="none"/>
        </w:rPr>
      </w:pPr>
    </w:p>
    <w:p w14:paraId="52F39E1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法定代表人（签字或者盖章）：                    </w:t>
      </w:r>
    </w:p>
    <w:p w14:paraId="6704A32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37F333D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08183C1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供应商（盖公章）：                      </w:t>
      </w:r>
    </w:p>
    <w:p w14:paraId="24C6CDD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79D2CE59">
      <w:pPr>
        <w:spacing w:line="360" w:lineRule="auto"/>
        <w:rPr>
          <w:rFonts w:ascii="宋体" w:hAnsi="宋体" w:cs="宋体"/>
          <w:color w:val="auto"/>
          <w:sz w:val="24"/>
          <w:highlight w:val="none"/>
        </w:rPr>
      </w:pPr>
    </w:p>
    <w:p w14:paraId="27431D1A">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法定代表人必须在授权委托书上亲笔签字或者盖章，委托代理人必须在授权委托书上亲笔签字，</w:t>
      </w:r>
      <w:r>
        <w:rPr>
          <w:rFonts w:hint="eastAsia" w:ascii="宋体" w:hAnsi="宋体" w:cs="宋体"/>
          <w:b/>
          <w:color w:val="auto"/>
          <w:sz w:val="24"/>
          <w:highlight w:val="none"/>
        </w:rPr>
        <w:t>否则其响应文件按无效响应处理。</w:t>
      </w:r>
    </w:p>
    <w:p w14:paraId="54C03028">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bookmarkStart w:id="86" w:name="_Hlk65853109"/>
      <w:bookmarkStart w:id="87" w:name="_Hlk65853542"/>
      <w:r>
        <w:rPr>
          <w:rFonts w:hint="eastAsia" w:ascii="宋体" w:hAnsi="宋体" w:cs="宋体"/>
          <w:color w:val="auto"/>
          <w:sz w:val="24"/>
          <w:highlight w:val="none"/>
        </w:rPr>
        <w:t>法人、其他组织竞标时“我方”是指“我单位”，自然人竞标时“我方”是指“本人”。</w:t>
      </w:r>
      <w:bookmarkEnd w:id="86"/>
    </w:p>
    <w:bookmarkEnd w:id="87"/>
    <w:p w14:paraId="6C0453D5">
      <w:pPr>
        <w:spacing w:line="360" w:lineRule="auto"/>
        <w:ind w:firstLine="420" w:firstLineChars="200"/>
        <w:jc w:val="left"/>
        <w:rPr>
          <w:rFonts w:ascii="宋体" w:hAnsi="宋体" w:cs="宋体"/>
          <w:color w:val="auto"/>
          <w:szCs w:val="21"/>
          <w:highlight w:val="none"/>
        </w:rPr>
      </w:pPr>
    </w:p>
    <w:p w14:paraId="7D110265">
      <w:pPr>
        <w:widowControl/>
        <w:snapToGrid w:val="0"/>
        <w:spacing w:before="50" w:after="50" w:line="360" w:lineRule="auto"/>
        <w:jc w:val="center"/>
        <w:rPr>
          <w:rFonts w:ascii="宋体" w:hAnsi="宋体" w:cs="宋体"/>
          <w:color w:val="auto"/>
          <w:szCs w:val="21"/>
          <w:highlight w:val="none"/>
        </w:rPr>
      </w:pPr>
      <w:r>
        <w:rPr>
          <w:rFonts w:hint="eastAsia" w:ascii="宋体" w:hAnsi="宋体" w:cs="宋体"/>
          <w:color w:val="auto"/>
          <w:szCs w:val="21"/>
          <w:highlight w:val="none"/>
        </w:rPr>
        <w:br w:type="page"/>
      </w:r>
      <w:bookmarkEnd w:id="85"/>
    </w:p>
    <w:p w14:paraId="1095CBD0">
      <w:pPr>
        <w:widowControl/>
        <w:snapToGrid w:val="0"/>
        <w:spacing w:before="50" w:after="50" w:line="360" w:lineRule="auto"/>
        <w:jc w:val="center"/>
        <w:rPr>
          <w:rFonts w:ascii="宋体" w:hAnsi="宋体" w:cs="宋体"/>
          <w:color w:val="auto"/>
          <w:szCs w:val="21"/>
          <w:highlight w:val="none"/>
        </w:rPr>
      </w:pPr>
    </w:p>
    <w:p w14:paraId="5DB8AC6C">
      <w:pPr>
        <w:widowControl/>
        <w:snapToGrid w:val="0"/>
        <w:spacing w:before="50" w:after="50" w:line="360" w:lineRule="auto"/>
        <w:jc w:val="center"/>
        <w:rPr>
          <w:rFonts w:ascii="宋体" w:hAnsi="宋体" w:cs="宋体"/>
          <w:b/>
          <w:color w:val="auto"/>
          <w:sz w:val="30"/>
          <w:szCs w:val="30"/>
          <w:highlight w:val="none"/>
        </w:rPr>
      </w:pPr>
      <w:r>
        <w:rPr>
          <w:rFonts w:hint="eastAsia" w:ascii="宋体" w:hAnsi="宋体" w:cs="宋体"/>
          <w:b/>
          <w:color w:val="auto"/>
          <w:sz w:val="30"/>
          <w:szCs w:val="30"/>
          <w:highlight w:val="none"/>
        </w:rPr>
        <w:t>商务要求偏离表（格式）</w:t>
      </w:r>
    </w:p>
    <w:p w14:paraId="10BB9E7A">
      <w:pPr>
        <w:autoSpaceDE w:val="0"/>
        <w:autoSpaceDN w:val="0"/>
        <w:adjustRightInd w:val="0"/>
        <w:jc w:val="left"/>
        <w:rPr>
          <w:rFonts w:ascii="宋体" w:hAnsi="宋体" w:cs="宋体"/>
          <w:color w:val="auto"/>
          <w:kern w:val="0"/>
          <w:sz w:val="24"/>
          <w:highlight w:val="none"/>
        </w:rPr>
      </w:pPr>
    </w:p>
    <w:tbl>
      <w:tblPr>
        <w:tblStyle w:val="29"/>
        <w:tblW w:w="89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61"/>
        <w:gridCol w:w="2883"/>
        <w:gridCol w:w="2279"/>
        <w:gridCol w:w="1795"/>
      </w:tblGrid>
      <w:tr w14:paraId="3604B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08BB6FB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项目</w:t>
            </w:r>
          </w:p>
        </w:tc>
        <w:tc>
          <w:tcPr>
            <w:tcW w:w="2883" w:type="dxa"/>
            <w:tcBorders>
              <w:top w:val="single" w:color="auto" w:sz="4" w:space="0"/>
              <w:left w:val="single" w:color="auto" w:sz="4" w:space="0"/>
              <w:bottom w:val="single" w:color="auto" w:sz="4" w:space="0"/>
              <w:right w:val="single" w:color="auto" w:sz="4" w:space="0"/>
            </w:tcBorders>
            <w:vAlign w:val="center"/>
          </w:tcPr>
          <w:p w14:paraId="19BA48B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采购文件商务要求</w:t>
            </w:r>
          </w:p>
        </w:tc>
        <w:tc>
          <w:tcPr>
            <w:tcW w:w="2279" w:type="dxa"/>
            <w:tcBorders>
              <w:top w:val="single" w:color="auto" w:sz="4" w:space="0"/>
              <w:left w:val="single" w:color="auto" w:sz="4" w:space="0"/>
              <w:bottom w:val="single" w:color="auto" w:sz="4" w:space="0"/>
              <w:right w:val="single" w:color="auto" w:sz="4" w:space="0"/>
            </w:tcBorders>
            <w:vAlign w:val="center"/>
          </w:tcPr>
          <w:p w14:paraId="1A84E1B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供应商的响应</w:t>
            </w:r>
          </w:p>
        </w:tc>
        <w:tc>
          <w:tcPr>
            <w:tcW w:w="1795" w:type="dxa"/>
            <w:tcBorders>
              <w:top w:val="single" w:color="auto" w:sz="4" w:space="0"/>
              <w:left w:val="single" w:color="auto" w:sz="4" w:space="0"/>
              <w:bottom w:val="single" w:color="auto" w:sz="4" w:space="0"/>
              <w:right w:val="single" w:color="auto" w:sz="4" w:space="0"/>
            </w:tcBorders>
            <w:vAlign w:val="center"/>
          </w:tcPr>
          <w:p w14:paraId="76D3CA4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40C59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6D9BEB89">
            <w:pPr>
              <w:spacing w:line="420" w:lineRule="exact"/>
              <w:jc w:val="center"/>
              <w:rPr>
                <w:rFonts w:ascii="宋体" w:hAnsi="宋体" w:cs="宋体"/>
                <w:color w:val="auto"/>
                <w:szCs w:val="21"/>
                <w:highlight w:val="none"/>
              </w:rPr>
            </w:pPr>
            <w:r>
              <w:rPr>
                <w:rFonts w:hint="eastAsia" w:ascii="宋体" w:hAnsi="宋体"/>
                <w:color w:val="auto"/>
                <w:szCs w:val="21"/>
                <w:highlight w:val="none"/>
              </w:rPr>
              <w:t>......</w:t>
            </w:r>
          </w:p>
        </w:tc>
        <w:tc>
          <w:tcPr>
            <w:tcW w:w="2883" w:type="dxa"/>
            <w:tcBorders>
              <w:top w:val="single" w:color="auto" w:sz="4" w:space="0"/>
              <w:left w:val="single" w:color="auto" w:sz="4" w:space="0"/>
              <w:bottom w:val="single" w:color="auto" w:sz="4" w:space="0"/>
              <w:right w:val="single" w:color="auto" w:sz="4" w:space="0"/>
            </w:tcBorders>
            <w:vAlign w:val="center"/>
          </w:tcPr>
          <w:p w14:paraId="11A7D1C5">
            <w:pPr>
              <w:widowControl/>
              <w:spacing w:line="360" w:lineRule="auto"/>
              <w:jc w:val="left"/>
              <w:rPr>
                <w:rFonts w:ascii="宋体" w:hAnsi="宋体" w:cs="宋体"/>
                <w:color w:val="auto"/>
                <w:szCs w:val="21"/>
                <w:highlight w:val="none"/>
              </w:rPr>
            </w:pPr>
          </w:p>
        </w:tc>
        <w:tc>
          <w:tcPr>
            <w:tcW w:w="2279" w:type="dxa"/>
            <w:tcBorders>
              <w:top w:val="single" w:color="auto" w:sz="4" w:space="0"/>
              <w:left w:val="single" w:color="auto" w:sz="4" w:space="0"/>
              <w:bottom w:val="single" w:color="auto" w:sz="4" w:space="0"/>
              <w:right w:val="single" w:color="auto" w:sz="4" w:space="0"/>
            </w:tcBorders>
            <w:vAlign w:val="center"/>
          </w:tcPr>
          <w:p w14:paraId="6E2734BA">
            <w:pPr>
              <w:widowControl/>
              <w:spacing w:line="360" w:lineRule="auto"/>
              <w:jc w:val="left"/>
              <w:rPr>
                <w:rFonts w:ascii="宋体" w:hAnsi="宋体" w:cs="宋体"/>
                <w:color w:val="auto"/>
                <w:szCs w:val="21"/>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711EAC51">
            <w:pPr>
              <w:widowControl/>
              <w:spacing w:line="360" w:lineRule="auto"/>
              <w:jc w:val="left"/>
              <w:rPr>
                <w:rFonts w:ascii="宋体" w:hAnsi="宋体" w:cs="宋体"/>
                <w:color w:val="auto"/>
                <w:szCs w:val="21"/>
                <w:highlight w:val="none"/>
              </w:rPr>
            </w:pPr>
          </w:p>
        </w:tc>
      </w:tr>
      <w:tr w14:paraId="2C5E4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782DB95F">
            <w:pPr>
              <w:spacing w:line="420" w:lineRule="exact"/>
              <w:jc w:val="center"/>
              <w:rPr>
                <w:rFonts w:ascii="宋体" w:hAnsi="宋体" w:cs="宋体"/>
                <w:color w:val="auto"/>
                <w:szCs w:val="21"/>
                <w:highlight w:val="none"/>
              </w:rPr>
            </w:pPr>
            <w:r>
              <w:rPr>
                <w:rFonts w:hint="eastAsia" w:ascii="宋体" w:hAnsi="宋体"/>
                <w:color w:val="auto"/>
                <w:szCs w:val="21"/>
                <w:highlight w:val="none"/>
              </w:rPr>
              <w:t>......</w:t>
            </w:r>
          </w:p>
        </w:tc>
        <w:tc>
          <w:tcPr>
            <w:tcW w:w="2883" w:type="dxa"/>
            <w:tcBorders>
              <w:top w:val="single" w:color="auto" w:sz="4" w:space="0"/>
              <w:left w:val="single" w:color="auto" w:sz="4" w:space="0"/>
              <w:bottom w:val="single" w:color="auto" w:sz="4" w:space="0"/>
              <w:right w:val="single" w:color="auto" w:sz="4" w:space="0"/>
            </w:tcBorders>
            <w:vAlign w:val="center"/>
          </w:tcPr>
          <w:p w14:paraId="0D2D62A8">
            <w:pPr>
              <w:widowControl/>
              <w:spacing w:line="360" w:lineRule="auto"/>
              <w:jc w:val="left"/>
              <w:rPr>
                <w:rFonts w:ascii="宋体" w:hAnsi="宋体" w:cs="宋体"/>
                <w:color w:val="auto"/>
                <w:szCs w:val="21"/>
                <w:highlight w:val="none"/>
              </w:rPr>
            </w:pPr>
          </w:p>
        </w:tc>
        <w:tc>
          <w:tcPr>
            <w:tcW w:w="2279" w:type="dxa"/>
            <w:tcBorders>
              <w:top w:val="single" w:color="auto" w:sz="4" w:space="0"/>
              <w:left w:val="single" w:color="auto" w:sz="4" w:space="0"/>
              <w:bottom w:val="single" w:color="auto" w:sz="4" w:space="0"/>
              <w:right w:val="single" w:color="auto" w:sz="4" w:space="0"/>
            </w:tcBorders>
            <w:vAlign w:val="center"/>
          </w:tcPr>
          <w:p w14:paraId="212E854D">
            <w:pPr>
              <w:widowControl/>
              <w:spacing w:line="360" w:lineRule="auto"/>
              <w:jc w:val="left"/>
              <w:rPr>
                <w:rFonts w:ascii="宋体" w:hAnsi="宋体" w:cs="宋体"/>
                <w:color w:val="auto"/>
                <w:szCs w:val="21"/>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10BC8C47">
            <w:pPr>
              <w:widowControl/>
              <w:spacing w:line="360" w:lineRule="auto"/>
              <w:jc w:val="left"/>
              <w:rPr>
                <w:rFonts w:ascii="宋体" w:hAnsi="宋体" w:cs="宋体"/>
                <w:color w:val="auto"/>
                <w:szCs w:val="21"/>
                <w:highlight w:val="none"/>
              </w:rPr>
            </w:pPr>
          </w:p>
        </w:tc>
      </w:tr>
      <w:tr w14:paraId="365F9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37DE4D57">
            <w:pPr>
              <w:spacing w:line="420" w:lineRule="exact"/>
              <w:jc w:val="center"/>
              <w:rPr>
                <w:rFonts w:ascii="宋体" w:hAnsi="宋体" w:cs="宋体"/>
                <w:color w:val="auto"/>
                <w:szCs w:val="21"/>
                <w:highlight w:val="none"/>
              </w:rPr>
            </w:pPr>
            <w:r>
              <w:rPr>
                <w:rFonts w:hint="eastAsia" w:ascii="宋体" w:hAnsi="宋体"/>
                <w:color w:val="auto"/>
                <w:szCs w:val="21"/>
                <w:highlight w:val="none"/>
              </w:rPr>
              <w:t>......</w:t>
            </w:r>
          </w:p>
        </w:tc>
        <w:tc>
          <w:tcPr>
            <w:tcW w:w="2883" w:type="dxa"/>
            <w:tcBorders>
              <w:top w:val="single" w:color="auto" w:sz="4" w:space="0"/>
              <w:left w:val="single" w:color="auto" w:sz="4" w:space="0"/>
              <w:bottom w:val="single" w:color="auto" w:sz="4" w:space="0"/>
              <w:right w:val="single" w:color="auto" w:sz="4" w:space="0"/>
            </w:tcBorders>
            <w:vAlign w:val="center"/>
          </w:tcPr>
          <w:p w14:paraId="6649C5F7">
            <w:pPr>
              <w:widowControl/>
              <w:spacing w:line="360" w:lineRule="auto"/>
              <w:jc w:val="left"/>
              <w:rPr>
                <w:rFonts w:ascii="宋体" w:hAnsi="宋体" w:cs="宋体"/>
                <w:color w:val="auto"/>
                <w:szCs w:val="21"/>
                <w:highlight w:val="none"/>
              </w:rPr>
            </w:pPr>
          </w:p>
        </w:tc>
        <w:tc>
          <w:tcPr>
            <w:tcW w:w="2279" w:type="dxa"/>
            <w:tcBorders>
              <w:top w:val="single" w:color="auto" w:sz="4" w:space="0"/>
              <w:left w:val="single" w:color="auto" w:sz="4" w:space="0"/>
              <w:bottom w:val="single" w:color="auto" w:sz="4" w:space="0"/>
              <w:right w:val="single" w:color="auto" w:sz="4" w:space="0"/>
            </w:tcBorders>
            <w:vAlign w:val="center"/>
          </w:tcPr>
          <w:p w14:paraId="373C79E2">
            <w:pPr>
              <w:widowControl/>
              <w:spacing w:line="360" w:lineRule="auto"/>
              <w:jc w:val="left"/>
              <w:rPr>
                <w:rFonts w:ascii="宋体" w:hAnsi="宋体" w:cs="宋体"/>
                <w:color w:val="auto"/>
                <w:szCs w:val="21"/>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261CB52F">
            <w:pPr>
              <w:widowControl/>
              <w:spacing w:line="360" w:lineRule="auto"/>
              <w:jc w:val="left"/>
              <w:rPr>
                <w:rFonts w:ascii="宋体" w:hAnsi="宋体" w:cs="宋体"/>
                <w:color w:val="auto"/>
                <w:szCs w:val="21"/>
                <w:highlight w:val="none"/>
              </w:rPr>
            </w:pPr>
          </w:p>
        </w:tc>
      </w:tr>
      <w:tr w14:paraId="79434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0D16C313">
            <w:pPr>
              <w:widowControl/>
              <w:spacing w:line="360" w:lineRule="auto"/>
              <w:jc w:val="center"/>
              <w:rPr>
                <w:rFonts w:ascii="宋体" w:hAnsi="宋体" w:cs="宋体"/>
                <w:color w:val="auto"/>
                <w:szCs w:val="21"/>
                <w:highlight w:val="none"/>
              </w:rPr>
            </w:pPr>
            <w:r>
              <w:rPr>
                <w:rFonts w:hint="eastAsia" w:ascii="宋体" w:hAnsi="宋体"/>
                <w:color w:val="auto"/>
                <w:szCs w:val="21"/>
                <w:highlight w:val="none"/>
              </w:rPr>
              <w:t>......</w:t>
            </w:r>
          </w:p>
        </w:tc>
        <w:tc>
          <w:tcPr>
            <w:tcW w:w="2883" w:type="dxa"/>
            <w:tcBorders>
              <w:top w:val="single" w:color="auto" w:sz="4" w:space="0"/>
              <w:left w:val="single" w:color="auto" w:sz="4" w:space="0"/>
              <w:bottom w:val="single" w:color="auto" w:sz="4" w:space="0"/>
              <w:right w:val="single" w:color="auto" w:sz="4" w:space="0"/>
            </w:tcBorders>
            <w:vAlign w:val="center"/>
          </w:tcPr>
          <w:p w14:paraId="3D465A9D">
            <w:pPr>
              <w:widowControl/>
              <w:spacing w:line="360" w:lineRule="auto"/>
              <w:jc w:val="left"/>
              <w:rPr>
                <w:rFonts w:ascii="宋体" w:hAnsi="宋体" w:cs="宋体"/>
                <w:color w:val="auto"/>
                <w:szCs w:val="21"/>
                <w:highlight w:val="none"/>
              </w:rPr>
            </w:pPr>
          </w:p>
        </w:tc>
        <w:tc>
          <w:tcPr>
            <w:tcW w:w="2279" w:type="dxa"/>
            <w:tcBorders>
              <w:top w:val="single" w:color="auto" w:sz="4" w:space="0"/>
              <w:left w:val="single" w:color="auto" w:sz="4" w:space="0"/>
              <w:bottom w:val="single" w:color="auto" w:sz="4" w:space="0"/>
              <w:right w:val="single" w:color="auto" w:sz="4" w:space="0"/>
            </w:tcBorders>
            <w:vAlign w:val="center"/>
          </w:tcPr>
          <w:p w14:paraId="4F0F010A">
            <w:pPr>
              <w:widowControl/>
              <w:spacing w:line="360" w:lineRule="auto"/>
              <w:jc w:val="left"/>
              <w:rPr>
                <w:rFonts w:ascii="宋体" w:hAnsi="宋体" w:cs="宋体"/>
                <w:color w:val="auto"/>
                <w:szCs w:val="21"/>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0DA7CBD4">
            <w:pPr>
              <w:widowControl/>
              <w:spacing w:line="360" w:lineRule="auto"/>
              <w:jc w:val="left"/>
              <w:rPr>
                <w:rFonts w:ascii="宋体" w:hAnsi="宋体" w:cs="宋体"/>
                <w:color w:val="auto"/>
                <w:szCs w:val="21"/>
                <w:highlight w:val="none"/>
              </w:rPr>
            </w:pPr>
          </w:p>
        </w:tc>
      </w:tr>
      <w:tr w14:paraId="0B05B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25E509B8">
            <w:pPr>
              <w:spacing w:line="360" w:lineRule="auto"/>
              <w:jc w:val="center"/>
              <w:rPr>
                <w:rFonts w:ascii="宋体" w:hAnsi="宋体" w:cs="宋体"/>
                <w:color w:val="auto"/>
                <w:szCs w:val="21"/>
                <w:highlight w:val="none"/>
              </w:rPr>
            </w:pPr>
            <w:r>
              <w:rPr>
                <w:rFonts w:hint="eastAsia" w:ascii="宋体" w:hAnsi="宋体"/>
                <w:color w:val="auto"/>
                <w:szCs w:val="21"/>
                <w:highlight w:val="none"/>
              </w:rPr>
              <w:t>......</w:t>
            </w:r>
          </w:p>
        </w:tc>
        <w:tc>
          <w:tcPr>
            <w:tcW w:w="2883" w:type="dxa"/>
            <w:tcBorders>
              <w:top w:val="single" w:color="auto" w:sz="4" w:space="0"/>
              <w:left w:val="single" w:color="auto" w:sz="4" w:space="0"/>
              <w:bottom w:val="single" w:color="auto" w:sz="4" w:space="0"/>
              <w:right w:val="single" w:color="auto" w:sz="4" w:space="0"/>
            </w:tcBorders>
            <w:vAlign w:val="center"/>
          </w:tcPr>
          <w:p w14:paraId="5EB29DE6">
            <w:pPr>
              <w:widowControl/>
              <w:spacing w:line="360" w:lineRule="auto"/>
              <w:jc w:val="left"/>
              <w:rPr>
                <w:rFonts w:ascii="宋体" w:hAnsi="宋体" w:cs="宋体"/>
                <w:color w:val="auto"/>
                <w:szCs w:val="21"/>
                <w:highlight w:val="none"/>
              </w:rPr>
            </w:pPr>
          </w:p>
        </w:tc>
        <w:tc>
          <w:tcPr>
            <w:tcW w:w="2279" w:type="dxa"/>
            <w:tcBorders>
              <w:top w:val="single" w:color="auto" w:sz="4" w:space="0"/>
              <w:left w:val="single" w:color="auto" w:sz="4" w:space="0"/>
              <w:bottom w:val="single" w:color="auto" w:sz="4" w:space="0"/>
              <w:right w:val="single" w:color="auto" w:sz="4" w:space="0"/>
            </w:tcBorders>
            <w:vAlign w:val="center"/>
          </w:tcPr>
          <w:p w14:paraId="05607A64">
            <w:pPr>
              <w:widowControl/>
              <w:spacing w:line="360" w:lineRule="auto"/>
              <w:jc w:val="left"/>
              <w:rPr>
                <w:rFonts w:ascii="宋体" w:hAnsi="宋体" w:cs="宋体"/>
                <w:color w:val="auto"/>
                <w:szCs w:val="21"/>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61440F24">
            <w:pPr>
              <w:widowControl/>
              <w:spacing w:line="360" w:lineRule="auto"/>
              <w:jc w:val="left"/>
              <w:rPr>
                <w:rFonts w:ascii="宋体" w:hAnsi="宋体" w:cs="宋体"/>
                <w:color w:val="auto"/>
                <w:szCs w:val="21"/>
                <w:highlight w:val="none"/>
              </w:rPr>
            </w:pPr>
          </w:p>
        </w:tc>
      </w:tr>
      <w:tr w14:paraId="75EF0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6"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7536AE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p>
        </w:tc>
        <w:tc>
          <w:tcPr>
            <w:tcW w:w="2883" w:type="dxa"/>
            <w:tcBorders>
              <w:top w:val="single" w:color="auto" w:sz="4" w:space="0"/>
              <w:left w:val="single" w:color="auto" w:sz="4" w:space="0"/>
              <w:bottom w:val="single" w:color="auto" w:sz="4" w:space="0"/>
              <w:right w:val="single" w:color="auto" w:sz="4" w:space="0"/>
            </w:tcBorders>
            <w:vAlign w:val="center"/>
          </w:tcPr>
          <w:p w14:paraId="4DC3F8B7">
            <w:pPr>
              <w:widowControl/>
              <w:spacing w:line="360" w:lineRule="auto"/>
              <w:jc w:val="left"/>
              <w:rPr>
                <w:rFonts w:ascii="宋体" w:hAnsi="宋体" w:cs="宋体"/>
                <w:color w:val="auto"/>
                <w:szCs w:val="21"/>
                <w:highlight w:val="none"/>
              </w:rPr>
            </w:pPr>
          </w:p>
        </w:tc>
        <w:tc>
          <w:tcPr>
            <w:tcW w:w="2279" w:type="dxa"/>
            <w:tcBorders>
              <w:top w:val="single" w:color="auto" w:sz="4" w:space="0"/>
              <w:left w:val="single" w:color="auto" w:sz="4" w:space="0"/>
              <w:bottom w:val="single" w:color="auto" w:sz="4" w:space="0"/>
              <w:right w:val="single" w:color="auto" w:sz="4" w:space="0"/>
            </w:tcBorders>
            <w:vAlign w:val="center"/>
          </w:tcPr>
          <w:p w14:paraId="722969B5">
            <w:pPr>
              <w:widowControl/>
              <w:spacing w:line="360" w:lineRule="auto"/>
              <w:jc w:val="left"/>
              <w:rPr>
                <w:rFonts w:ascii="宋体" w:hAnsi="宋体" w:cs="宋体"/>
                <w:color w:val="auto"/>
                <w:szCs w:val="21"/>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39C92DCE">
            <w:pPr>
              <w:widowControl/>
              <w:spacing w:line="360" w:lineRule="auto"/>
              <w:jc w:val="left"/>
              <w:rPr>
                <w:rFonts w:ascii="宋体" w:hAnsi="宋体" w:cs="宋体"/>
                <w:color w:val="auto"/>
                <w:szCs w:val="21"/>
                <w:highlight w:val="none"/>
              </w:rPr>
            </w:pPr>
          </w:p>
        </w:tc>
      </w:tr>
    </w:tbl>
    <w:p w14:paraId="6D9781C3">
      <w:pPr>
        <w:widowControl/>
        <w:spacing w:line="36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注：</w:t>
      </w:r>
    </w:p>
    <w:p w14:paraId="685A01A9">
      <w:pPr>
        <w:widowControl/>
        <w:spacing w:line="36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1.说明：应对照磋商文件“第三章 采购需求”中的商务要求逐条作出明确响应，并作出偏离说明。</w:t>
      </w:r>
    </w:p>
    <w:p w14:paraId="5FFE98EB">
      <w:pPr>
        <w:widowControl/>
        <w:spacing w:line="36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2.供应商应根据自身的承诺，对照磋商文件要求在“偏离说明”中注明“正偏离”、“负偏离”或者“无偏离”。既不属于“正偏离”也不属于“负偏离”即为“无偏离”。</w:t>
      </w:r>
    </w:p>
    <w:p w14:paraId="453D581F">
      <w:pPr>
        <w:widowControl/>
        <w:spacing w:line="360" w:lineRule="auto"/>
        <w:jc w:val="left"/>
        <w:rPr>
          <w:rFonts w:ascii="宋体" w:hAnsi="宋体" w:cs="宋体"/>
          <w:color w:val="auto"/>
          <w:szCs w:val="21"/>
          <w:highlight w:val="none"/>
        </w:rPr>
      </w:pPr>
    </w:p>
    <w:p w14:paraId="5D6A748D">
      <w:pPr>
        <w:widowControl/>
        <w:spacing w:line="60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lang w:val="zh-CN"/>
        </w:rPr>
        <w:t>供应商名称</w:t>
      </w:r>
      <w:r>
        <w:rPr>
          <w:rFonts w:hint="eastAsia" w:ascii="宋体" w:hAnsi="宋体" w:cs="宋体"/>
          <w:color w:val="auto"/>
          <w:spacing w:val="20"/>
          <w:szCs w:val="21"/>
          <w:highlight w:val="none"/>
        </w:rPr>
        <w:t>（盖公章）：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  期：</w:t>
      </w:r>
      <w:r>
        <w:rPr>
          <w:rFonts w:hint="eastAsia" w:ascii="宋体" w:hAnsi="宋体" w:cs="宋体"/>
          <w:color w:val="auto"/>
          <w:spacing w:val="20"/>
          <w:szCs w:val="21"/>
          <w:highlight w:val="none"/>
          <w:u w:val="single"/>
        </w:rPr>
        <w:t xml:space="preserve">          </w:t>
      </w:r>
    </w:p>
    <w:p w14:paraId="58063683">
      <w:pPr>
        <w:widowControl/>
        <w:spacing w:line="360" w:lineRule="auto"/>
        <w:jc w:val="left"/>
        <w:rPr>
          <w:rFonts w:ascii="宋体" w:hAnsi="宋体" w:cs="宋体"/>
          <w:color w:val="auto"/>
          <w:szCs w:val="21"/>
          <w:highlight w:val="none"/>
        </w:rPr>
      </w:pPr>
    </w:p>
    <w:p w14:paraId="01663202">
      <w:pPr>
        <w:widowControl/>
        <w:spacing w:before="260" w:after="260" w:line="415" w:lineRule="auto"/>
        <w:jc w:val="center"/>
        <w:rPr>
          <w:rFonts w:ascii="宋体" w:hAnsi="宋体" w:cs="宋体"/>
          <w:color w:val="auto"/>
          <w:szCs w:val="21"/>
          <w:highlight w:val="none"/>
        </w:rPr>
      </w:pPr>
      <w:r>
        <w:rPr>
          <w:rFonts w:hint="eastAsia" w:ascii="宋体" w:hAnsi="宋体" w:cs="宋体"/>
          <w:color w:val="auto"/>
          <w:szCs w:val="21"/>
          <w:highlight w:val="none"/>
        </w:rPr>
        <w:br w:type="page"/>
      </w:r>
    </w:p>
    <w:p w14:paraId="48993837">
      <w:pPr>
        <w:widowControl/>
        <w:snapToGrid w:val="0"/>
        <w:spacing w:before="50" w:after="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技术要求偏离表（格式）</w:t>
      </w:r>
    </w:p>
    <w:p w14:paraId="390E6661">
      <w:pPr>
        <w:autoSpaceDE w:val="0"/>
        <w:autoSpaceDN w:val="0"/>
        <w:adjustRightInd w:val="0"/>
        <w:jc w:val="left"/>
        <w:rPr>
          <w:rFonts w:ascii="宋体" w:hAnsi="宋体" w:cs="宋体"/>
          <w:color w:val="auto"/>
          <w:kern w:val="0"/>
          <w:sz w:val="24"/>
          <w:highlight w:val="none"/>
        </w:rPr>
      </w:pPr>
    </w:p>
    <w:tbl>
      <w:tblPr>
        <w:tblStyle w:val="29"/>
        <w:tblW w:w="869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765"/>
        <w:gridCol w:w="2596"/>
        <w:gridCol w:w="2201"/>
        <w:gridCol w:w="1427"/>
      </w:tblGrid>
      <w:tr w14:paraId="1A17FC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jc w:val="center"/>
        </w:trPr>
        <w:tc>
          <w:tcPr>
            <w:tcW w:w="708" w:type="dxa"/>
            <w:vAlign w:val="center"/>
          </w:tcPr>
          <w:p w14:paraId="787A78B8">
            <w:pPr>
              <w:spacing w:line="360" w:lineRule="auto"/>
              <w:contextualSpacing/>
              <w:jc w:val="center"/>
              <w:rPr>
                <w:rFonts w:ascii="宋体" w:hAnsi="宋体" w:cs="宋体"/>
                <w:color w:val="auto"/>
                <w:szCs w:val="21"/>
                <w:highlight w:val="none"/>
              </w:rPr>
            </w:pPr>
            <w:bookmarkStart w:id="88" w:name="_Toc254970588"/>
            <w:bookmarkStart w:id="89" w:name="_Toc295404981"/>
            <w:bookmarkStart w:id="90" w:name="_Toc301781611"/>
            <w:bookmarkStart w:id="91" w:name="_Toc254970729"/>
            <w:bookmarkStart w:id="92" w:name="_Toc173066401"/>
            <w:bookmarkStart w:id="93" w:name="_Toc297193185"/>
            <w:bookmarkStart w:id="94" w:name="_Toc173211900"/>
            <w:bookmarkStart w:id="95" w:name="_Toc383699906"/>
            <w:bookmarkStart w:id="96" w:name="_Toc373333689"/>
            <w:r>
              <w:rPr>
                <w:rFonts w:hint="eastAsia" w:ascii="宋体" w:hAnsi="宋体" w:cs="宋体"/>
                <w:color w:val="auto"/>
                <w:szCs w:val="21"/>
                <w:highlight w:val="none"/>
              </w:rPr>
              <w:t>序号</w:t>
            </w:r>
            <w:bookmarkEnd w:id="88"/>
            <w:bookmarkEnd w:id="89"/>
            <w:bookmarkEnd w:id="90"/>
            <w:bookmarkEnd w:id="91"/>
            <w:bookmarkEnd w:id="92"/>
            <w:bookmarkEnd w:id="93"/>
            <w:bookmarkEnd w:id="94"/>
            <w:bookmarkEnd w:id="95"/>
            <w:bookmarkEnd w:id="96"/>
          </w:p>
        </w:tc>
        <w:tc>
          <w:tcPr>
            <w:tcW w:w="1765" w:type="dxa"/>
            <w:tcBorders>
              <w:right w:val="single" w:color="auto" w:sz="4" w:space="0"/>
            </w:tcBorders>
            <w:vAlign w:val="center"/>
          </w:tcPr>
          <w:p w14:paraId="0D7610C0">
            <w:pPr>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2596" w:type="dxa"/>
            <w:tcBorders>
              <w:left w:val="single" w:color="auto" w:sz="4" w:space="0"/>
            </w:tcBorders>
            <w:vAlign w:val="center"/>
          </w:tcPr>
          <w:p w14:paraId="056D4A6E">
            <w:pPr>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采购文件技术要求</w:t>
            </w:r>
          </w:p>
        </w:tc>
        <w:tc>
          <w:tcPr>
            <w:tcW w:w="2201" w:type="dxa"/>
            <w:vAlign w:val="center"/>
          </w:tcPr>
          <w:p w14:paraId="4CCD05AC">
            <w:pPr>
              <w:spacing w:line="360" w:lineRule="auto"/>
              <w:contextualSpacing/>
              <w:jc w:val="center"/>
              <w:rPr>
                <w:rFonts w:ascii="宋体" w:hAnsi="宋体" w:cs="宋体"/>
                <w:color w:val="auto"/>
                <w:szCs w:val="21"/>
                <w:highlight w:val="none"/>
              </w:rPr>
            </w:pPr>
            <w:bookmarkStart w:id="97" w:name="_Toc301781613"/>
            <w:bookmarkStart w:id="98" w:name="_Toc297193187"/>
            <w:bookmarkStart w:id="99" w:name="_Toc295404983"/>
            <w:bookmarkStart w:id="100" w:name="_Toc254970590"/>
            <w:bookmarkStart w:id="101" w:name="_Toc383699908"/>
            <w:bookmarkStart w:id="102" w:name="_Toc373333691"/>
            <w:bookmarkStart w:id="103" w:name="_Toc173211902"/>
            <w:bookmarkStart w:id="104" w:name="_Toc173066403"/>
            <w:bookmarkStart w:id="105" w:name="_Toc254970731"/>
            <w:r>
              <w:rPr>
                <w:rFonts w:hint="eastAsia" w:ascii="宋体" w:hAnsi="宋体" w:cs="宋体"/>
                <w:color w:val="auto"/>
                <w:szCs w:val="21"/>
                <w:highlight w:val="none"/>
              </w:rPr>
              <w:t>供应商磋商响应</w:t>
            </w:r>
            <w:bookmarkEnd w:id="97"/>
            <w:bookmarkEnd w:id="98"/>
            <w:bookmarkEnd w:id="99"/>
            <w:bookmarkEnd w:id="100"/>
            <w:bookmarkEnd w:id="101"/>
            <w:bookmarkEnd w:id="102"/>
            <w:bookmarkEnd w:id="103"/>
            <w:bookmarkEnd w:id="104"/>
            <w:bookmarkEnd w:id="105"/>
          </w:p>
        </w:tc>
        <w:tc>
          <w:tcPr>
            <w:tcW w:w="1427" w:type="dxa"/>
            <w:vAlign w:val="center"/>
          </w:tcPr>
          <w:p w14:paraId="705F7BA9">
            <w:pPr>
              <w:spacing w:line="360" w:lineRule="auto"/>
              <w:contextualSpacing/>
              <w:jc w:val="center"/>
              <w:rPr>
                <w:rFonts w:ascii="宋体" w:hAnsi="宋体" w:cs="宋体"/>
                <w:color w:val="auto"/>
                <w:szCs w:val="21"/>
                <w:highlight w:val="none"/>
              </w:rPr>
            </w:pPr>
            <w:bookmarkStart w:id="106" w:name="_Toc301781614"/>
            <w:bookmarkStart w:id="107" w:name="_Toc297193188"/>
            <w:bookmarkStart w:id="108" w:name="_Toc254970732"/>
            <w:bookmarkStart w:id="109" w:name="_Toc373333692"/>
            <w:bookmarkStart w:id="110" w:name="_Toc295404984"/>
            <w:bookmarkStart w:id="111" w:name="_Toc173066404"/>
            <w:bookmarkStart w:id="112" w:name="_Toc383699909"/>
            <w:bookmarkStart w:id="113" w:name="_Toc254970591"/>
            <w:bookmarkStart w:id="114" w:name="_Toc173211903"/>
            <w:r>
              <w:rPr>
                <w:rFonts w:hint="eastAsia" w:ascii="宋体" w:hAnsi="宋体" w:cs="宋体"/>
                <w:color w:val="auto"/>
                <w:szCs w:val="21"/>
                <w:highlight w:val="none"/>
              </w:rPr>
              <w:t>偏离</w:t>
            </w:r>
            <w:bookmarkEnd w:id="106"/>
            <w:bookmarkEnd w:id="107"/>
            <w:bookmarkEnd w:id="108"/>
            <w:bookmarkEnd w:id="109"/>
            <w:bookmarkEnd w:id="110"/>
            <w:bookmarkEnd w:id="111"/>
            <w:bookmarkEnd w:id="112"/>
            <w:bookmarkEnd w:id="113"/>
            <w:bookmarkEnd w:id="114"/>
            <w:bookmarkStart w:id="115" w:name="_Toc173211904"/>
            <w:bookmarkStart w:id="116" w:name="_Toc301781615"/>
            <w:bookmarkStart w:id="117" w:name="_Toc254970733"/>
            <w:bookmarkStart w:id="118" w:name="_Toc173066405"/>
            <w:bookmarkStart w:id="119" w:name="_Toc383699910"/>
            <w:bookmarkStart w:id="120" w:name="_Toc254970592"/>
            <w:bookmarkStart w:id="121" w:name="_Toc295404985"/>
            <w:bookmarkStart w:id="122" w:name="_Toc297193189"/>
            <w:bookmarkStart w:id="123" w:name="_Toc373333693"/>
            <w:r>
              <w:rPr>
                <w:rFonts w:hint="eastAsia" w:ascii="宋体" w:hAnsi="宋体" w:cs="宋体"/>
                <w:color w:val="auto"/>
                <w:szCs w:val="21"/>
                <w:highlight w:val="none"/>
              </w:rPr>
              <w:t>说明</w:t>
            </w:r>
            <w:bookmarkEnd w:id="115"/>
            <w:bookmarkEnd w:id="116"/>
            <w:bookmarkEnd w:id="117"/>
            <w:bookmarkEnd w:id="118"/>
            <w:bookmarkEnd w:id="119"/>
            <w:bookmarkEnd w:id="120"/>
            <w:bookmarkEnd w:id="121"/>
            <w:bookmarkEnd w:id="122"/>
            <w:bookmarkEnd w:id="123"/>
          </w:p>
        </w:tc>
      </w:tr>
      <w:tr w14:paraId="70B04D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708" w:type="dxa"/>
            <w:vAlign w:val="center"/>
          </w:tcPr>
          <w:p w14:paraId="2550E2F5">
            <w:pPr>
              <w:spacing w:line="360" w:lineRule="auto"/>
              <w:contextualSpacing/>
              <w:jc w:val="center"/>
              <w:rPr>
                <w:rFonts w:ascii="宋体" w:hAnsi="宋体" w:cs="宋体"/>
                <w:color w:val="auto"/>
                <w:szCs w:val="21"/>
                <w:highlight w:val="none"/>
              </w:rPr>
            </w:pPr>
            <w:bookmarkStart w:id="124" w:name="_Toc254970734"/>
            <w:bookmarkStart w:id="125" w:name="_Toc297193190"/>
            <w:bookmarkStart w:id="126" w:name="_Toc173066406"/>
            <w:bookmarkStart w:id="127" w:name="_Toc173211905"/>
            <w:bookmarkStart w:id="128" w:name="_Toc295404986"/>
            <w:bookmarkStart w:id="129" w:name="_Toc301781616"/>
            <w:bookmarkStart w:id="130" w:name="_Toc254970593"/>
            <w:bookmarkStart w:id="131" w:name="_Toc373333694"/>
            <w:bookmarkStart w:id="132" w:name="_Toc383699911"/>
            <w:r>
              <w:rPr>
                <w:rFonts w:hint="eastAsia" w:ascii="宋体" w:hAnsi="宋体" w:cs="宋体"/>
                <w:color w:val="auto"/>
                <w:szCs w:val="21"/>
                <w:highlight w:val="none"/>
              </w:rPr>
              <w:t>1</w:t>
            </w:r>
            <w:bookmarkEnd w:id="124"/>
            <w:bookmarkEnd w:id="125"/>
            <w:bookmarkEnd w:id="126"/>
            <w:bookmarkEnd w:id="127"/>
            <w:bookmarkEnd w:id="128"/>
            <w:bookmarkEnd w:id="129"/>
            <w:bookmarkEnd w:id="130"/>
            <w:bookmarkEnd w:id="131"/>
            <w:bookmarkEnd w:id="132"/>
          </w:p>
        </w:tc>
        <w:tc>
          <w:tcPr>
            <w:tcW w:w="1765" w:type="dxa"/>
            <w:tcBorders>
              <w:right w:val="single" w:color="auto" w:sz="4" w:space="0"/>
            </w:tcBorders>
            <w:vAlign w:val="center"/>
          </w:tcPr>
          <w:p w14:paraId="2B1F8634">
            <w:pPr>
              <w:spacing w:line="360" w:lineRule="auto"/>
              <w:contextualSpacing/>
              <w:jc w:val="center"/>
              <w:rPr>
                <w:rFonts w:ascii="宋体" w:hAnsi="宋体" w:cs="宋体"/>
                <w:color w:val="auto"/>
                <w:szCs w:val="21"/>
                <w:highlight w:val="none"/>
              </w:rPr>
            </w:pPr>
          </w:p>
        </w:tc>
        <w:tc>
          <w:tcPr>
            <w:tcW w:w="2596" w:type="dxa"/>
            <w:tcBorders>
              <w:left w:val="single" w:color="auto" w:sz="4" w:space="0"/>
            </w:tcBorders>
            <w:vAlign w:val="center"/>
          </w:tcPr>
          <w:p w14:paraId="736C5161">
            <w:pPr>
              <w:spacing w:line="360" w:lineRule="auto"/>
              <w:contextualSpacing/>
              <w:jc w:val="center"/>
              <w:rPr>
                <w:rFonts w:ascii="宋体" w:hAnsi="宋体" w:cs="宋体"/>
                <w:color w:val="auto"/>
                <w:szCs w:val="21"/>
                <w:highlight w:val="none"/>
              </w:rPr>
            </w:pPr>
          </w:p>
        </w:tc>
        <w:tc>
          <w:tcPr>
            <w:tcW w:w="2201" w:type="dxa"/>
            <w:vAlign w:val="center"/>
          </w:tcPr>
          <w:p w14:paraId="1D7AE3F0">
            <w:pPr>
              <w:spacing w:line="360" w:lineRule="auto"/>
              <w:contextualSpacing/>
              <w:jc w:val="center"/>
              <w:rPr>
                <w:rFonts w:ascii="宋体" w:hAnsi="宋体" w:cs="宋体"/>
                <w:color w:val="auto"/>
                <w:szCs w:val="21"/>
                <w:highlight w:val="none"/>
              </w:rPr>
            </w:pPr>
          </w:p>
        </w:tc>
        <w:tc>
          <w:tcPr>
            <w:tcW w:w="1427" w:type="dxa"/>
            <w:vAlign w:val="center"/>
          </w:tcPr>
          <w:p w14:paraId="0E871EAB">
            <w:pPr>
              <w:spacing w:line="360" w:lineRule="auto"/>
              <w:contextualSpacing/>
              <w:jc w:val="center"/>
              <w:rPr>
                <w:rFonts w:ascii="宋体" w:hAnsi="宋体" w:cs="宋体"/>
                <w:color w:val="auto"/>
                <w:szCs w:val="21"/>
                <w:highlight w:val="none"/>
              </w:rPr>
            </w:pPr>
          </w:p>
        </w:tc>
      </w:tr>
      <w:tr w14:paraId="199738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708" w:type="dxa"/>
            <w:vAlign w:val="center"/>
          </w:tcPr>
          <w:p w14:paraId="369DF1BA">
            <w:pPr>
              <w:spacing w:line="360" w:lineRule="auto"/>
              <w:contextualSpacing/>
              <w:jc w:val="center"/>
              <w:rPr>
                <w:rFonts w:ascii="宋体" w:hAnsi="宋体" w:cs="宋体"/>
                <w:color w:val="auto"/>
                <w:szCs w:val="21"/>
                <w:highlight w:val="none"/>
              </w:rPr>
            </w:pPr>
            <w:bookmarkStart w:id="133" w:name="_Toc295404987"/>
            <w:bookmarkStart w:id="134" w:name="_Toc301781617"/>
            <w:bookmarkStart w:id="135" w:name="_Toc297193191"/>
            <w:bookmarkStart w:id="136" w:name="_Toc173211906"/>
            <w:bookmarkStart w:id="137" w:name="_Toc254970735"/>
            <w:bookmarkStart w:id="138" w:name="_Toc254970594"/>
            <w:bookmarkStart w:id="139" w:name="_Toc383699912"/>
            <w:bookmarkStart w:id="140" w:name="_Toc173066407"/>
            <w:bookmarkStart w:id="141" w:name="_Toc373333695"/>
            <w:r>
              <w:rPr>
                <w:rFonts w:hint="eastAsia" w:ascii="宋体" w:hAnsi="宋体" w:cs="宋体"/>
                <w:color w:val="auto"/>
                <w:szCs w:val="21"/>
                <w:highlight w:val="none"/>
              </w:rPr>
              <w:t>2</w:t>
            </w:r>
            <w:bookmarkEnd w:id="133"/>
            <w:bookmarkEnd w:id="134"/>
            <w:bookmarkEnd w:id="135"/>
            <w:bookmarkEnd w:id="136"/>
            <w:bookmarkEnd w:id="137"/>
            <w:bookmarkEnd w:id="138"/>
            <w:bookmarkEnd w:id="139"/>
            <w:bookmarkEnd w:id="140"/>
            <w:bookmarkEnd w:id="141"/>
          </w:p>
        </w:tc>
        <w:tc>
          <w:tcPr>
            <w:tcW w:w="1765" w:type="dxa"/>
            <w:tcBorders>
              <w:right w:val="single" w:color="auto" w:sz="4" w:space="0"/>
            </w:tcBorders>
            <w:vAlign w:val="center"/>
          </w:tcPr>
          <w:p w14:paraId="644F2BE2">
            <w:pPr>
              <w:spacing w:line="360" w:lineRule="auto"/>
              <w:contextualSpacing/>
              <w:jc w:val="center"/>
              <w:rPr>
                <w:rFonts w:ascii="宋体" w:hAnsi="宋体" w:cs="宋体"/>
                <w:color w:val="auto"/>
                <w:szCs w:val="21"/>
                <w:highlight w:val="none"/>
              </w:rPr>
            </w:pPr>
          </w:p>
        </w:tc>
        <w:tc>
          <w:tcPr>
            <w:tcW w:w="2596" w:type="dxa"/>
            <w:tcBorders>
              <w:left w:val="single" w:color="auto" w:sz="4" w:space="0"/>
            </w:tcBorders>
            <w:vAlign w:val="center"/>
          </w:tcPr>
          <w:p w14:paraId="4C536999">
            <w:pPr>
              <w:spacing w:line="360" w:lineRule="auto"/>
              <w:contextualSpacing/>
              <w:jc w:val="center"/>
              <w:rPr>
                <w:rFonts w:ascii="宋体" w:hAnsi="宋体" w:cs="宋体"/>
                <w:color w:val="auto"/>
                <w:szCs w:val="21"/>
                <w:highlight w:val="none"/>
              </w:rPr>
            </w:pPr>
          </w:p>
        </w:tc>
        <w:tc>
          <w:tcPr>
            <w:tcW w:w="2201" w:type="dxa"/>
            <w:vAlign w:val="center"/>
          </w:tcPr>
          <w:p w14:paraId="3706ED05">
            <w:pPr>
              <w:spacing w:line="360" w:lineRule="auto"/>
              <w:contextualSpacing/>
              <w:jc w:val="center"/>
              <w:rPr>
                <w:rFonts w:ascii="宋体" w:hAnsi="宋体" w:cs="宋体"/>
                <w:color w:val="auto"/>
                <w:szCs w:val="21"/>
                <w:highlight w:val="none"/>
              </w:rPr>
            </w:pPr>
          </w:p>
        </w:tc>
        <w:tc>
          <w:tcPr>
            <w:tcW w:w="1427" w:type="dxa"/>
            <w:vAlign w:val="center"/>
          </w:tcPr>
          <w:p w14:paraId="1FBFBBE0">
            <w:pPr>
              <w:spacing w:line="360" w:lineRule="auto"/>
              <w:contextualSpacing/>
              <w:jc w:val="center"/>
              <w:rPr>
                <w:rFonts w:ascii="宋体" w:hAnsi="宋体" w:cs="宋体"/>
                <w:color w:val="auto"/>
                <w:szCs w:val="21"/>
                <w:highlight w:val="none"/>
              </w:rPr>
            </w:pPr>
          </w:p>
        </w:tc>
      </w:tr>
      <w:tr w14:paraId="45E096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708" w:type="dxa"/>
            <w:vAlign w:val="center"/>
          </w:tcPr>
          <w:p w14:paraId="596ABB55">
            <w:pPr>
              <w:spacing w:line="360" w:lineRule="auto"/>
              <w:contextualSpacing/>
              <w:jc w:val="center"/>
              <w:rPr>
                <w:rFonts w:ascii="宋体" w:hAnsi="宋体" w:cs="宋体"/>
                <w:color w:val="auto"/>
                <w:szCs w:val="21"/>
                <w:highlight w:val="none"/>
              </w:rPr>
            </w:pPr>
            <w:bookmarkStart w:id="142" w:name="_Toc254970595"/>
            <w:bookmarkStart w:id="143" w:name="_Toc297193192"/>
            <w:bookmarkStart w:id="144" w:name="_Toc173211907"/>
            <w:bookmarkStart w:id="145" w:name="_Toc383699913"/>
            <w:bookmarkStart w:id="146" w:name="_Toc173066408"/>
            <w:bookmarkStart w:id="147" w:name="_Toc254970736"/>
            <w:bookmarkStart w:id="148" w:name="_Toc301781618"/>
            <w:bookmarkStart w:id="149" w:name="_Toc295404988"/>
            <w:bookmarkStart w:id="150" w:name="_Toc373333696"/>
            <w:r>
              <w:rPr>
                <w:rFonts w:hint="eastAsia" w:ascii="宋体" w:hAnsi="宋体" w:cs="宋体"/>
                <w:color w:val="auto"/>
                <w:szCs w:val="21"/>
                <w:highlight w:val="none"/>
              </w:rPr>
              <w:t>3</w:t>
            </w:r>
            <w:bookmarkEnd w:id="142"/>
            <w:bookmarkEnd w:id="143"/>
            <w:bookmarkEnd w:id="144"/>
            <w:bookmarkEnd w:id="145"/>
            <w:bookmarkEnd w:id="146"/>
            <w:bookmarkEnd w:id="147"/>
            <w:bookmarkEnd w:id="148"/>
            <w:bookmarkEnd w:id="149"/>
            <w:bookmarkEnd w:id="150"/>
          </w:p>
        </w:tc>
        <w:tc>
          <w:tcPr>
            <w:tcW w:w="1765" w:type="dxa"/>
            <w:tcBorders>
              <w:right w:val="single" w:color="auto" w:sz="4" w:space="0"/>
            </w:tcBorders>
            <w:vAlign w:val="center"/>
          </w:tcPr>
          <w:p w14:paraId="6EA181D2">
            <w:pPr>
              <w:spacing w:line="360" w:lineRule="auto"/>
              <w:contextualSpacing/>
              <w:jc w:val="center"/>
              <w:rPr>
                <w:rFonts w:ascii="宋体" w:hAnsi="宋体" w:cs="宋体"/>
                <w:color w:val="auto"/>
                <w:szCs w:val="21"/>
                <w:highlight w:val="none"/>
              </w:rPr>
            </w:pPr>
          </w:p>
        </w:tc>
        <w:tc>
          <w:tcPr>
            <w:tcW w:w="2596" w:type="dxa"/>
            <w:tcBorders>
              <w:left w:val="single" w:color="auto" w:sz="4" w:space="0"/>
            </w:tcBorders>
            <w:vAlign w:val="center"/>
          </w:tcPr>
          <w:p w14:paraId="44FE3C3E">
            <w:pPr>
              <w:spacing w:line="360" w:lineRule="auto"/>
              <w:contextualSpacing/>
              <w:jc w:val="center"/>
              <w:rPr>
                <w:rFonts w:ascii="宋体" w:hAnsi="宋体" w:cs="宋体"/>
                <w:color w:val="auto"/>
                <w:szCs w:val="21"/>
                <w:highlight w:val="none"/>
              </w:rPr>
            </w:pPr>
          </w:p>
        </w:tc>
        <w:tc>
          <w:tcPr>
            <w:tcW w:w="2201" w:type="dxa"/>
            <w:vAlign w:val="center"/>
          </w:tcPr>
          <w:p w14:paraId="6859E02D">
            <w:pPr>
              <w:spacing w:line="360" w:lineRule="auto"/>
              <w:contextualSpacing/>
              <w:jc w:val="center"/>
              <w:rPr>
                <w:rFonts w:ascii="宋体" w:hAnsi="宋体" w:cs="宋体"/>
                <w:color w:val="auto"/>
                <w:szCs w:val="21"/>
                <w:highlight w:val="none"/>
              </w:rPr>
            </w:pPr>
          </w:p>
        </w:tc>
        <w:tc>
          <w:tcPr>
            <w:tcW w:w="1427" w:type="dxa"/>
            <w:vAlign w:val="center"/>
          </w:tcPr>
          <w:p w14:paraId="5AFA0D64">
            <w:pPr>
              <w:spacing w:line="360" w:lineRule="auto"/>
              <w:contextualSpacing/>
              <w:jc w:val="center"/>
              <w:rPr>
                <w:rFonts w:ascii="宋体" w:hAnsi="宋体" w:cs="宋体"/>
                <w:color w:val="auto"/>
                <w:szCs w:val="21"/>
                <w:highlight w:val="none"/>
              </w:rPr>
            </w:pPr>
          </w:p>
        </w:tc>
      </w:tr>
      <w:tr w14:paraId="365F62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708" w:type="dxa"/>
            <w:vAlign w:val="center"/>
          </w:tcPr>
          <w:p w14:paraId="53FAE99E">
            <w:pPr>
              <w:spacing w:line="360" w:lineRule="auto"/>
              <w:contextualSpacing/>
              <w:jc w:val="center"/>
              <w:rPr>
                <w:rFonts w:ascii="宋体" w:hAnsi="宋体" w:cs="宋体"/>
                <w:color w:val="auto"/>
                <w:szCs w:val="21"/>
                <w:highlight w:val="none"/>
              </w:rPr>
            </w:pPr>
            <w:bookmarkStart w:id="151" w:name="_Toc173066415"/>
            <w:bookmarkStart w:id="152" w:name="_Toc254970602"/>
            <w:bookmarkStart w:id="153" w:name="_Toc295404991"/>
            <w:bookmarkStart w:id="154" w:name="_Toc373333699"/>
            <w:bookmarkStart w:id="155" w:name="_Toc254970743"/>
            <w:bookmarkStart w:id="156" w:name="_Toc173211914"/>
            <w:bookmarkStart w:id="157" w:name="_Toc383699916"/>
            <w:bookmarkStart w:id="158" w:name="_Toc301781621"/>
            <w:bookmarkStart w:id="159" w:name="_Toc297193195"/>
            <w:r>
              <w:rPr>
                <w:rFonts w:hint="eastAsia" w:ascii="宋体" w:hAnsi="宋体" w:cs="宋体"/>
                <w:color w:val="auto"/>
                <w:szCs w:val="21"/>
                <w:highlight w:val="none"/>
              </w:rPr>
              <w:t>…</w:t>
            </w:r>
            <w:bookmarkEnd w:id="151"/>
            <w:bookmarkEnd w:id="152"/>
            <w:bookmarkEnd w:id="153"/>
            <w:bookmarkEnd w:id="154"/>
            <w:bookmarkEnd w:id="155"/>
            <w:bookmarkEnd w:id="156"/>
            <w:bookmarkEnd w:id="157"/>
            <w:bookmarkEnd w:id="158"/>
            <w:bookmarkEnd w:id="159"/>
          </w:p>
        </w:tc>
        <w:tc>
          <w:tcPr>
            <w:tcW w:w="1765" w:type="dxa"/>
            <w:tcBorders>
              <w:right w:val="single" w:color="auto" w:sz="4" w:space="0"/>
            </w:tcBorders>
            <w:vAlign w:val="center"/>
          </w:tcPr>
          <w:p w14:paraId="5BE13DEB">
            <w:pPr>
              <w:spacing w:line="360" w:lineRule="auto"/>
              <w:contextualSpacing/>
              <w:jc w:val="center"/>
              <w:rPr>
                <w:rFonts w:ascii="宋体" w:hAnsi="宋体" w:cs="宋体"/>
                <w:color w:val="auto"/>
                <w:szCs w:val="21"/>
                <w:highlight w:val="none"/>
              </w:rPr>
            </w:pPr>
          </w:p>
        </w:tc>
        <w:tc>
          <w:tcPr>
            <w:tcW w:w="2596" w:type="dxa"/>
            <w:tcBorders>
              <w:left w:val="single" w:color="auto" w:sz="4" w:space="0"/>
            </w:tcBorders>
            <w:vAlign w:val="center"/>
          </w:tcPr>
          <w:p w14:paraId="6B11534F">
            <w:pPr>
              <w:spacing w:line="360" w:lineRule="auto"/>
              <w:contextualSpacing/>
              <w:jc w:val="center"/>
              <w:rPr>
                <w:rFonts w:ascii="宋体" w:hAnsi="宋体" w:cs="宋体"/>
                <w:color w:val="auto"/>
                <w:szCs w:val="21"/>
                <w:highlight w:val="none"/>
              </w:rPr>
            </w:pPr>
          </w:p>
        </w:tc>
        <w:tc>
          <w:tcPr>
            <w:tcW w:w="2201" w:type="dxa"/>
            <w:vAlign w:val="center"/>
          </w:tcPr>
          <w:p w14:paraId="12B5EFF8">
            <w:pPr>
              <w:spacing w:line="360" w:lineRule="auto"/>
              <w:contextualSpacing/>
              <w:jc w:val="center"/>
              <w:rPr>
                <w:rFonts w:ascii="宋体" w:hAnsi="宋体" w:cs="宋体"/>
                <w:color w:val="auto"/>
                <w:szCs w:val="21"/>
                <w:highlight w:val="none"/>
              </w:rPr>
            </w:pPr>
          </w:p>
        </w:tc>
        <w:tc>
          <w:tcPr>
            <w:tcW w:w="1427" w:type="dxa"/>
            <w:tcBorders>
              <w:right w:val="single" w:color="auto" w:sz="4" w:space="0"/>
            </w:tcBorders>
            <w:vAlign w:val="center"/>
          </w:tcPr>
          <w:p w14:paraId="68C3B0B8">
            <w:pPr>
              <w:spacing w:line="360" w:lineRule="auto"/>
              <w:contextualSpacing/>
              <w:jc w:val="center"/>
              <w:rPr>
                <w:rFonts w:ascii="宋体" w:hAnsi="宋体" w:cs="宋体"/>
                <w:color w:val="auto"/>
                <w:szCs w:val="21"/>
                <w:highlight w:val="none"/>
              </w:rPr>
            </w:pPr>
          </w:p>
        </w:tc>
      </w:tr>
    </w:tbl>
    <w:p w14:paraId="0450CD4B">
      <w:pPr>
        <w:widowControl/>
        <w:spacing w:line="36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注：</w:t>
      </w:r>
    </w:p>
    <w:p w14:paraId="2AE05EDC">
      <w:pPr>
        <w:widowControl/>
        <w:spacing w:line="36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1.说明：应对照磋商文件“第三章 采购需求”中的技术要求逐条作出明确响应，并作出偏离说明。</w:t>
      </w:r>
    </w:p>
    <w:p w14:paraId="7CA3E2A1">
      <w:pPr>
        <w:widowControl/>
        <w:spacing w:line="36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2.供应商应根据自身的承诺，对照磋商文件要求，在“偏离说明”中注明“正偏离”、“负偏离”或者“无偏离”。既不属于“正偏离”也不属于“负偏离”即为“无偏离”。</w:t>
      </w:r>
    </w:p>
    <w:p w14:paraId="363A29FC">
      <w:pPr>
        <w:widowControl/>
        <w:spacing w:line="360" w:lineRule="auto"/>
        <w:jc w:val="center"/>
        <w:rPr>
          <w:rFonts w:ascii="宋体" w:hAnsi="宋体" w:cs="宋体"/>
          <w:color w:val="auto"/>
          <w:szCs w:val="21"/>
          <w:highlight w:val="none"/>
        </w:rPr>
      </w:pPr>
    </w:p>
    <w:p w14:paraId="706966CF">
      <w:pPr>
        <w:widowControl/>
        <w:spacing w:line="600" w:lineRule="auto"/>
        <w:ind w:firstLine="210" w:firstLineChars="100"/>
        <w:jc w:val="left"/>
        <w:rPr>
          <w:rFonts w:ascii="宋体" w:hAnsi="宋体" w:cs="宋体"/>
          <w:color w:val="auto"/>
          <w:szCs w:val="21"/>
          <w:highlight w:val="none"/>
        </w:rPr>
      </w:pPr>
      <w:r>
        <w:rPr>
          <w:rFonts w:hint="eastAsia" w:ascii="宋体" w:hAnsi="宋体" w:cs="宋体"/>
          <w:color w:val="auto"/>
          <w:szCs w:val="21"/>
          <w:highlight w:val="none"/>
          <w:lang w:val="zh-CN"/>
        </w:rPr>
        <w:t>供应商名称</w:t>
      </w:r>
      <w:r>
        <w:rPr>
          <w:rFonts w:hint="eastAsia" w:ascii="宋体" w:hAnsi="宋体" w:cs="宋体"/>
          <w:color w:val="auto"/>
          <w:spacing w:val="20"/>
          <w:szCs w:val="21"/>
          <w:highlight w:val="none"/>
        </w:rPr>
        <w:t>（盖公章）：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  期：</w:t>
      </w:r>
      <w:r>
        <w:rPr>
          <w:rFonts w:hint="eastAsia" w:ascii="宋体" w:hAnsi="宋体" w:cs="宋体"/>
          <w:color w:val="auto"/>
          <w:spacing w:val="20"/>
          <w:szCs w:val="21"/>
          <w:highlight w:val="none"/>
          <w:u w:val="single"/>
        </w:rPr>
        <w:t xml:space="preserve">        </w:t>
      </w:r>
    </w:p>
    <w:p w14:paraId="169A113B">
      <w:pPr>
        <w:widowControl/>
        <w:spacing w:before="260" w:after="260" w:line="415" w:lineRule="auto"/>
        <w:jc w:val="center"/>
        <w:rPr>
          <w:rFonts w:ascii="宋体" w:hAnsi="宋体" w:cs="宋体"/>
          <w:color w:val="auto"/>
          <w:szCs w:val="21"/>
          <w:highlight w:val="none"/>
        </w:rPr>
      </w:pPr>
    </w:p>
    <w:p w14:paraId="2F93CBFE">
      <w:pPr>
        <w:widowControl/>
        <w:spacing w:before="260" w:after="260" w:line="415" w:lineRule="auto"/>
        <w:jc w:val="center"/>
        <w:rPr>
          <w:rFonts w:ascii="宋体" w:hAnsi="宋体" w:cs="宋体"/>
          <w:color w:val="auto"/>
          <w:szCs w:val="21"/>
          <w:highlight w:val="none"/>
        </w:rPr>
      </w:pPr>
    </w:p>
    <w:p w14:paraId="540594A8">
      <w:pPr>
        <w:widowControl/>
        <w:spacing w:before="260" w:after="260" w:line="415" w:lineRule="auto"/>
        <w:jc w:val="center"/>
        <w:rPr>
          <w:rFonts w:ascii="宋体" w:hAnsi="宋体" w:cs="宋体"/>
          <w:color w:val="auto"/>
          <w:szCs w:val="21"/>
          <w:highlight w:val="none"/>
        </w:rPr>
      </w:pPr>
    </w:p>
    <w:p w14:paraId="7524D283">
      <w:pPr>
        <w:widowControl/>
        <w:spacing w:before="260" w:after="260" w:line="415" w:lineRule="auto"/>
        <w:rPr>
          <w:rFonts w:ascii="宋体" w:hAnsi="宋体" w:cs="宋体"/>
          <w:color w:val="auto"/>
          <w:szCs w:val="21"/>
          <w:highlight w:val="none"/>
        </w:rPr>
      </w:pPr>
    </w:p>
    <w:p w14:paraId="20ACD17F">
      <w:pPr>
        <w:widowControl/>
        <w:spacing w:before="260" w:after="260" w:line="415" w:lineRule="auto"/>
        <w:rPr>
          <w:rFonts w:ascii="宋体" w:hAnsi="宋体" w:cs="宋体"/>
          <w:color w:val="auto"/>
          <w:szCs w:val="21"/>
          <w:highlight w:val="none"/>
        </w:rPr>
      </w:pPr>
    </w:p>
    <w:p w14:paraId="20EDA9D0">
      <w:pPr>
        <w:widowControl/>
        <w:spacing w:before="260" w:after="260" w:line="415" w:lineRule="auto"/>
        <w:rPr>
          <w:rFonts w:ascii="宋体" w:hAnsi="宋体" w:cs="宋体"/>
          <w:color w:val="auto"/>
          <w:szCs w:val="21"/>
          <w:highlight w:val="none"/>
        </w:rPr>
      </w:pPr>
    </w:p>
    <w:p w14:paraId="58985EA3">
      <w:pPr>
        <w:widowControl/>
        <w:spacing w:before="260" w:after="260" w:line="415" w:lineRule="auto"/>
        <w:rPr>
          <w:rFonts w:ascii="宋体" w:hAnsi="宋体" w:cs="宋体"/>
          <w:color w:val="auto"/>
          <w:szCs w:val="21"/>
          <w:highlight w:val="none"/>
        </w:rPr>
      </w:pPr>
    </w:p>
    <w:p w14:paraId="68737764">
      <w:pPr>
        <w:widowControl/>
        <w:spacing w:before="260" w:after="260" w:line="415" w:lineRule="auto"/>
        <w:jc w:val="center"/>
        <w:rPr>
          <w:rFonts w:ascii="宋体" w:hAnsi="宋体" w:cs="宋体"/>
          <w:color w:val="auto"/>
          <w:kern w:val="56"/>
          <w:sz w:val="32"/>
          <w:szCs w:val="32"/>
          <w:highlight w:val="none"/>
        </w:rPr>
      </w:pPr>
      <w:r>
        <w:rPr>
          <w:rFonts w:hint="eastAsia" w:ascii="宋体" w:hAnsi="宋体" w:cs="宋体"/>
          <w:b/>
          <w:color w:val="auto"/>
          <w:sz w:val="32"/>
          <w:szCs w:val="32"/>
          <w:highlight w:val="none"/>
        </w:rPr>
        <w:t>农民工工资保证金承诺书（格式）</w:t>
      </w:r>
    </w:p>
    <w:p w14:paraId="30B831E9">
      <w:pPr>
        <w:spacing w:line="400" w:lineRule="exact"/>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（采购人名称）</w:t>
      </w:r>
    </w:p>
    <w:p w14:paraId="255F97C8">
      <w:pPr>
        <w:spacing w:line="400" w:lineRule="exact"/>
        <w:ind w:firstLine="480"/>
        <w:rPr>
          <w:rFonts w:ascii="宋体" w:hAnsi="宋体" w:cs="宋体"/>
          <w:color w:val="auto"/>
          <w:szCs w:val="21"/>
          <w:highlight w:val="none"/>
          <w:u w:val="single"/>
        </w:rPr>
      </w:pPr>
      <w:r>
        <w:rPr>
          <w:rFonts w:hint="eastAsia" w:ascii="宋体" w:hAnsi="宋体" w:cs="宋体"/>
          <w:color w:val="auto"/>
          <w:szCs w:val="21"/>
          <w:highlight w:val="none"/>
        </w:rPr>
        <w:t>根据《保障农民工工资支付条例》（中华人民共和国国务院令第724号）、《关于明确农民工工资保证金制度有关问题的通知》（桂薪联发﹝</w:t>
      </w:r>
      <w:r>
        <w:rPr>
          <w:rFonts w:hint="eastAsia" w:ascii="宋体" w:hAnsi="宋体" w:cs="宋体"/>
          <w:bCs/>
          <w:color w:val="auto"/>
          <w:szCs w:val="21"/>
          <w:highlight w:val="none"/>
        </w:rPr>
        <w:t>2016</w:t>
      </w:r>
      <w:r>
        <w:rPr>
          <w:rFonts w:hint="eastAsia" w:ascii="宋体" w:hAnsi="宋体" w:cs="宋体"/>
          <w:color w:val="auto"/>
          <w:szCs w:val="21"/>
          <w:highlight w:val="none"/>
        </w:rPr>
        <w:t>﹞</w:t>
      </w:r>
      <w:r>
        <w:rPr>
          <w:rFonts w:hint="eastAsia" w:ascii="宋体" w:hAnsi="宋体" w:cs="宋体"/>
          <w:bCs/>
          <w:color w:val="auto"/>
          <w:szCs w:val="21"/>
          <w:highlight w:val="none"/>
        </w:rPr>
        <w:t>2号</w:t>
      </w:r>
      <w:r>
        <w:rPr>
          <w:rFonts w:hint="eastAsia" w:ascii="宋体" w:hAnsi="宋体" w:cs="宋体"/>
          <w:color w:val="auto"/>
          <w:szCs w:val="21"/>
          <w:highlight w:val="none"/>
        </w:rPr>
        <w:t>）等规定，在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项目的磋商中，我单位对农民工工资的支付作出以下郑重承诺：</w:t>
      </w:r>
    </w:p>
    <w:p w14:paraId="5F4E88DB">
      <w:pPr>
        <w:spacing w:line="400" w:lineRule="exact"/>
        <w:ind w:firstLine="480"/>
        <w:rPr>
          <w:rFonts w:ascii="宋体" w:hAnsi="宋体" w:cs="宋体"/>
          <w:color w:val="auto"/>
          <w:szCs w:val="21"/>
          <w:highlight w:val="none"/>
        </w:rPr>
      </w:pPr>
      <w:r>
        <w:rPr>
          <w:rFonts w:hint="eastAsia" w:ascii="宋体" w:hAnsi="宋体" w:cs="宋体"/>
          <w:color w:val="auto"/>
          <w:szCs w:val="21"/>
          <w:highlight w:val="none"/>
        </w:rPr>
        <w:t>（一）我单位在本采购项目递交响应文件截止时间</w:t>
      </w:r>
      <w:r>
        <w:rPr>
          <w:rFonts w:hint="eastAsia" w:ascii="宋体" w:hAnsi="宋体" w:cs="宋体"/>
          <w:color w:val="auto"/>
          <w:szCs w:val="21"/>
          <w:highlight w:val="none"/>
          <w:u w:val="single"/>
        </w:rPr>
        <w:t xml:space="preserve">         （开标日）</w:t>
      </w:r>
      <w:r>
        <w:rPr>
          <w:rFonts w:hint="eastAsia" w:ascii="宋体" w:hAnsi="宋体" w:cs="宋体"/>
          <w:color w:val="auto"/>
          <w:szCs w:val="21"/>
          <w:highlight w:val="none"/>
        </w:rPr>
        <w:t>前所承建的工程项目，不存在拖欠或克扣农民工工资的行为。</w:t>
      </w:r>
    </w:p>
    <w:p w14:paraId="62E5120C">
      <w:pPr>
        <w:spacing w:line="400" w:lineRule="exact"/>
        <w:ind w:firstLine="480"/>
        <w:rPr>
          <w:rFonts w:ascii="宋体" w:hAnsi="宋体" w:cs="宋体"/>
          <w:color w:val="auto"/>
          <w:szCs w:val="21"/>
          <w:highlight w:val="none"/>
        </w:rPr>
      </w:pPr>
      <w:r>
        <w:rPr>
          <w:rFonts w:hint="eastAsia" w:ascii="宋体" w:hAnsi="宋体" w:cs="宋体"/>
          <w:color w:val="auto"/>
          <w:szCs w:val="21"/>
          <w:highlight w:val="none"/>
        </w:rPr>
        <w:t>（二）成交后，我单位同意在签订合同后在工程项目所在地商业银行开设农民工工资保证金专用账户，并按磋商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8F2440F">
      <w:pPr>
        <w:spacing w:line="400" w:lineRule="exact"/>
        <w:ind w:firstLine="480"/>
        <w:rPr>
          <w:rFonts w:ascii="宋体" w:hAnsi="宋体" w:cs="宋体"/>
          <w:color w:val="auto"/>
          <w:szCs w:val="21"/>
          <w:highlight w:val="none"/>
        </w:rPr>
      </w:pPr>
      <w:r>
        <w:rPr>
          <w:rFonts w:hint="eastAsia" w:ascii="宋体" w:hAnsi="宋体" w:cs="宋体"/>
          <w:color w:val="auto"/>
          <w:szCs w:val="21"/>
          <w:highlight w:val="none"/>
        </w:rPr>
        <w:t>（三）在项目实施过程中，若出现结算价与成交价不一致时，以实际结算金额按磋商文件规定的计算额度存入农民工工资保证金。</w:t>
      </w:r>
    </w:p>
    <w:p w14:paraId="5129A3ED">
      <w:pPr>
        <w:spacing w:line="400" w:lineRule="exact"/>
        <w:ind w:firstLine="480"/>
        <w:rPr>
          <w:rFonts w:ascii="宋体" w:hAnsi="宋体" w:cs="宋体"/>
          <w:color w:val="auto"/>
          <w:szCs w:val="21"/>
          <w:highlight w:val="none"/>
        </w:rPr>
      </w:pPr>
      <w:r>
        <w:rPr>
          <w:rFonts w:hint="eastAsia" w:ascii="宋体" w:hAnsi="宋体" w:cs="宋体"/>
          <w:color w:val="auto"/>
          <w:szCs w:val="21"/>
          <w:highlight w:val="none"/>
        </w:rPr>
        <w:t>（四）我单位向建设单位承诺依法足额支付农民工工资，一旦我单位（包含我单位的分包商）承建的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项目出现拖欠农民工工资情况的，可由劳动保障、交通主管部门（或授权机构）及建设单位根据相关规定从其农民工工资保证金中先予支取。</w:t>
      </w:r>
    </w:p>
    <w:p w14:paraId="4582A8F1">
      <w:pPr>
        <w:spacing w:line="400" w:lineRule="exact"/>
        <w:ind w:firstLine="420" w:firstLineChars="200"/>
        <w:rPr>
          <w:rFonts w:ascii="宋体" w:hAnsi="宋体" w:cs="宋体"/>
          <w:color w:val="auto"/>
          <w:sz w:val="24"/>
          <w:highlight w:val="none"/>
        </w:rPr>
      </w:pPr>
      <w:r>
        <w:rPr>
          <w:rFonts w:hint="eastAsia" w:ascii="宋体" w:hAnsi="宋体" w:cs="宋体"/>
          <w:color w:val="auto"/>
          <w:szCs w:val="21"/>
          <w:highlight w:val="none"/>
        </w:rPr>
        <w:t>（五）其它未尽事宜按《保障农民工工资支付条例》（中华人民共和国国务院令第724号）、《关于明确农民工工资保证金制度有关问题的通知》（桂薪联发﹝</w:t>
      </w:r>
      <w:r>
        <w:rPr>
          <w:rFonts w:hint="eastAsia" w:ascii="宋体" w:hAnsi="宋体" w:cs="宋体"/>
          <w:bCs/>
          <w:color w:val="auto"/>
          <w:szCs w:val="21"/>
          <w:highlight w:val="none"/>
        </w:rPr>
        <w:t>2016</w:t>
      </w:r>
      <w:r>
        <w:rPr>
          <w:rFonts w:hint="eastAsia" w:ascii="宋体" w:hAnsi="宋体" w:cs="宋体"/>
          <w:color w:val="auto"/>
          <w:szCs w:val="21"/>
          <w:highlight w:val="none"/>
        </w:rPr>
        <w:t>﹞</w:t>
      </w:r>
      <w:r>
        <w:rPr>
          <w:rFonts w:hint="eastAsia" w:ascii="宋体" w:hAnsi="宋体" w:cs="宋体"/>
          <w:bCs/>
          <w:color w:val="auto"/>
          <w:szCs w:val="21"/>
          <w:highlight w:val="none"/>
        </w:rPr>
        <w:t>2号</w:t>
      </w:r>
      <w:r>
        <w:rPr>
          <w:rFonts w:hint="eastAsia" w:ascii="宋体" w:hAnsi="宋体" w:cs="宋体"/>
          <w:color w:val="auto"/>
          <w:szCs w:val="21"/>
          <w:highlight w:val="none"/>
        </w:rPr>
        <w:t>）以及《关于印发广西壮族自治区公路管理局公路工程建设农民工管理实施细则（修订）的通知》（桂路工程发[2014]300号）等有关</w:t>
      </w:r>
      <w:r>
        <w:rPr>
          <w:rFonts w:hint="eastAsia" w:ascii="宋体" w:hAnsi="宋体" w:cs="宋体"/>
          <w:color w:val="auto"/>
          <w:szCs w:val="21"/>
          <w:highlight w:val="none"/>
          <w:lang w:eastAsia="zh-CN"/>
        </w:rPr>
        <w:t>现行</w:t>
      </w:r>
      <w:r>
        <w:rPr>
          <w:rFonts w:hint="eastAsia" w:ascii="宋体" w:hAnsi="宋体" w:cs="宋体"/>
          <w:color w:val="auto"/>
          <w:szCs w:val="21"/>
          <w:highlight w:val="none"/>
        </w:rPr>
        <w:t>规定执行。</w:t>
      </w:r>
    </w:p>
    <w:p w14:paraId="40980A54">
      <w:pPr>
        <w:spacing w:line="360" w:lineRule="auto"/>
        <w:ind w:firstLine="3255" w:firstLineChars="1550"/>
        <w:rPr>
          <w:rFonts w:ascii="宋体" w:hAnsi="宋体" w:cs="宋体"/>
          <w:color w:val="auto"/>
          <w:szCs w:val="21"/>
          <w:highlight w:val="none"/>
        </w:rPr>
      </w:pPr>
    </w:p>
    <w:p w14:paraId="23D11E1F">
      <w:pPr>
        <w:spacing w:line="360" w:lineRule="auto"/>
        <w:ind w:firstLine="3255" w:firstLineChars="1550"/>
        <w:rPr>
          <w:rFonts w:ascii="宋体" w:hAnsi="宋体" w:cs="宋体"/>
          <w:color w:val="auto"/>
          <w:szCs w:val="21"/>
          <w:highlight w:val="none"/>
        </w:rPr>
      </w:pPr>
    </w:p>
    <w:p w14:paraId="287D4A6E">
      <w:pPr>
        <w:spacing w:line="360" w:lineRule="auto"/>
        <w:ind w:firstLine="2520" w:firstLineChars="1200"/>
        <w:rPr>
          <w:rFonts w:ascii="宋体" w:hAnsi="宋体" w:cs="宋体"/>
          <w:color w:val="auto"/>
          <w:szCs w:val="21"/>
          <w:highlight w:val="none"/>
          <w:u w:val="single"/>
        </w:rPr>
      </w:pPr>
      <w:r>
        <w:rPr>
          <w:rFonts w:hint="eastAsia" w:ascii="宋体" w:hAnsi="宋体" w:cs="宋体"/>
          <w:color w:val="auto"/>
          <w:szCs w:val="21"/>
          <w:highlight w:val="none"/>
        </w:rPr>
        <w:t>磋商供应商：（盖公章）</w:t>
      </w:r>
      <w:r>
        <w:rPr>
          <w:rFonts w:hint="eastAsia" w:ascii="宋体" w:hAnsi="宋体" w:cs="宋体"/>
          <w:color w:val="auto"/>
          <w:szCs w:val="21"/>
          <w:highlight w:val="none"/>
          <w:u w:val="single"/>
        </w:rPr>
        <w:t xml:space="preserve">                        </w:t>
      </w:r>
    </w:p>
    <w:p w14:paraId="699D1628">
      <w:pPr>
        <w:spacing w:line="360" w:lineRule="auto"/>
        <w:ind w:firstLine="2520" w:firstLineChars="1200"/>
        <w:rPr>
          <w:rFonts w:ascii="宋体" w:hAnsi="宋体" w:cs="宋体"/>
          <w:color w:val="auto"/>
          <w:szCs w:val="21"/>
          <w:highlight w:val="none"/>
          <w:u w:val="single"/>
        </w:rPr>
      </w:pPr>
      <w:r>
        <w:rPr>
          <w:rFonts w:hint="eastAsia" w:ascii="宋体" w:hAnsi="宋体" w:cs="宋体"/>
          <w:color w:val="auto"/>
          <w:szCs w:val="21"/>
          <w:highlight w:val="none"/>
        </w:rPr>
        <w:t>法定代表人（负责人）：（签字或者电子签名）</w:t>
      </w:r>
      <w:r>
        <w:rPr>
          <w:rFonts w:hint="eastAsia" w:ascii="宋体" w:hAnsi="宋体" w:cs="宋体"/>
          <w:color w:val="auto"/>
          <w:szCs w:val="21"/>
          <w:highlight w:val="none"/>
          <w:u w:val="single"/>
        </w:rPr>
        <w:t xml:space="preserve">                </w:t>
      </w:r>
    </w:p>
    <w:p w14:paraId="4A67DF36">
      <w:pPr>
        <w:spacing w:line="360" w:lineRule="auto"/>
        <w:ind w:firstLine="2520" w:firstLineChars="1200"/>
        <w:rPr>
          <w:rFonts w:ascii="宋体" w:hAnsi="宋体" w:cs="宋体"/>
          <w:b/>
          <w:color w:val="auto"/>
          <w:sz w:val="32"/>
          <w:szCs w:val="32"/>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DEAFCED">
      <w:pPr>
        <w:adjustRightInd w:val="0"/>
        <w:snapToGrid w:val="0"/>
        <w:spacing w:line="520" w:lineRule="exact"/>
        <w:ind w:firstLine="7040" w:firstLineChars="1600"/>
        <w:jc w:val="center"/>
        <w:rPr>
          <w:rFonts w:ascii="宋体" w:hAnsi="宋体" w:cs="宋体"/>
          <w:bCs/>
          <w:color w:val="auto"/>
          <w:sz w:val="44"/>
          <w:szCs w:val="44"/>
          <w:highlight w:val="none"/>
        </w:rPr>
      </w:pPr>
    </w:p>
    <w:p w14:paraId="0AF5CF91">
      <w:pPr>
        <w:adjustRightInd w:val="0"/>
        <w:snapToGrid w:val="0"/>
        <w:spacing w:line="520" w:lineRule="exact"/>
        <w:ind w:firstLine="7040" w:firstLineChars="1600"/>
        <w:jc w:val="center"/>
        <w:rPr>
          <w:rFonts w:ascii="宋体" w:hAnsi="宋体" w:cs="宋体"/>
          <w:bCs/>
          <w:color w:val="auto"/>
          <w:sz w:val="44"/>
          <w:szCs w:val="44"/>
          <w:highlight w:val="none"/>
        </w:rPr>
      </w:pPr>
    </w:p>
    <w:p w14:paraId="13289B63">
      <w:pPr>
        <w:adjustRightInd w:val="0"/>
        <w:snapToGrid w:val="0"/>
        <w:spacing w:line="520" w:lineRule="exact"/>
        <w:ind w:firstLine="7040" w:firstLineChars="1600"/>
        <w:jc w:val="center"/>
        <w:rPr>
          <w:rFonts w:ascii="宋体" w:hAnsi="宋体" w:cs="宋体"/>
          <w:bCs/>
          <w:color w:val="auto"/>
          <w:sz w:val="44"/>
          <w:szCs w:val="44"/>
          <w:highlight w:val="none"/>
        </w:rPr>
      </w:pPr>
    </w:p>
    <w:p w14:paraId="17DDD0CD">
      <w:pPr>
        <w:adjustRightInd w:val="0"/>
        <w:snapToGrid w:val="0"/>
        <w:spacing w:line="520" w:lineRule="exact"/>
        <w:ind w:firstLine="7040" w:firstLineChars="1600"/>
        <w:jc w:val="center"/>
        <w:rPr>
          <w:rFonts w:ascii="宋体" w:hAnsi="宋体" w:cs="宋体"/>
          <w:bCs/>
          <w:color w:val="auto"/>
          <w:sz w:val="44"/>
          <w:szCs w:val="44"/>
          <w:highlight w:val="none"/>
        </w:rPr>
      </w:pPr>
    </w:p>
    <w:p w14:paraId="33A005EA">
      <w:pPr>
        <w:adjustRightInd w:val="0"/>
        <w:snapToGrid w:val="0"/>
        <w:spacing w:line="520" w:lineRule="exact"/>
        <w:rPr>
          <w:rFonts w:ascii="宋体" w:hAnsi="宋体" w:cs="宋体"/>
          <w:color w:val="auto"/>
          <w:szCs w:val="21"/>
          <w:highlight w:val="none"/>
          <w:u w:val="single"/>
        </w:rPr>
      </w:pPr>
    </w:p>
    <w:p w14:paraId="1D0FB9C0">
      <w:pPr>
        <w:widowControl/>
        <w:spacing w:before="260" w:after="260" w:line="415" w:lineRule="auto"/>
        <w:rPr>
          <w:rFonts w:ascii="宋体" w:hAnsi="宋体" w:cs="宋体"/>
          <w:color w:val="auto"/>
          <w:szCs w:val="21"/>
          <w:highlight w:val="none"/>
        </w:rPr>
      </w:pPr>
    </w:p>
    <w:p w14:paraId="7F55C91F">
      <w:pPr>
        <w:widowControl/>
        <w:spacing w:before="260" w:after="260" w:line="415" w:lineRule="auto"/>
        <w:rPr>
          <w:rFonts w:ascii="宋体" w:hAnsi="宋体" w:cs="宋体"/>
          <w:color w:val="auto"/>
          <w:szCs w:val="21"/>
          <w:highlight w:val="none"/>
        </w:rPr>
      </w:pPr>
    </w:p>
    <w:p w14:paraId="62C792B3">
      <w:pPr>
        <w:spacing w:line="360" w:lineRule="auto"/>
        <w:jc w:val="center"/>
        <w:rPr>
          <w:rFonts w:hint="eastAsia" w:ascii="宋体" w:hAnsi="宋体"/>
          <w:b/>
          <w:color w:val="auto"/>
          <w:sz w:val="32"/>
          <w:szCs w:val="32"/>
          <w:highlight w:val="none"/>
        </w:rPr>
      </w:pPr>
    </w:p>
    <w:p w14:paraId="1C529240">
      <w:pPr>
        <w:spacing w:line="360" w:lineRule="auto"/>
        <w:jc w:val="center"/>
        <w:rPr>
          <w:rFonts w:hint="eastAsia" w:ascii="宋体" w:hAnsi="宋体"/>
          <w:b/>
          <w:color w:val="auto"/>
          <w:sz w:val="32"/>
          <w:szCs w:val="32"/>
          <w:highlight w:val="none"/>
        </w:rPr>
      </w:pPr>
    </w:p>
    <w:p w14:paraId="1911AA5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建筑材料和设备节能环保要求承诺书（格式）</w:t>
      </w:r>
    </w:p>
    <w:p w14:paraId="55BFA93C">
      <w:pPr>
        <w:spacing w:line="360" w:lineRule="auto"/>
        <w:ind w:firstLine="420" w:firstLineChars="200"/>
        <w:rPr>
          <w:rFonts w:ascii="宋体" w:hAnsi="宋体"/>
          <w:color w:val="auto"/>
          <w:szCs w:val="21"/>
          <w:highlight w:val="none"/>
        </w:rPr>
      </w:pPr>
    </w:p>
    <w:p w14:paraId="34CC4B6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我方承诺，一旦成交，我方保证严格执行《财政部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1C755169">
      <w:pPr>
        <w:spacing w:line="360" w:lineRule="auto"/>
        <w:ind w:right="1575" w:rightChars="750"/>
        <w:jc w:val="right"/>
        <w:rPr>
          <w:rFonts w:ascii="宋体" w:hAnsi="宋体"/>
          <w:color w:val="auto"/>
          <w:szCs w:val="21"/>
          <w:highlight w:val="none"/>
        </w:rPr>
      </w:pPr>
    </w:p>
    <w:p w14:paraId="5BC0FC50">
      <w:pPr>
        <w:spacing w:line="360" w:lineRule="auto"/>
        <w:ind w:right="1575" w:rightChars="750"/>
        <w:jc w:val="right"/>
        <w:rPr>
          <w:rFonts w:ascii="宋体" w:hAnsi="宋体"/>
          <w:color w:val="auto"/>
          <w:szCs w:val="21"/>
          <w:highlight w:val="none"/>
        </w:rPr>
      </w:pPr>
      <w:r>
        <w:rPr>
          <w:rFonts w:hint="eastAsia" w:ascii="宋体" w:hAnsi="宋体" w:cs="宋体"/>
          <w:color w:val="auto"/>
          <w:szCs w:val="21"/>
          <w:highlight w:val="none"/>
          <w:lang w:val="zh-CN"/>
        </w:rPr>
        <w:t>供应商名称</w:t>
      </w:r>
      <w:r>
        <w:rPr>
          <w:rFonts w:hint="eastAsia" w:ascii="宋体" w:hAnsi="宋体" w:cs="宋体"/>
          <w:color w:val="auto"/>
          <w:spacing w:val="20"/>
          <w:szCs w:val="21"/>
          <w:highlight w:val="none"/>
        </w:rPr>
        <w:t>（盖公章）</w:t>
      </w:r>
      <w:r>
        <w:rPr>
          <w:rFonts w:hint="eastAsia" w:ascii="宋体" w:hAnsi="宋体"/>
          <w:color w:val="auto"/>
          <w:szCs w:val="21"/>
          <w:highlight w:val="none"/>
        </w:rPr>
        <w:t>：</w:t>
      </w:r>
    </w:p>
    <w:p w14:paraId="159C7ABB">
      <w:pPr>
        <w:wordWrap w:val="0"/>
        <w:spacing w:line="360" w:lineRule="auto"/>
        <w:ind w:firstLine="420" w:firstLineChars="200"/>
        <w:jc w:val="right"/>
        <w:rPr>
          <w:rFonts w:ascii="宋体" w:hAnsi="宋体"/>
          <w:color w:val="auto"/>
          <w:szCs w:val="21"/>
          <w:highlight w:val="none"/>
        </w:rPr>
      </w:pPr>
      <w:r>
        <w:rPr>
          <w:rFonts w:hint="eastAsia" w:ascii="宋体" w:hAnsi="宋体"/>
          <w:color w:val="auto"/>
          <w:szCs w:val="21"/>
          <w:highlight w:val="none"/>
        </w:rPr>
        <w:t>日期：</w:t>
      </w:r>
      <w:r>
        <w:rPr>
          <w:color w:val="auto"/>
          <w:szCs w:val="21"/>
          <w:highlight w:val="none"/>
          <w:u w:val="single"/>
        </w:rPr>
        <w:t xml:space="preserve">   </w:t>
      </w:r>
      <w:r>
        <w:rPr>
          <w:rFonts w:hint="eastAsia" w:ascii="宋体" w:hAnsi="宋体"/>
          <w:color w:val="auto"/>
          <w:szCs w:val="21"/>
          <w:highlight w:val="none"/>
        </w:rPr>
        <w:t>年</w:t>
      </w:r>
      <w:r>
        <w:rPr>
          <w:color w:val="auto"/>
          <w:szCs w:val="21"/>
          <w:highlight w:val="none"/>
          <w:u w:val="single"/>
        </w:rPr>
        <w:t xml:space="preserve">   </w:t>
      </w:r>
      <w:r>
        <w:rPr>
          <w:rFonts w:hint="eastAsia" w:ascii="宋体" w:hAnsi="宋体"/>
          <w:color w:val="auto"/>
          <w:szCs w:val="21"/>
          <w:highlight w:val="none"/>
        </w:rPr>
        <w:t>月</w:t>
      </w:r>
      <w:r>
        <w:rPr>
          <w:color w:val="auto"/>
          <w:szCs w:val="21"/>
          <w:highlight w:val="none"/>
          <w:u w:val="single"/>
        </w:rPr>
        <w:t xml:space="preserve">   </w:t>
      </w:r>
      <w:r>
        <w:rPr>
          <w:rFonts w:hint="eastAsia" w:ascii="宋体" w:hAnsi="宋体"/>
          <w:color w:val="auto"/>
          <w:szCs w:val="21"/>
          <w:highlight w:val="none"/>
        </w:rPr>
        <w:t>日</w:t>
      </w:r>
    </w:p>
    <w:p w14:paraId="2F1D2077">
      <w:pPr>
        <w:spacing w:line="360" w:lineRule="auto"/>
        <w:ind w:firstLine="643" w:firstLineChars="200"/>
        <w:rPr>
          <w:rFonts w:ascii="宋体" w:hAnsi="宋体"/>
          <w:b/>
          <w:color w:val="auto"/>
          <w:sz w:val="32"/>
          <w:szCs w:val="32"/>
          <w:highlight w:val="none"/>
        </w:rPr>
        <w:sectPr>
          <w:pgSz w:w="11906" w:h="16838"/>
          <w:pgMar w:top="1134" w:right="1134" w:bottom="1134" w:left="1134" w:header="851" w:footer="992" w:gutter="0"/>
          <w:cols w:space="720" w:num="1"/>
          <w:docGrid w:type="lines" w:linePitch="312" w:charSpace="0"/>
        </w:sectPr>
      </w:pPr>
    </w:p>
    <w:p w14:paraId="0B73487B">
      <w:pPr>
        <w:pStyle w:val="5"/>
        <w:jc w:val="center"/>
        <w:rPr>
          <w:rFonts w:ascii="宋体" w:hAnsi="宋体" w:cs="宋体"/>
          <w:color w:val="auto"/>
          <w:highlight w:val="none"/>
        </w:rPr>
      </w:pPr>
      <w:bookmarkStart w:id="160" w:name="_Toc24575"/>
      <w:bookmarkStart w:id="161" w:name="_Toc28474"/>
      <w:bookmarkStart w:id="162" w:name="_Toc24030"/>
      <w:bookmarkStart w:id="163" w:name="_Toc107326206"/>
      <w:bookmarkStart w:id="164" w:name="_Toc28346"/>
      <w:bookmarkStart w:id="165" w:name="_Toc31872"/>
      <w:r>
        <w:rPr>
          <w:rFonts w:hint="eastAsia" w:ascii="宋体" w:hAnsi="宋体" w:cs="宋体"/>
          <w:color w:val="auto"/>
          <w:highlight w:val="none"/>
        </w:rPr>
        <w:t>项目管理机构配备情况表</w:t>
      </w:r>
      <w:bookmarkEnd w:id="160"/>
      <w:bookmarkEnd w:id="161"/>
      <w:bookmarkEnd w:id="162"/>
      <w:bookmarkEnd w:id="163"/>
      <w:bookmarkEnd w:id="164"/>
      <w:bookmarkEnd w:id="165"/>
      <w:r>
        <w:rPr>
          <w:rFonts w:hint="eastAsia" w:ascii="宋体" w:hAnsi="宋体" w:cs="宋体"/>
          <w:color w:val="auto"/>
          <w:highlight w:val="none"/>
        </w:rPr>
        <w:t>（格式）</w:t>
      </w:r>
    </w:p>
    <w:tbl>
      <w:tblPr>
        <w:tblStyle w:val="29"/>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134"/>
        <w:gridCol w:w="1169"/>
        <w:gridCol w:w="1488"/>
        <w:gridCol w:w="1488"/>
        <w:gridCol w:w="1488"/>
        <w:gridCol w:w="1532"/>
      </w:tblGrid>
      <w:tr w14:paraId="1242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101" w:type="dxa"/>
            <w:vMerge w:val="restart"/>
            <w:vAlign w:val="center"/>
          </w:tcPr>
          <w:p w14:paraId="60B04297">
            <w:pPr>
              <w:spacing w:after="50" w:line="400" w:lineRule="exact"/>
              <w:jc w:val="center"/>
              <w:rPr>
                <w:rFonts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highlight w:val="none"/>
              </w:rPr>
              <w:t>职务</w:t>
            </w:r>
          </w:p>
        </w:tc>
        <w:tc>
          <w:tcPr>
            <w:tcW w:w="1134" w:type="dxa"/>
            <w:vMerge w:val="restart"/>
            <w:vAlign w:val="center"/>
          </w:tcPr>
          <w:p w14:paraId="64F785A0">
            <w:pPr>
              <w:spacing w:after="50" w:line="400" w:lineRule="exact"/>
              <w:jc w:val="center"/>
              <w:rPr>
                <w:rFonts w:ascii="宋体" w:hAnsi="宋体" w:cs="宋体"/>
                <w:color w:val="auto"/>
                <w:highlight w:val="none"/>
              </w:rPr>
            </w:pPr>
            <w:r>
              <w:rPr>
                <w:rFonts w:hint="eastAsia" w:ascii="宋体" w:hAnsi="宋体" w:cs="宋体"/>
                <w:color w:val="auto"/>
                <w:highlight w:val="none"/>
              </w:rPr>
              <w:t>姓名</w:t>
            </w:r>
          </w:p>
        </w:tc>
        <w:tc>
          <w:tcPr>
            <w:tcW w:w="1169" w:type="dxa"/>
            <w:vMerge w:val="restart"/>
            <w:vAlign w:val="center"/>
          </w:tcPr>
          <w:p w14:paraId="06CE451D">
            <w:pPr>
              <w:spacing w:after="50" w:line="400" w:lineRule="exact"/>
              <w:jc w:val="center"/>
              <w:rPr>
                <w:rFonts w:ascii="宋体" w:hAnsi="宋体" w:cs="宋体"/>
                <w:color w:val="auto"/>
                <w:highlight w:val="none"/>
              </w:rPr>
            </w:pPr>
            <w:r>
              <w:rPr>
                <w:rFonts w:hint="eastAsia" w:ascii="宋体" w:hAnsi="宋体" w:cs="宋体"/>
                <w:color w:val="auto"/>
                <w:highlight w:val="none"/>
              </w:rPr>
              <w:t>职称</w:t>
            </w:r>
          </w:p>
        </w:tc>
        <w:tc>
          <w:tcPr>
            <w:tcW w:w="5996" w:type="dxa"/>
            <w:gridSpan w:val="4"/>
            <w:vAlign w:val="center"/>
          </w:tcPr>
          <w:p w14:paraId="323E11EC">
            <w:pPr>
              <w:spacing w:after="50" w:line="400" w:lineRule="exact"/>
              <w:jc w:val="center"/>
              <w:rPr>
                <w:rFonts w:ascii="宋体" w:hAnsi="宋体" w:cs="宋体"/>
                <w:color w:val="auto"/>
                <w:highlight w:val="none"/>
              </w:rPr>
            </w:pPr>
            <w:r>
              <w:rPr>
                <w:rFonts w:hint="eastAsia" w:ascii="宋体" w:hAnsi="宋体" w:cs="宋体"/>
                <w:color w:val="auto"/>
                <w:highlight w:val="none"/>
              </w:rPr>
              <w:t>执业或职业资格证明</w:t>
            </w:r>
          </w:p>
        </w:tc>
      </w:tr>
      <w:tr w14:paraId="0F9B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101" w:type="dxa"/>
            <w:vMerge w:val="continue"/>
            <w:vAlign w:val="center"/>
          </w:tcPr>
          <w:p w14:paraId="178C536A">
            <w:pPr>
              <w:spacing w:after="50" w:line="400" w:lineRule="exact"/>
              <w:jc w:val="center"/>
              <w:rPr>
                <w:rFonts w:ascii="宋体" w:hAnsi="宋体" w:cs="宋体"/>
                <w:color w:val="auto"/>
                <w:highlight w:val="none"/>
              </w:rPr>
            </w:pPr>
          </w:p>
        </w:tc>
        <w:tc>
          <w:tcPr>
            <w:tcW w:w="1134" w:type="dxa"/>
            <w:vMerge w:val="continue"/>
            <w:vAlign w:val="center"/>
          </w:tcPr>
          <w:p w14:paraId="7D68C6A5">
            <w:pPr>
              <w:spacing w:after="50" w:line="400" w:lineRule="exact"/>
              <w:jc w:val="center"/>
              <w:rPr>
                <w:rFonts w:ascii="宋体" w:hAnsi="宋体" w:cs="宋体"/>
                <w:color w:val="auto"/>
                <w:highlight w:val="none"/>
              </w:rPr>
            </w:pPr>
          </w:p>
        </w:tc>
        <w:tc>
          <w:tcPr>
            <w:tcW w:w="1169" w:type="dxa"/>
            <w:vMerge w:val="continue"/>
            <w:vAlign w:val="center"/>
          </w:tcPr>
          <w:p w14:paraId="3799B089">
            <w:pPr>
              <w:spacing w:after="50" w:line="400" w:lineRule="exact"/>
              <w:jc w:val="center"/>
              <w:rPr>
                <w:rFonts w:ascii="宋体" w:hAnsi="宋体" w:cs="宋体"/>
                <w:color w:val="auto"/>
                <w:highlight w:val="none"/>
              </w:rPr>
            </w:pPr>
          </w:p>
        </w:tc>
        <w:tc>
          <w:tcPr>
            <w:tcW w:w="1488" w:type="dxa"/>
            <w:vAlign w:val="center"/>
          </w:tcPr>
          <w:p w14:paraId="1E1656B5">
            <w:pPr>
              <w:spacing w:after="50" w:line="400" w:lineRule="exact"/>
              <w:jc w:val="center"/>
              <w:rPr>
                <w:rFonts w:ascii="宋体" w:hAnsi="宋体" w:cs="宋体"/>
                <w:color w:val="auto"/>
                <w:highlight w:val="none"/>
              </w:rPr>
            </w:pPr>
            <w:r>
              <w:rPr>
                <w:rFonts w:hint="eastAsia" w:ascii="宋体" w:hAnsi="宋体" w:cs="宋体"/>
                <w:color w:val="auto"/>
                <w:highlight w:val="none"/>
              </w:rPr>
              <w:t>证书名称</w:t>
            </w:r>
          </w:p>
        </w:tc>
        <w:tc>
          <w:tcPr>
            <w:tcW w:w="1488" w:type="dxa"/>
            <w:vAlign w:val="center"/>
          </w:tcPr>
          <w:p w14:paraId="5A09168C">
            <w:pPr>
              <w:spacing w:after="50" w:line="400" w:lineRule="exact"/>
              <w:jc w:val="center"/>
              <w:rPr>
                <w:rFonts w:ascii="宋体" w:hAnsi="宋体" w:cs="宋体"/>
                <w:color w:val="auto"/>
                <w:highlight w:val="none"/>
              </w:rPr>
            </w:pPr>
            <w:r>
              <w:rPr>
                <w:rFonts w:hint="eastAsia" w:ascii="宋体" w:hAnsi="宋体" w:cs="宋体"/>
                <w:color w:val="auto"/>
                <w:highlight w:val="none"/>
              </w:rPr>
              <w:t>级别</w:t>
            </w:r>
          </w:p>
        </w:tc>
        <w:tc>
          <w:tcPr>
            <w:tcW w:w="1488" w:type="dxa"/>
            <w:vAlign w:val="center"/>
          </w:tcPr>
          <w:p w14:paraId="29B2ECED">
            <w:pPr>
              <w:spacing w:after="50" w:line="400" w:lineRule="exact"/>
              <w:jc w:val="center"/>
              <w:rPr>
                <w:rFonts w:ascii="宋体" w:hAnsi="宋体" w:cs="宋体"/>
                <w:color w:val="auto"/>
                <w:highlight w:val="none"/>
              </w:rPr>
            </w:pPr>
            <w:r>
              <w:rPr>
                <w:rFonts w:hint="eastAsia" w:ascii="宋体" w:hAnsi="宋体" w:cs="宋体"/>
                <w:color w:val="auto"/>
                <w:highlight w:val="none"/>
              </w:rPr>
              <w:t>证号</w:t>
            </w:r>
          </w:p>
        </w:tc>
        <w:tc>
          <w:tcPr>
            <w:tcW w:w="1532" w:type="dxa"/>
            <w:vAlign w:val="center"/>
          </w:tcPr>
          <w:p w14:paraId="5038016F">
            <w:pPr>
              <w:spacing w:after="50" w:line="400" w:lineRule="exact"/>
              <w:jc w:val="center"/>
              <w:rPr>
                <w:rFonts w:ascii="宋体" w:hAnsi="宋体" w:cs="宋体"/>
                <w:color w:val="auto"/>
                <w:highlight w:val="none"/>
              </w:rPr>
            </w:pPr>
            <w:r>
              <w:rPr>
                <w:rFonts w:hint="eastAsia" w:ascii="宋体" w:hAnsi="宋体" w:cs="宋体"/>
                <w:color w:val="auto"/>
                <w:highlight w:val="none"/>
              </w:rPr>
              <w:t>专业</w:t>
            </w:r>
          </w:p>
        </w:tc>
      </w:tr>
      <w:tr w14:paraId="1323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1101" w:type="dxa"/>
          </w:tcPr>
          <w:p w14:paraId="6B25D810">
            <w:pPr>
              <w:spacing w:after="50" w:line="400" w:lineRule="exact"/>
              <w:rPr>
                <w:rFonts w:ascii="宋体" w:hAnsi="宋体" w:cs="宋体"/>
                <w:color w:val="auto"/>
                <w:highlight w:val="none"/>
              </w:rPr>
            </w:pPr>
          </w:p>
        </w:tc>
        <w:tc>
          <w:tcPr>
            <w:tcW w:w="1134" w:type="dxa"/>
          </w:tcPr>
          <w:p w14:paraId="25DECAFC">
            <w:pPr>
              <w:spacing w:after="50" w:line="400" w:lineRule="exact"/>
              <w:rPr>
                <w:rFonts w:ascii="宋体" w:hAnsi="宋体" w:cs="宋体"/>
                <w:color w:val="auto"/>
                <w:highlight w:val="none"/>
              </w:rPr>
            </w:pPr>
          </w:p>
        </w:tc>
        <w:tc>
          <w:tcPr>
            <w:tcW w:w="1169" w:type="dxa"/>
          </w:tcPr>
          <w:p w14:paraId="6F1DF20C">
            <w:pPr>
              <w:spacing w:after="50" w:line="400" w:lineRule="exact"/>
              <w:rPr>
                <w:rFonts w:ascii="宋体" w:hAnsi="宋体" w:cs="宋体"/>
                <w:color w:val="auto"/>
                <w:highlight w:val="none"/>
              </w:rPr>
            </w:pPr>
          </w:p>
        </w:tc>
        <w:tc>
          <w:tcPr>
            <w:tcW w:w="1488" w:type="dxa"/>
          </w:tcPr>
          <w:p w14:paraId="6ADBA1A8">
            <w:pPr>
              <w:spacing w:after="50" w:line="400" w:lineRule="exact"/>
              <w:rPr>
                <w:rFonts w:ascii="宋体" w:hAnsi="宋体" w:cs="宋体"/>
                <w:color w:val="auto"/>
                <w:highlight w:val="none"/>
              </w:rPr>
            </w:pPr>
          </w:p>
        </w:tc>
        <w:tc>
          <w:tcPr>
            <w:tcW w:w="1488" w:type="dxa"/>
          </w:tcPr>
          <w:p w14:paraId="06D58812">
            <w:pPr>
              <w:spacing w:after="50" w:line="400" w:lineRule="exact"/>
              <w:rPr>
                <w:rFonts w:ascii="宋体" w:hAnsi="宋体" w:cs="宋体"/>
                <w:color w:val="auto"/>
                <w:highlight w:val="none"/>
              </w:rPr>
            </w:pPr>
          </w:p>
        </w:tc>
        <w:tc>
          <w:tcPr>
            <w:tcW w:w="1488" w:type="dxa"/>
          </w:tcPr>
          <w:p w14:paraId="48D1CC84">
            <w:pPr>
              <w:spacing w:after="50" w:line="400" w:lineRule="exact"/>
              <w:rPr>
                <w:rFonts w:ascii="宋体" w:hAnsi="宋体" w:cs="宋体"/>
                <w:color w:val="auto"/>
                <w:highlight w:val="none"/>
              </w:rPr>
            </w:pPr>
          </w:p>
        </w:tc>
        <w:tc>
          <w:tcPr>
            <w:tcW w:w="1532" w:type="dxa"/>
          </w:tcPr>
          <w:p w14:paraId="339FC3B6">
            <w:pPr>
              <w:spacing w:after="50" w:line="400" w:lineRule="exact"/>
              <w:rPr>
                <w:rFonts w:ascii="宋体" w:hAnsi="宋体" w:cs="宋体"/>
                <w:color w:val="auto"/>
                <w:highlight w:val="none"/>
              </w:rPr>
            </w:pPr>
          </w:p>
        </w:tc>
      </w:tr>
      <w:tr w14:paraId="7F9B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101" w:type="dxa"/>
          </w:tcPr>
          <w:p w14:paraId="668F1D9F">
            <w:pPr>
              <w:spacing w:after="50" w:line="400" w:lineRule="exact"/>
              <w:rPr>
                <w:rFonts w:ascii="宋体" w:hAnsi="宋体" w:cs="宋体"/>
                <w:color w:val="auto"/>
                <w:highlight w:val="none"/>
              </w:rPr>
            </w:pPr>
          </w:p>
        </w:tc>
        <w:tc>
          <w:tcPr>
            <w:tcW w:w="1134" w:type="dxa"/>
          </w:tcPr>
          <w:p w14:paraId="1B704896">
            <w:pPr>
              <w:spacing w:after="50" w:line="400" w:lineRule="exact"/>
              <w:rPr>
                <w:rFonts w:ascii="宋体" w:hAnsi="宋体" w:cs="宋体"/>
                <w:color w:val="auto"/>
                <w:highlight w:val="none"/>
              </w:rPr>
            </w:pPr>
          </w:p>
        </w:tc>
        <w:tc>
          <w:tcPr>
            <w:tcW w:w="1169" w:type="dxa"/>
          </w:tcPr>
          <w:p w14:paraId="3D9D6494">
            <w:pPr>
              <w:spacing w:after="50" w:line="400" w:lineRule="exact"/>
              <w:rPr>
                <w:rFonts w:ascii="宋体" w:hAnsi="宋体" w:cs="宋体"/>
                <w:color w:val="auto"/>
                <w:highlight w:val="none"/>
              </w:rPr>
            </w:pPr>
          </w:p>
        </w:tc>
        <w:tc>
          <w:tcPr>
            <w:tcW w:w="1488" w:type="dxa"/>
          </w:tcPr>
          <w:p w14:paraId="5A28638C">
            <w:pPr>
              <w:spacing w:after="50" w:line="400" w:lineRule="exact"/>
              <w:rPr>
                <w:rFonts w:ascii="宋体" w:hAnsi="宋体" w:cs="宋体"/>
                <w:color w:val="auto"/>
                <w:highlight w:val="none"/>
              </w:rPr>
            </w:pPr>
          </w:p>
        </w:tc>
        <w:tc>
          <w:tcPr>
            <w:tcW w:w="1488" w:type="dxa"/>
          </w:tcPr>
          <w:p w14:paraId="5A7FCD45">
            <w:pPr>
              <w:spacing w:after="50" w:line="400" w:lineRule="exact"/>
              <w:rPr>
                <w:rFonts w:ascii="宋体" w:hAnsi="宋体" w:cs="宋体"/>
                <w:color w:val="auto"/>
                <w:highlight w:val="none"/>
              </w:rPr>
            </w:pPr>
          </w:p>
        </w:tc>
        <w:tc>
          <w:tcPr>
            <w:tcW w:w="1488" w:type="dxa"/>
          </w:tcPr>
          <w:p w14:paraId="73F2C0FB">
            <w:pPr>
              <w:spacing w:after="50" w:line="400" w:lineRule="exact"/>
              <w:rPr>
                <w:rFonts w:ascii="宋体" w:hAnsi="宋体" w:cs="宋体"/>
                <w:color w:val="auto"/>
                <w:highlight w:val="none"/>
              </w:rPr>
            </w:pPr>
          </w:p>
        </w:tc>
        <w:tc>
          <w:tcPr>
            <w:tcW w:w="1532" w:type="dxa"/>
          </w:tcPr>
          <w:p w14:paraId="42E2531F">
            <w:pPr>
              <w:spacing w:after="50" w:line="400" w:lineRule="exact"/>
              <w:rPr>
                <w:rFonts w:ascii="宋体" w:hAnsi="宋体" w:cs="宋体"/>
                <w:color w:val="auto"/>
                <w:highlight w:val="none"/>
              </w:rPr>
            </w:pPr>
          </w:p>
        </w:tc>
      </w:tr>
      <w:tr w14:paraId="5028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101" w:type="dxa"/>
            <w:vAlign w:val="center"/>
          </w:tcPr>
          <w:p w14:paraId="10B60B54">
            <w:pPr>
              <w:spacing w:after="50" w:line="400" w:lineRule="exact"/>
              <w:rPr>
                <w:rFonts w:ascii="宋体" w:hAnsi="宋体" w:cs="宋体"/>
                <w:color w:val="auto"/>
                <w:highlight w:val="none"/>
              </w:rPr>
            </w:pPr>
          </w:p>
        </w:tc>
        <w:tc>
          <w:tcPr>
            <w:tcW w:w="1134" w:type="dxa"/>
          </w:tcPr>
          <w:p w14:paraId="32DD4EB0">
            <w:pPr>
              <w:spacing w:after="50" w:line="400" w:lineRule="exact"/>
              <w:rPr>
                <w:rFonts w:ascii="宋体" w:hAnsi="宋体" w:cs="宋体"/>
                <w:color w:val="auto"/>
                <w:highlight w:val="none"/>
              </w:rPr>
            </w:pPr>
          </w:p>
        </w:tc>
        <w:tc>
          <w:tcPr>
            <w:tcW w:w="1169" w:type="dxa"/>
          </w:tcPr>
          <w:p w14:paraId="6F20801D">
            <w:pPr>
              <w:spacing w:after="50" w:line="400" w:lineRule="exact"/>
              <w:rPr>
                <w:rFonts w:ascii="宋体" w:hAnsi="宋体" w:cs="宋体"/>
                <w:color w:val="auto"/>
                <w:highlight w:val="none"/>
              </w:rPr>
            </w:pPr>
          </w:p>
        </w:tc>
        <w:tc>
          <w:tcPr>
            <w:tcW w:w="1488" w:type="dxa"/>
          </w:tcPr>
          <w:p w14:paraId="4CDFD1FE">
            <w:pPr>
              <w:spacing w:after="50" w:line="400" w:lineRule="exact"/>
              <w:rPr>
                <w:rFonts w:ascii="宋体" w:hAnsi="宋体" w:cs="宋体"/>
                <w:color w:val="auto"/>
                <w:highlight w:val="none"/>
              </w:rPr>
            </w:pPr>
          </w:p>
        </w:tc>
        <w:tc>
          <w:tcPr>
            <w:tcW w:w="1488" w:type="dxa"/>
          </w:tcPr>
          <w:p w14:paraId="4187E80C">
            <w:pPr>
              <w:spacing w:after="50" w:line="400" w:lineRule="exact"/>
              <w:rPr>
                <w:rFonts w:ascii="宋体" w:hAnsi="宋体" w:cs="宋体"/>
                <w:color w:val="auto"/>
                <w:highlight w:val="none"/>
              </w:rPr>
            </w:pPr>
          </w:p>
        </w:tc>
        <w:tc>
          <w:tcPr>
            <w:tcW w:w="1488" w:type="dxa"/>
          </w:tcPr>
          <w:p w14:paraId="15DDE7FB">
            <w:pPr>
              <w:spacing w:after="50" w:line="400" w:lineRule="exact"/>
              <w:rPr>
                <w:rFonts w:ascii="宋体" w:hAnsi="宋体" w:cs="宋体"/>
                <w:color w:val="auto"/>
                <w:highlight w:val="none"/>
              </w:rPr>
            </w:pPr>
          </w:p>
        </w:tc>
        <w:tc>
          <w:tcPr>
            <w:tcW w:w="1532" w:type="dxa"/>
          </w:tcPr>
          <w:p w14:paraId="7D1956EE">
            <w:pPr>
              <w:spacing w:after="50" w:line="400" w:lineRule="exact"/>
              <w:rPr>
                <w:rFonts w:ascii="宋体" w:hAnsi="宋体" w:cs="宋体"/>
                <w:color w:val="auto"/>
                <w:highlight w:val="none"/>
              </w:rPr>
            </w:pPr>
          </w:p>
        </w:tc>
      </w:tr>
      <w:tr w14:paraId="4185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101" w:type="dxa"/>
            <w:vAlign w:val="center"/>
          </w:tcPr>
          <w:p w14:paraId="4BE5B9EB">
            <w:pPr>
              <w:spacing w:after="50" w:line="400" w:lineRule="exact"/>
              <w:rPr>
                <w:rFonts w:ascii="宋体" w:hAnsi="宋体" w:cs="宋体"/>
                <w:color w:val="auto"/>
                <w:highlight w:val="none"/>
              </w:rPr>
            </w:pPr>
          </w:p>
        </w:tc>
        <w:tc>
          <w:tcPr>
            <w:tcW w:w="1134" w:type="dxa"/>
          </w:tcPr>
          <w:p w14:paraId="471A3773">
            <w:pPr>
              <w:spacing w:after="50" w:line="400" w:lineRule="exact"/>
              <w:rPr>
                <w:rFonts w:ascii="宋体" w:hAnsi="宋体" w:cs="宋体"/>
                <w:color w:val="auto"/>
                <w:highlight w:val="none"/>
              </w:rPr>
            </w:pPr>
          </w:p>
        </w:tc>
        <w:tc>
          <w:tcPr>
            <w:tcW w:w="1169" w:type="dxa"/>
          </w:tcPr>
          <w:p w14:paraId="53CE10C4">
            <w:pPr>
              <w:spacing w:after="50" w:line="400" w:lineRule="exact"/>
              <w:rPr>
                <w:rFonts w:ascii="宋体" w:hAnsi="宋体" w:cs="宋体"/>
                <w:color w:val="auto"/>
                <w:highlight w:val="none"/>
              </w:rPr>
            </w:pPr>
          </w:p>
        </w:tc>
        <w:tc>
          <w:tcPr>
            <w:tcW w:w="1488" w:type="dxa"/>
          </w:tcPr>
          <w:p w14:paraId="23660ED0">
            <w:pPr>
              <w:spacing w:after="50" w:line="400" w:lineRule="exact"/>
              <w:rPr>
                <w:rFonts w:ascii="宋体" w:hAnsi="宋体" w:cs="宋体"/>
                <w:color w:val="auto"/>
                <w:highlight w:val="none"/>
              </w:rPr>
            </w:pPr>
          </w:p>
        </w:tc>
        <w:tc>
          <w:tcPr>
            <w:tcW w:w="1488" w:type="dxa"/>
          </w:tcPr>
          <w:p w14:paraId="1D5312B6">
            <w:pPr>
              <w:spacing w:after="50" w:line="400" w:lineRule="exact"/>
              <w:rPr>
                <w:rFonts w:ascii="宋体" w:hAnsi="宋体" w:cs="宋体"/>
                <w:color w:val="auto"/>
                <w:highlight w:val="none"/>
              </w:rPr>
            </w:pPr>
          </w:p>
        </w:tc>
        <w:tc>
          <w:tcPr>
            <w:tcW w:w="1488" w:type="dxa"/>
          </w:tcPr>
          <w:p w14:paraId="17019F18">
            <w:pPr>
              <w:spacing w:after="50" w:line="400" w:lineRule="exact"/>
              <w:rPr>
                <w:rFonts w:ascii="宋体" w:hAnsi="宋体" w:cs="宋体"/>
                <w:color w:val="auto"/>
                <w:highlight w:val="none"/>
              </w:rPr>
            </w:pPr>
          </w:p>
        </w:tc>
        <w:tc>
          <w:tcPr>
            <w:tcW w:w="1532" w:type="dxa"/>
          </w:tcPr>
          <w:p w14:paraId="3441206E">
            <w:pPr>
              <w:spacing w:after="50" w:line="400" w:lineRule="exact"/>
              <w:rPr>
                <w:rFonts w:ascii="宋体" w:hAnsi="宋体" w:cs="宋体"/>
                <w:color w:val="auto"/>
                <w:highlight w:val="none"/>
              </w:rPr>
            </w:pPr>
          </w:p>
        </w:tc>
      </w:tr>
      <w:tr w14:paraId="390D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101" w:type="dxa"/>
            <w:vAlign w:val="center"/>
          </w:tcPr>
          <w:p w14:paraId="48B287FC">
            <w:pPr>
              <w:spacing w:after="50" w:line="400" w:lineRule="exact"/>
              <w:rPr>
                <w:rFonts w:ascii="宋体" w:hAnsi="宋体" w:cs="宋体"/>
                <w:color w:val="auto"/>
                <w:highlight w:val="none"/>
              </w:rPr>
            </w:pPr>
          </w:p>
        </w:tc>
        <w:tc>
          <w:tcPr>
            <w:tcW w:w="1134" w:type="dxa"/>
          </w:tcPr>
          <w:p w14:paraId="0417A638">
            <w:pPr>
              <w:spacing w:after="50" w:line="400" w:lineRule="exact"/>
              <w:rPr>
                <w:rFonts w:ascii="宋体" w:hAnsi="宋体" w:cs="宋体"/>
                <w:color w:val="auto"/>
                <w:highlight w:val="none"/>
              </w:rPr>
            </w:pPr>
          </w:p>
        </w:tc>
        <w:tc>
          <w:tcPr>
            <w:tcW w:w="1169" w:type="dxa"/>
          </w:tcPr>
          <w:p w14:paraId="1A505364">
            <w:pPr>
              <w:spacing w:after="50" w:line="400" w:lineRule="exact"/>
              <w:rPr>
                <w:rFonts w:ascii="宋体" w:hAnsi="宋体" w:cs="宋体"/>
                <w:color w:val="auto"/>
                <w:highlight w:val="none"/>
              </w:rPr>
            </w:pPr>
          </w:p>
        </w:tc>
        <w:tc>
          <w:tcPr>
            <w:tcW w:w="1488" w:type="dxa"/>
          </w:tcPr>
          <w:p w14:paraId="169BDAC7">
            <w:pPr>
              <w:spacing w:after="50" w:line="400" w:lineRule="exact"/>
              <w:rPr>
                <w:rFonts w:ascii="宋体" w:hAnsi="宋体" w:cs="宋体"/>
                <w:color w:val="auto"/>
                <w:highlight w:val="none"/>
              </w:rPr>
            </w:pPr>
          </w:p>
        </w:tc>
        <w:tc>
          <w:tcPr>
            <w:tcW w:w="1488" w:type="dxa"/>
          </w:tcPr>
          <w:p w14:paraId="7424C7A7">
            <w:pPr>
              <w:spacing w:after="50" w:line="400" w:lineRule="exact"/>
              <w:rPr>
                <w:rFonts w:ascii="宋体" w:hAnsi="宋体" w:cs="宋体"/>
                <w:color w:val="auto"/>
                <w:highlight w:val="none"/>
              </w:rPr>
            </w:pPr>
          </w:p>
        </w:tc>
        <w:tc>
          <w:tcPr>
            <w:tcW w:w="1488" w:type="dxa"/>
          </w:tcPr>
          <w:p w14:paraId="420C36D2">
            <w:pPr>
              <w:spacing w:after="50" w:line="400" w:lineRule="exact"/>
              <w:rPr>
                <w:rFonts w:ascii="宋体" w:hAnsi="宋体" w:cs="宋体"/>
                <w:color w:val="auto"/>
                <w:highlight w:val="none"/>
              </w:rPr>
            </w:pPr>
          </w:p>
        </w:tc>
        <w:tc>
          <w:tcPr>
            <w:tcW w:w="1532" w:type="dxa"/>
          </w:tcPr>
          <w:p w14:paraId="699FF885">
            <w:pPr>
              <w:spacing w:after="50" w:line="400" w:lineRule="exact"/>
              <w:rPr>
                <w:rFonts w:ascii="宋体" w:hAnsi="宋体" w:cs="宋体"/>
                <w:color w:val="auto"/>
                <w:highlight w:val="none"/>
              </w:rPr>
            </w:pPr>
          </w:p>
        </w:tc>
      </w:tr>
      <w:tr w14:paraId="2B1E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101" w:type="dxa"/>
            <w:vAlign w:val="center"/>
          </w:tcPr>
          <w:p w14:paraId="651DC789">
            <w:pPr>
              <w:spacing w:after="50" w:line="400" w:lineRule="exact"/>
              <w:rPr>
                <w:rFonts w:ascii="宋体" w:hAnsi="宋体" w:cs="宋体"/>
                <w:color w:val="auto"/>
                <w:highlight w:val="none"/>
              </w:rPr>
            </w:pPr>
          </w:p>
        </w:tc>
        <w:tc>
          <w:tcPr>
            <w:tcW w:w="1134" w:type="dxa"/>
          </w:tcPr>
          <w:p w14:paraId="427CCAF4">
            <w:pPr>
              <w:spacing w:after="50" w:line="400" w:lineRule="exact"/>
              <w:rPr>
                <w:rFonts w:ascii="宋体" w:hAnsi="宋体" w:cs="宋体"/>
                <w:color w:val="auto"/>
                <w:highlight w:val="none"/>
              </w:rPr>
            </w:pPr>
          </w:p>
        </w:tc>
        <w:tc>
          <w:tcPr>
            <w:tcW w:w="1169" w:type="dxa"/>
          </w:tcPr>
          <w:p w14:paraId="4882D9F7">
            <w:pPr>
              <w:spacing w:after="50" w:line="400" w:lineRule="exact"/>
              <w:rPr>
                <w:rFonts w:ascii="宋体" w:hAnsi="宋体" w:cs="宋体"/>
                <w:color w:val="auto"/>
                <w:highlight w:val="none"/>
              </w:rPr>
            </w:pPr>
          </w:p>
        </w:tc>
        <w:tc>
          <w:tcPr>
            <w:tcW w:w="1488" w:type="dxa"/>
          </w:tcPr>
          <w:p w14:paraId="5EF0C513">
            <w:pPr>
              <w:spacing w:after="50" w:line="400" w:lineRule="exact"/>
              <w:rPr>
                <w:rFonts w:ascii="宋体" w:hAnsi="宋体" w:cs="宋体"/>
                <w:color w:val="auto"/>
                <w:highlight w:val="none"/>
              </w:rPr>
            </w:pPr>
          </w:p>
        </w:tc>
        <w:tc>
          <w:tcPr>
            <w:tcW w:w="1488" w:type="dxa"/>
          </w:tcPr>
          <w:p w14:paraId="55C55CC4">
            <w:pPr>
              <w:spacing w:after="50" w:line="400" w:lineRule="exact"/>
              <w:rPr>
                <w:rFonts w:ascii="宋体" w:hAnsi="宋体" w:cs="宋体"/>
                <w:color w:val="auto"/>
                <w:highlight w:val="none"/>
              </w:rPr>
            </w:pPr>
          </w:p>
        </w:tc>
        <w:tc>
          <w:tcPr>
            <w:tcW w:w="1488" w:type="dxa"/>
          </w:tcPr>
          <w:p w14:paraId="0F84B681">
            <w:pPr>
              <w:spacing w:after="50" w:line="400" w:lineRule="exact"/>
              <w:rPr>
                <w:rFonts w:ascii="宋体" w:hAnsi="宋体" w:cs="宋体"/>
                <w:color w:val="auto"/>
                <w:highlight w:val="none"/>
              </w:rPr>
            </w:pPr>
          </w:p>
        </w:tc>
        <w:tc>
          <w:tcPr>
            <w:tcW w:w="1532" w:type="dxa"/>
          </w:tcPr>
          <w:p w14:paraId="715A2A88">
            <w:pPr>
              <w:spacing w:after="50" w:line="400" w:lineRule="exact"/>
              <w:rPr>
                <w:rFonts w:ascii="宋体" w:hAnsi="宋体" w:cs="宋体"/>
                <w:color w:val="auto"/>
                <w:highlight w:val="none"/>
              </w:rPr>
            </w:pPr>
          </w:p>
        </w:tc>
      </w:tr>
      <w:tr w14:paraId="4217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101" w:type="dxa"/>
          </w:tcPr>
          <w:p w14:paraId="513B0C35">
            <w:pPr>
              <w:spacing w:after="50" w:line="400" w:lineRule="exact"/>
              <w:rPr>
                <w:rFonts w:ascii="宋体" w:hAnsi="宋体" w:cs="宋体"/>
                <w:color w:val="auto"/>
                <w:highlight w:val="none"/>
              </w:rPr>
            </w:pPr>
          </w:p>
        </w:tc>
        <w:tc>
          <w:tcPr>
            <w:tcW w:w="1134" w:type="dxa"/>
          </w:tcPr>
          <w:p w14:paraId="61503E65">
            <w:pPr>
              <w:spacing w:after="50" w:line="400" w:lineRule="exact"/>
              <w:rPr>
                <w:rFonts w:ascii="宋体" w:hAnsi="宋体" w:cs="宋体"/>
                <w:color w:val="auto"/>
                <w:highlight w:val="none"/>
              </w:rPr>
            </w:pPr>
          </w:p>
        </w:tc>
        <w:tc>
          <w:tcPr>
            <w:tcW w:w="1169" w:type="dxa"/>
          </w:tcPr>
          <w:p w14:paraId="5E768D2B">
            <w:pPr>
              <w:spacing w:after="50" w:line="400" w:lineRule="exact"/>
              <w:rPr>
                <w:rFonts w:ascii="宋体" w:hAnsi="宋体" w:cs="宋体"/>
                <w:color w:val="auto"/>
                <w:highlight w:val="none"/>
              </w:rPr>
            </w:pPr>
          </w:p>
        </w:tc>
        <w:tc>
          <w:tcPr>
            <w:tcW w:w="1488" w:type="dxa"/>
          </w:tcPr>
          <w:p w14:paraId="05129AB8">
            <w:pPr>
              <w:spacing w:after="50" w:line="400" w:lineRule="exact"/>
              <w:rPr>
                <w:rFonts w:ascii="宋体" w:hAnsi="宋体" w:cs="宋体"/>
                <w:color w:val="auto"/>
                <w:highlight w:val="none"/>
              </w:rPr>
            </w:pPr>
          </w:p>
        </w:tc>
        <w:tc>
          <w:tcPr>
            <w:tcW w:w="1488" w:type="dxa"/>
          </w:tcPr>
          <w:p w14:paraId="35C62E21">
            <w:pPr>
              <w:spacing w:after="50" w:line="400" w:lineRule="exact"/>
              <w:rPr>
                <w:rFonts w:ascii="宋体" w:hAnsi="宋体" w:cs="宋体"/>
                <w:color w:val="auto"/>
                <w:highlight w:val="none"/>
              </w:rPr>
            </w:pPr>
          </w:p>
        </w:tc>
        <w:tc>
          <w:tcPr>
            <w:tcW w:w="1488" w:type="dxa"/>
          </w:tcPr>
          <w:p w14:paraId="0EE4850D">
            <w:pPr>
              <w:spacing w:after="50" w:line="400" w:lineRule="exact"/>
              <w:rPr>
                <w:rFonts w:ascii="宋体" w:hAnsi="宋体" w:cs="宋体"/>
                <w:color w:val="auto"/>
                <w:highlight w:val="none"/>
              </w:rPr>
            </w:pPr>
          </w:p>
        </w:tc>
        <w:tc>
          <w:tcPr>
            <w:tcW w:w="1532" w:type="dxa"/>
          </w:tcPr>
          <w:p w14:paraId="6FD10E20">
            <w:pPr>
              <w:spacing w:after="50" w:line="400" w:lineRule="exact"/>
              <w:rPr>
                <w:rFonts w:ascii="宋体" w:hAnsi="宋体" w:cs="宋体"/>
                <w:color w:val="auto"/>
                <w:highlight w:val="none"/>
              </w:rPr>
            </w:pPr>
          </w:p>
        </w:tc>
      </w:tr>
      <w:tr w14:paraId="1718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101" w:type="dxa"/>
          </w:tcPr>
          <w:p w14:paraId="259EDD76">
            <w:pPr>
              <w:spacing w:after="50" w:line="400" w:lineRule="exact"/>
              <w:rPr>
                <w:rFonts w:ascii="宋体" w:hAnsi="宋体" w:cs="宋体"/>
                <w:color w:val="auto"/>
                <w:highlight w:val="none"/>
              </w:rPr>
            </w:pPr>
          </w:p>
        </w:tc>
        <w:tc>
          <w:tcPr>
            <w:tcW w:w="1134" w:type="dxa"/>
          </w:tcPr>
          <w:p w14:paraId="5AA2C5A4">
            <w:pPr>
              <w:spacing w:after="50" w:line="400" w:lineRule="exact"/>
              <w:rPr>
                <w:rFonts w:ascii="宋体" w:hAnsi="宋体" w:cs="宋体"/>
                <w:color w:val="auto"/>
                <w:highlight w:val="none"/>
              </w:rPr>
            </w:pPr>
          </w:p>
        </w:tc>
        <w:tc>
          <w:tcPr>
            <w:tcW w:w="1169" w:type="dxa"/>
          </w:tcPr>
          <w:p w14:paraId="31851340">
            <w:pPr>
              <w:spacing w:after="50" w:line="400" w:lineRule="exact"/>
              <w:rPr>
                <w:rFonts w:ascii="宋体" w:hAnsi="宋体" w:cs="宋体"/>
                <w:color w:val="auto"/>
                <w:highlight w:val="none"/>
              </w:rPr>
            </w:pPr>
          </w:p>
        </w:tc>
        <w:tc>
          <w:tcPr>
            <w:tcW w:w="1488" w:type="dxa"/>
          </w:tcPr>
          <w:p w14:paraId="59403C97">
            <w:pPr>
              <w:spacing w:after="50" w:line="400" w:lineRule="exact"/>
              <w:rPr>
                <w:rFonts w:ascii="宋体" w:hAnsi="宋体" w:cs="宋体"/>
                <w:color w:val="auto"/>
                <w:highlight w:val="none"/>
              </w:rPr>
            </w:pPr>
          </w:p>
        </w:tc>
        <w:tc>
          <w:tcPr>
            <w:tcW w:w="1488" w:type="dxa"/>
          </w:tcPr>
          <w:p w14:paraId="10614B7E">
            <w:pPr>
              <w:spacing w:after="50" w:line="400" w:lineRule="exact"/>
              <w:rPr>
                <w:rFonts w:ascii="宋体" w:hAnsi="宋体" w:cs="宋体"/>
                <w:color w:val="auto"/>
                <w:highlight w:val="none"/>
              </w:rPr>
            </w:pPr>
          </w:p>
        </w:tc>
        <w:tc>
          <w:tcPr>
            <w:tcW w:w="1488" w:type="dxa"/>
          </w:tcPr>
          <w:p w14:paraId="7F99E40E">
            <w:pPr>
              <w:spacing w:after="50" w:line="400" w:lineRule="exact"/>
              <w:rPr>
                <w:rFonts w:ascii="宋体" w:hAnsi="宋体" w:cs="宋体"/>
                <w:color w:val="auto"/>
                <w:highlight w:val="none"/>
              </w:rPr>
            </w:pPr>
          </w:p>
        </w:tc>
        <w:tc>
          <w:tcPr>
            <w:tcW w:w="1532" w:type="dxa"/>
          </w:tcPr>
          <w:p w14:paraId="4DCEF1A2">
            <w:pPr>
              <w:spacing w:after="50" w:line="400" w:lineRule="exact"/>
              <w:rPr>
                <w:rFonts w:ascii="宋体" w:hAnsi="宋体" w:cs="宋体"/>
                <w:color w:val="auto"/>
                <w:highlight w:val="none"/>
              </w:rPr>
            </w:pPr>
          </w:p>
        </w:tc>
      </w:tr>
      <w:tr w14:paraId="3E28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jc w:val="center"/>
        </w:trPr>
        <w:tc>
          <w:tcPr>
            <w:tcW w:w="9400" w:type="dxa"/>
            <w:gridSpan w:val="7"/>
          </w:tcPr>
          <w:p w14:paraId="2AA95B82">
            <w:pPr>
              <w:spacing w:after="50" w:line="400" w:lineRule="exact"/>
              <w:ind w:firstLine="420" w:firstLineChars="200"/>
              <w:rPr>
                <w:rFonts w:ascii="宋体" w:hAnsi="宋体" w:cs="宋体"/>
                <w:color w:val="auto"/>
                <w:highlight w:val="none"/>
              </w:rPr>
            </w:pPr>
            <w:r>
              <w:rPr>
                <w:rFonts w:hint="eastAsia" w:ascii="宋体" w:hAnsi="宋体" w:cs="宋体"/>
                <w:color w:val="auto"/>
                <w:highlight w:val="none"/>
              </w:rPr>
              <w:t>一旦我单位成交，将实行项目经理负责制，我方保证并配备上述项目管理机构。上述填报内容真实，若不真实，愿按有关规定接受处理。</w:t>
            </w:r>
          </w:p>
        </w:tc>
      </w:tr>
    </w:tbl>
    <w:p w14:paraId="29B9E9B8">
      <w:pPr>
        <w:spacing w:after="50" w:line="400" w:lineRule="exact"/>
        <w:rPr>
          <w:rFonts w:ascii="宋体" w:hAnsi="宋体" w:cs="宋体"/>
          <w:color w:val="auto"/>
          <w:highlight w:val="none"/>
        </w:rPr>
      </w:pPr>
      <w:r>
        <w:rPr>
          <w:rFonts w:hint="eastAsia" w:ascii="宋体" w:hAnsi="宋体" w:cs="宋体"/>
          <w:color w:val="auto"/>
          <w:highlight w:val="none"/>
        </w:rPr>
        <w:t>【备注：附以上各岗位人员身份证、资格证件等所要求的相关证书复印件，以及</w:t>
      </w:r>
      <w:r>
        <w:rPr>
          <w:rFonts w:hint="eastAsia" w:ascii="宋体" w:hAnsi="宋体" w:cs="宋体"/>
          <w:color w:val="auto"/>
          <w:szCs w:val="21"/>
          <w:highlight w:val="none"/>
        </w:rPr>
        <w:t>供应商为以上人员依法缴纳</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年6月</w:t>
      </w:r>
      <w:r>
        <w:rPr>
          <w:rFonts w:hint="eastAsia" w:ascii="宋体" w:hAnsi="宋体" w:cs="宋体"/>
          <w:color w:val="auto"/>
          <w:szCs w:val="21"/>
          <w:highlight w:val="none"/>
        </w:rPr>
        <w:t>内任意一个月的社会保障资金的</w:t>
      </w:r>
      <w:r>
        <w:rPr>
          <w:rFonts w:hint="eastAsia" w:ascii="宋体" w:hAnsi="宋体" w:cs="宋体"/>
          <w:color w:val="auto"/>
          <w:highlight w:val="none"/>
        </w:rPr>
        <w:t>证明</w:t>
      </w:r>
      <w:r>
        <w:rPr>
          <w:rFonts w:hint="eastAsia" w:ascii="宋体" w:hAnsi="宋体" w:cs="宋体"/>
          <w:color w:val="auto"/>
          <w:szCs w:val="21"/>
          <w:highlight w:val="none"/>
        </w:rPr>
        <w:t>复印件</w:t>
      </w:r>
      <w:r>
        <w:rPr>
          <w:rFonts w:hint="eastAsia" w:ascii="宋体" w:hAnsi="宋体" w:cs="宋体"/>
          <w:color w:val="auto"/>
          <w:highlight w:val="none"/>
        </w:rPr>
        <w:t>。以上复印件均须加盖单位公章】</w:t>
      </w:r>
    </w:p>
    <w:p w14:paraId="5C47FA74">
      <w:pPr>
        <w:spacing w:line="360" w:lineRule="auto"/>
        <w:jc w:val="center"/>
        <w:rPr>
          <w:rFonts w:ascii="宋体" w:hAnsi="宋体" w:cs="宋体"/>
          <w:b/>
          <w:color w:val="auto"/>
          <w:sz w:val="32"/>
          <w:szCs w:val="32"/>
          <w:highlight w:val="none"/>
        </w:rPr>
      </w:pPr>
      <w:bookmarkStart w:id="166" w:name="_Toc14717"/>
      <w:bookmarkStart w:id="167" w:name="_Toc2510"/>
      <w:bookmarkStart w:id="168" w:name="_Toc107326209"/>
      <w:bookmarkStart w:id="169" w:name="_Toc18487"/>
      <w:bookmarkStart w:id="170" w:name="_Toc32247"/>
      <w:bookmarkStart w:id="171" w:name="_Toc30140"/>
      <w:r>
        <w:rPr>
          <w:rFonts w:hint="eastAsia" w:ascii="宋体" w:hAnsi="宋体" w:cs="宋体"/>
          <w:b/>
          <w:color w:val="auto"/>
          <w:sz w:val="32"/>
          <w:szCs w:val="32"/>
          <w:highlight w:val="none"/>
        </w:rPr>
        <w:br w:type="page"/>
      </w:r>
    </w:p>
    <w:p w14:paraId="2D09C6E6">
      <w:pPr>
        <w:spacing w:line="360" w:lineRule="auto"/>
        <w:jc w:val="center"/>
        <w:rPr>
          <w:rFonts w:hint="eastAsia" w:ascii="宋体" w:hAnsi="宋体" w:cs="宋体"/>
          <w:b/>
          <w:color w:val="auto"/>
          <w:sz w:val="32"/>
          <w:szCs w:val="32"/>
          <w:highlight w:val="none"/>
        </w:rPr>
      </w:pPr>
    </w:p>
    <w:p w14:paraId="50602056">
      <w:pPr>
        <w:spacing w:line="360" w:lineRule="auto"/>
        <w:jc w:val="center"/>
        <w:rPr>
          <w:rFonts w:ascii="宋体" w:hAnsi="宋体" w:cs="宋体"/>
          <w:b/>
          <w:color w:val="auto"/>
          <w:kern w:val="56"/>
          <w:sz w:val="32"/>
          <w:szCs w:val="32"/>
          <w:highlight w:val="none"/>
        </w:rPr>
      </w:pPr>
      <w:r>
        <w:rPr>
          <w:rFonts w:hint="eastAsia" w:ascii="宋体" w:hAnsi="宋体" w:cs="宋体"/>
          <w:b/>
          <w:color w:val="auto"/>
          <w:sz w:val="32"/>
          <w:szCs w:val="32"/>
          <w:highlight w:val="none"/>
        </w:rPr>
        <w:t>拟委任的项目经理资历表（格式）</w:t>
      </w:r>
    </w:p>
    <w:tbl>
      <w:tblPr>
        <w:tblStyle w:val="29"/>
        <w:tblW w:w="94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55"/>
        <w:gridCol w:w="1644"/>
        <w:gridCol w:w="1515"/>
        <w:gridCol w:w="867"/>
        <w:gridCol w:w="612"/>
        <w:gridCol w:w="780"/>
        <w:gridCol w:w="1388"/>
        <w:gridCol w:w="7"/>
        <w:gridCol w:w="1262"/>
      </w:tblGrid>
      <w:tr w14:paraId="1CA25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1355" w:type="dxa"/>
            <w:tcBorders>
              <w:top w:val="single" w:color="auto" w:sz="12" w:space="0"/>
              <w:left w:val="single" w:color="auto" w:sz="12" w:space="0"/>
              <w:bottom w:val="single" w:color="auto" w:sz="6" w:space="0"/>
              <w:right w:val="single" w:color="auto" w:sz="6" w:space="0"/>
            </w:tcBorders>
            <w:vAlign w:val="center"/>
          </w:tcPr>
          <w:p w14:paraId="12C5682C">
            <w:pPr>
              <w:tabs>
                <w:tab w:val="left" w:pos="680"/>
              </w:tabs>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姓</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名</w:t>
            </w:r>
          </w:p>
        </w:tc>
        <w:tc>
          <w:tcPr>
            <w:tcW w:w="1644" w:type="dxa"/>
            <w:tcBorders>
              <w:top w:val="single" w:color="auto" w:sz="12" w:space="0"/>
              <w:left w:val="single" w:color="auto" w:sz="6" w:space="0"/>
              <w:bottom w:val="single" w:color="auto" w:sz="6" w:space="0"/>
              <w:right w:val="single" w:color="auto" w:sz="6" w:space="0"/>
            </w:tcBorders>
            <w:vAlign w:val="center"/>
          </w:tcPr>
          <w:p w14:paraId="3A3A2D29">
            <w:pPr>
              <w:autoSpaceDE w:val="0"/>
              <w:autoSpaceDN w:val="0"/>
              <w:adjustRightInd w:val="0"/>
              <w:jc w:val="center"/>
              <w:rPr>
                <w:rFonts w:ascii="宋体" w:hAnsi="宋体" w:cs="宋体"/>
                <w:color w:val="auto"/>
                <w:kern w:val="0"/>
                <w:szCs w:val="21"/>
                <w:highlight w:val="none"/>
              </w:rPr>
            </w:pPr>
          </w:p>
        </w:tc>
        <w:tc>
          <w:tcPr>
            <w:tcW w:w="1515" w:type="dxa"/>
            <w:tcBorders>
              <w:top w:val="single" w:color="auto" w:sz="12" w:space="0"/>
              <w:left w:val="single" w:color="auto" w:sz="6" w:space="0"/>
              <w:bottom w:val="single" w:color="auto" w:sz="6" w:space="0"/>
              <w:right w:val="single" w:color="auto" w:sz="6" w:space="0"/>
            </w:tcBorders>
            <w:vAlign w:val="center"/>
          </w:tcPr>
          <w:p w14:paraId="64E35B2E">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年龄</w:t>
            </w:r>
          </w:p>
        </w:tc>
        <w:tc>
          <w:tcPr>
            <w:tcW w:w="1479" w:type="dxa"/>
            <w:gridSpan w:val="2"/>
            <w:tcBorders>
              <w:top w:val="single" w:color="auto" w:sz="12" w:space="0"/>
              <w:left w:val="single" w:color="auto" w:sz="6" w:space="0"/>
              <w:bottom w:val="single" w:color="auto" w:sz="6" w:space="0"/>
              <w:right w:val="single" w:color="auto" w:sz="6" w:space="0"/>
            </w:tcBorders>
            <w:vAlign w:val="center"/>
          </w:tcPr>
          <w:p w14:paraId="012DD306">
            <w:pPr>
              <w:autoSpaceDE w:val="0"/>
              <w:autoSpaceDN w:val="0"/>
              <w:adjustRightInd w:val="0"/>
              <w:jc w:val="center"/>
              <w:rPr>
                <w:rFonts w:ascii="宋体" w:hAnsi="宋体" w:cs="宋体"/>
                <w:color w:val="auto"/>
                <w:kern w:val="0"/>
                <w:szCs w:val="21"/>
                <w:highlight w:val="none"/>
              </w:rPr>
            </w:pPr>
          </w:p>
        </w:tc>
        <w:tc>
          <w:tcPr>
            <w:tcW w:w="2168" w:type="dxa"/>
            <w:gridSpan w:val="2"/>
            <w:tcBorders>
              <w:top w:val="single" w:color="auto" w:sz="12" w:space="0"/>
              <w:left w:val="single" w:color="auto" w:sz="6" w:space="0"/>
              <w:bottom w:val="single" w:color="auto" w:sz="6" w:space="0"/>
              <w:right w:val="single" w:color="auto" w:sz="6" w:space="0"/>
            </w:tcBorders>
            <w:vAlign w:val="center"/>
          </w:tcPr>
          <w:p w14:paraId="56054274">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专  业</w:t>
            </w:r>
          </w:p>
        </w:tc>
        <w:tc>
          <w:tcPr>
            <w:tcW w:w="1269" w:type="dxa"/>
            <w:gridSpan w:val="2"/>
            <w:tcBorders>
              <w:top w:val="single" w:color="auto" w:sz="12" w:space="0"/>
              <w:left w:val="single" w:color="auto" w:sz="6" w:space="0"/>
              <w:bottom w:val="single" w:color="auto" w:sz="6" w:space="0"/>
              <w:right w:val="single" w:color="auto" w:sz="12" w:space="0"/>
            </w:tcBorders>
            <w:vAlign w:val="center"/>
          </w:tcPr>
          <w:p w14:paraId="22D33B9A">
            <w:pPr>
              <w:jc w:val="center"/>
              <w:rPr>
                <w:rFonts w:ascii="宋体" w:hAnsi="宋体" w:cs="宋体"/>
                <w:color w:val="auto"/>
                <w:szCs w:val="21"/>
                <w:highlight w:val="none"/>
              </w:rPr>
            </w:pPr>
          </w:p>
        </w:tc>
      </w:tr>
      <w:tr w14:paraId="593FF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1A220FF7">
            <w:pPr>
              <w:tabs>
                <w:tab w:val="left" w:pos="680"/>
              </w:tabs>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技术职称</w:t>
            </w:r>
          </w:p>
        </w:tc>
        <w:tc>
          <w:tcPr>
            <w:tcW w:w="1644" w:type="dxa"/>
            <w:tcBorders>
              <w:top w:val="single" w:color="auto" w:sz="6" w:space="0"/>
              <w:left w:val="single" w:color="auto" w:sz="6" w:space="0"/>
              <w:bottom w:val="single" w:color="auto" w:sz="6" w:space="0"/>
              <w:right w:val="single" w:color="auto" w:sz="6" w:space="0"/>
            </w:tcBorders>
            <w:vAlign w:val="center"/>
          </w:tcPr>
          <w:p w14:paraId="27CB29FC">
            <w:pPr>
              <w:autoSpaceDE w:val="0"/>
              <w:autoSpaceDN w:val="0"/>
              <w:adjustRightInd w:val="0"/>
              <w:jc w:val="center"/>
              <w:rPr>
                <w:rFonts w:ascii="宋体" w:hAnsi="宋体" w:cs="宋体"/>
                <w:color w:val="auto"/>
                <w:kern w:val="0"/>
                <w:szCs w:val="21"/>
                <w:highlight w:val="none"/>
              </w:rPr>
            </w:pPr>
          </w:p>
        </w:tc>
        <w:tc>
          <w:tcPr>
            <w:tcW w:w="1515" w:type="dxa"/>
            <w:tcBorders>
              <w:top w:val="single" w:color="auto" w:sz="6" w:space="0"/>
              <w:left w:val="single" w:color="auto" w:sz="6" w:space="0"/>
              <w:bottom w:val="single" w:color="auto" w:sz="6" w:space="0"/>
              <w:right w:val="single" w:color="auto" w:sz="6" w:space="0"/>
            </w:tcBorders>
            <w:vAlign w:val="center"/>
          </w:tcPr>
          <w:p w14:paraId="38166551">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学  历</w:t>
            </w:r>
          </w:p>
        </w:tc>
        <w:tc>
          <w:tcPr>
            <w:tcW w:w="1479" w:type="dxa"/>
            <w:gridSpan w:val="2"/>
            <w:tcBorders>
              <w:top w:val="single" w:color="auto" w:sz="6" w:space="0"/>
              <w:left w:val="single" w:color="auto" w:sz="6" w:space="0"/>
              <w:bottom w:val="single" w:color="auto" w:sz="6" w:space="0"/>
              <w:right w:val="single" w:color="auto" w:sz="6" w:space="0"/>
            </w:tcBorders>
            <w:vAlign w:val="center"/>
          </w:tcPr>
          <w:p w14:paraId="4E3993D1">
            <w:pPr>
              <w:autoSpaceDE w:val="0"/>
              <w:autoSpaceDN w:val="0"/>
              <w:adjustRightInd w:val="0"/>
              <w:jc w:val="center"/>
              <w:rPr>
                <w:rFonts w:ascii="宋体" w:hAnsi="宋体" w:cs="宋体"/>
                <w:color w:val="auto"/>
                <w:kern w:val="0"/>
                <w:szCs w:val="21"/>
                <w:highlight w:val="none"/>
              </w:rPr>
            </w:pPr>
          </w:p>
        </w:tc>
        <w:tc>
          <w:tcPr>
            <w:tcW w:w="2168" w:type="dxa"/>
            <w:gridSpan w:val="2"/>
            <w:tcBorders>
              <w:top w:val="single" w:color="auto" w:sz="6" w:space="0"/>
              <w:left w:val="single" w:color="auto" w:sz="6" w:space="0"/>
              <w:bottom w:val="single" w:color="auto" w:sz="6" w:space="0"/>
              <w:right w:val="single" w:color="auto" w:sz="6" w:space="0"/>
            </w:tcBorders>
            <w:vAlign w:val="center"/>
          </w:tcPr>
          <w:p w14:paraId="11E88608">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拟在本标段</w:t>
            </w:r>
          </w:p>
          <w:p w14:paraId="206A90DD">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工程任职</w:t>
            </w:r>
          </w:p>
        </w:tc>
        <w:tc>
          <w:tcPr>
            <w:tcW w:w="1269" w:type="dxa"/>
            <w:gridSpan w:val="2"/>
            <w:tcBorders>
              <w:top w:val="single" w:color="auto" w:sz="6" w:space="0"/>
              <w:left w:val="single" w:color="auto" w:sz="6" w:space="0"/>
              <w:bottom w:val="single" w:color="auto" w:sz="6" w:space="0"/>
              <w:right w:val="single" w:color="auto" w:sz="12" w:space="0"/>
            </w:tcBorders>
            <w:vAlign w:val="center"/>
          </w:tcPr>
          <w:p w14:paraId="33442B5A">
            <w:pPr>
              <w:jc w:val="center"/>
              <w:rPr>
                <w:rFonts w:ascii="宋体" w:hAnsi="宋体" w:cs="宋体"/>
                <w:color w:val="auto"/>
                <w:szCs w:val="21"/>
                <w:highlight w:val="none"/>
              </w:rPr>
            </w:pPr>
          </w:p>
        </w:tc>
      </w:tr>
      <w:tr w14:paraId="0197D8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05F1F7FD">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工作年限</w:t>
            </w:r>
          </w:p>
        </w:tc>
        <w:tc>
          <w:tcPr>
            <w:tcW w:w="4638" w:type="dxa"/>
            <w:gridSpan w:val="4"/>
            <w:tcBorders>
              <w:top w:val="single" w:color="auto" w:sz="6" w:space="0"/>
              <w:left w:val="single" w:color="auto" w:sz="6" w:space="0"/>
              <w:bottom w:val="single" w:color="auto" w:sz="6" w:space="0"/>
              <w:right w:val="single" w:color="auto" w:sz="4" w:space="0"/>
            </w:tcBorders>
            <w:vAlign w:val="center"/>
          </w:tcPr>
          <w:p w14:paraId="2EC3565D">
            <w:pPr>
              <w:tabs>
                <w:tab w:val="left" w:pos="2820"/>
                <w:tab w:val="left" w:pos="4080"/>
              </w:tabs>
              <w:autoSpaceDE w:val="0"/>
              <w:autoSpaceDN w:val="0"/>
              <w:adjustRightInd w:val="0"/>
              <w:spacing w:before="73"/>
              <w:ind w:left="-1291" w:leftChars="-615" w:firstLine="1260" w:firstLineChars="600"/>
              <w:rPr>
                <w:rFonts w:ascii="宋体" w:hAnsi="宋体" w:cs="宋体"/>
                <w:color w:val="auto"/>
                <w:kern w:val="0"/>
                <w:szCs w:val="21"/>
                <w:highlight w:val="none"/>
                <w:u w:val="single"/>
              </w:rPr>
            </w:pPr>
          </w:p>
        </w:tc>
        <w:tc>
          <w:tcPr>
            <w:tcW w:w="2175" w:type="dxa"/>
            <w:gridSpan w:val="3"/>
            <w:tcBorders>
              <w:top w:val="single" w:color="auto" w:sz="6" w:space="0"/>
              <w:left w:val="single" w:color="auto" w:sz="4" w:space="0"/>
              <w:bottom w:val="single" w:color="auto" w:sz="6" w:space="0"/>
              <w:right w:val="single" w:color="auto" w:sz="4" w:space="0"/>
            </w:tcBorders>
            <w:vAlign w:val="center"/>
          </w:tcPr>
          <w:p w14:paraId="16D50322">
            <w:pPr>
              <w:tabs>
                <w:tab w:val="left" w:pos="2820"/>
                <w:tab w:val="left" w:pos="4080"/>
              </w:tabs>
              <w:autoSpaceDE w:val="0"/>
              <w:autoSpaceDN w:val="0"/>
              <w:adjustRightInd w:val="0"/>
              <w:spacing w:before="73"/>
              <w:ind w:left="-1291" w:leftChars="-615" w:firstLine="1260" w:firstLineChars="600"/>
              <w:jc w:val="center"/>
              <w:rPr>
                <w:rFonts w:ascii="宋体" w:hAnsi="宋体" w:cs="宋体"/>
                <w:color w:val="auto"/>
                <w:kern w:val="0"/>
                <w:szCs w:val="21"/>
                <w:highlight w:val="none"/>
              </w:rPr>
            </w:pPr>
            <w:r>
              <w:rPr>
                <w:rFonts w:hint="eastAsia" w:ascii="宋体" w:hAnsi="宋体" w:cs="宋体"/>
                <w:color w:val="auto"/>
                <w:kern w:val="0"/>
                <w:szCs w:val="21"/>
                <w:highlight w:val="none"/>
              </w:rPr>
              <w:t>类似施工经验年限</w:t>
            </w:r>
          </w:p>
        </w:tc>
        <w:tc>
          <w:tcPr>
            <w:tcW w:w="1262" w:type="dxa"/>
            <w:tcBorders>
              <w:top w:val="single" w:color="auto" w:sz="6" w:space="0"/>
              <w:left w:val="single" w:color="auto" w:sz="4" w:space="0"/>
              <w:bottom w:val="single" w:color="auto" w:sz="6" w:space="0"/>
              <w:right w:val="single" w:color="auto" w:sz="12" w:space="0"/>
            </w:tcBorders>
            <w:vAlign w:val="center"/>
          </w:tcPr>
          <w:p w14:paraId="04E5DE8F">
            <w:pPr>
              <w:tabs>
                <w:tab w:val="left" w:pos="2820"/>
                <w:tab w:val="left" w:pos="4080"/>
              </w:tabs>
              <w:autoSpaceDE w:val="0"/>
              <w:autoSpaceDN w:val="0"/>
              <w:adjustRightInd w:val="0"/>
              <w:spacing w:before="73"/>
              <w:ind w:left="-1291" w:leftChars="-615" w:firstLine="1260" w:firstLineChars="600"/>
              <w:rPr>
                <w:rFonts w:ascii="宋体" w:hAnsi="宋体" w:cs="宋体"/>
                <w:color w:val="auto"/>
                <w:kern w:val="0"/>
                <w:szCs w:val="21"/>
                <w:highlight w:val="none"/>
                <w:u w:val="single"/>
              </w:rPr>
            </w:pPr>
          </w:p>
        </w:tc>
      </w:tr>
      <w:tr w14:paraId="48F5E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3948958F">
            <w:pPr>
              <w:autoSpaceDE w:val="0"/>
              <w:autoSpaceDN w:val="0"/>
              <w:adjustRightInd w:val="0"/>
              <w:spacing w:before="73"/>
              <w:jc w:val="center"/>
              <w:rPr>
                <w:rFonts w:ascii="宋体" w:hAnsi="宋体" w:cs="宋体"/>
                <w:color w:val="auto"/>
                <w:kern w:val="0"/>
                <w:szCs w:val="21"/>
                <w:highlight w:val="none"/>
              </w:rPr>
            </w:pPr>
            <w:r>
              <w:rPr>
                <w:rFonts w:hint="eastAsia" w:ascii="宋体" w:hAnsi="宋体" w:cs="宋体"/>
                <w:color w:val="auto"/>
                <w:kern w:val="0"/>
                <w:szCs w:val="21"/>
                <w:highlight w:val="none"/>
              </w:rPr>
              <w:t>毕业学校</w:t>
            </w:r>
          </w:p>
        </w:tc>
        <w:tc>
          <w:tcPr>
            <w:tcW w:w="8075" w:type="dxa"/>
            <w:gridSpan w:val="8"/>
            <w:tcBorders>
              <w:top w:val="single" w:color="auto" w:sz="6" w:space="0"/>
              <w:left w:val="single" w:color="auto" w:sz="6" w:space="0"/>
              <w:bottom w:val="single" w:color="auto" w:sz="6" w:space="0"/>
              <w:right w:val="single" w:color="auto" w:sz="12" w:space="0"/>
            </w:tcBorders>
            <w:vAlign w:val="center"/>
          </w:tcPr>
          <w:p w14:paraId="309E6E2F">
            <w:pPr>
              <w:tabs>
                <w:tab w:val="left" w:pos="2820"/>
                <w:tab w:val="left" w:pos="4080"/>
              </w:tabs>
              <w:autoSpaceDE w:val="0"/>
              <w:autoSpaceDN w:val="0"/>
              <w:adjustRightInd w:val="0"/>
              <w:spacing w:before="73"/>
              <w:ind w:left="-1291" w:leftChars="-615" w:firstLine="1260" w:firstLineChars="600"/>
              <w:rPr>
                <w:rFonts w:ascii="宋体" w:hAnsi="宋体" w:cs="宋体"/>
                <w:color w:val="auto"/>
                <w:kern w:val="0"/>
                <w:szCs w:val="21"/>
                <w:highlight w:val="none"/>
              </w:rPr>
            </w:pPr>
            <w:r>
              <w:rPr>
                <w:rFonts w:hint="eastAsia" w:ascii="宋体" w:hAnsi="宋体" w:cs="宋体"/>
                <w:color w:val="auto"/>
                <w:kern w:val="0"/>
                <w:szCs w:val="21"/>
                <w:highlight w:val="none"/>
              </w:rPr>
              <w:t>年月毕业于学校专业，学制年</w:t>
            </w:r>
          </w:p>
        </w:tc>
      </w:tr>
      <w:tr w14:paraId="372CE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9430" w:type="dxa"/>
            <w:gridSpan w:val="9"/>
            <w:tcBorders>
              <w:top w:val="single" w:color="auto" w:sz="6" w:space="0"/>
              <w:left w:val="single" w:color="auto" w:sz="12" w:space="0"/>
              <w:bottom w:val="single" w:color="auto" w:sz="6" w:space="0"/>
              <w:right w:val="single" w:color="auto" w:sz="12" w:space="0"/>
            </w:tcBorders>
            <w:vAlign w:val="center"/>
          </w:tcPr>
          <w:p w14:paraId="1BCD89D2">
            <w:pPr>
              <w:jc w:val="center"/>
              <w:rPr>
                <w:rFonts w:ascii="宋体" w:hAnsi="宋体" w:cs="宋体"/>
                <w:color w:val="auto"/>
                <w:szCs w:val="21"/>
                <w:highlight w:val="none"/>
              </w:rPr>
            </w:pPr>
            <w:r>
              <w:rPr>
                <w:rFonts w:hint="eastAsia" w:ascii="宋体" w:hAnsi="宋体" w:cs="宋体"/>
                <w:color w:val="auto"/>
                <w:kern w:val="0"/>
                <w:szCs w:val="21"/>
                <w:highlight w:val="none"/>
              </w:rPr>
              <w:t>经     历</w:t>
            </w:r>
          </w:p>
        </w:tc>
      </w:tr>
      <w:tr w14:paraId="313728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51E9A334">
            <w:pPr>
              <w:jc w:val="center"/>
              <w:rPr>
                <w:rFonts w:ascii="宋体" w:hAnsi="宋体" w:cs="宋体"/>
                <w:color w:val="auto"/>
                <w:szCs w:val="21"/>
                <w:highlight w:val="none"/>
              </w:rPr>
            </w:pPr>
            <w:r>
              <w:rPr>
                <w:rFonts w:hint="eastAsia" w:ascii="宋体" w:hAnsi="宋体" w:cs="宋体"/>
                <w:color w:val="auto"/>
                <w:szCs w:val="21"/>
                <w:highlight w:val="none"/>
              </w:rPr>
              <w:t>时   间</w:t>
            </w:r>
          </w:p>
        </w:tc>
        <w:tc>
          <w:tcPr>
            <w:tcW w:w="4026" w:type="dxa"/>
            <w:gridSpan w:val="3"/>
            <w:tcBorders>
              <w:top w:val="single" w:color="auto" w:sz="6" w:space="0"/>
              <w:left w:val="single" w:color="auto" w:sz="6" w:space="0"/>
              <w:bottom w:val="single" w:color="auto" w:sz="6" w:space="0"/>
              <w:right w:val="single" w:color="auto" w:sz="6" w:space="0"/>
            </w:tcBorders>
            <w:vAlign w:val="center"/>
          </w:tcPr>
          <w:p w14:paraId="0B26D8BC">
            <w:pPr>
              <w:jc w:val="center"/>
              <w:rPr>
                <w:rFonts w:ascii="宋体" w:hAnsi="宋体" w:cs="宋体"/>
                <w:color w:val="auto"/>
                <w:szCs w:val="21"/>
                <w:highlight w:val="none"/>
              </w:rPr>
            </w:pPr>
            <w:r>
              <w:rPr>
                <w:rFonts w:hint="eastAsia" w:ascii="宋体" w:hAnsi="宋体" w:cs="宋体"/>
                <w:color w:val="auto"/>
                <w:kern w:val="0"/>
                <w:szCs w:val="21"/>
                <w:highlight w:val="none"/>
              </w:rPr>
              <w:t>参加过的类似工程项目名称</w:t>
            </w:r>
          </w:p>
        </w:tc>
        <w:tc>
          <w:tcPr>
            <w:tcW w:w="1392" w:type="dxa"/>
            <w:gridSpan w:val="2"/>
            <w:tcBorders>
              <w:top w:val="single" w:color="auto" w:sz="6" w:space="0"/>
              <w:left w:val="single" w:color="auto" w:sz="6" w:space="0"/>
              <w:bottom w:val="single" w:color="auto" w:sz="6" w:space="0"/>
              <w:right w:val="single" w:color="auto" w:sz="6" w:space="0"/>
            </w:tcBorders>
            <w:vAlign w:val="center"/>
          </w:tcPr>
          <w:p w14:paraId="6C556BC7">
            <w:pPr>
              <w:jc w:val="center"/>
              <w:rPr>
                <w:rFonts w:ascii="宋体" w:hAnsi="宋体" w:cs="宋体"/>
                <w:color w:val="auto"/>
                <w:szCs w:val="21"/>
                <w:highlight w:val="none"/>
              </w:rPr>
            </w:pPr>
            <w:r>
              <w:rPr>
                <w:rFonts w:hint="eastAsia" w:ascii="宋体" w:hAnsi="宋体" w:cs="宋体"/>
                <w:color w:val="auto"/>
                <w:kern w:val="0"/>
                <w:szCs w:val="21"/>
                <w:highlight w:val="none"/>
              </w:rPr>
              <w:t>担任职务</w:t>
            </w:r>
          </w:p>
        </w:tc>
        <w:tc>
          <w:tcPr>
            <w:tcW w:w="2657" w:type="dxa"/>
            <w:gridSpan w:val="3"/>
            <w:tcBorders>
              <w:top w:val="single" w:color="auto" w:sz="6" w:space="0"/>
              <w:left w:val="single" w:color="auto" w:sz="6" w:space="0"/>
              <w:bottom w:val="single" w:color="auto" w:sz="6" w:space="0"/>
              <w:right w:val="single" w:color="auto" w:sz="12" w:space="0"/>
            </w:tcBorders>
            <w:vAlign w:val="center"/>
          </w:tcPr>
          <w:p w14:paraId="24149613">
            <w:pPr>
              <w:jc w:val="center"/>
              <w:rPr>
                <w:rFonts w:ascii="宋体" w:hAnsi="宋体" w:cs="宋体"/>
                <w:color w:val="auto"/>
                <w:kern w:val="0"/>
                <w:szCs w:val="21"/>
                <w:highlight w:val="none"/>
              </w:rPr>
            </w:pPr>
            <w:r>
              <w:rPr>
                <w:rFonts w:hint="eastAsia" w:ascii="宋体" w:hAnsi="宋体" w:cs="宋体"/>
                <w:color w:val="auto"/>
                <w:kern w:val="0"/>
                <w:szCs w:val="21"/>
                <w:highlight w:val="none"/>
              </w:rPr>
              <w:t>发包人及</w:t>
            </w:r>
          </w:p>
          <w:p w14:paraId="44CE1637">
            <w:pPr>
              <w:jc w:val="center"/>
              <w:rPr>
                <w:rFonts w:ascii="宋体" w:hAnsi="宋体" w:cs="宋体"/>
                <w:color w:val="auto"/>
                <w:szCs w:val="21"/>
                <w:highlight w:val="none"/>
              </w:rPr>
            </w:pPr>
            <w:r>
              <w:rPr>
                <w:rFonts w:hint="eastAsia" w:ascii="宋体" w:hAnsi="宋体" w:cs="宋体"/>
                <w:color w:val="auto"/>
                <w:kern w:val="0"/>
                <w:szCs w:val="21"/>
                <w:highlight w:val="none"/>
              </w:rPr>
              <w:t>联系电话</w:t>
            </w:r>
          </w:p>
        </w:tc>
      </w:tr>
      <w:tr w14:paraId="73947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2C18AAC3">
            <w:pPr>
              <w:jc w:val="center"/>
              <w:rPr>
                <w:rFonts w:ascii="宋体" w:hAnsi="宋体" w:cs="宋体"/>
                <w:color w:val="auto"/>
                <w:szCs w:val="21"/>
                <w:highlight w:val="none"/>
              </w:rPr>
            </w:pPr>
          </w:p>
        </w:tc>
        <w:tc>
          <w:tcPr>
            <w:tcW w:w="4026" w:type="dxa"/>
            <w:gridSpan w:val="3"/>
            <w:tcBorders>
              <w:top w:val="single" w:color="auto" w:sz="6" w:space="0"/>
              <w:left w:val="single" w:color="auto" w:sz="6" w:space="0"/>
              <w:bottom w:val="single" w:color="auto" w:sz="6" w:space="0"/>
              <w:right w:val="single" w:color="auto" w:sz="6" w:space="0"/>
            </w:tcBorders>
            <w:vAlign w:val="center"/>
          </w:tcPr>
          <w:p w14:paraId="495BB788">
            <w:pPr>
              <w:jc w:val="center"/>
              <w:rPr>
                <w:rFonts w:ascii="宋体" w:hAnsi="宋体" w:cs="宋体"/>
                <w:color w:val="auto"/>
                <w:szCs w:val="21"/>
                <w:highlight w:val="none"/>
              </w:rPr>
            </w:pPr>
          </w:p>
        </w:tc>
        <w:tc>
          <w:tcPr>
            <w:tcW w:w="1392" w:type="dxa"/>
            <w:gridSpan w:val="2"/>
            <w:tcBorders>
              <w:top w:val="single" w:color="auto" w:sz="6" w:space="0"/>
              <w:left w:val="single" w:color="auto" w:sz="6" w:space="0"/>
              <w:bottom w:val="single" w:color="auto" w:sz="6" w:space="0"/>
              <w:right w:val="single" w:color="auto" w:sz="6" w:space="0"/>
            </w:tcBorders>
            <w:vAlign w:val="center"/>
          </w:tcPr>
          <w:p w14:paraId="5E9CBB30">
            <w:pPr>
              <w:jc w:val="center"/>
              <w:rPr>
                <w:rFonts w:ascii="宋体" w:hAnsi="宋体" w:cs="宋体"/>
                <w:color w:val="auto"/>
                <w:szCs w:val="21"/>
                <w:highlight w:val="none"/>
              </w:rPr>
            </w:pPr>
          </w:p>
        </w:tc>
        <w:tc>
          <w:tcPr>
            <w:tcW w:w="2657" w:type="dxa"/>
            <w:gridSpan w:val="3"/>
            <w:tcBorders>
              <w:top w:val="single" w:color="auto" w:sz="6" w:space="0"/>
              <w:left w:val="single" w:color="auto" w:sz="6" w:space="0"/>
              <w:bottom w:val="single" w:color="auto" w:sz="6" w:space="0"/>
              <w:right w:val="single" w:color="auto" w:sz="12" w:space="0"/>
            </w:tcBorders>
            <w:vAlign w:val="center"/>
          </w:tcPr>
          <w:p w14:paraId="3DC61806">
            <w:pPr>
              <w:jc w:val="center"/>
              <w:rPr>
                <w:rFonts w:ascii="宋体" w:hAnsi="宋体" w:cs="宋体"/>
                <w:color w:val="auto"/>
                <w:szCs w:val="21"/>
                <w:highlight w:val="none"/>
              </w:rPr>
            </w:pPr>
          </w:p>
        </w:tc>
      </w:tr>
      <w:tr w14:paraId="103186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2137B037">
            <w:pPr>
              <w:jc w:val="center"/>
              <w:rPr>
                <w:rFonts w:ascii="宋体" w:hAnsi="宋体" w:cs="宋体"/>
                <w:color w:val="auto"/>
                <w:szCs w:val="21"/>
                <w:highlight w:val="none"/>
              </w:rPr>
            </w:pPr>
          </w:p>
        </w:tc>
        <w:tc>
          <w:tcPr>
            <w:tcW w:w="4026" w:type="dxa"/>
            <w:gridSpan w:val="3"/>
            <w:tcBorders>
              <w:top w:val="single" w:color="auto" w:sz="6" w:space="0"/>
              <w:left w:val="single" w:color="auto" w:sz="6" w:space="0"/>
              <w:bottom w:val="single" w:color="auto" w:sz="6" w:space="0"/>
              <w:right w:val="single" w:color="auto" w:sz="6" w:space="0"/>
            </w:tcBorders>
            <w:vAlign w:val="center"/>
          </w:tcPr>
          <w:p w14:paraId="706FF7A2">
            <w:pPr>
              <w:jc w:val="center"/>
              <w:rPr>
                <w:rFonts w:ascii="宋体" w:hAnsi="宋体" w:cs="宋体"/>
                <w:color w:val="auto"/>
                <w:szCs w:val="21"/>
                <w:highlight w:val="none"/>
              </w:rPr>
            </w:pPr>
          </w:p>
        </w:tc>
        <w:tc>
          <w:tcPr>
            <w:tcW w:w="1392" w:type="dxa"/>
            <w:gridSpan w:val="2"/>
            <w:tcBorders>
              <w:top w:val="single" w:color="auto" w:sz="6" w:space="0"/>
              <w:left w:val="single" w:color="auto" w:sz="6" w:space="0"/>
              <w:bottom w:val="single" w:color="auto" w:sz="6" w:space="0"/>
              <w:right w:val="single" w:color="auto" w:sz="6" w:space="0"/>
            </w:tcBorders>
            <w:vAlign w:val="center"/>
          </w:tcPr>
          <w:p w14:paraId="127BF0E6">
            <w:pPr>
              <w:jc w:val="center"/>
              <w:rPr>
                <w:rFonts w:ascii="宋体" w:hAnsi="宋体" w:cs="宋体"/>
                <w:color w:val="auto"/>
                <w:szCs w:val="21"/>
                <w:highlight w:val="none"/>
              </w:rPr>
            </w:pPr>
          </w:p>
        </w:tc>
        <w:tc>
          <w:tcPr>
            <w:tcW w:w="2657" w:type="dxa"/>
            <w:gridSpan w:val="3"/>
            <w:tcBorders>
              <w:top w:val="single" w:color="auto" w:sz="6" w:space="0"/>
              <w:left w:val="single" w:color="auto" w:sz="6" w:space="0"/>
              <w:bottom w:val="single" w:color="auto" w:sz="6" w:space="0"/>
              <w:right w:val="single" w:color="auto" w:sz="12" w:space="0"/>
            </w:tcBorders>
            <w:vAlign w:val="center"/>
          </w:tcPr>
          <w:p w14:paraId="37D56286">
            <w:pPr>
              <w:jc w:val="center"/>
              <w:rPr>
                <w:rFonts w:ascii="宋体" w:hAnsi="宋体" w:cs="宋体"/>
                <w:color w:val="auto"/>
                <w:szCs w:val="21"/>
                <w:highlight w:val="none"/>
              </w:rPr>
            </w:pPr>
          </w:p>
        </w:tc>
      </w:tr>
      <w:tr w14:paraId="38E2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57074B38">
            <w:pPr>
              <w:jc w:val="center"/>
              <w:rPr>
                <w:rFonts w:ascii="宋体" w:hAnsi="宋体" w:cs="宋体"/>
                <w:color w:val="auto"/>
                <w:szCs w:val="21"/>
                <w:highlight w:val="none"/>
              </w:rPr>
            </w:pPr>
          </w:p>
        </w:tc>
        <w:tc>
          <w:tcPr>
            <w:tcW w:w="4026" w:type="dxa"/>
            <w:gridSpan w:val="3"/>
            <w:tcBorders>
              <w:top w:val="single" w:color="auto" w:sz="6" w:space="0"/>
              <w:left w:val="single" w:color="auto" w:sz="6" w:space="0"/>
              <w:bottom w:val="single" w:color="auto" w:sz="6" w:space="0"/>
              <w:right w:val="single" w:color="auto" w:sz="6" w:space="0"/>
            </w:tcBorders>
            <w:vAlign w:val="center"/>
          </w:tcPr>
          <w:p w14:paraId="4DDD9708">
            <w:pPr>
              <w:jc w:val="center"/>
              <w:rPr>
                <w:rFonts w:ascii="宋体" w:hAnsi="宋体" w:cs="宋体"/>
                <w:color w:val="auto"/>
                <w:szCs w:val="21"/>
                <w:highlight w:val="none"/>
              </w:rPr>
            </w:pPr>
          </w:p>
        </w:tc>
        <w:tc>
          <w:tcPr>
            <w:tcW w:w="1392" w:type="dxa"/>
            <w:gridSpan w:val="2"/>
            <w:tcBorders>
              <w:top w:val="single" w:color="auto" w:sz="6" w:space="0"/>
              <w:left w:val="single" w:color="auto" w:sz="6" w:space="0"/>
              <w:bottom w:val="single" w:color="auto" w:sz="6" w:space="0"/>
              <w:right w:val="single" w:color="auto" w:sz="6" w:space="0"/>
            </w:tcBorders>
            <w:vAlign w:val="center"/>
          </w:tcPr>
          <w:p w14:paraId="48F7F921">
            <w:pPr>
              <w:jc w:val="center"/>
              <w:rPr>
                <w:rFonts w:ascii="宋体" w:hAnsi="宋体" w:cs="宋体"/>
                <w:color w:val="auto"/>
                <w:szCs w:val="21"/>
                <w:highlight w:val="none"/>
              </w:rPr>
            </w:pPr>
          </w:p>
        </w:tc>
        <w:tc>
          <w:tcPr>
            <w:tcW w:w="2657" w:type="dxa"/>
            <w:gridSpan w:val="3"/>
            <w:tcBorders>
              <w:top w:val="single" w:color="auto" w:sz="6" w:space="0"/>
              <w:left w:val="single" w:color="auto" w:sz="6" w:space="0"/>
              <w:bottom w:val="single" w:color="auto" w:sz="6" w:space="0"/>
              <w:right w:val="single" w:color="auto" w:sz="12" w:space="0"/>
            </w:tcBorders>
            <w:vAlign w:val="center"/>
          </w:tcPr>
          <w:p w14:paraId="6C1D3E0D">
            <w:pPr>
              <w:jc w:val="center"/>
              <w:rPr>
                <w:rFonts w:ascii="宋体" w:hAnsi="宋体" w:cs="宋体"/>
                <w:color w:val="auto"/>
                <w:szCs w:val="21"/>
                <w:highlight w:val="none"/>
              </w:rPr>
            </w:pPr>
          </w:p>
        </w:tc>
      </w:tr>
      <w:tr w14:paraId="06D2D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355" w:type="dxa"/>
            <w:tcBorders>
              <w:top w:val="single" w:color="auto" w:sz="6" w:space="0"/>
              <w:left w:val="single" w:color="auto" w:sz="12" w:space="0"/>
              <w:bottom w:val="single" w:color="auto" w:sz="6" w:space="0"/>
              <w:right w:val="single" w:color="auto" w:sz="4" w:space="0"/>
            </w:tcBorders>
            <w:vAlign w:val="center"/>
          </w:tcPr>
          <w:p w14:paraId="63A7A972">
            <w:pPr>
              <w:jc w:val="center"/>
              <w:rPr>
                <w:rFonts w:ascii="宋体" w:hAnsi="宋体" w:cs="宋体"/>
                <w:color w:val="auto"/>
                <w:szCs w:val="21"/>
                <w:highlight w:val="none"/>
              </w:rPr>
            </w:pPr>
            <w:r>
              <w:rPr>
                <w:rFonts w:hint="eastAsia" w:ascii="宋体" w:hAnsi="宋体" w:cs="宋体"/>
                <w:color w:val="auto"/>
                <w:szCs w:val="21"/>
                <w:highlight w:val="none"/>
              </w:rPr>
              <w:t>获奖情况</w:t>
            </w:r>
          </w:p>
        </w:tc>
        <w:tc>
          <w:tcPr>
            <w:tcW w:w="8075" w:type="dxa"/>
            <w:gridSpan w:val="8"/>
            <w:tcBorders>
              <w:top w:val="single" w:color="auto" w:sz="6" w:space="0"/>
              <w:left w:val="single" w:color="auto" w:sz="4" w:space="0"/>
              <w:bottom w:val="single" w:color="auto" w:sz="6" w:space="0"/>
              <w:right w:val="single" w:color="auto" w:sz="12" w:space="0"/>
            </w:tcBorders>
            <w:vAlign w:val="center"/>
          </w:tcPr>
          <w:p w14:paraId="321C681C">
            <w:pPr>
              <w:jc w:val="center"/>
              <w:rPr>
                <w:rFonts w:ascii="宋体" w:hAnsi="宋体" w:cs="宋体"/>
                <w:color w:val="auto"/>
                <w:szCs w:val="21"/>
                <w:highlight w:val="none"/>
              </w:rPr>
            </w:pPr>
          </w:p>
        </w:tc>
      </w:tr>
      <w:tr w14:paraId="467EF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2" w:hRule="atLeast"/>
          <w:jc w:val="center"/>
        </w:trPr>
        <w:tc>
          <w:tcPr>
            <w:tcW w:w="1355" w:type="dxa"/>
            <w:tcBorders>
              <w:top w:val="single" w:color="auto" w:sz="6" w:space="0"/>
              <w:left w:val="single" w:color="auto" w:sz="12" w:space="0"/>
              <w:bottom w:val="single" w:color="auto" w:sz="6" w:space="0"/>
              <w:right w:val="single" w:color="auto" w:sz="6" w:space="0"/>
            </w:tcBorders>
            <w:vAlign w:val="center"/>
          </w:tcPr>
          <w:p w14:paraId="60A94DEF">
            <w:pPr>
              <w:jc w:val="center"/>
              <w:rPr>
                <w:rFonts w:ascii="宋体" w:hAnsi="宋体" w:cs="宋体"/>
                <w:color w:val="auto"/>
                <w:szCs w:val="21"/>
                <w:highlight w:val="none"/>
              </w:rPr>
            </w:pPr>
            <w:r>
              <w:rPr>
                <w:rFonts w:hint="eastAsia" w:ascii="宋体" w:hAnsi="宋体" w:cs="宋体"/>
                <w:color w:val="auto"/>
                <w:szCs w:val="21"/>
                <w:highlight w:val="none"/>
              </w:rPr>
              <w:t>说明在岗情况</w:t>
            </w:r>
          </w:p>
        </w:tc>
        <w:tc>
          <w:tcPr>
            <w:tcW w:w="8075" w:type="dxa"/>
            <w:gridSpan w:val="8"/>
            <w:tcBorders>
              <w:top w:val="single" w:color="auto" w:sz="6" w:space="0"/>
              <w:left w:val="single" w:color="auto" w:sz="6" w:space="0"/>
              <w:bottom w:val="single" w:color="auto" w:sz="6" w:space="0"/>
              <w:right w:val="single" w:color="auto" w:sz="12" w:space="0"/>
            </w:tcBorders>
            <w:vAlign w:val="center"/>
          </w:tcPr>
          <w:p w14:paraId="5A1FAE9A">
            <w:pPr>
              <w:tabs>
                <w:tab w:val="left" w:pos="5780"/>
              </w:tabs>
              <w:autoSpaceDE w:val="0"/>
              <w:autoSpaceDN w:val="0"/>
              <w:spacing w:before="90"/>
              <w:rPr>
                <w:rFonts w:ascii="宋体" w:hAnsi="宋体" w:cs="宋体"/>
                <w:color w:val="auto"/>
                <w:kern w:val="0"/>
                <w:szCs w:val="22"/>
                <w:highlight w:val="none"/>
                <w:lang w:val="zh-CN" w:bidi="zh-CN"/>
              </w:rPr>
            </w:pPr>
            <w:r>
              <w:rPr>
                <w:rFonts w:hint="eastAsia" w:ascii="宋体" w:hAnsi="宋体" w:cs="宋体"/>
                <w:color w:val="auto"/>
                <w:kern w:val="0"/>
                <w:szCs w:val="22"/>
                <w:highlight w:val="none"/>
                <w:lang w:val="zh-CN" w:bidi="zh-CN"/>
              </w:rPr>
              <w:t>□目</w:t>
            </w:r>
            <w:r>
              <w:rPr>
                <w:rFonts w:hint="eastAsia" w:ascii="宋体" w:hAnsi="宋体" w:cs="宋体"/>
                <w:color w:val="auto"/>
                <w:spacing w:val="-3"/>
                <w:kern w:val="0"/>
                <w:szCs w:val="22"/>
                <w:highlight w:val="none"/>
                <w:lang w:val="zh-CN" w:bidi="zh-CN"/>
              </w:rPr>
              <w:t>前</w:t>
            </w:r>
            <w:r>
              <w:rPr>
                <w:rFonts w:hint="eastAsia" w:ascii="宋体" w:hAnsi="宋体" w:cs="宋体"/>
                <w:color w:val="auto"/>
                <w:kern w:val="0"/>
                <w:szCs w:val="22"/>
                <w:highlight w:val="none"/>
                <w:lang w:val="zh-CN" w:bidi="zh-CN"/>
              </w:rPr>
              <w:t>未</w:t>
            </w:r>
            <w:r>
              <w:rPr>
                <w:rFonts w:hint="eastAsia" w:ascii="宋体" w:hAnsi="宋体" w:cs="宋体"/>
                <w:color w:val="auto"/>
                <w:spacing w:val="-3"/>
                <w:kern w:val="0"/>
                <w:szCs w:val="22"/>
                <w:highlight w:val="none"/>
                <w:lang w:val="zh-CN" w:bidi="zh-CN"/>
              </w:rPr>
              <w:t>在</w:t>
            </w:r>
            <w:r>
              <w:rPr>
                <w:rFonts w:hint="eastAsia" w:ascii="宋体" w:hAnsi="宋体" w:cs="宋体"/>
                <w:color w:val="auto"/>
                <w:kern w:val="0"/>
                <w:szCs w:val="22"/>
                <w:highlight w:val="none"/>
                <w:lang w:val="zh-CN" w:bidi="zh-CN"/>
              </w:rPr>
              <w:t>其</w:t>
            </w:r>
            <w:r>
              <w:rPr>
                <w:rFonts w:hint="eastAsia" w:ascii="宋体" w:hAnsi="宋体" w:cs="宋体"/>
                <w:color w:val="auto"/>
                <w:spacing w:val="-3"/>
                <w:kern w:val="0"/>
                <w:szCs w:val="22"/>
                <w:highlight w:val="none"/>
                <w:lang w:val="zh-CN" w:bidi="zh-CN"/>
              </w:rPr>
              <w:t>他</w:t>
            </w:r>
            <w:r>
              <w:rPr>
                <w:rFonts w:hint="eastAsia" w:ascii="宋体" w:hAnsi="宋体" w:cs="宋体"/>
                <w:color w:val="auto"/>
                <w:kern w:val="0"/>
                <w:szCs w:val="22"/>
                <w:highlight w:val="none"/>
                <w:lang w:val="zh-CN" w:bidi="zh-CN"/>
              </w:rPr>
              <w:t>项</w:t>
            </w:r>
            <w:r>
              <w:rPr>
                <w:rFonts w:hint="eastAsia" w:ascii="宋体" w:hAnsi="宋体" w:cs="宋体"/>
                <w:color w:val="auto"/>
                <w:spacing w:val="-3"/>
                <w:kern w:val="0"/>
                <w:szCs w:val="22"/>
                <w:highlight w:val="none"/>
                <w:lang w:val="zh-CN" w:bidi="zh-CN"/>
              </w:rPr>
              <w:t>目</w:t>
            </w:r>
            <w:r>
              <w:rPr>
                <w:rFonts w:hint="eastAsia" w:ascii="宋体" w:hAnsi="宋体" w:cs="宋体"/>
                <w:color w:val="auto"/>
                <w:kern w:val="0"/>
                <w:szCs w:val="22"/>
                <w:highlight w:val="none"/>
                <w:lang w:val="zh-CN" w:bidi="zh-CN"/>
              </w:rPr>
              <w:t>上</w:t>
            </w:r>
            <w:r>
              <w:rPr>
                <w:rFonts w:hint="eastAsia" w:ascii="宋体" w:hAnsi="宋体" w:cs="宋体"/>
                <w:color w:val="auto"/>
                <w:spacing w:val="-3"/>
                <w:kern w:val="0"/>
                <w:szCs w:val="22"/>
                <w:highlight w:val="none"/>
                <w:lang w:val="zh-CN" w:bidi="zh-CN"/>
              </w:rPr>
              <w:t>任</w:t>
            </w:r>
            <w:r>
              <w:rPr>
                <w:rFonts w:hint="eastAsia" w:ascii="宋体" w:hAnsi="宋体" w:cs="宋体"/>
                <w:color w:val="auto"/>
                <w:kern w:val="0"/>
                <w:szCs w:val="22"/>
                <w:highlight w:val="none"/>
                <w:lang w:val="zh-CN" w:bidi="zh-CN"/>
              </w:rPr>
              <w:t>职，</w:t>
            </w:r>
            <w:r>
              <w:rPr>
                <w:rFonts w:hint="eastAsia" w:ascii="宋体" w:hAnsi="宋体" w:cs="宋体"/>
                <w:color w:val="auto"/>
                <w:spacing w:val="-3"/>
                <w:kern w:val="0"/>
                <w:szCs w:val="22"/>
                <w:highlight w:val="none"/>
                <w:lang w:val="zh-CN" w:bidi="zh-CN"/>
              </w:rPr>
              <w:t>现</w:t>
            </w:r>
            <w:r>
              <w:rPr>
                <w:rFonts w:hint="eastAsia" w:ascii="宋体" w:hAnsi="宋体" w:cs="宋体"/>
                <w:color w:val="auto"/>
                <w:kern w:val="0"/>
                <w:szCs w:val="22"/>
                <w:highlight w:val="none"/>
                <w:lang w:val="zh-CN" w:bidi="zh-CN"/>
              </w:rPr>
              <w:t>从</w:t>
            </w:r>
            <w:r>
              <w:rPr>
                <w:rFonts w:hint="eastAsia" w:ascii="宋体" w:hAnsi="宋体" w:cs="宋体"/>
                <w:color w:val="auto"/>
                <w:spacing w:val="-3"/>
                <w:kern w:val="0"/>
                <w:szCs w:val="22"/>
                <w:highlight w:val="none"/>
                <w:lang w:val="zh-CN" w:bidi="zh-CN"/>
              </w:rPr>
              <w:t>事</w:t>
            </w:r>
            <w:r>
              <w:rPr>
                <w:rFonts w:hint="eastAsia" w:ascii="宋体" w:hAnsi="宋体" w:cs="宋体"/>
                <w:color w:val="auto"/>
                <w:kern w:val="0"/>
                <w:szCs w:val="22"/>
                <w:highlight w:val="none"/>
                <w:lang w:val="zh-CN" w:bidi="zh-CN"/>
              </w:rPr>
              <w:t>工</w:t>
            </w:r>
            <w:r>
              <w:rPr>
                <w:rFonts w:hint="eastAsia" w:ascii="宋体" w:hAnsi="宋体" w:cs="宋体"/>
                <w:color w:val="auto"/>
                <w:spacing w:val="-3"/>
                <w:kern w:val="0"/>
                <w:szCs w:val="22"/>
                <w:highlight w:val="none"/>
                <w:lang w:val="zh-CN" w:bidi="zh-CN"/>
              </w:rPr>
              <w:t>作</w:t>
            </w:r>
            <w:r>
              <w:rPr>
                <w:rFonts w:hint="eastAsia" w:ascii="宋体" w:hAnsi="宋体" w:cs="宋体"/>
                <w:color w:val="auto"/>
                <w:kern w:val="0"/>
                <w:szCs w:val="22"/>
                <w:highlight w:val="none"/>
                <w:lang w:val="zh-CN" w:bidi="zh-CN"/>
              </w:rPr>
              <w:t>为</w:t>
            </w:r>
            <w:r>
              <w:rPr>
                <w:rFonts w:hint="eastAsia" w:ascii="宋体" w:hAnsi="宋体" w:cs="宋体"/>
                <w:color w:val="auto"/>
                <w:spacing w:val="-3"/>
                <w:kern w:val="0"/>
                <w:szCs w:val="22"/>
                <w:highlight w:val="none"/>
                <w:lang w:val="zh-CN" w:bidi="zh-CN"/>
              </w:rPr>
              <w:t>：</w:t>
            </w:r>
            <w:r>
              <w:rPr>
                <w:rFonts w:hint="eastAsia" w:ascii="宋体" w:hAnsi="宋体" w:cs="宋体"/>
                <w:color w:val="auto"/>
                <w:spacing w:val="-3"/>
                <w:kern w:val="0"/>
                <w:szCs w:val="22"/>
                <w:highlight w:val="none"/>
                <w:u w:val="single"/>
                <w:lang w:val="zh-CN" w:bidi="zh-CN"/>
              </w:rPr>
              <w:tab/>
            </w:r>
            <w:r>
              <w:rPr>
                <w:rFonts w:hint="eastAsia" w:ascii="宋体" w:hAnsi="宋体" w:cs="宋体"/>
                <w:color w:val="auto"/>
                <w:kern w:val="0"/>
                <w:szCs w:val="22"/>
                <w:highlight w:val="none"/>
                <w:lang w:val="zh-CN" w:bidi="zh-CN"/>
              </w:rPr>
              <w:t>。</w:t>
            </w:r>
          </w:p>
          <w:p w14:paraId="0C7A2F8D">
            <w:pPr>
              <w:rPr>
                <w:rFonts w:ascii="宋体" w:hAnsi="宋体" w:cs="宋体"/>
                <w:color w:val="auto"/>
                <w:szCs w:val="21"/>
                <w:highlight w:val="none"/>
              </w:rPr>
            </w:pPr>
            <w:r>
              <w:rPr>
                <w:rFonts w:hint="eastAsia" w:ascii="宋体" w:hAnsi="宋体" w:cs="宋体"/>
                <w:color w:val="auto"/>
                <w:spacing w:val="5"/>
                <w:kern w:val="0"/>
                <w:szCs w:val="22"/>
                <w:highlight w:val="none"/>
                <w:lang w:val="zh-CN" w:bidi="zh-CN"/>
              </w:rPr>
              <w:t>□目前虽在其他项</w:t>
            </w:r>
            <w:r>
              <w:rPr>
                <w:rFonts w:hint="eastAsia" w:ascii="宋体" w:hAnsi="宋体" w:cs="宋体"/>
                <w:color w:val="auto"/>
                <w:spacing w:val="2"/>
                <w:kern w:val="0"/>
                <w:szCs w:val="22"/>
                <w:highlight w:val="none"/>
                <w:lang w:val="zh-CN" w:bidi="zh-CN"/>
              </w:rPr>
              <w:t>目</w:t>
            </w:r>
            <w:r>
              <w:rPr>
                <w:rFonts w:hint="eastAsia" w:ascii="宋体" w:hAnsi="宋体" w:cs="宋体"/>
                <w:color w:val="auto"/>
                <w:spacing w:val="5"/>
                <w:kern w:val="0"/>
                <w:szCs w:val="22"/>
                <w:highlight w:val="none"/>
                <w:lang w:val="zh-CN" w:bidi="zh-CN"/>
              </w:rPr>
              <w:t>上</w:t>
            </w:r>
            <w:r>
              <w:rPr>
                <w:rFonts w:hint="eastAsia" w:ascii="宋体" w:hAnsi="宋体" w:cs="宋体"/>
                <w:color w:val="auto"/>
                <w:spacing w:val="2"/>
                <w:kern w:val="0"/>
                <w:szCs w:val="22"/>
                <w:highlight w:val="none"/>
                <w:lang w:val="zh-CN" w:bidi="zh-CN"/>
              </w:rPr>
              <w:t>任</w:t>
            </w:r>
            <w:r>
              <w:rPr>
                <w:rFonts w:hint="eastAsia" w:ascii="宋体" w:hAnsi="宋体" w:cs="宋体"/>
                <w:color w:val="auto"/>
                <w:spacing w:val="5"/>
                <w:kern w:val="0"/>
                <w:szCs w:val="22"/>
                <w:highlight w:val="none"/>
                <w:lang w:val="zh-CN" w:bidi="zh-CN"/>
              </w:rPr>
              <w:t>职，但本项目中标</w:t>
            </w:r>
            <w:r>
              <w:rPr>
                <w:rFonts w:hint="eastAsia" w:ascii="宋体" w:hAnsi="宋体" w:cs="宋体"/>
                <w:color w:val="auto"/>
                <w:spacing w:val="2"/>
                <w:kern w:val="0"/>
                <w:szCs w:val="22"/>
                <w:highlight w:val="none"/>
                <w:lang w:val="zh-CN" w:bidi="zh-CN"/>
              </w:rPr>
              <w:t>后</w:t>
            </w:r>
            <w:r>
              <w:rPr>
                <w:rFonts w:hint="eastAsia" w:ascii="宋体" w:hAnsi="宋体" w:cs="宋体"/>
                <w:color w:val="auto"/>
                <w:spacing w:val="5"/>
                <w:kern w:val="0"/>
                <w:szCs w:val="22"/>
                <w:highlight w:val="none"/>
                <w:lang w:val="zh-CN" w:bidi="zh-CN"/>
              </w:rPr>
              <w:t>能</w:t>
            </w:r>
            <w:r>
              <w:rPr>
                <w:rFonts w:hint="eastAsia" w:ascii="宋体" w:hAnsi="宋体" w:cs="宋体"/>
                <w:color w:val="auto"/>
                <w:spacing w:val="2"/>
                <w:kern w:val="0"/>
                <w:szCs w:val="22"/>
                <w:highlight w:val="none"/>
                <w:lang w:val="zh-CN" w:bidi="zh-CN"/>
              </w:rPr>
              <w:t>够</w:t>
            </w:r>
            <w:r>
              <w:rPr>
                <w:rFonts w:hint="eastAsia" w:ascii="宋体" w:hAnsi="宋体" w:cs="宋体"/>
                <w:color w:val="auto"/>
                <w:spacing w:val="5"/>
                <w:kern w:val="0"/>
                <w:szCs w:val="22"/>
                <w:highlight w:val="none"/>
                <w:lang w:val="zh-CN" w:bidi="zh-CN"/>
              </w:rPr>
              <w:t>从该</w:t>
            </w:r>
            <w:r>
              <w:rPr>
                <w:rFonts w:hint="eastAsia" w:ascii="宋体" w:hAnsi="宋体" w:cs="宋体"/>
                <w:color w:val="auto"/>
                <w:spacing w:val="10"/>
                <w:kern w:val="0"/>
                <w:szCs w:val="22"/>
                <w:highlight w:val="none"/>
                <w:lang w:val="zh-CN" w:bidi="zh-CN"/>
              </w:rPr>
              <w:t>项</w:t>
            </w:r>
            <w:r>
              <w:rPr>
                <w:rFonts w:hint="eastAsia" w:ascii="宋体" w:hAnsi="宋体" w:cs="宋体"/>
                <w:color w:val="auto"/>
                <w:spacing w:val="5"/>
                <w:kern w:val="0"/>
                <w:szCs w:val="22"/>
                <w:highlight w:val="none"/>
                <w:lang w:val="zh-CN" w:bidi="zh-CN"/>
              </w:rPr>
              <w:t>目撤</w:t>
            </w:r>
            <w:r>
              <w:rPr>
                <w:rFonts w:hint="eastAsia" w:ascii="宋体" w:hAnsi="宋体" w:cs="宋体"/>
                <w:color w:val="auto"/>
                <w:kern w:val="0"/>
                <w:szCs w:val="22"/>
                <w:highlight w:val="none"/>
                <w:lang w:val="zh-CN" w:bidi="zh-CN"/>
              </w:rPr>
              <w:t>离</w:t>
            </w:r>
            <w:r>
              <w:rPr>
                <w:rFonts w:hint="eastAsia" w:ascii="宋体" w:hAnsi="宋体" w:cs="宋体"/>
                <w:color w:val="auto"/>
                <w:spacing w:val="-82"/>
                <w:kern w:val="0"/>
                <w:szCs w:val="22"/>
                <w:highlight w:val="none"/>
                <w:lang w:val="zh-CN" w:bidi="zh-CN"/>
              </w:rPr>
              <w:t>，</w:t>
            </w:r>
            <w:r>
              <w:rPr>
                <w:rFonts w:hint="eastAsia" w:ascii="宋体" w:hAnsi="宋体" w:cs="宋体"/>
                <w:color w:val="auto"/>
                <w:kern w:val="0"/>
                <w:szCs w:val="22"/>
                <w:highlight w:val="none"/>
                <w:lang w:val="zh-CN" w:bidi="zh-CN"/>
              </w:rPr>
              <w:t>目前</w:t>
            </w:r>
            <w:r>
              <w:rPr>
                <w:rFonts w:hint="eastAsia" w:ascii="宋体" w:hAnsi="宋体" w:cs="宋体"/>
                <w:color w:val="auto"/>
                <w:spacing w:val="-3"/>
                <w:kern w:val="0"/>
                <w:szCs w:val="22"/>
                <w:highlight w:val="none"/>
                <w:lang w:val="zh-CN" w:bidi="zh-CN"/>
              </w:rPr>
              <w:t>任</w:t>
            </w:r>
            <w:r>
              <w:rPr>
                <w:rFonts w:hint="eastAsia" w:ascii="宋体" w:hAnsi="宋体" w:cs="宋体"/>
                <w:color w:val="auto"/>
                <w:kern w:val="0"/>
                <w:szCs w:val="22"/>
                <w:highlight w:val="none"/>
                <w:lang w:val="zh-CN" w:bidi="zh-CN"/>
              </w:rPr>
              <w:t>职</w:t>
            </w:r>
            <w:r>
              <w:rPr>
                <w:rFonts w:hint="eastAsia" w:ascii="宋体" w:hAnsi="宋体" w:cs="宋体"/>
                <w:color w:val="auto"/>
                <w:spacing w:val="-3"/>
                <w:kern w:val="0"/>
                <w:szCs w:val="22"/>
                <w:highlight w:val="none"/>
                <w:lang w:val="zh-CN" w:bidi="zh-CN"/>
              </w:rPr>
              <w:t>项</w:t>
            </w:r>
            <w:r>
              <w:rPr>
                <w:rFonts w:hint="eastAsia" w:ascii="宋体" w:hAnsi="宋体" w:cs="宋体"/>
                <w:color w:val="auto"/>
                <w:kern w:val="0"/>
                <w:szCs w:val="22"/>
                <w:highlight w:val="none"/>
                <w:lang w:val="zh-CN" w:bidi="zh-CN"/>
              </w:rPr>
              <w:t>目：</w:t>
            </w:r>
            <w:r>
              <w:rPr>
                <w:rFonts w:hint="eastAsia" w:ascii="宋体" w:hAnsi="宋体" w:cs="宋体"/>
                <w:color w:val="auto"/>
                <w:kern w:val="0"/>
                <w:szCs w:val="22"/>
                <w:highlight w:val="none"/>
                <w:u w:val="single"/>
                <w:lang w:val="zh-CN" w:bidi="zh-CN"/>
              </w:rPr>
              <w:tab/>
            </w:r>
            <w:r>
              <w:rPr>
                <w:rFonts w:hint="eastAsia" w:ascii="宋体" w:hAnsi="宋体" w:cs="宋体"/>
                <w:color w:val="auto"/>
                <w:kern w:val="0"/>
                <w:szCs w:val="22"/>
                <w:highlight w:val="none"/>
                <w:u w:val="single"/>
                <w:lang w:val="zh-CN" w:bidi="zh-CN"/>
              </w:rPr>
              <w:t xml:space="preserve">      </w:t>
            </w:r>
            <w:r>
              <w:rPr>
                <w:rFonts w:hint="eastAsia" w:ascii="宋体" w:hAnsi="宋体" w:cs="宋体"/>
                <w:color w:val="auto"/>
                <w:kern w:val="0"/>
                <w:szCs w:val="22"/>
                <w:highlight w:val="none"/>
                <w:lang w:val="zh-CN" w:bidi="zh-CN"/>
              </w:rPr>
              <w:t>，担</w:t>
            </w:r>
            <w:r>
              <w:rPr>
                <w:rFonts w:hint="eastAsia" w:ascii="宋体" w:hAnsi="宋体" w:cs="宋体"/>
                <w:color w:val="auto"/>
                <w:spacing w:val="-3"/>
                <w:kern w:val="0"/>
                <w:szCs w:val="22"/>
                <w:highlight w:val="none"/>
                <w:lang w:val="zh-CN" w:bidi="zh-CN"/>
              </w:rPr>
              <w:t>任</w:t>
            </w:r>
            <w:r>
              <w:rPr>
                <w:rFonts w:hint="eastAsia" w:ascii="宋体" w:hAnsi="宋体" w:cs="宋体"/>
                <w:color w:val="auto"/>
                <w:kern w:val="0"/>
                <w:szCs w:val="22"/>
                <w:highlight w:val="none"/>
                <w:lang w:val="zh-CN" w:bidi="zh-CN"/>
              </w:rPr>
              <w:t>职</w:t>
            </w:r>
            <w:r>
              <w:rPr>
                <w:rFonts w:hint="eastAsia" w:ascii="宋体" w:hAnsi="宋体" w:cs="宋体"/>
                <w:color w:val="auto"/>
                <w:spacing w:val="-3"/>
                <w:kern w:val="0"/>
                <w:szCs w:val="22"/>
                <w:highlight w:val="none"/>
                <w:lang w:val="zh-CN" w:bidi="zh-CN"/>
              </w:rPr>
              <w:t>位</w:t>
            </w:r>
            <w:r>
              <w:rPr>
                <w:rFonts w:hint="eastAsia" w:ascii="宋体" w:hAnsi="宋体" w:cs="宋体"/>
                <w:color w:val="auto"/>
                <w:kern w:val="0"/>
                <w:szCs w:val="22"/>
                <w:highlight w:val="none"/>
                <w:lang w:val="zh-CN" w:bidi="zh-CN"/>
              </w:rPr>
              <w:t>：</w:t>
            </w:r>
            <w:r>
              <w:rPr>
                <w:rFonts w:hint="eastAsia" w:ascii="宋体" w:hAnsi="宋体" w:cs="宋体"/>
                <w:color w:val="auto"/>
                <w:kern w:val="0"/>
                <w:szCs w:val="22"/>
                <w:highlight w:val="none"/>
                <w:u w:val="single"/>
                <w:lang w:val="zh-CN" w:bidi="zh-CN"/>
              </w:rPr>
              <w:t xml:space="preserve">           </w:t>
            </w:r>
            <w:r>
              <w:rPr>
                <w:rFonts w:hint="eastAsia" w:ascii="宋体" w:hAnsi="宋体" w:cs="宋体"/>
                <w:color w:val="auto"/>
                <w:kern w:val="0"/>
                <w:szCs w:val="22"/>
                <w:highlight w:val="none"/>
                <w:lang w:val="zh-CN" w:bidi="zh-CN"/>
              </w:rPr>
              <w:t>。</w:t>
            </w:r>
          </w:p>
        </w:tc>
      </w:tr>
      <w:tr w14:paraId="3AB57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355" w:type="dxa"/>
            <w:tcBorders>
              <w:top w:val="single" w:color="auto" w:sz="6" w:space="0"/>
              <w:left w:val="single" w:color="auto" w:sz="12" w:space="0"/>
              <w:bottom w:val="single" w:color="auto" w:sz="12" w:space="0"/>
              <w:right w:val="single" w:color="auto" w:sz="6" w:space="0"/>
            </w:tcBorders>
            <w:vAlign w:val="center"/>
          </w:tcPr>
          <w:p w14:paraId="0F4BFB87">
            <w:pPr>
              <w:jc w:val="center"/>
              <w:rPr>
                <w:rFonts w:ascii="宋体" w:hAnsi="宋体" w:cs="宋体"/>
                <w:color w:val="auto"/>
                <w:szCs w:val="21"/>
                <w:highlight w:val="none"/>
              </w:rPr>
            </w:pPr>
            <w:r>
              <w:rPr>
                <w:rFonts w:hint="eastAsia" w:ascii="宋体" w:hAnsi="宋体" w:cs="宋体"/>
                <w:color w:val="auto"/>
                <w:szCs w:val="21"/>
                <w:highlight w:val="none"/>
              </w:rPr>
              <w:t>备注</w:t>
            </w:r>
          </w:p>
        </w:tc>
        <w:tc>
          <w:tcPr>
            <w:tcW w:w="8075" w:type="dxa"/>
            <w:gridSpan w:val="8"/>
            <w:tcBorders>
              <w:top w:val="single" w:color="auto" w:sz="6" w:space="0"/>
              <w:left w:val="single" w:color="auto" w:sz="6" w:space="0"/>
              <w:bottom w:val="single" w:color="auto" w:sz="12" w:space="0"/>
              <w:right w:val="single" w:color="auto" w:sz="12" w:space="0"/>
            </w:tcBorders>
            <w:vAlign w:val="center"/>
          </w:tcPr>
          <w:p w14:paraId="70FD265C">
            <w:pPr>
              <w:jc w:val="center"/>
              <w:rPr>
                <w:rFonts w:ascii="宋体" w:hAnsi="宋体" w:cs="宋体"/>
                <w:color w:val="auto"/>
                <w:szCs w:val="21"/>
                <w:highlight w:val="none"/>
              </w:rPr>
            </w:pPr>
          </w:p>
        </w:tc>
      </w:tr>
    </w:tbl>
    <w:p w14:paraId="5F0BBA65">
      <w:pPr>
        <w:pStyle w:val="5"/>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注：本表后项目经理的身份证、职称资格证书以及所要求的其他相关证书（如建造师注册证书、安全生产考核合格证书等）的复印件；</w:t>
      </w:r>
      <w:r>
        <w:rPr>
          <w:rFonts w:hint="eastAsia" w:ascii="宋体" w:hAnsi="宋体" w:cs="宋体"/>
          <w:b w:val="0"/>
          <w:bCs w:val="0"/>
          <w:color w:val="auto"/>
          <w:sz w:val="21"/>
          <w:szCs w:val="24"/>
          <w:highlight w:val="none"/>
        </w:rPr>
        <w:t>提供</w:t>
      </w:r>
      <w:r>
        <w:rPr>
          <w:rFonts w:hint="eastAsia" w:ascii="宋体" w:hAnsi="宋体" w:cs="宋体"/>
          <w:b w:val="0"/>
          <w:bCs w:val="0"/>
          <w:color w:val="auto"/>
          <w:sz w:val="21"/>
          <w:szCs w:val="21"/>
          <w:highlight w:val="none"/>
        </w:rPr>
        <w:t>供应商为以上人员依法缴纳</w:t>
      </w:r>
      <w:r>
        <w:rPr>
          <w:rFonts w:hint="eastAsia" w:ascii="宋体" w:hAnsi="宋体" w:cs="宋体"/>
          <w:b w:val="0"/>
          <w:bCs w:val="0"/>
          <w:color w:val="auto"/>
          <w:sz w:val="21"/>
          <w:szCs w:val="21"/>
          <w:highlight w:val="none"/>
          <w:u w:val="single"/>
        </w:rPr>
        <w:t>202</w:t>
      </w:r>
      <w:r>
        <w:rPr>
          <w:rFonts w:hint="eastAsia" w:ascii="宋体" w:hAnsi="宋体" w:cs="宋体"/>
          <w:b w:val="0"/>
          <w:bCs w:val="0"/>
          <w:color w:val="auto"/>
          <w:sz w:val="21"/>
          <w:szCs w:val="21"/>
          <w:highlight w:val="none"/>
          <w:u w:val="single"/>
          <w:lang w:val="en-US" w:eastAsia="zh-CN"/>
        </w:rPr>
        <w:t>6</w:t>
      </w:r>
      <w:r>
        <w:rPr>
          <w:rFonts w:hint="eastAsia" w:ascii="宋体" w:hAnsi="宋体" w:cs="宋体"/>
          <w:b w:val="0"/>
          <w:bCs w:val="0"/>
          <w:color w:val="auto"/>
          <w:sz w:val="21"/>
          <w:szCs w:val="21"/>
          <w:highlight w:val="none"/>
          <w:u w:val="single"/>
        </w:rPr>
        <w:t>年1月至202</w:t>
      </w:r>
      <w:r>
        <w:rPr>
          <w:rFonts w:hint="eastAsia" w:ascii="宋体" w:hAnsi="宋体" w:cs="宋体"/>
          <w:b w:val="0"/>
          <w:bCs w:val="0"/>
          <w:color w:val="auto"/>
          <w:sz w:val="21"/>
          <w:szCs w:val="21"/>
          <w:highlight w:val="none"/>
          <w:u w:val="single"/>
          <w:lang w:val="en-US" w:eastAsia="zh-CN"/>
        </w:rPr>
        <w:t>6</w:t>
      </w:r>
      <w:r>
        <w:rPr>
          <w:rFonts w:hint="eastAsia" w:ascii="宋体" w:hAnsi="宋体" w:cs="宋体"/>
          <w:b w:val="0"/>
          <w:bCs w:val="0"/>
          <w:color w:val="auto"/>
          <w:sz w:val="21"/>
          <w:szCs w:val="21"/>
          <w:highlight w:val="none"/>
          <w:u w:val="single"/>
        </w:rPr>
        <w:t>年6月</w:t>
      </w:r>
      <w:r>
        <w:rPr>
          <w:rFonts w:hint="eastAsia" w:ascii="宋体" w:hAnsi="宋体" w:cs="宋体"/>
          <w:b w:val="0"/>
          <w:bCs w:val="0"/>
          <w:color w:val="auto"/>
          <w:sz w:val="21"/>
          <w:szCs w:val="21"/>
          <w:highlight w:val="none"/>
        </w:rPr>
        <w:t>内任意一个月的社会保障资金的</w:t>
      </w:r>
      <w:r>
        <w:rPr>
          <w:rFonts w:hint="eastAsia" w:ascii="宋体" w:hAnsi="宋体" w:cs="宋体"/>
          <w:b w:val="0"/>
          <w:bCs w:val="0"/>
          <w:color w:val="auto"/>
          <w:sz w:val="21"/>
          <w:szCs w:val="24"/>
          <w:highlight w:val="none"/>
        </w:rPr>
        <w:t>证明</w:t>
      </w:r>
      <w:r>
        <w:rPr>
          <w:rFonts w:hint="eastAsia" w:ascii="宋体" w:hAnsi="宋体" w:cs="宋体"/>
          <w:b w:val="0"/>
          <w:bCs w:val="0"/>
          <w:color w:val="auto"/>
          <w:sz w:val="21"/>
          <w:szCs w:val="21"/>
          <w:highlight w:val="none"/>
        </w:rPr>
        <w:t>复印件。</w:t>
      </w:r>
    </w:p>
    <w:bookmarkEnd w:id="166"/>
    <w:bookmarkEnd w:id="167"/>
    <w:bookmarkEnd w:id="168"/>
    <w:bookmarkEnd w:id="169"/>
    <w:bookmarkEnd w:id="170"/>
    <w:bookmarkEnd w:id="171"/>
    <w:p w14:paraId="5FFAAF1F">
      <w:pPr>
        <w:spacing w:line="360" w:lineRule="auto"/>
        <w:jc w:val="center"/>
        <w:rPr>
          <w:rFonts w:ascii="宋体" w:hAnsi="宋体" w:cs="宋体"/>
          <w:color w:val="auto"/>
          <w:kern w:val="0"/>
          <w:sz w:val="28"/>
          <w:highlight w:val="none"/>
          <w:lang w:val="zh-CN" w:bidi="zh-CN"/>
        </w:rPr>
      </w:pPr>
      <w:r>
        <w:rPr>
          <w:rFonts w:hint="eastAsia" w:ascii="宋体" w:hAnsi="宋体" w:cs="宋体"/>
          <w:color w:val="auto"/>
          <w:kern w:val="0"/>
          <w:sz w:val="28"/>
          <w:highlight w:val="none"/>
          <w:lang w:val="zh-CN" w:bidi="zh-CN"/>
        </w:rPr>
        <w:br w:type="page"/>
      </w:r>
      <w:r>
        <w:rPr>
          <w:rFonts w:hint="eastAsia" w:ascii="宋体" w:hAnsi="宋体" w:cs="宋体"/>
          <w:b/>
          <w:color w:val="auto"/>
          <w:sz w:val="32"/>
          <w:szCs w:val="32"/>
          <w:highlight w:val="none"/>
        </w:rPr>
        <w:t>拟分包项目情况表（格式）</w:t>
      </w:r>
    </w:p>
    <w:p w14:paraId="2F1D30D3">
      <w:pPr>
        <w:autoSpaceDE w:val="0"/>
        <w:autoSpaceDN w:val="0"/>
        <w:jc w:val="left"/>
        <w:rPr>
          <w:rFonts w:ascii="宋体" w:hAnsi="宋体" w:cs="宋体"/>
          <w:color w:val="auto"/>
          <w:kern w:val="0"/>
          <w:sz w:val="20"/>
          <w:highlight w:val="none"/>
          <w:lang w:val="zh-CN" w:bidi="zh-CN"/>
        </w:rPr>
      </w:pPr>
    </w:p>
    <w:p w14:paraId="0DE6CC19">
      <w:pPr>
        <w:autoSpaceDE w:val="0"/>
        <w:autoSpaceDN w:val="0"/>
        <w:spacing w:before="9"/>
        <w:jc w:val="left"/>
        <w:rPr>
          <w:rFonts w:ascii="宋体" w:hAnsi="宋体" w:cs="宋体"/>
          <w:color w:val="auto"/>
          <w:kern w:val="0"/>
          <w:sz w:val="14"/>
          <w:highlight w:val="none"/>
          <w:lang w:val="zh-CN" w:bidi="zh-CN"/>
        </w:rPr>
      </w:pPr>
    </w:p>
    <w:tbl>
      <w:tblPr>
        <w:tblStyle w:val="29"/>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0"/>
        <w:gridCol w:w="2456"/>
        <w:gridCol w:w="1865"/>
        <w:gridCol w:w="2583"/>
      </w:tblGrid>
      <w:tr w14:paraId="231CA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990" w:type="dxa"/>
          </w:tcPr>
          <w:p w14:paraId="6A308C75">
            <w:pPr>
              <w:autoSpaceDE w:val="0"/>
              <w:autoSpaceDN w:val="0"/>
              <w:spacing w:before="142"/>
              <w:ind w:left="153"/>
              <w:jc w:val="left"/>
              <w:rPr>
                <w:rFonts w:ascii="宋体" w:hAnsi="宋体" w:cs="宋体"/>
                <w:color w:val="auto"/>
                <w:kern w:val="0"/>
                <w:sz w:val="22"/>
                <w:szCs w:val="22"/>
                <w:highlight w:val="none"/>
                <w:lang w:val="zh-CN" w:eastAsia="en-US" w:bidi="zh-CN"/>
              </w:rPr>
            </w:pPr>
            <w:r>
              <w:rPr>
                <w:rFonts w:hint="eastAsia" w:ascii="宋体" w:hAnsi="宋体" w:cs="宋体"/>
                <w:color w:val="auto"/>
                <w:kern w:val="0"/>
                <w:sz w:val="22"/>
                <w:szCs w:val="22"/>
                <w:highlight w:val="none"/>
                <w:lang w:val="zh-CN" w:eastAsia="en-US" w:bidi="zh-CN"/>
              </w:rPr>
              <w:t>拟分包的工程项目</w:t>
            </w:r>
          </w:p>
        </w:tc>
        <w:tc>
          <w:tcPr>
            <w:tcW w:w="2456" w:type="dxa"/>
          </w:tcPr>
          <w:p w14:paraId="6389593E">
            <w:pPr>
              <w:autoSpaceDE w:val="0"/>
              <w:autoSpaceDN w:val="0"/>
              <w:spacing w:before="142"/>
              <w:ind w:left="597"/>
              <w:jc w:val="left"/>
              <w:rPr>
                <w:rFonts w:ascii="宋体" w:hAnsi="宋体" w:cs="宋体"/>
                <w:color w:val="auto"/>
                <w:kern w:val="0"/>
                <w:sz w:val="22"/>
                <w:szCs w:val="22"/>
                <w:highlight w:val="none"/>
                <w:lang w:val="zh-CN" w:eastAsia="en-US" w:bidi="zh-CN"/>
              </w:rPr>
            </w:pPr>
            <w:r>
              <w:rPr>
                <w:rFonts w:hint="eastAsia" w:ascii="宋体" w:hAnsi="宋体" w:cs="宋体"/>
                <w:color w:val="auto"/>
                <w:kern w:val="0"/>
                <w:sz w:val="22"/>
                <w:szCs w:val="22"/>
                <w:highlight w:val="none"/>
                <w:lang w:val="zh-CN" w:eastAsia="en-US" w:bidi="zh-CN"/>
              </w:rPr>
              <w:t>主要工程内容</w:t>
            </w:r>
          </w:p>
        </w:tc>
        <w:tc>
          <w:tcPr>
            <w:tcW w:w="1865" w:type="dxa"/>
          </w:tcPr>
          <w:p w14:paraId="27317937">
            <w:pPr>
              <w:autoSpaceDE w:val="0"/>
              <w:autoSpaceDN w:val="0"/>
              <w:spacing w:before="142"/>
              <w:ind w:left="107"/>
              <w:jc w:val="left"/>
              <w:rPr>
                <w:rFonts w:ascii="宋体" w:hAnsi="宋体" w:cs="宋体"/>
                <w:color w:val="auto"/>
                <w:kern w:val="0"/>
                <w:sz w:val="22"/>
                <w:szCs w:val="22"/>
                <w:highlight w:val="none"/>
                <w:lang w:val="zh-CN" w:eastAsia="en-US" w:bidi="zh-CN"/>
              </w:rPr>
            </w:pPr>
            <w:r>
              <w:rPr>
                <w:rFonts w:hint="eastAsia" w:ascii="宋体" w:hAnsi="宋体" w:cs="宋体"/>
                <w:color w:val="auto"/>
                <w:kern w:val="0"/>
                <w:sz w:val="22"/>
                <w:szCs w:val="22"/>
                <w:highlight w:val="none"/>
                <w:lang w:val="zh-CN" w:eastAsia="en-US" w:bidi="zh-CN"/>
              </w:rPr>
              <w:t>预计造价（万元）</w:t>
            </w:r>
          </w:p>
        </w:tc>
        <w:tc>
          <w:tcPr>
            <w:tcW w:w="2583" w:type="dxa"/>
          </w:tcPr>
          <w:p w14:paraId="3003F6B8">
            <w:pPr>
              <w:autoSpaceDE w:val="0"/>
              <w:autoSpaceDN w:val="0"/>
              <w:spacing w:before="142"/>
              <w:ind w:left="1008" w:right="999"/>
              <w:jc w:val="center"/>
              <w:rPr>
                <w:rFonts w:ascii="宋体" w:hAnsi="宋体" w:cs="宋体"/>
                <w:color w:val="auto"/>
                <w:kern w:val="0"/>
                <w:sz w:val="22"/>
                <w:szCs w:val="22"/>
                <w:highlight w:val="none"/>
                <w:lang w:val="zh-CN" w:eastAsia="en-US" w:bidi="zh-CN"/>
              </w:rPr>
            </w:pPr>
            <w:r>
              <w:rPr>
                <w:rFonts w:hint="eastAsia" w:ascii="宋体" w:hAnsi="宋体" w:cs="宋体"/>
                <w:color w:val="auto"/>
                <w:kern w:val="0"/>
                <w:sz w:val="22"/>
                <w:szCs w:val="22"/>
                <w:highlight w:val="none"/>
                <w:lang w:val="zh-CN" w:eastAsia="en-US" w:bidi="zh-CN"/>
              </w:rPr>
              <w:t>备 注</w:t>
            </w:r>
          </w:p>
        </w:tc>
      </w:tr>
      <w:tr w14:paraId="498AF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990" w:type="dxa"/>
          </w:tcPr>
          <w:p w14:paraId="1E03A203">
            <w:pPr>
              <w:autoSpaceDE w:val="0"/>
              <w:autoSpaceDN w:val="0"/>
              <w:jc w:val="left"/>
              <w:rPr>
                <w:rFonts w:ascii="宋体" w:hAnsi="宋体" w:cs="宋体"/>
                <w:color w:val="auto"/>
                <w:kern w:val="0"/>
                <w:sz w:val="22"/>
                <w:szCs w:val="22"/>
                <w:highlight w:val="none"/>
                <w:lang w:val="zh-CN" w:eastAsia="en-US" w:bidi="zh-CN"/>
              </w:rPr>
            </w:pPr>
          </w:p>
        </w:tc>
        <w:tc>
          <w:tcPr>
            <w:tcW w:w="2456" w:type="dxa"/>
          </w:tcPr>
          <w:p w14:paraId="0C6B1FE4">
            <w:pPr>
              <w:autoSpaceDE w:val="0"/>
              <w:autoSpaceDN w:val="0"/>
              <w:jc w:val="left"/>
              <w:rPr>
                <w:rFonts w:ascii="宋体" w:hAnsi="宋体" w:cs="宋体"/>
                <w:color w:val="auto"/>
                <w:kern w:val="0"/>
                <w:sz w:val="22"/>
                <w:szCs w:val="22"/>
                <w:highlight w:val="none"/>
                <w:lang w:val="zh-CN" w:eastAsia="en-US" w:bidi="zh-CN"/>
              </w:rPr>
            </w:pPr>
          </w:p>
        </w:tc>
        <w:tc>
          <w:tcPr>
            <w:tcW w:w="1865" w:type="dxa"/>
          </w:tcPr>
          <w:p w14:paraId="04B3164B">
            <w:pPr>
              <w:autoSpaceDE w:val="0"/>
              <w:autoSpaceDN w:val="0"/>
              <w:jc w:val="left"/>
              <w:rPr>
                <w:rFonts w:ascii="宋体" w:hAnsi="宋体" w:cs="宋体"/>
                <w:color w:val="auto"/>
                <w:kern w:val="0"/>
                <w:sz w:val="22"/>
                <w:szCs w:val="22"/>
                <w:highlight w:val="none"/>
                <w:lang w:val="zh-CN" w:eastAsia="en-US" w:bidi="zh-CN"/>
              </w:rPr>
            </w:pPr>
          </w:p>
        </w:tc>
        <w:tc>
          <w:tcPr>
            <w:tcW w:w="2583" w:type="dxa"/>
            <w:vMerge w:val="restart"/>
          </w:tcPr>
          <w:p w14:paraId="656AF204">
            <w:pPr>
              <w:autoSpaceDE w:val="0"/>
              <w:autoSpaceDN w:val="0"/>
              <w:jc w:val="left"/>
              <w:rPr>
                <w:rFonts w:ascii="宋体" w:hAnsi="宋体" w:cs="宋体"/>
                <w:color w:val="auto"/>
                <w:kern w:val="0"/>
                <w:sz w:val="22"/>
                <w:szCs w:val="22"/>
                <w:highlight w:val="none"/>
                <w:lang w:val="zh-CN" w:bidi="zh-CN"/>
              </w:rPr>
            </w:pPr>
          </w:p>
          <w:p w14:paraId="52D37B30">
            <w:pPr>
              <w:autoSpaceDE w:val="0"/>
              <w:autoSpaceDN w:val="0"/>
              <w:jc w:val="left"/>
              <w:rPr>
                <w:rFonts w:ascii="宋体" w:hAnsi="宋体" w:cs="宋体"/>
                <w:color w:val="auto"/>
                <w:kern w:val="0"/>
                <w:sz w:val="22"/>
                <w:szCs w:val="22"/>
                <w:highlight w:val="none"/>
                <w:lang w:val="zh-CN" w:bidi="zh-CN"/>
              </w:rPr>
            </w:pPr>
          </w:p>
          <w:p w14:paraId="1629C452">
            <w:pPr>
              <w:autoSpaceDE w:val="0"/>
              <w:autoSpaceDN w:val="0"/>
              <w:jc w:val="left"/>
              <w:rPr>
                <w:rFonts w:ascii="宋体" w:hAnsi="宋体" w:cs="宋体"/>
                <w:color w:val="auto"/>
                <w:kern w:val="0"/>
                <w:sz w:val="22"/>
                <w:szCs w:val="22"/>
                <w:highlight w:val="none"/>
                <w:lang w:val="zh-CN" w:bidi="zh-CN"/>
              </w:rPr>
            </w:pPr>
          </w:p>
          <w:p w14:paraId="5B5D3622">
            <w:pPr>
              <w:autoSpaceDE w:val="0"/>
              <w:autoSpaceDN w:val="0"/>
              <w:jc w:val="left"/>
              <w:rPr>
                <w:rFonts w:ascii="宋体" w:hAnsi="宋体" w:cs="宋体"/>
                <w:color w:val="auto"/>
                <w:kern w:val="0"/>
                <w:sz w:val="22"/>
                <w:szCs w:val="22"/>
                <w:highlight w:val="none"/>
                <w:lang w:val="zh-CN" w:bidi="zh-CN"/>
              </w:rPr>
            </w:pPr>
          </w:p>
          <w:p w14:paraId="21F2A6F9">
            <w:pPr>
              <w:autoSpaceDE w:val="0"/>
              <w:autoSpaceDN w:val="0"/>
              <w:jc w:val="left"/>
              <w:rPr>
                <w:rFonts w:ascii="宋体" w:hAnsi="宋体" w:cs="宋体"/>
                <w:color w:val="auto"/>
                <w:kern w:val="0"/>
                <w:sz w:val="22"/>
                <w:szCs w:val="22"/>
                <w:highlight w:val="none"/>
                <w:lang w:val="zh-CN" w:bidi="zh-CN"/>
              </w:rPr>
            </w:pPr>
          </w:p>
          <w:p w14:paraId="74FC5228">
            <w:pPr>
              <w:autoSpaceDE w:val="0"/>
              <w:autoSpaceDN w:val="0"/>
              <w:jc w:val="left"/>
              <w:rPr>
                <w:rFonts w:ascii="宋体" w:hAnsi="宋体" w:cs="宋体"/>
                <w:color w:val="auto"/>
                <w:kern w:val="0"/>
                <w:sz w:val="22"/>
                <w:szCs w:val="22"/>
                <w:highlight w:val="none"/>
                <w:lang w:val="zh-CN" w:bidi="zh-CN"/>
              </w:rPr>
            </w:pPr>
          </w:p>
          <w:p w14:paraId="0EE8AF1D">
            <w:pPr>
              <w:autoSpaceDE w:val="0"/>
              <w:autoSpaceDN w:val="0"/>
              <w:jc w:val="left"/>
              <w:rPr>
                <w:rFonts w:ascii="宋体" w:hAnsi="宋体" w:cs="宋体"/>
                <w:color w:val="auto"/>
                <w:kern w:val="0"/>
                <w:sz w:val="22"/>
                <w:szCs w:val="22"/>
                <w:highlight w:val="none"/>
                <w:lang w:val="zh-CN" w:bidi="zh-CN"/>
              </w:rPr>
            </w:pPr>
          </w:p>
          <w:p w14:paraId="0F929247">
            <w:pPr>
              <w:autoSpaceDE w:val="0"/>
              <w:autoSpaceDN w:val="0"/>
              <w:jc w:val="left"/>
              <w:rPr>
                <w:rFonts w:ascii="宋体" w:hAnsi="宋体" w:cs="宋体"/>
                <w:color w:val="auto"/>
                <w:kern w:val="0"/>
                <w:sz w:val="22"/>
                <w:szCs w:val="22"/>
                <w:highlight w:val="none"/>
                <w:lang w:val="zh-CN" w:bidi="zh-CN"/>
              </w:rPr>
            </w:pPr>
          </w:p>
          <w:p w14:paraId="05025DC0">
            <w:pPr>
              <w:autoSpaceDE w:val="0"/>
              <w:autoSpaceDN w:val="0"/>
              <w:jc w:val="left"/>
              <w:rPr>
                <w:rFonts w:ascii="宋体" w:hAnsi="宋体" w:cs="宋体"/>
                <w:color w:val="auto"/>
                <w:kern w:val="0"/>
                <w:sz w:val="22"/>
                <w:szCs w:val="22"/>
                <w:highlight w:val="none"/>
                <w:lang w:val="zh-CN" w:bidi="zh-CN"/>
              </w:rPr>
            </w:pPr>
          </w:p>
          <w:p w14:paraId="46D34BD1">
            <w:pPr>
              <w:autoSpaceDE w:val="0"/>
              <w:autoSpaceDN w:val="0"/>
              <w:jc w:val="left"/>
              <w:rPr>
                <w:rFonts w:ascii="宋体" w:hAnsi="宋体" w:cs="宋体"/>
                <w:color w:val="auto"/>
                <w:kern w:val="0"/>
                <w:sz w:val="22"/>
                <w:szCs w:val="22"/>
                <w:highlight w:val="none"/>
                <w:lang w:val="zh-CN" w:bidi="zh-CN"/>
              </w:rPr>
            </w:pPr>
          </w:p>
          <w:p w14:paraId="33106C31">
            <w:pPr>
              <w:autoSpaceDE w:val="0"/>
              <w:autoSpaceDN w:val="0"/>
              <w:jc w:val="left"/>
              <w:rPr>
                <w:rFonts w:ascii="宋体" w:hAnsi="宋体" w:cs="宋体"/>
                <w:color w:val="auto"/>
                <w:kern w:val="0"/>
                <w:sz w:val="22"/>
                <w:szCs w:val="22"/>
                <w:highlight w:val="none"/>
                <w:lang w:val="zh-CN" w:bidi="zh-CN"/>
              </w:rPr>
            </w:pPr>
          </w:p>
          <w:p w14:paraId="1813506C">
            <w:pPr>
              <w:autoSpaceDE w:val="0"/>
              <w:autoSpaceDN w:val="0"/>
              <w:jc w:val="left"/>
              <w:rPr>
                <w:rFonts w:ascii="宋体" w:hAnsi="宋体" w:cs="宋体"/>
                <w:color w:val="auto"/>
                <w:kern w:val="0"/>
                <w:sz w:val="22"/>
                <w:szCs w:val="22"/>
                <w:highlight w:val="none"/>
                <w:lang w:val="zh-CN" w:bidi="zh-CN"/>
              </w:rPr>
            </w:pPr>
          </w:p>
          <w:p w14:paraId="3800F0B0">
            <w:pPr>
              <w:autoSpaceDE w:val="0"/>
              <w:autoSpaceDN w:val="0"/>
              <w:jc w:val="left"/>
              <w:rPr>
                <w:rFonts w:ascii="宋体" w:hAnsi="宋体" w:cs="宋体"/>
                <w:color w:val="auto"/>
                <w:kern w:val="0"/>
                <w:sz w:val="22"/>
                <w:szCs w:val="22"/>
                <w:highlight w:val="none"/>
                <w:lang w:val="zh-CN" w:bidi="zh-CN"/>
              </w:rPr>
            </w:pPr>
          </w:p>
          <w:p w14:paraId="171E6549">
            <w:pPr>
              <w:autoSpaceDE w:val="0"/>
              <w:autoSpaceDN w:val="0"/>
              <w:jc w:val="left"/>
              <w:rPr>
                <w:rFonts w:ascii="宋体" w:hAnsi="宋体" w:cs="宋体"/>
                <w:color w:val="auto"/>
                <w:kern w:val="0"/>
                <w:sz w:val="22"/>
                <w:szCs w:val="22"/>
                <w:highlight w:val="none"/>
                <w:lang w:val="zh-CN" w:bidi="zh-CN"/>
              </w:rPr>
            </w:pPr>
          </w:p>
          <w:p w14:paraId="042050BA">
            <w:pPr>
              <w:autoSpaceDE w:val="0"/>
              <w:autoSpaceDN w:val="0"/>
              <w:jc w:val="left"/>
              <w:rPr>
                <w:rFonts w:ascii="宋体" w:hAnsi="宋体" w:cs="宋体"/>
                <w:color w:val="auto"/>
                <w:kern w:val="0"/>
                <w:sz w:val="22"/>
                <w:szCs w:val="22"/>
                <w:highlight w:val="none"/>
                <w:lang w:val="zh-CN" w:bidi="zh-CN"/>
              </w:rPr>
            </w:pPr>
          </w:p>
          <w:p w14:paraId="66C5B3AE">
            <w:pPr>
              <w:autoSpaceDE w:val="0"/>
              <w:autoSpaceDN w:val="0"/>
              <w:spacing w:before="185" w:line="393" w:lineRule="auto"/>
              <w:ind w:left="107" w:right="94"/>
              <w:jc w:val="left"/>
              <w:rPr>
                <w:rFonts w:ascii="宋体" w:hAnsi="宋体" w:cs="宋体"/>
                <w:color w:val="auto"/>
                <w:kern w:val="0"/>
                <w:sz w:val="22"/>
                <w:szCs w:val="22"/>
                <w:highlight w:val="none"/>
                <w:lang w:val="zh-CN" w:bidi="zh-CN"/>
              </w:rPr>
            </w:pPr>
            <w:r>
              <w:rPr>
                <w:rFonts w:hint="eastAsia" w:ascii="宋体" w:hAnsi="宋体" w:cs="宋体"/>
                <w:color w:val="auto"/>
                <w:kern w:val="0"/>
                <w:sz w:val="22"/>
                <w:szCs w:val="22"/>
                <w:highlight w:val="none"/>
                <w:lang w:val="zh-CN" w:bidi="zh-CN"/>
              </w:rPr>
              <w:t>注：若无分包计划，则供应商应在本表填写“无”</w:t>
            </w:r>
          </w:p>
        </w:tc>
      </w:tr>
      <w:tr w14:paraId="27612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990" w:type="dxa"/>
          </w:tcPr>
          <w:p w14:paraId="73654105">
            <w:pPr>
              <w:autoSpaceDE w:val="0"/>
              <w:autoSpaceDN w:val="0"/>
              <w:jc w:val="left"/>
              <w:rPr>
                <w:rFonts w:ascii="宋体" w:hAnsi="宋体" w:cs="宋体"/>
                <w:color w:val="auto"/>
                <w:kern w:val="0"/>
                <w:sz w:val="22"/>
                <w:szCs w:val="22"/>
                <w:highlight w:val="none"/>
                <w:lang w:val="zh-CN" w:bidi="zh-CN"/>
              </w:rPr>
            </w:pPr>
          </w:p>
        </w:tc>
        <w:tc>
          <w:tcPr>
            <w:tcW w:w="2456" w:type="dxa"/>
          </w:tcPr>
          <w:p w14:paraId="0E7C57DA">
            <w:pPr>
              <w:autoSpaceDE w:val="0"/>
              <w:autoSpaceDN w:val="0"/>
              <w:jc w:val="left"/>
              <w:rPr>
                <w:rFonts w:ascii="宋体" w:hAnsi="宋体" w:cs="宋体"/>
                <w:color w:val="auto"/>
                <w:kern w:val="0"/>
                <w:sz w:val="22"/>
                <w:szCs w:val="22"/>
                <w:highlight w:val="none"/>
                <w:lang w:val="zh-CN" w:bidi="zh-CN"/>
              </w:rPr>
            </w:pPr>
          </w:p>
        </w:tc>
        <w:tc>
          <w:tcPr>
            <w:tcW w:w="1865" w:type="dxa"/>
          </w:tcPr>
          <w:p w14:paraId="53430390">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4CEC7C16">
            <w:pPr>
              <w:autoSpaceDE w:val="0"/>
              <w:autoSpaceDN w:val="0"/>
              <w:jc w:val="left"/>
              <w:rPr>
                <w:rFonts w:ascii="宋体" w:hAnsi="宋体" w:cs="宋体"/>
                <w:color w:val="auto"/>
                <w:kern w:val="0"/>
                <w:sz w:val="2"/>
                <w:szCs w:val="2"/>
                <w:highlight w:val="none"/>
                <w:lang w:val="zh-CN" w:bidi="zh-CN"/>
              </w:rPr>
            </w:pPr>
          </w:p>
        </w:tc>
      </w:tr>
      <w:tr w14:paraId="6F8F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90" w:type="dxa"/>
          </w:tcPr>
          <w:p w14:paraId="55A7D6B9">
            <w:pPr>
              <w:autoSpaceDE w:val="0"/>
              <w:autoSpaceDN w:val="0"/>
              <w:jc w:val="left"/>
              <w:rPr>
                <w:rFonts w:ascii="宋体" w:hAnsi="宋体" w:cs="宋体"/>
                <w:color w:val="auto"/>
                <w:kern w:val="0"/>
                <w:sz w:val="22"/>
                <w:szCs w:val="22"/>
                <w:highlight w:val="none"/>
                <w:lang w:val="zh-CN" w:bidi="zh-CN"/>
              </w:rPr>
            </w:pPr>
          </w:p>
        </w:tc>
        <w:tc>
          <w:tcPr>
            <w:tcW w:w="2456" w:type="dxa"/>
          </w:tcPr>
          <w:p w14:paraId="22E564D4">
            <w:pPr>
              <w:autoSpaceDE w:val="0"/>
              <w:autoSpaceDN w:val="0"/>
              <w:jc w:val="left"/>
              <w:rPr>
                <w:rFonts w:ascii="宋体" w:hAnsi="宋体" w:cs="宋体"/>
                <w:color w:val="auto"/>
                <w:kern w:val="0"/>
                <w:sz w:val="22"/>
                <w:szCs w:val="22"/>
                <w:highlight w:val="none"/>
                <w:lang w:val="zh-CN" w:bidi="zh-CN"/>
              </w:rPr>
            </w:pPr>
          </w:p>
        </w:tc>
        <w:tc>
          <w:tcPr>
            <w:tcW w:w="1865" w:type="dxa"/>
          </w:tcPr>
          <w:p w14:paraId="5559E8E3">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75483E6E">
            <w:pPr>
              <w:autoSpaceDE w:val="0"/>
              <w:autoSpaceDN w:val="0"/>
              <w:jc w:val="left"/>
              <w:rPr>
                <w:rFonts w:ascii="宋体" w:hAnsi="宋体" w:cs="宋体"/>
                <w:color w:val="auto"/>
                <w:kern w:val="0"/>
                <w:sz w:val="2"/>
                <w:szCs w:val="2"/>
                <w:highlight w:val="none"/>
                <w:lang w:val="zh-CN" w:bidi="zh-CN"/>
              </w:rPr>
            </w:pPr>
          </w:p>
        </w:tc>
      </w:tr>
      <w:tr w14:paraId="0F309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990" w:type="dxa"/>
          </w:tcPr>
          <w:p w14:paraId="7E8566E8">
            <w:pPr>
              <w:autoSpaceDE w:val="0"/>
              <w:autoSpaceDN w:val="0"/>
              <w:jc w:val="left"/>
              <w:rPr>
                <w:rFonts w:ascii="宋体" w:hAnsi="宋体" w:cs="宋体"/>
                <w:color w:val="auto"/>
                <w:kern w:val="0"/>
                <w:sz w:val="22"/>
                <w:szCs w:val="22"/>
                <w:highlight w:val="none"/>
                <w:lang w:val="zh-CN" w:bidi="zh-CN"/>
              </w:rPr>
            </w:pPr>
          </w:p>
        </w:tc>
        <w:tc>
          <w:tcPr>
            <w:tcW w:w="2456" w:type="dxa"/>
          </w:tcPr>
          <w:p w14:paraId="5EC9CC7D">
            <w:pPr>
              <w:autoSpaceDE w:val="0"/>
              <w:autoSpaceDN w:val="0"/>
              <w:jc w:val="left"/>
              <w:rPr>
                <w:rFonts w:ascii="宋体" w:hAnsi="宋体" w:cs="宋体"/>
                <w:color w:val="auto"/>
                <w:kern w:val="0"/>
                <w:sz w:val="22"/>
                <w:szCs w:val="22"/>
                <w:highlight w:val="none"/>
                <w:lang w:val="zh-CN" w:bidi="zh-CN"/>
              </w:rPr>
            </w:pPr>
          </w:p>
        </w:tc>
        <w:tc>
          <w:tcPr>
            <w:tcW w:w="1865" w:type="dxa"/>
          </w:tcPr>
          <w:p w14:paraId="7EB6BB23">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433624DA">
            <w:pPr>
              <w:autoSpaceDE w:val="0"/>
              <w:autoSpaceDN w:val="0"/>
              <w:jc w:val="left"/>
              <w:rPr>
                <w:rFonts w:ascii="宋体" w:hAnsi="宋体" w:cs="宋体"/>
                <w:color w:val="auto"/>
                <w:kern w:val="0"/>
                <w:sz w:val="2"/>
                <w:szCs w:val="2"/>
                <w:highlight w:val="none"/>
                <w:lang w:val="zh-CN" w:bidi="zh-CN"/>
              </w:rPr>
            </w:pPr>
          </w:p>
        </w:tc>
      </w:tr>
      <w:tr w14:paraId="44812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990" w:type="dxa"/>
          </w:tcPr>
          <w:p w14:paraId="5557CC5B">
            <w:pPr>
              <w:autoSpaceDE w:val="0"/>
              <w:autoSpaceDN w:val="0"/>
              <w:jc w:val="left"/>
              <w:rPr>
                <w:rFonts w:ascii="宋体" w:hAnsi="宋体" w:cs="宋体"/>
                <w:color w:val="auto"/>
                <w:kern w:val="0"/>
                <w:sz w:val="22"/>
                <w:szCs w:val="22"/>
                <w:highlight w:val="none"/>
                <w:lang w:val="zh-CN" w:bidi="zh-CN"/>
              </w:rPr>
            </w:pPr>
          </w:p>
        </w:tc>
        <w:tc>
          <w:tcPr>
            <w:tcW w:w="2456" w:type="dxa"/>
          </w:tcPr>
          <w:p w14:paraId="2447A470">
            <w:pPr>
              <w:autoSpaceDE w:val="0"/>
              <w:autoSpaceDN w:val="0"/>
              <w:jc w:val="left"/>
              <w:rPr>
                <w:rFonts w:ascii="宋体" w:hAnsi="宋体" w:cs="宋体"/>
                <w:color w:val="auto"/>
                <w:kern w:val="0"/>
                <w:sz w:val="22"/>
                <w:szCs w:val="22"/>
                <w:highlight w:val="none"/>
                <w:lang w:val="zh-CN" w:bidi="zh-CN"/>
              </w:rPr>
            </w:pPr>
          </w:p>
        </w:tc>
        <w:tc>
          <w:tcPr>
            <w:tcW w:w="1865" w:type="dxa"/>
          </w:tcPr>
          <w:p w14:paraId="6B7C2D4F">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15E31AA0">
            <w:pPr>
              <w:autoSpaceDE w:val="0"/>
              <w:autoSpaceDN w:val="0"/>
              <w:jc w:val="left"/>
              <w:rPr>
                <w:rFonts w:ascii="宋体" w:hAnsi="宋体" w:cs="宋体"/>
                <w:color w:val="auto"/>
                <w:kern w:val="0"/>
                <w:sz w:val="2"/>
                <w:szCs w:val="2"/>
                <w:highlight w:val="none"/>
                <w:lang w:val="zh-CN" w:bidi="zh-CN"/>
              </w:rPr>
            </w:pPr>
          </w:p>
        </w:tc>
      </w:tr>
      <w:tr w14:paraId="1A527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29D11B2B">
            <w:pPr>
              <w:autoSpaceDE w:val="0"/>
              <w:autoSpaceDN w:val="0"/>
              <w:jc w:val="left"/>
              <w:rPr>
                <w:rFonts w:ascii="宋体" w:hAnsi="宋体" w:cs="宋体"/>
                <w:color w:val="auto"/>
                <w:kern w:val="0"/>
                <w:sz w:val="22"/>
                <w:szCs w:val="22"/>
                <w:highlight w:val="none"/>
                <w:lang w:val="zh-CN" w:bidi="zh-CN"/>
              </w:rPr>
            </w:pPr>
          </w:p>
        </w:tc>
        <w:tc>
          <w:tcPr>
            <w:tcW w:w="2456" w:type="dxa"/>
          </w:tcPr>
          <w:p w14:paraId="560C136A">
            <w:pPr>
              <w:autoSpaceDE w:val="0"/>
              <w:autoSpaceDN w:val="0"/>
              <w:jc w:val="left"/>
              <w:rPr>
                <w:rFonts w:ascii="宋体" w:hAnsi="宋体" w:cs="宋体"/>
                <w:color w:val="auto"/>
                <w:kern w:val="0"/>
                <w:sz w:val="22"/>
                <w:szCs w:val="22"/>
                <w:highlight w:val="none"/>
                <w:lang w:val="zh-CN" w:bidi="zh-CN"/>
              </w:rPr>
            </w:pPr>
          </w:p>
        </w:tc>
        <w:tc>
          <w:tcPr>
            <w:tcW w:w="1865" w:type="dxa"/>
          </w:tcPr>
          <w:p w14:paraId="2851BEB3">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630D8FCC">
            <w:pPr>
              <w:autoSpaceDE w:val="0"/>
              <w:autoSpaceDN w:val="0"/>
              <w:jc w:val="left"/>
              <w:rPr>
                <w:rFonts w:ascii="宋体" w:hAnsi="宋体" w:cs="宋体"/>
                <w:color w:val="auto"/>
                <w:kern w:val="0"/>
                <w:sz w:val="2"/>
                <w:szCs w:val="2"/>
                <w:highlight w:val="none"/>
                <w:lang w:val="zh-CN" w:bidi="zh-CN"/>
              </w:rPr>
            </w:pPr>
          </w:p>
        </w:tc>
      </w:tr>
      <w:tr w14:paraId="4CE49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698C4E59">
            <w:pPr>
              <w:autoSpaceDE w:val="0"/>
              <w:autoSpaceDN w:val="0"/>
              <w:jc w:val="left"/>
              <w:rPr>
                <w:rFonts w:ascii="宋体" w:hAnsi="宋体" w:cs="宋体"/>
                <w:color w:val="auto"/>
                <w:kern w:val="0"/>
                <w:sz w:val="22"/>
                <w:szCs w:val="22"/>
                <w:highlight w:val="none"/>
                <w:lang w:val="zh-CN" w:bidi="zh-CN"/>
              </w:rPr>
            </w:pPr>
          </w:p>
        </w:tc>
        <w:tc>
          <w:tcPr>
            <w:tcW w:w="2456" w:type="dxa"/>
          </w:tcPr>
          <w:p w14:paraId="46A68B0B">
            <w:pPr>
              <w:autoSpaceDE w:val="0"/>
              <w:autoSpaceDN w:val="0"/>
              <w:jc w:val="left"/>
              <w:rPr>
                <w:rFonts w:ascii="宋体" w:hAnsi="宋体" w:cs="宋体"/>
                <w:color w:val="auto"/>
                <w:kern w:val="0"/>
                <w:sz w:val="22"/>
                <w:szCs w:val="22"/>
                <w:highlight w:val="none"/>
                <w:lang w:val="zh-CN" w:bidi="zh-CN"/>
              </w:rPr>
            </w:pPr>
          </w:p>
        </w:tc>
        <w:tc>
          <w:tcPr>
            <w:tcW w:w="1865" w:type="dxa"/>
          </w:tcPr>
          <w:p w14:paraId="7E30EF3F">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36574451">
            <w:pPr>
              <w:autoSpaceDE w:val="0"/>
              <w:autoSpaceDN w:val="0"/>
              <w:jc w:val="left"/>
              <w:rPr>
                <w:rFonts w:ascii="宋体" w:hAnsi="宋体" w:cs="宋体"/>
                <w:color w:val="auto"/>
                <w:kern w:val="0"/>
                <w:sz w:val="2"/>
                <w:szCs w:val="2"/>
                <w:highlight w:val="none"/>
                <w:lang w:val="zh-CN" w:bidi="zh-CN"/>
              </w:rPr>
            </w:pPr>
          </w:p>
        </w:tc>
      </w:tr>
      <w:tr w14:paraId="05EF8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tcPr>
          <w:p w14:paraId="789FFB58">
            <w:pPr>
              <w:autoSpaceDE w:val="0"/>
              <w:autoSpaceDN w:val="0"/>
              <w:jc w:val="left"/>
              <w:rPr>
                <w:rFonts w:ascii="宋体" w:hAnsi="宋体" w:cs="宋体"/>
                <w:color w:val="auto"/>
                <w:kern w:val="0"/>
                <w:sz w:val="22"/>
                <w:szCs w:val="22"/>
                <w:highlight w:val="none"/>
                <w:lang w:val="zh-CN" w:bidi="zh-CN"/>
              </w:rPr>
            </w:pPr>
          </w:p>
        </w:tc>
        <w:tc>
          <w:tcPr>
            <w:tcW w:w="2456" w:type="dxa"/>
          </w:tcPr>
          <w:p w14:paraId="2C7A4C71">
            <w:pPr>
              <w:autoSpaceDE w:val="0"/>
              <w:autoSpaceDN w:val="0"/>
              <w:jc w:val="left"/>
              <w:rPr>
                <w:rFonts w:ascii="宋体" w:hAnsi="宋体" w:cs="宋体"/>
                <w:color w:val="auto"/>
                <w:kern w:val="0"/>
                <w:sz w:val="22"/>
                <w:szCs w:val="22"/>
                <w:highlight w:val="none"/>
                <w:lang w:val="zh-CN" w:bidi="zh-CN"/>
              </w:rPr>
            </w:pPr>
          </w:p>
        </w:tc>
        <w:tc>
          <w:tcPr>
            <w:tcW w:w="1865" w:type="dxa"/>
          </w:tcPr>
          <w:p w14:paraId="6AD34D0F">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474039A0">
            <w:pPr>
              <w:autoSpaceDE w:val="0"/>
              <w:autoSpaceDN w:val="0"/>
              <w:jc w:val="left"/>
              <w:rPr>
                <w:rFonts w:ascii="宋体" w:hAnsi="宋体" w:cs="宋体"/>
                <w:color w:val="auto"/>
                <w:kern w:val="0"/>
                <w:sz w:val="2"/>
                <w:szCs w:val="2"/>
                <w:highlight w:val="none"/>
                <w:lang w:val="zh-CN" w:bidi="zh-CN"/>
              </w:rPr>
            </w:pPr>
          </w:p>
        </w:tc>
      </w:tr>
      <w:tr w14:paraId="11F1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5240B393">
            <w:pPr>
              <w:autoSpaceDE w:val="0"/>
              <w:autoSpaceDN w:val="0"/>
              <w:jc w:val="left"/>
              <w:rPr>
                <w:rFonts w:ascii="宋体" w:hAnsi="宋体" w:cs="宋体"/>
                <w:color w:val="auto"/>
                <w:kern w:val="0"/>
                <w:sz w:val="22"/>
                <w:szCs w:val="22"/>
                <w:highlight w:val="none"/>
                <w:lang w:val="zh-CN" w:bidi="zh-CN"/>
              </w:rPr>
            </w:pPr>
          </w:p>
        </w:tc>
        <w:tc>
          <w:tcPr>
            <w:tcW w:w="2456" w:type="dxa"/>
          </w:tcPr>
          <w:p w14:paraId="1735E180">
            <w:pPr>
              <w:autoSpaceDE w:val="0"/>
              <w:autoSpaceDN w:val="0"/>
              <w:jc w:val="left"/>
              <w:rPr>
                <w:rFonts w:ascii="宋体" w:hAnsi="宋体" w:cs="宋体"/>
                <w:color w:val="auto"/>
                <w:kern w:val="0"/>
                <w:sz w:val="22"/>
                <w:szCs w:val="22"/>
                <w:highlight w:val="none"/>
                <w:lang w:val="zh-CN" w:bidi="zh-CN"/>
              </w:rPr>
            </w:pPr>
          </w:p>
        </w:tc>
        <w:tc>
          <w:tcPr>
            <w:tcW w:w="1865" w:type="dxa"/>
          </w:tcPr>
          <w:p w14:paraId="0918AFD7">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131E7166">
            <w:pPr>
              <w:autoSpaceDE w:val="0"/>
              <w:autoSpaceDN w:val="0"/>
              <w:jc w:val="left"/>
              <w:rPr>
                <w:rFonts w:ascii="宋体" w:hAnsi="宋体" w:cs="宋体"/>
                <w:color w:val="auto"/>
                <w:kern w:val="0"/>
                <w:sz w:val="2"/>
                <w:szCs w:val="2"/>
                <w:highlight w:val="none"/>
                <w:lang w:val="zh-CN" w:bidi="zh-CN"/>
              </w:rPr>
            </w:pPr>
          </w:p>
        </w:tc>
      </w:tr>
      <w:tr w14:paraId="31CB5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90" w:type="dxa"/>
          </w:tcPr>
          <w:p w14:paraId="65FC241A">
            <w:pPr>
              <w:autoSpaceDE w:val="0"/>
              <w:autoSpaceDN w:val="0"/>
              <w:jc w:val="left"/>
              <w:rPr>
                <w:rFonts w:ascii="宋体" w:hAnsi="宋体" w:cs="宋体"/>
                <w:color w:val="auto"/>
                <w:kern w:val="0"/>
                <w:sz w:val="22"/>
                <w:szCs w:val="22"/>
                <w:highlight w:val="none"/>
                <w:lang w:val="zh-CN" w:bidi="zh-CN"/>
              </w:rPr>
            </w:pPr>
          </w:p>
        </w:tc>
        <w:tc>
          <w:tcPr>
            <w:tcW w:w="2456" w:type="dxa"/>
          </w:tcPr>
          <w:p w14:paraId="1501F8D4">
            <w:pPr>
              <w:autoSpaceDE w:val="0"/>
              <w:autoSpaceDN w:val="0"/>
              <w:jc w:val="left"/>
              <w:rPr>
                <w:rFonts w:ascii="宋体" w:hAnsi="宋体" w:cs="宋体"/>
                <w:color w:val="auto"/>
                <w:kern w:val="0"/>
                <w:sz w:val="22"/>
                <w:szCs w:val="22"/>
                <w:highlight w:val="none"/>
                <w:lang w:val="zh-CN" w:bidi="zh-CN"/>
              </w:rPr>
            </w:pPr>
          </w:p>
        </w:tc>
        <w:tc>
          <w:tcPr>
            <w:tcW w:w="1865" w:type="dxa"/>
          </w:tcPr>
          <w:p w14:paraId="07B38867">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0D84916A">
            <w:pPr>
              <w:autoSpaceDE w:val="0"/>
              <w:autoSpaceDN w:val="0"/>
              <w:jc w:val="left"/>
              <w:rPr>
                <w:rFonts w:ascii="宋体" w:hAnsi="宋体" w:cs="宋体"/>
                <w:color w:val="auto"/>
                <w:kern w:val="0"/>
                <w:sz w:val="2"/>
                <w:szCs w:val="2"/>
                <w:highlight w:val="none"/>
                <w:lang w:val="zh-CN" w:bidi="zh-CN"/>
              </w:rPr>
            </w:pPr>
          </w:p>
        </w:tc>
      </w:tr>
      <w:tr w14:paraId="27AAB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tcPr>
          <w:p w14:paraId="6139A829">
            <w:pPr>
              <w:autoSpaceDE w:val="0"/>
              <w:autoSpaceDN w:val="0"/>
              <w:jc w:val="left"/>
              <w:rPr>
                <w:rFonts w:ascii="宋体" w:hAnsi="宋体" w:cs="宋体"/>
                <w:color w:val="auto"/>
                <w:kern w:val="0"/>
                <w:sz w:val="22"/>
                <w:szCs w:val="22"/>
                <w:highlight w:val="none"/>
                <w:lang w:val="zh-CN" w:bidi="zh-CN"/>
              </w:rPr>
            </w:pPr>
          </w:p>
        </w:tc>
        <w:tc>
          <w:tcPr>
            <w:tcW w:w="2456" w:type="dxa"/>
          </w:tcPr>
          <w:p w14:paraId="7BF51BB6">
            <w:pPr>
              <w:autoSpaceDE w:val="0"/>
              <w:autoSpaceDN w:val="0"/>
              <w:jc w:val="left"/>
              <w:rPr>
                <w:rFonts w:ascii="宋体" w:hAnsi="宋体" w:cs="宋体"/>
                <w:color w:val="auto"/>
                <w:kern w:val="0"/>
                <w:sz w:val="22"/>
                <w:szCs w:val="22"/>
                <w:highlight w:val="none"/>
                <w:lang w:val="zh-CN" w:bidi="zh-CN"/>
              </w:rPr>
            </w:pPr>
          </w:p>
        </w:tc>
        <w:tc>
          <w:tcPr>
            <w:tcW w:w="1865" w:type="dxa"/>
          </w:tcPr>
          <w:p w14:paraId="053507C3">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5E777404">
            <w:pPr>
              <w:autoSpaceDE w:val="0"/>
              <w:autoSpaceDN w:val="0"/>
              <w:jc w:val="left"/>
              <w:rPr>
                <w:rFonts w:ascii="宋体" w:hAnsi="宋体" w:cs="宋体"/>
                <w:color w:val="auto"/>
                <w:kern w:val="0"/>
                <w:sz w:val="2"/>
                <w:szCs w:val="2"/>
                <w:highlight w:val="none"/>
                <w:lang w:val="zh-CN" w:bidi="zh-CN"/>
              </w:rPr>
            </w:pPr>
          </w:p>
        </w:tc>
      </w:tr>
      <w:tr w14:paraId="57F3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5B0CD548">
            <w:pPr>
              <w:autoSpaceDE w:val="0"/>
              <w:autoSpaceDN w:val="0"/>
              <w:jc w:val="left"/>
              <w:rPr>
                <w:rFonts w:ascii="宋体" w:hAnsi="宋体" w:cs="宋体"/>
                <w:color w:val="auto"/>
                <w:kern w:val="0"/>
                <w:sz w:val="22"/>
                <w:szCs w:val="22"/>
                <w:highlight w:val="none"/>
                <w:lang w:val="zh-CN" w:bidi="zh-CN"/>
              </w:rPr>
            </w:pPr>
          </w:p>
        </w:tc>
        <w:tc>
          <w:tcPr>
            <w:tcW w:w="2456" w:type="dxa"/>
          </w:tcPr>
          <w:p w14:paraId="165F0F43">
            <w:pPr>
              <w:autoSpaceDE w:val="0"/>
              <w:autoSpaceDN w:val="0"/>
              <w:jc w:val="left"/>
              <w:rPr>
                <w:rFonts w:ascii="宋体" w:hAnsi="宋体" w:cs="宋体"/>
                <w:color w:val="auto"/>
                <w:kern w:val="0"/>
                <w:sz w:val="22"/>
                <w:szCs w:val="22"/>
                <w:highlight w:val="none"/>
                <w:lang w:val="zh-CN" w:bidi="zh-CN"/>
              </w:rPr>
            </w:pPr>
          </w:p>
        </w:tc>
        <w:tc>
          <w:tcPr>
            <w:tcW w:w="1865" w:type="dxa"/>
          </w:tcPr>
          <w:p w14:paraId="57D94A97">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460F671C">
            <w:pPr>
              <w:autoSpaceDE w:val="0"/>
              <w:autoSpaceDN w:val="0"/>
              <w:jc w:val="left"/>
              <w:rPr>
                <w:rFonts w:ascii="宋体" w:hAnsi="宋体" w:cs="宋体"/>
                <w:color w:val="auto"/>
                <w:kern w:val="0"/>
                <w:sz w:val="2"/>
                <w:szCs w:val="2"/>
                <w:highlight w:val="none"/>
                <w:lang w:val="zh-CN" w:bidi="zh-CN"/>
              </w:rPr>
            </w:pPr>
          </w:p>
        </w:tc>
      </w:tr>
      <w:tr w14:paraId="53620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325D3D6F">
            <w:pPr>
              <w:autoSpaceDE w:val="0"/>
              <w:autoSpaceDN w:val="0"/>
              <w:jc w:val="left"/>
              <w:rPr>
                <w:rFonts w:ascii="宋体" w:hAnsi="宋体" w:cs="宋体"/>
                <w:color w:val="auto"/>
                <w:kern w:val="0"/>
                <w:sz w:val="22"/>
                <w:szCs w:val="22"/>
                <w:highlight w:val="none"/>
                <w:lang w:val="zh-CN" w:bidi="zh-CN"/>
              </w:rPr>
            </w:pPr>
          </w:p>
        </w:tc>
        <w:tc>
          <w:tcPr>
            <w:tcW w:w="2456" w:type="dxa"/>
          </w:tcPr>
          <w:p w14:paraId="3E0AA743">
            <w:pPr>
              <w:autoSpaceDE w:val="0"/>
              <w:autoSpaceDN w:val="0"/>
              <w:jc w:val="left"/>
              <w:rPr>
                <w:rFonts w:ascii="宋体" w:hAnsi="宋体" w:cs="宋体"/>
                <w:color w:val="auto"/>
                <w:kern w:val="0"/>
                <w:sz w:val="22"/>
                <w:szCs w:val="22"/>
                <w:highlight w:val="none"/>
                <w:lang w:val="zh-CN" w:bidi="zh-CN"/>
              </w:rPr>
            </w:pPr>
          </w:p>
        </w:tc>
        <w:tc>
          <w:tcPr>
            <w:tcW w:w="1865" w:type="dxa"/>
          </w:tcPr>
          <w:p w14:paraId="39BF8A4F">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0429D1CB">
            <w:pPr>
              <w:autoSpaceDE w:val="0"/>
              <w:autoSpaceDN w:val="0"/>
              <w:jc w:val="left"/>
              <w:rPr>
                <w:rFonts w:ascii="宋体" w:hAnsi="宋体" w:cs="宋体"/>
                <w:color w:val="auto"/>
                <w:kern w:val="0"/>
                <w:sz w:val="2"/>
                <w:szCs w:val="2"/>
                <w:highlight w:val="none"/>
                <w:lang w:val="zh-CN" w:bidi="zh-CN"/>
              </w:rPr>
            </w:pPr>
          </w:p>
        </w:tc>
      </w:tr>
      <w:tr w14:paraId="766AE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tcPr>
          <w:p w14:paraId="73509A51">
            <w:pPr>
              <w:autoSpaceDE w:val="0"/>
              <w:autoSpaceDN w:val="0"/>
              <w:jc w:val="left"/>
              <w:rPr>
                <w:rFonts w:ascii="宋体" w:hAnsi="宋体" w:cs="宋体"/>
                <w:color w:val="auto"/>
                <w:kern w:val="0"/>
                <w:sz w:val="22"/>
                <w:szCs w:val="22"/>
                <w:highlight w:val="none"/>
                <w:lang w:val="zh-CN" w:bidi="zh-CN"/>
              </w:rPr>
            </w:pPr>
          </w:p>
        </w:tc>
        <w:tc>
          <w:tcPr>
            <w:tcW w:w="2456" w:type="dxa"/>
          </w:tcPr>
          <w:p w14:paraId="763D0644">
            <w:pPr>
              <w:autoSpaceDE w:val="0"/>
              <w:autoSpaceDN w:val="0"/>
              <w:jc w:val="left"/>
              <w:rPr>
                <w:rFonts w:ascii="宋体" w:hAnsi="宋体" w:cs="宋体"/>
                <w:color w:val="auto"/>
                <w:kern w:val="0"/>
                <w:sz w:val="22"/>
                <w:szCs w:val="22"/>
                <w:highlight w:val="none"/>
                <w:lang w:val="zh-CN" w:bidi="zh-CN"/>
              </w:rPr>
            </w:pPr>
          </w:p>
        </w:tc>
        <w:tc>
          <w:tcPr>
            <w:tcW w:w="1865" w:type="dxa"/>
          </w:tcPr>
          <w:p w14:paraId="1E264DD3">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3E845984">
            <w:pPr>
              <w:autoSpaceDE w:val="0"/>
              <w:autoSpaceDN w:val="0"/>
              <w:jc w:val="left"/>
              <w:rPr>
                <w:rFonts w:ascii="宋体" w:hAnsi="宋体" w:cs="宋体"/>
                <w:color w:val="auto"/>
                <w:kern w:val="0"/>
                <w:sz w:val="2"/>
                <w:szCs w:val="2"/>
                <w:highlight w:val="none"/>
                <w:lang w:val="zh-CN" w:bidi="zh-CN"/>
              </w:rPr>
            </w:pPr>
          </w:p>
        </w:tc>
      </w:tr>
      <w:tr w14:paraId="59110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7E9951CA">
            <w:pPr>
              <w:autoSpaceDE w:val="0"/>
              <w:autoSpaceDN w:val="0"/>
              <w:jc w:val="left"/>
              <w:rPr>
                <w:rFonts w:ascii="宋体" w:hAnsi="宋体" w:cs="宋体"/>
                <w:color w:val="auto"/>
                <w:kern w:val="0"/>
                <w:sz w:val="22"/>
                <w:szCs w:val="22"/>
                <w:highlight w:val="none"/>
                <w:lang w:val="zh-CN" w:bidi="zh-CN"/>
              </w:rPr>
            </w:pPr>
          </w:p>
        </w:tc>
        <w:tc>
          <w:tcPr>
            <w:tcW w:w="2456" w:type="dxa"/>
          </w:tcPr>
          <w:p w14:paraId="5AE3A240">
            <w:pPr>
              <w:autoSpaceDE w:val="0"/>
              <w:autoSpaceDN w:val="0"/>
              <w:jc w:val="left"/>
              <w:rPr>
                <w:rFonts w:ascii="宋体" w:hAnsi="宋体" w:cs="宋体"/>
                <w:color w:val="auto"/>
                <w:kern w:val="0"/>
                <w:sz w:val="22"/>
                <w:szCs w:val="22"/>
                <w:highlight w:val="none"/>
                <w:lang w:val="zh-CN" w:bidi="zh-CN"/>
              </w:rPr>
            </w:pPr>
          </w:p>
        </w:tc>
        <w:tc>
          <w:tcPr>
            <w:tcW w:w="1865" w:type="dxa"/>
          </w:tcPr>
          <w:p w14:paraId="69D4526E">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116B365B">
            <w:pPr>
              <w:autoSpaceDE w:val="0"/>
              <w:autoSpaceDN w:val="0"/>
              <w:jc w:val="left"/>
              <w:rPr>
                <w:rFonts w:ascii="宋体" w:hAnsi="宋体" w:cs="宋体"/>
                <w:color w:val="auto"/>
                <w:kern w:val="0"/>
                <w:sz w:val="2"/>
                <w:szCs w:val="2"/>
                <w:highlight w:val="none"/>
                <w:lang w:val="zh-CN" w:bidi="zh-CN"/>
              </w:rPr>
            </w:pPr>
          </w:p>
        </w:tc>
      </w:tr>
      <w:tr w14:paraId="704D0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90" w:type="dxa"/>
          </w:tcPr>
          <w:p w14:paraId="7D285EEB">
            <w:pPr>
              <w:autoSpaceDE w:val="0"/>
              <w:autoSpaceDN w:val="0"/>
              <w:jc w:val="left"/>
              <w:rPr>
                <w:rFonts w:ascii="宋体" w:hAnsi="宋体" w:cs="宋体"/>
                <w:color w:val="auto"/>
                <w:kern w:val="0"/>
                <w:sz w:val="22"/>
                <w:szCs w:val="22"/>
                <w:highlight w:val="none"/>
                <w:lang w:val="zh-CN" w:bidi="zh-CN"/>
              </w:rPr>
            </w:pPr>
          </w:p>
        </w:tc>
        <w:tc>
          <w:tcPr>
            <w:tcW w:w="2456" w:type="dxa"/>
          </w:tcPr>
          <w:p w14:paraId="10CE4FA4">
            <w:pPr>
              <w:autoSpaceDE w:val="0"/>
              <w:autoSpaceDN w:val="0"/>
              <w:jc w:val="left"/>
              <w:rPr>
                <w:rFonts w:ascii="宋体" w:hAnsi="宋体" w:cs="宋体"/>
                <w:color w:val="auto"/>
                <w:kern w:val="0"/>
                <w:sz w:val="22"/>
                <w:szCs w:val="22"/>
                <w:highlight w:val="none"/>
                <w:lang w:val="zh-CN" w:bidi="zh-CN"/>
              </w:rPr>
            </w:pPr>
          </w:p>
        </w:tc>
        <w:tc>
          <w:tcPr>
            <w:tcW w:w="1865" w:type="dxa"/>
          </w:tcPr>
          <w:p w14:paraId="55D1FA34">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73787C7F">
            <w:pPr>
              <w:autoSpaceDE w:val="0"/>
              <w:autoSpaceDN w:val="0"/>
              <w:jc w:val="left"/>
              <w:rPr>
                <w:rFonts w:ascii="宋体" w:hAnsi="宋体" w:cs="宋体"/>
                <w:color w:val="auto"/>
                <w:kern w:val="0"/>
                <w:sz w:val="2"/>
                <w:szCs w:val="2"/>
                <w:highlight w:val="none"/>
                <w:lang w:val="zh-CN" w:bidi="zh-CN"/>
              </w:rPr>
            </w:pPr>
          </w:p>
        </w:tc>
      </w:tr>
      <w:tr w14:paraId="15608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tcPr>
          <w:p w14:paraId="56C4AE5A">
            <w:pPr>
              <w:autoSpaceDE w:val="0"/>
              <w:autoSpaceDN w:val="0"/>
              <w:jc w:val="left"/>
              <w:rPr>
                <w:rFonts w:ascii="宋体" w:hAnsi="宋体" w:cs="宋体"/>
                <w:color w:val="auto"/>
                <w:kern w:val="0"/>
                <w:sz w:val="22"/>
                <w:szCs w:val="22"/>
                <w:highlight w:val="none"/>
                <w:lang w:val="zh-CN" w:bidi="zh-CN"/>
              </w:rPr>
            </w:pPr>
          </w:p>
        </w:tc>
        <w:tc>
          <w:tcPr>
            <w:tcW w:w="2456" w:type="dxa"/>
          </w:tcPr>
          <w:p w14:paraId="5261A4CF">
            <w:pPr>
              <w:autoSpaceDE w:val="0"/>
              <w:autoSpaceDN w:val="0"/>
              <w:jc w:val="left"/>
              <w:rPr>
                <w:rFonts w:ascii="宋体" w:hAnsi="宋体" w:cs="宋体"/>
                <w:color w:val="auto"/>
                <w:kern w:val="0"/>
                <w:sz w:val="22"/>
                <w:szCs w:val="22"/>
                <w:highlight w:val="none"/>
                <w:lang w:val="zh-CN" w:bidi="zh-CN"/>
              </w:rPr>
            </w:pPr>
          </w:p>
        </w:tc>
        <w:tc>
          <w:tcPr>
            <w:tcW w:w="1865" w:type="dxa"/>
          </w:tcPr>
          <w:p w14:paraId="06FC8B8B">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21820E04">
            <w:pPr>
              <w:autoSpaceDE w:val="0"/>
              <w:autoSpaceDN w:val="0"/>
              <w:jc w:val="left"/>
              <w:rPr>
                <w:rFonts w:ascii="宋体" w:hAnsi="宋体" w:cs="宋体"/>
                <w:color w:val="auto"/>
                <w:kern w:val="0"/>
                <w:sz w:val="2"/>
                <w:szCs w:val="2"/>
                <w:highlight w:val="none"/>
                <w:lang w:val="zh-CN" w:bidi="zh-CN"/>
              </w:rPr>
            </w:pPr>
          </w:p>
        </w:tc>
      </w:tr>
      <w:tr w14:paraId="542B9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32B3BD1A">
            <w:pPr>
              <w:autoSpaceDE w:val="0"/>
              <w:autoSpaceDN w:val="0"/>
              <w:jc w:val="left"/>
              <w:rPr>
                <w:rFonts w:ascii="宋体" w:hAnsi="宋体" w:cs="宋体"/>
                <w:color w:val="auto"/>
                <w:kern w:val="0"/>
                <w:sz w:val="22"/>
                <w:szCs w:val="22"/>
                <w:highlight w:val="none"/>
                <w:lang w:val="zh-CN" w:bidi="zh-CN"/>
              </w:rPr>
            </w:pPr>
          </w:p>
        </w:tc>
        <w:tc>
          <w:tcPr>
            <w:tcW w:w="2456" w:type="dxa"/>
          </w:tcPr>
          <w:p w14:paraId="346A5986">
            <w:pPr>
              <w:autoSpaceDE w:val="0"/>
              <w:autoSpaceDN w:val="0"/>
              <w:jc w:val="left"/>
              <w:rPr>
                <w:rFonts w:ascii="宋体" w:hAnsi="宋体" w:cs="宋体"/>
                <w:color w:val="auto"/>
                <w:kern w:val="0"/>
                <w:sz w:val="22"/>
                <w:szCs w:val="22"/>
                <w:highlight w:val="none"/>
                <w:lang w:val="zh-CN" w:bidi="zh-CN"/>
              </w:rPr>
            </w:pPr>
          </w:p>
        </w:tc>
        <w:tc>
          <w:tcPr>
            <w:tcW w:w="1865" w:type="dxa"/>
          </w:tcPr>
          <w:p w14:paraId="6EF943AB">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6BA5D6BA">
            <w:pPr>
              <w:autoSpaceDE w:val="0"/>
              <w:autoSpaceDN w:val="0"/>
              <w:jc w:val="left"/>
              <w:rPr>
                <w:rFonts w:ascii="宋体" w:hAnsi="宋体" w:cs="宋体"/>
                <w:color w:val="auto"/>
                <w:kern w:val="0"/>
                <w:sz w:val="2"/>
                <w:szCs w:val="2"/>
                <w:highlight w:val="none"/>
                <w:lang w:val="zh-CN" w:bidi="zh-CN"/>
              </w:rPr>
            </w:pPr>
          </w:p>
        </w:tc>
      </w:tr>
      <w:tr w14:paraId="0C78F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tcPr>
          <w:p w14:paraId="270315AE">
            <w:pPr>
              <w:autoSpaceDE w:val="0"/>
              <w:autoSpaceDN w:val="0"/>
              <w:jc w:val="left"/>
              <w:rPr>
                <w:rFonts w:ascii="宋体" w:hAnsi="宋体" w:cs="宋体"/>
                <w:color w:val="auto"/>
                <w:kern w:val="0"/>
                <w:sz w:val="22"/>
                <w:szCs w:val="22"/>
                <w:highlight w:val="none"/>
                <w:lang w:val="zh-CN" w:bidi="zh-CN"/>
              </w:rPr>
            </w:pPr>
          </w:p>
        </w:tc>
        <w:tc>
          <w:tcPr>
            <w:tcW w:w="2456" w:type="dxa"/>
          </w:tcPr>
          <w:p w14:paraId="3C637FE4">
            <w:pPr>
              <w:autoSpaceDE w:val="0"/>
              <w:autoSpaceDN w:val="0"/>
              <w:jc w:val="left"/>
              <w:rPr>
                <w:rFonts w:ascii="宋体" w:hAnsi="宋体" w:cs="宋体"/>
                <w:color w:val="auto"/>
                <w:kern w:val="0"/>
                <w:sz w:val="22"/>
                <w:szCs w:val="22"/>
                <w:highlight w:val="none"/>
                <w:lang w:val="zh-CN" w:bidi="zh-CN"/>
              </w:rPr>
            </w:pPr>
          </w:p>
        </w:tc>
        <w:tc>
          <w:tcPr>
            <w:tcW w:w="1865" w:type="dxa"/>
          </w:tcPr>
          <w:p w14:paraId="502E12D6">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129580C0">
            <w:pPr>
              <w:autoSpaceDE w:val="0"/>
              <w:autoSpaceDN w:val="0"/>
              <w:jc w:val="left"/>
              <w:rPr>
                <w:rFonts w:ascii="宋体" w:hAnsi="宋体" w:cs="宋体"/>
                <w:color w:val="auto"/>
                <w:kern w:val="0"/>
                <w:sz w:val="2"/>
                <w:szCs w:val="2"/>
                <w:highlight w:val="none"/>
                <w:lang w:val="zh-CN" w:bidi="zh-CN"/>
              </w:rPr>
            </w:pPr>
          </w:p>
        </w:tc>
      </w:tr>
      <w:tr w14:paraId="37DE2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4446" w:type="dxa"/>
            <w:gridSpan w:val="2"/>
          </w:tcPr>
          <w:p w14:paraId="17238193">
            <w:pPr>
              <w:autoSpaceDE w:val="0"/>
              <w:autoSpaceDN w:val="0"/>
              <w:spacing w:before="147"/>
              <w:ind w:left="856"/>
              <w:jc w:val="left"/>
              <w:rPr>
                <w:rFonts w:ascii="宋体" w:hAnsi="宋体" w:cs="宋体"/>
                <w:color w:val="auto"/>
                <w:kern w:val="0"/>
                <w:sz w:val="22"/>
                <w:szCs w:val="22"/>
                <w:highlight w:val="none"/>
                <w:lang w:val="zh-CN" w:bidi="zh-CN"/>
              </w:rPr>
            </w:pPr>
            <w:r>
              <w:rPr>
                <w:rFonts w:hint="eastAsia" w:ascii="宋体" w:hAnsi="宋体" w:cs="宋体"/>
                <w:color w:val="auto"/>
                <w:kern w:val="0"/>
                <w:sz w:val="22"/>
                <w:szCs w:val="22"/>
                <w:highlight w:val="none"/>
                <w:lang w:val="zh-CN" w:bidi="zh-CN"/>
              </w:rPr>
              <w:t>拟分包工程造价合计（万元）</w:t>
            </w:r>
          </w:p>
        </w:tc>
        <w:tc>
          <w:tcPr>
            <w:tcW w:w="1865" w:type="dxa"/>
          </w:tcPr>
          <w:p w14:paraId="482E9DB9">
            <w:pPr>
              <w:autoSpaceDE w:val="0"/>
              <w:autoSpaceDN w:val="0"/>
              <w:jc w:val="left"/>
              <w:rPr>
                <w:rFonts w:ascii="宋体" w:hAnsi="宋体" w:cs="宋体"/>
                <w:color w:val="auto"/>
                <w:kern w:val="0"/>
                <w:sz w:val="22"/>
                <w:szCs w:val="22"/>
                <w:highlight w:val="none"/>
                <w:lang w:val="zh-CN" w:bidi="zh-CN"/>
              </w:rPr>
            </w:pPr>
          </w:p>
        </w:tc>
        <w:tc>
          <w:tcPr>
            <w:tcW w:w="2583" w:type="dxa"/>
            <w:vMerge w:val="continue"/>
            <w:tcBorders>
              <w:top w:val="nil"/>
            </w:tcBorders>
          </w:tcPr>
          <w:p w14:paraId="3F659A53">
            <w:pPr>
              <w:autoSpaceDE w:val="0"/>
              <w:autoSpaceDN w:val="0"/>
              <w:jc w:val="left"/>
              <w:rPr>
                <w:rFonts w:ascii="宋体" w:hAnsi="宋体" w:cs="宋体"/>
                <w:color w:val="auto"/>
                <w:kern w:val="0"/>
                <w:sz w:val="2"/>
                <w:szCs w:val="2"/>
                <w:highlight w:val="none"/>
                <w:lang w:val="zh-CN" w:bidi="zh-CN"/>
              </w:rPr>
            </w:pPr>
          </w:p>
        </w:tc>
      </w:tr>
    </w:tbl>
    <w:p w14:paraId="61716ACF">
      <w:pPr>
        <w:spacing w:line="560" w:lineRule="exact"/>
        <w:ind w:left="780"/>
        <w:rPr>
          <w:rFonts w:ascii="宋体" w:hAnsi="宋体" w:cs="宋体"/>
          <w:color w:val="auto"/>
          <w:sz w:val="24"/>
          <w:highlight w:val="none"/>
        </w:rPr>
      </w:pPr>
      <w:r>
        <w:rPr>
          <w:rFonts w:hint="eastAsia" w:ascii="宋体" w:hAnsi="宋体" w:cs="宋体"/>
          <w:color w:val="auto"/>
          <w:sz w:val="24"/>
          <w:highlight w:val="none"/>
        </w:rPr>
        <w:br w:type="page"/>
      </w:r>
    </w:p>
    <w:p w14:paraId="0B9493BD">
      <w:pPr>
        <w:spacing w:line="300" w:lineRule="auto"/>
        <w:rPr>
          <w:rFonts w:hint="eastAsia" w:ascii="宋体" w:hAnsi="宋体" w:cs="宋体"/>
          <w:b/>
          <w:bCs/>
          <w:color w:val="auto"/>
          <w:sz w:val="24"/>
          <w:highlight w:val="none"/>
        </w:rPr>
      </w:pPr>
    </w:p>
    <w:p w14:paraId="571B732B">
      <w:pPr>
        <w:spacing w:line="300" w:lineRule="auto"/>
        <w:rPr>
          <w:rFonts w:ascii="宋体" w:hAnsi="宋体" w:cs="宋体"/>
          <w:color w:val="auto"/>
          <w:szCs w:val="21"/>
          <w:highlight w:val="none"/>
        </w:rPr>
      </w:pPr>
      <w:r>
        <w:rPr>
          <w:rFonts w:hint="eastAsia" w:ascii="宋体" w:hAnsi="宋体" w:cs="宋体"/>
          <w:b/>
          <w:bCs/>
          <w:color w:val="auto"/>
          <w:sz w:val="24"/>
          <w:highlight w:val="none"/>
        </w:rPr>
        <w:t>其他文书、文件格式</w:t>
      </w:r>
    </w:p>
    <w:p w14:paraId="531E2F02">
      <w:pPr>
        <w:jc w:val="center"/>
        <w:rPr>
          <w:rFonts w:ascii="宋体" w:hAnsi="宋体" w:cs="宋体"/>
          <w:color w:val="auto"/>
          <w:sz w:val="44"/>
          <w:szCs w:val="44"/>
          <w:highlight w:val="none"/>
        </w:rPr>
      </w:pPr>
      <w:bookmarkStart w:id="172" w:name="_Toc71365926"/>
      <w:r>
        <w:rPr>
          <w:rFonts w:hint="eastAsia" w:ascii="宋体" w:hAnsi="宋体" w:cs="宋体"/>
          <w:color w:val="auto"/>
          <w:sz w:val="44"/>
          <w:szCs w:val="44"/>
          <w:highlight w:val="none"/>
        </w:rPr>
        <w:t>中小企业声明函（工程）</w:t>
      </w:r>
      <w:bookmarkEnd w:id="172"/>
    </w:p>
    <w:p w14:paraId="47FE3944">
      <w:pPr>
        <w:spacing w:before="2" w:line="500" w:lineRule="exact"/>
        <w:ind w:firstLine="708" w:firstLineChars="294"/>
        <w:rPr>
          <w:rFonts w:ascii="宋体" w:hAnsi="宋体" w:cs="宋体"/>
          <w:b/>
          <w:bCs/>
          <w:color w:val="auto"/>
          <w:sz w:val="24"/>
          <w:highlight w:val="none"/>
        </w:rPr>
      </w:pPr>
    </w:p>
    <w:p w14:paraId="7EE7C1DD">
      <w:pPr>
        <w:pStyle w:val="15"/>
        <w:spacing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本公司郑重声明，根据《政府采购促进中小企业发展管理办法》（财库﹝2020﹞46号）的规定，本公司参加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采购活动，服务全部由符合政策要求的中小企业承接。相关企业的具体情况如下：</w:t>
      </w:r>
    </w:p>
    <w:p w14:paraId="1C052529">
      <w:pPr>
        <w:tabs>
          <w:tab w:val="left" w:pos="1384"/>
          <w:tab w:val="left" w:pos="4562"/>
          <w:tab w:val="left" w:pos="6803"/>
        </w:tabs>
        <w:spacing w:before="13" w:line="500" w:lineRule="exact"/>
        <w:ind w:right="142" w:firstLine="772" w:firstLineChars="322"/>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C6F62B3">
      <w:pPr>
        <w:tabs>
          <w:tab w:val="left" w:pos="1065"/>
          <w:tab w:val="left" w:pos="4262"/>
          <w:tab w:val="left" w:pos="6477"/>
        </w:tabs>
        <w:spacing w:before="20" w:line="500" w:lineRule="exact"/>
        <w:ind w:right="84" w:firstLine="772" w:firstLineChars="322"/>
        <w:rPr>
          <w:rFonts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282A2779">
      <w:pPr>
        <w:pStyle w:val="15"/>
        <w:spacing w:before="34"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 xml:space="preserve">…… </w:t>
      </w:r>
    </w:p>
    <w:p w14:paraId="74391A81">
      <w:pPr>
        <w:pStyle w:val="15"/>
        <w:spacing w:before="34"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4DBAC6FD">
      <w:pPr>
        <w:pStyle w:val="15"/>
        <w:spacing w:before="25" w:line="500" w:lineRule="exact"/>
        <w:ind w:right="142" w:firstLine="705" w:firstLineChars="294"/>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1170C921">
      <w:pPr>
        <w:pStyle w:val="15"/>
        <w:spacing w:before="56" w:line="500" w:lineRule="exact"/>
        <w:ind w:right="1808" w:firstLine="705" w:firstLineChars="294"/>
        <w:rPr>
          <w:rFonts w:ascii="宋体" w:hAnsi="宋体" w:cs="宋体"/>
          <w:color w:val="auto"/>
          <w:sz w:val="24"/>
          <w:highlight w:val="none"/>
        </w:rPr>
      </w:pPr>
    </w:p>
    <w:p w14:paraId="2EE0BC13">
      <w:pPr>
        <w:pStyle w:val="15"/>
        <w:spacing w:before="56" w:line="500" w:lineRule="exact"/>
        <w:ind w:right="650" w:firstLine="5625" w:firstLineChars="2344"/>
        <w:rPr>
          <w:rFonts w:ascii="宋体" w:hAnsi="宋体" w:cs="宋体"/>
          <w:color w:val="auto"/>
          <w:sz w:val="24"/>
          <w:highlight w:val="none"/>
        </w:rPr>
      </w:pPr>
      <w:r>
        <w:rPr>
          <w:rFonts w:hint="eastAsia" w:ascii="宋体" w:hAnsi="宋体" w:cs="宋体"/>
          <w:color w:val="auto"/>
          <w:sz w:val="24"/>
          <w:highlight w:val="none"/>
        </w:rPr>
        <w:t xml:space="preserve">企业名称（章）： </w:t>
      </w:r>
    </w:p>
    <w:p w14:paraId="7E9BEA82">
      <w:pPr>
        <w:pStyle w:val="15"/>
        <w:spacing w:before="56" w:line="500" w:lineRule="exact"/>
        <w:ind w:right="1808" w:firstLine="5625" w:firstLineChars="2344"/>
        <w:rPr>
          <w:rFonts w:ascii="宋体" w:hAnsi="宋体" w:cs="宋体"/>
          <w:color w:val="auto"/>
          <w:sz w:val="24"/>
          <w:highlight w:val="none"/>
        </w:rPr>
      </w:pPr>
      <w:r>
        <w:rPr>
          <w:rFonts w:hint="eastAsia" w:ascii="宋体" w:hAnsi="宋体" w:cs="宋体"/>
          <w:color w:val="auto"/>
          <w:sz w:val="24"/>
          <w:highlight w:val="none"/>
        </w:rPr>
        <w:t>日 期：</w:t>
      </w:r>
    </w:p>
    <w:p w14:paraId="3E80739D">
      <w:pPr>
        <w:spacing w:line="520" w:lineRule="exact"/>
        <w:jc w:val="left"/>
        <w:rPr>
          <w:rFonts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0E02793">
      <w:pPr>
        <w:pStyle w:val="20"/>
        <w:jc w:val="left"/>
        <w:rPr>
          <w:rFonts w:hAnsi="宋体" w:cs="宋体"/>
          <w:color w:val="auto"/>
          <w:sz w:val="32"/>
          <w:szCs w:val="32"/>
          <w:highlight w:val="none"/>
        </w:rPr>
      </w:pPr>
      <w:r>
        <w:rPr>
          <w:rFonts w:hint="eastAsia" w:hAnsi="宋体" w:cs="宋体"/>
          <w:color w:val="auto"/>
          <w:sz w:val="24"/>
          <w:highlight w:val="none"/>
        </w:rPr>
        <w:br w:type="page"/>
      </w:r>
      <w:r>
        <w:rPr>
          <w:rFonts w:hint="eastAsia" w:hAnsi="宋体" w:cs="宋体"/>
          <w:color w:val="auto"/>
          <w:sz w:val="32"/>
          <w:szCs w:val="32"/>
          <w:highlight w:val="none"/>
        </w:rPr>
        <w:t>附：</w:t>
      </w:r>
    </w:p>
    <w:p w14:paraId="125B0E91">
      <w:pPr>
        <w:jc w:val="center"/>
        <w:rPr>
          <w:rFonts w:ascii="宋体" w:hAnsi="宋体" w:cs="宋体"/>
          <w:color w:val="auto"/>
          <w:sz w:val="44"/>
          <w:szCs w:val="44"/>
          <w:highlight w:val="none"/>
        </w:rPr>
      </w:pPr>
      <w:r>
        <w:rPr>
          <w:rFonts w:hint="eastAsia" w:ascii="宋体" w:hAnsi="宋体" w:cs="宋体"/>
          <w:color w:val="auto"/>
          <w:sz w:val="44"/>
          <w:szCs w:val="44"/>
          <w:highlight w:val="none"/>
        </w:rPr>
        <w:t>中小微企业划型标准</w:t>
      </w:r>
    </w:p>
    <w:tbl>
      <w:tblPr>
        <w:tblStyle w:val="29"/>
        <w:tblW w:w="9232" w:type="dxa"/>
        <w:jc w:val="center"/>
        <w:tblLayout w:type="fixed"/>
        <w:tblCellMar>
          <w:top w:w="0" w:type="dxa"/>
          <w:left w:w="108" w:type="dxa"/>
          <w:bottom w:w="0" w:type="dxa"/>
          <w:right w:w="108" w:type="dxa"/>
        </w:tblCellMar>
      </w:tblPr>
      <w:tblGrid>
        <w:gridCol w:w="2075"/>
        <w:gridCol w:w="1466"/>
        <w:gridCol w:w="1228"/>
        <w:gridCol w:w="1770"/>
        <w:gridCol w:w="1640"/>
        <w:gridCol w:w="1053"/>
      </w:tblGrid>
      <w:tr w14:paraId="1815581B">
        <w:tblPrEx>
          <w:tblCellMar>
            <w:top w:w="0" w:type="dxa"/>
            <w:left w:w="108" w:type="dxa"/>
            <w:bottom w:w="0" w:type="dxa"/>
            <w:right w:w="108" w:type="dxa"/>
          </w:tblCellMar>
        </w:tblPrEx>
        <w:trPr>
          <w:trHeight w:val="802" w:hRule="atLeast"/>
          <w:jc w:val="center"/>
        </w:trPr>
        <w:tc>
          <w:tcPr>
            <w:tcW w:w="2075" w:type="dxa"/>
            <w:tcBorders>
              <w:top w:val="single" w:color="auto" w:sz="4" w:space="0"/>
              <w:left w:val="single" w:color="auto" w:sz="4" w:space="0"/>
              <w:bottom w:val="single" w:color="auto" w:sz="4" w:space="0"/>
              <w:right w:val="single" w:color="auto" w:sz="4" w:space="0"/>
            </w:tcBorders>
            <w:vAlign w:val="center"/>
          </w:tcPr>
          <w:p w14:paraId="4A4A9430">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466" w:type="dxa"/>
            <w:tcBorders>
              <w:top w:val="single" w:color="auto" w:sz="4" w:space="0"/>
              <w:left w:val="nil"/>
              <w:bottom w:val="single" w:color="auto" w:sz="4" w:space="0"/>
              <w:right w:val="single" w:color="auto" w:sz="4" w:space="0"/>
            </w:tcBorders>
            <w:vAlign w:val="center"/>
          </w:tcPr>
          <w:p w14:paraId="2A23C22A">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1228" w:type="dxa"/>
            <w:tcBorders>
              <w:top w:val="single" w:color="auto" w:sz="4" w:space="0"/>
              <w:left w:val="nil"/>
              <w:bottom w:val="single" w:color="auto" w:sz="4" w:space="0"/>
              <w:right w:val="single" w:color="auto" w:sz="4" w:space="0"/>
            </w:tcBorders>
            <w:vAlign w:val="center"/>
          </w:tcPr>
          <w:p w14:paraId="38DC9F19">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770" w:type="dxa"/>
            <w:tcBorders>
              <w:top w:val="single" w:color="auto" w:sz="4" w:space="0"/>
              <w:left w:val="nil"/>
              <w:bottom w:val="single" w:color="auto" w:sz="4" w:space="0"/>
              <w:right w:val="single" w:color="auto" w:sz="4" w:space="0"/>
            </w:tcBorders>
            <w:vAlign w:val="center"/>
          </w:tcPr>
          <w:p w14:paraId="02D053C2">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640" w:type="dxa"/>
            <w:tcBorders>
              <w:top w:val="single" w:color="auto" w:sz="4" w:space="0"/>
              <w:left w:val="nil"/>
              <w:bottom w:val="single" w:color="auto" w:sz="4" w:space="0"/>
              <w:right w:val="single" w:color="auto" w:sz="4" w:space="0"/>
            </w:tcBorders>
            <w:vAlign w:val="center"/>
          </w:tcPr>
          <w:p w14:paraId="0D29EC82">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053" w:type="dxa"/>
            <w:tcBorders>
              <w:top w:val="single" w:color="auto" w:sz="4" w:space="0"/>
              <w:left w:val="nil"/>
              <w:bottom w:val="single" w:color="auto" w:sz="4" w:space="0"/>
              <w:right w:val="single" w:color="auto" w:sz="4" w:space="0"/>
            </w:tcBorders>
            <w:vAlign w:val="center"/>
          </w:tcPr>
          <w:p w14:paraId="1C62DF18">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7AC3F6A8">
        <w:tblPrEx>
          <w:tblCellMar>
            <w:top w:w="0" w:type="dxa"/>
            <w:left w:w="108" w:type="dxa"/>
            <w:bottom w:w="0" w:type="dxa"/>
            <w:right w:w="108" w:type="dxa"/>
          </w:tblCellMar>
        </w:tblPrEx>
        <w:trPr>
          <w:trHeight w:val="348" w:hRule="atLeast"/>
          <w:jc w:val="center"/>
        </w:trPr>
        <w:tc>
          <w:tcPr>
            <w:tcW w:w="2075" w:type="dxa"/>
            <w:tcBorders>
              <w:top w:val="nil"/>
              <w:left w:val="single" w:color="auto" w:sz="4" w:space="0"/>
              <w:bottom w:val="single" w:color="auto" w:sz="4" w:space="0"/>
              <w:right w:val="single" w:color="auto" w:sz="4" w:space="0"/>
            </w:tcBorders>
            <w:vAlign w:val="center"/>
          </w:tcPr>
          <w:p w14:paraId="05E1B77A">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466" w:type="dxa"/>
            <w:tcBorders>
              <w:top w:val="nil"/>
              <w:left w:val="nil"/>
              <w:bottom w:val="single" w:color="auto" w:sz="4" w:space="0"/>
              <w:right w:val="single" w:color="auto" w:sz="4" w:space="0"/>
            </w:tcBorders>
            <w:vAlign w:val="center"/>
          </w:tcPr>
          <w:p w14:paraId="3F486C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588562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1030A0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40" w:type="dxa"/>
            <w:tcBorders>
              <w:top w:val="nil"/>
              <w:left w:val="nil"/>
              <w:bottom w:val="single" w:color="auto" w:sz="4" w:space="0"/>
              <w:right w:val="single" w:color="auto" w:sz="4" w:space="0"/>
            </w:tcBorders>
            <w:vAlign w:val="center"/>
          </w:tcPr>
          <w:p w14:paraId="3489FA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53" w:type="dxa"/>
            <w:tcBorders>
              <w:top w:val="nil"/>
              <w:left w:val="nil"/>
              <w:bottom w:val="single" w:color="auto" w:sz="4" w:space="0"/>
              <w:right w:val="single" w:color="auto" w:sz="4" w:space="0"/>
            </w:tcBorders>
            <w:vAlign w:val="center"/>
          </w:tcPr>
          <w:p w14:paraId="2C66B1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F7F0E1C">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4ADA820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466" w:type="dxa"/>
            <w:tcBorders>
              <w:top w:val="nil"/>
              <w:left w:val="nil"/>
              <w:bottom w:val="single" w:color="auto" w:sz="4" w:space="0"/>
              <w:right w:val="single" w:color="auto" w:sz="4" w:space="0"/>
            </w:tcBorders>
            <w:vAlign w:val="center"/>
          </w:tcPr>
          <w:p w14:paraId="3BBABE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06264A6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06024A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40" w:type="dxa"/>
            <w:tcBorders>
              <w:top w:val="nil"/>
              <w:left w:val="nil"/>
              <w:bottom w:val="single" w:color="auto" w:sz="4" w:space="0"/>
              <w:right w:val="single" w:color="auto" w:sz="4" w:space="0"/>
            </w:tcBorders>
            <w:vAlign w:val="center"/>
          </w:tcPr>
          <w:p w14:paraId="20FDA4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53" w:type="dxa"/>
            <w:tcBorders>
              <w:top w:val="nil"/>
              <w:left w:val="nil"/>
              <w:bottom w:val="single" w:color="auto" w:sz="4" w:space="0"/>
              <w:right w:val="single" w:color="auto" w:sz="4" w:space="0"/>
            </w:tcBorders>
            <w:vAlign w:val="center"/>
          </w:tcPr>
          <w:p w14:paraId="3D94C6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02E147C">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184D07CA">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5E308C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0778B2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3C6496B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640" w:type="dxa"/>
            <w:tcBorders>
              <w:top w:val="nil"/>
              <w:left w:val="nil"/>
              <w:bottom w:val="single" w:color="auto" w:sz="4" w:space="0"/>
              <w:right w:val="single" w:color="auto" w:sz="4" w:space="0"/>
            </w:tcBorders>
            <w:vAlign w:val="center"/>
          </w:tcPr>
          <w:p w14:paraId="79F5D4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53" w:type="dxa"/>
            <w:tcBorders>
              <w:top w:val="nil"/>
              <w:left w:val="nil"/>
              <w:bottom w:val="single" w:color="auto" w:sz="4" w:space="0"/>
              <w:right w:val="single" w:color="auto" w:sz="4" w:space="0"/>
            </w:tcBorders>
            <w:vAlign w:val="center"/>
          </w:tcPr>
          <w:p w14:paraId="66F92C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3FA20F1">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02D4799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466" w:type="dxa"/>
            <w:tcBorders>
              <w:top w:val="nil"/>
              <w:left w:val="nil"/>
              <w:bottom w:val="single" w:color="auto" w:sz="4" w:space="0"/>
              <w:right w:val="single" w:color="auto" w:sz="4" w:space="0"/>
            </w:tcBorders>
            <w:vAlign w:val="center"/>
          </w:tcPr>
          <w:p w14:paraId="2C48831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74D938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4C4ADB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640" w:type="dxa"/>
            <w:tcBorders>
              <w:top w:val="nil"/>
              <w:left w:val="nil"/>
              <w:bottom w:val="single" w:color="auto" w:sz="4" w:space="0"/>
              <w:right w:val="single" w:color="auto" w:sz="4" w:space="0"/>
            </w:tcBorders>
            <w:vAlign w:val="center"/>
          </w:tcPr>
          <w:p w14:paraId="6EC49B4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53" w:type="dxa"/>
            <w:tcBorders>
              <w:top w:val="nil"/>
              <w:left w:val="nil"/>
              <w:bottom w:val="single" w:color="auto" w:sz="4" w:space="0"/>
              <w:right w:val="single" w:color="auto" w:sz="4" w:space="0"/>
            </w:tcBorders>
            <w:vAlign w:val="center"/>
          </w:tcPr>
          <w:p w14:paraId="078713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C1758E4">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0DCE9B37">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4A2542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228" w:type="dxa"/>
            <w:tcBorders>
              <w:top w:val="nil"/>
              <w:left w:val="nil"/>
              <w:bottom w:val="single" w:color="auto" w:sz="4" w:space="0"/>
              <w:right w:val="single" w:color="auto" w:sz="4" w:space="0"/>
            </w:tcBorders>
            <w:vAlign w:val="center"/>
          </w:tcPr>
          <w:p w14:paraId="127156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211C4AE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640" w:type="dxa"/>
            <w:tcBorders>
              <w:top w:val="nil"/>
              <w:left w:val="nil"/>
              <w:bottom w:val="single" w:color="auto" w:sz="4" w:space="0"/>
              <w:right w:val="single" w:color="auto" w:sz="4" w:space="0"/>
            </w:tcBorders>
            <w:vAlign w:val="center"/>
          </w:tcPr>
          <w:p w14:paraId="55720B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53" w:type="dxa"/>
            <w:tcBorders>
              <w:top w:val="nil"/>
              <w:left w:val="nil"/>
              <w:bottom w:val="single" w:color="auto" w:sz="4" w:space="0"/>
              <w:right w:val="single" w:color="auto" w:sz="4" w:space="0"/>
            </w:tcBorders>
            <w:vAlign w:val="center"/>
          </w:tcPr>
          <w:p w14:paraId="1322E0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B6C79B3">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66B9E7A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466" w:type="dxa"/>
            <w:tcBorders>
              <w:top w:val="nil"/>
              <w:left w:val="nil"/>
              <w:bottom w:val="single" w:color="auto" w:sz="4" w:space="0"/>
              <w:right w:val="single" w:color="auto" w:sz="4" w:space="0"/>
            </w:tcBorders>
            <w:vAlign w:val="center"/>
          </w:tcPr>
          <w:p w14:paraId="04FA220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0AF75C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4EAE0A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640" w:type="dxa"/>
            <w:tcBorders>
              <w:top w:val="nil"/>
              <w:left w:val="nil"/>
              <w:bottom w:val="single" w:color="auto" w:sz="4" w:space="0"/>
              <w:right w:val="single" w:color="auto" w:sz="4" w:space="0"/>
            </w:tcBorders>
            <w:vAlign w:val="center"/>
          </w:tcPr>
          <w:p w14:paraId="05C8D3F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53" w:type="dxa"/>
            <w:tcBorders>
              <w:top w:val="nil"/>
              <w:left w:val="nil"/>
              <w:bottom w:val="single" w:color="auto" w:sz="4" w:space="0"/>
              <w:right w:val="single" w:color="auto" w:sz="4" w:space="0"/>
            </w:tcBorders>
            <w:vAlign w:val="center"/>
          </w:tcPr>
          <w:p w14:paraId="047945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F280F6B">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4B8589F7">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5D0A9C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7B2597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6C20E4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640" w:type="dxa"/>
            <w:tcBorders>
              <w:top w:val="nil"/>
              <w:left w:val="nil"/>
              <w:bottom w:val="single" w:color="auto" w:sz="4" w:space="0"/>
              <w:right w:val="single" w:color="auto" w:sz="4" w:space="0"/>
            </w:tcBorders>
            <w:vAlign w:val="center"/>
          </w:tcPr>
          <w:p w14:paraId="44E1684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53" w:type="dxa"/>
            <w:tcBorders>
              <w:top w:val="nil"/>
              <w:left w:val="nil"/>
              <w:bottom w:val="single" w:color="auto" w:sz="4" w:space="0"/>
              <w:right w:val="single" w:color="auto" w:sz="4" w:space="0"/>
            </w:tcBorders>
            <w:vAlign w:val="center"/>
          </w:tcPr>
          <w:p w14:paraId="166B58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7460625">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2EE4363E">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466" w:type="dxa"/>
            <w:tcBorders>
              <w:top w:val="nil"/>
              <w:left w:val="nil"/>
              <w:bottom w:val="single" w:color="auto" w:sz="4" w:space="0"/>
              <w:right w:val="single" w:color="auto" w:sz="4" w:space="0"/>
            </w:tcBorders>
            <w:vAlign w:val="center"/>
          </w:tcPr>
          <w:p w14:paraId="0401AF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4FA77CB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676782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640" w:type="dxa"/>
            <w:tcBorders>
              <w:top w:val="nil"/>
              <w:left w:val="nil"/>
              <w:bottom w:val="single" w:color="auto" w:sz="4" w:space="0"/>
              <w:right w:val="single" w:color="auto" w:sz="4" w:space="0"/>
            </w:tcBorders>
            <w:vAlign w:val="center"/>
          </w:tcPr>
          <w:p w14:paraId="09192B4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053" w:type="dxa"/>
            <w:tcBorders>
              <w:top w:val="nil"/>
              <w:left w:val="nil"/>
              <w:bottom w:val="single" w:color="auto" w:sz="4" w:space="0"/>
              <w:right w:val="single" w:color="auto" w:sz="4" w:space="0"/>
            </w:tcBorders>
            <w:vAlign w:val="center"/>
          </w:tcPr>
          <w:p w14:paraId="259F31C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DDA7CE2">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0466ABA3">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71D338C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4F36C6D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03782E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40" w:type="dxa"/>
            <w:tcBorders>
              <w:top w:val="nil"/>
              <w:left w:val="nil"/>
              <w:bottom w:val="single" w:color="auto" w:sz="4" w:space="0"/>
              <w:right w:val="single" w:color="auto" w:sz="4" w:space="0"/>
            </w:tcBorders>
            <w:vAlign w:val="center"/>
          </w:tcPr>
          <w:p w14:paraId="348BAF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53" w:type="dxa"/>
            <w:tcBorders>
              <w:top w:val="nil"/>
              <w:left w:val="nil"/>
              <w:bottom w:val="single" w:color="auto" w:sz="4" w:space="0"/>
              <w:right w:val="single" w:color="auto" w:sz="4" w:space="0"/>
            </w:tcBorders>
            <w:vAlign w:val="center"/>
          </w:tcPr>
          <w:p w14:paraId="6DCAF3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BCED3DC">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61F5B10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466" w:type="dxa"/>
            <w:tcBorders>
              <w:top w:val="nil"/>
              <w:left w:val="nil"/>
              <w:bottom w:val="single" w:color="auto" w:sz="4" w:space="0"/>
              <w:right w:val="single" w:color="auto" w:sz="4" w:space="0"/>
            </w:tcBorders>
            <w:vAlign w:val="center"/>
          </w:tcPr>
          <w:p w14:paraId="299666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09F315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4D9264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40" w:type="dxa"/>
            <w:tcBorders>
              <w:top w:val="nil"/>
              <w:left w:val="nil"/>
              <w:bottom w:val="single" w:color="auto" w:sz="4" w:space="0"/>
              <w:right w:val="single" w:color="auto" w:sz="4" w:space="0"/>
            </w:tcBorders>
            <w:vAlign w:val="center"/>
          </w:tcPr>
          <w:p w14:paraId="041B3C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53" w:type="dxa"/>
            <w:tcBorders>
              <w:top w:val="nil"/>
              <w:left w:val="nil"/>
              <w:bottom w:val="single" w:color="auto" w:sz="4" w:space="0"/>
              <w:right w:val="single" w:color="auto" w:sz="4" w:space="0"/>
            </w:tcBorders>
            <w:vAlign w:val="center"/>
          </w:tcPr>
          <w:p w14:paraId="23EB7AB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26BDDC2">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68A2668D">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394521F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2C33D1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5AFACE2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640" w:type="dxa"/>
            <w:tcBorders>
              <w:top w:val="nil"/>
              <w:left w:val="nil"/>
              <w:bottom w:val="single" w:color="auto" w:sz="4" w:space="0"/>
              <w:right w:val="single" w:color="auto" w:sz="4" w:space="0"/>
            </w:tcBorders>
            <w:vAlign w:val="center"/>
          </w:tcPr>
          <w:p w14:paraId="62C2EC3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53" w:type="dxa"/>
            <w:tcBorders>
              <w:top w:val="nil"/>
              <w:left w:val="nil"/>
              <w:bottom w:val="single" w:color="auto" w:sz="4" w:space="0"/>
              <w:right w:val="single" w:color="auto" w:sz="4" w:space="0"/>
            </w:tcBorders>
            <w:vAlign w:val="center"/>
          </w:tcPr>
          <w:p w14:paraId="6AED734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9588C53">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6F271E3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466" w:type="dxa"/>
            <w:tcBorders>
              <w:top w:val="nil"/>
              <w:left w:val="nil"/>
              <w:bottom w:val="single" w:color="auto" w:sz="4" w:space="0"/>
              <w:right w:val="single" w:color="auto" w:sz="4" w:space="0"/>
            </w:tcBorders>
            <w:vAlign w:val="center"/>
          </w:tcPr>
          <w:p w14:paraId="4ABFDD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3DB1D0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6990CF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640" w:type="dxa"/>
            <w:tcBorders>
              <w:top w:val="nil"/>
              <w:left w:val="nil"/>
              <w:bottom w:val="single" w:color="auto" w:sz="4" w:space="0"/>
              <w:right w:val="single" w:color="auto" w:sz="4" w:space="0"/>
            </w:tcBorders>
            <w:vAlign w:val="center"/>
          </w:tcPr>
          <w:p w14:paraId="737422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53" w:type="dxa"/>
            <w:tcBorders>
              <w:top w:val="nil"/>
              <w:left w:val="nil"/>
              <w:bottom w:val="single" w:color="auto" w:sz="4" w:space="0"/>
              <w:right w:val="single" w:color="auto" w:sz="4" w:space="0"/>
            </w:tcBorders>
            <w:vAlign w:val="center"/>
          </w:tcPr>
          <w:p w14:paraId="496DEE3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65EF289">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750C058B">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693DAAF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7DD3CC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4161A1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640" w:type="dxa"/>
            <w:tcBorders>
              <w:top w:val="nil"/>
              <w:left w:val="nil"/>
              <w:bottom w:val="single" w:color="auto" w:sz="4" w:space="0"/>
              <w:right w:val="single" w:color="auto" w:sz="4" w:space="0"/>
            </w:tcBorders>
            <w:vAlign w:val="center"/>
          </w:tcPr>
          <w:p w14:paraId="5982A82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53" w:type="dxa"/>
            <w:tcBorders>
              <w:top w:val="nil"/>
              <w:left w:val="nil"/>
              <w:bottom w:val="single" w:color="auto" w:sz="4" w:space="0"/>
              <w:right w:val="single" w:color="auto" w:sz="4" w:space="0"/>
            </w:tcBorders>
            <w:vAlign w:val="center"/>
          </w:tcPr>
          <w:p w14:paraId="047ACED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1153EAA">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338B747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466" w:type="dxa"/>
            <w:tcBorders>
              <w:top w:val="nil"/>
              <w:left w:val="nil"/>
              <w:bottom w:val="single" w:color="auto" w:sz="4" w:space="0"/>
              <w:right w:val="single" w:color="auto" w:sz="4" w:space="0"/>
            </w:tcBorders>
            <w:vAlign w:val="center"/>
          </w:tcPr>
          <w:p w14:paraId="07FF0AD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5E5084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520254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40" w:type="dxa"/>
            <w:tcBorders>
              <w:top w:val="nil"/>
              <w:left w:val="nil"/>
              <w:bottom w:val="single" w:color="auto" w:sz="4" w:space="0"/>
              <w:right w:val="single" w:color="auto" w:sz="4" w:space="0"/>
            </w:tcBorders>
            <w:vAlign w:val="center"/>
          </w:tcPr>
          <w:p w14:paraId="3E634D2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53" w:type="dxa"/>
            <w:tcBorders>
              <w:top w:val="nil"/>
              <w:left w:val="nil"/>
              <w:bottom w:val="single" w:color="auto" w:sz="4" w:space="0"/>
              <w:right w:val="single" w:color="auto" w:sz="4" w:space="0"/>
            </w:tcBorders>
            <w:vAlign w:val="center"/>
          </w:tcPr>
          <w:p w14:paraId="0293F47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2E3B76E">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2711A84C">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6B72405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191B6DB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4C4DADF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640" w:type="dxa"/>
            <w:tcBorders>
              <w:top w:val="nil"/>
              <w:left w:val="nil"/>
              <w:bottom w:val="single" w:color="auto" w:sz="4" w:space="0"/>
              <w:right w:val="single" w:color="auto" w:sz="4" w:space="0"/>
            </w:tcBorders>
            <w:vAlign w:val="center"/>
          </w:tcPr>
          <w:p w14:paraId="5B17F9C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53" w:type="dxa"/>
            <w:tcBorders>
              <w:top w:val="nil"/>
              <w:left w:val="nil"/>
              <w:bottom w:val="single" w:color="auto" w:sz="4" w:space="0"/>
              <w:right w:val="single" w:color="auto" w:sz="4" w:space="0"/>
            </w:tcBorders>
            <w:vAlign w:val="center"/>
          </w:tcPr>
          <w:p w14:paraId="41D63C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6937431">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0500E256">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466" w:type="dxa"/>
            <w:tcBorders>
              <w:top w:val="nil"/>
              <w:left w:val="nil"/>
              <w:bottom w:val="single" w:color="auto" w:sz="4" w:space="0"/>
              <w:right w:val="single" w:color="auto" w:sz="4" w:space="0"/>
            </w:tcBorders>
            <w:vAlign w:val="center"/>
          </w:tcPr>
          <w:p w14:paraId="0DF7BBE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73EFA1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4B09C7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40" w:type="dxa"/>
            <w:tcBorders>
              <w:top w:val="nil"/>
              <w:left w:val="nil"/>
              <w:bottom w:val="single" w:color="auto" w:sz="4" w:space="0"/>
              <w:right w:val="single" w:color="auto" w:sz="4" w:space="0"/>
            </w:tcBorders>
            <w:vAlign w:val="center"/>
          </w:tcPr>
          <w:p w14:paraId="51261D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53" w:type="dxa"/>
            <w:tcBorders>
              <w:top w:val="nil"/>
              <w:left w:val="nil"/>
              <w:bottom w:val="single" w:color="auto" w:sz="4" w:space="0"/>
              <w:right w:val="single" w:color="auto" w:sz="4" w:space="0"/>
            </w:tcBorders>
            <w:vAlign w:val="center"/>
          </w:tcPr>
          <w:p w14:paraId="3E48B6A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464A708">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61DD41A2">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002BC8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2AC26D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7FFC61A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40" w:type="dxa"/>
            <w:tcBorders>
              <w:top w:val="nil"/>
              <w:left w:val="nil"/>
              <w:bottom w:val="single" w:color="auto" w:sz="4" w:space="0"/>
              <w:right w:val="single" w:color="auto" w:sz="4" w:space="0"/>
            </w:tcBorders>
            <w:vAlign w:val="center"/>
          </w:tcPr>
          <w:p w14:paraId="103BA4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53" w:type="dxa"/>
            <w:tcBorders>
              <w:top w:val="nil"/>
              <w:left w:val="nil"/>
              <w:bottom w:val="single" w:color="auto" w:sz="4" w:space="0"/>
              <w:right w:val="single" w:color="auto" w:sz="4" w:space="0"/>
            </w:tcBorders>
            <w:vAlign w:val="center"/>
          </w:tcPr>
          <w:p w14:paraId="5B20CC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534C192">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74689C5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466" w:type="dxa"/>
            <w:tcBorders>
              <w:top w:val="nil"/>
              <w:left w:val="nil"/>
              <w:bottom w:val="single" w:color="auto" w:sz="4" w:space="0"/>
              <w:right w:val="single" w:color="auto" w:sz="4" w:space="0"/>
            </w:tcBorders>
            <w:vAlign w:val="center"/>
          </w:tcPr>
          <w:p w14:paraId="6C41DB6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358A70D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1B1860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40" w:type="dxa"/>
            <w:tcBorders>
              <w:top w:val="nil"/>
              <w:left w:val="nil"/>
              <w:bottom w:val="single" w:color="auto" w:sz="4" w:space="0"/>
              <w:right w:val="single" w:color="auto" w:sz="4" w:space="0"/>
            </w:tcBorders>
            <w:vAlign w:val="center"/>
          </w:tcPr>
          <w:p w14:paraId="112F217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53" w:type="dxa"/>
            <w:tcBorders>
              <w:top w:val="nil"/>
              <w:left w:val="nil"/>
              <w:bottom w:val="single" w:color="auto" w:sz="4" w:space="0"/>
              <w:right w:val="single" w:color="auto" w:sz="4" w:space="0"/>
            </w:tcBorders>
            <w:vAlign w:val="center"/>
          </w:tcPr>
          <w:p w14:paraId="582316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7152A45">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63F2CE96">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74EC347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24A4DF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640F61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40" w:type="dxa"/>
            <w:tcBorders>
              <w:top w:val="nil"/>
              <w:left w:val="nil"/>
              <w:bottom w:val="single" w:color="auto" w:sz="4" w:space="0"/>
              <w:right w:val="single" w:color="auto" w:sz="4" w:space="0"/>
            </w:tcBorders>
            <w:vAlign w:val="center"/>
          </w:tcPr>
          <w:p w14:paraId="3D2CA2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53" w:type="dxa"/>
            <w:tcBorders>
              <w:top w:val="nil"/>
              <w:left w:val="nil"/>
              <w:bottom w:val="single" w:color="auto" w:sz="4" w:space="0"/>
              <w:right w:val="single" w:color="auto" w:sz="4" w:space="0"/>
            </w:tcBorders>
            <w:vAlign w:val="center"/>
          </w:tcPr>
          <w:p w14:paraId="74630DC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2A86248">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220366E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466" w:type="dxa"/>
            <w:tcBorders>
              <w:top w:val="nil"/>
              <w:left w:val="nil"/>
              <w:bottom w:val="single" w:color="auto" w:sz="4" w:space="0"/>
              <w:right w:val="single" w:color="auto" w:sz="4" w:space="0"/>
            </w:tcBorders>
            <w:vAlign w:val="center"/>
          </w:tcPr>
          <w:p w14:paraId="779014A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6D74DE8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378999C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640" w:type="dxa"/>
            <w:tcBorders>
              <w:top w:val="nil"/>
              <w:left w:val="nil"/>
              <w:bottom w:val="single" w:color="auto" w:sz="4" w:space="0"/>
              <w:right w:val="single" w:color="auto" w:sz="4" w:space="0"/>
            </w:tcBorders>
            <w:vAlign w:val="center"/>
          </w:tcPr>
          <w:p w14:paraId="34DCBB0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53" w:type="dxa"/>
            <w:tcBorders>
              <w:top w:val="nil"/>
              <w:left w:val="nil"/>
              <w:bottom w:val="single" w:color="auto" w:sz="4" w:space="0"/>
              <w:right w:val="single" w:color="auto" w:sz="4" w:space="0"/>
            </w:tcBorders>
            <w:vAlign w:val="center"/>
          </w:tcPr>
          <w:p w14:paraId="12FF2E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08D4E88">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70CF464F">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5AC942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761A67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6DEF4FF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640" w:type="dxa"/>
            <w:tcBorders>
              <w:top w:val="nil"/>
              <w:left w:val="nil"/>
              <w:bottom w:val="single" w:color="auto" w:sz="4" w:space="0"/>
              <w:right w:val="single" w:color="auto" w:sz="4" w:space="0"/>
            </w:tcBorders>
            <w:vAlign w:val="center"/>
          </w:tcPr>
          <w:p w14:paraId="10DB50B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53" w:type="dxa"/>
            <w:tcBorders>
              <w:top w:val="nil"/>
              <w:left w:val="nil"/>
              <w:bottom w:val="single" w:color="auto" w:sz="4" w:space="0"/>
              <w:right w:val="single" w:color="auto" w:sz="4" w:space="0"/>
            </w:tcBorders>
            <w:vAlign w:val="center"/>
          </w:tcPr>
          <w:p w14:paraId="48B4F0F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DC8FCB7">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280A9B96">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466" w:type="dxa"/>
            <w:tcBorders>
              <w:top w:val="nil"/>
              <w:left w:val="nil"/>
              <w:bottom w:val="single" w:color="auto" w:sz="4" w:space="0"/>
              <w:right w:val="single" w:color="auto" w:sz="4" w:space="0"/>
            </w:tcBorders>
            <w:vAlign w:val="center"/>
          </w:tcPr>
          <w:p w14:paraId="39FF9D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1E522F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51EB85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40" w:type="dxa"/>
            <w:tcBorders>
              <w:top w:val="nil"/>
              <w:left w:val="nil"/>
              <w:bottom w:val="single" w:color="auto" w:sz="4" w:space="0"/>
              <w:right w:val="single" w:color="auto" w:sz="4" w:space="0"/>
            </w:tcBorders>
            <w:vAlign w:val="center"/>
          </w:tcPr>
          <w:p w14:paraId="537955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53" w:type="dxa"/>
            <w:tcBorders>
              <w:top w:val="nil"/>
              <w:left w:val="nil"/>
              <w:bottom w:val="single" w:color="auto" w:sz="4" w:space="0"/>
              <w:right w:val="single" w:color="auto" w:sz="4" w:space="0"/>
            </w:tcBorders>
            <w:vAlign w:val="center"/>
          </w:tcPr>
          <w:p w14:paraId="70C0C1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3F80C90">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1293C00A">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493B05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783C4B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3C39F5B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640" w:type="dxa"/>
            <w:tcBorders>
              <w:top w:val="nil"/>
              <w:left w:val="nil"/>
              <w:bottom w:val="single" w:color="auto" w:sz="4" w:space="0"/>
              <w:right w:val="single" w:color="auto" w:sz="4" w:space="0"/>
            </w:tcBorders>
            <w:vAlign w:val="center"/>
          </w:tcPr>
          <w:p w14:paraId="1694BB9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53" w:type="dxa"/>
            <w:tcBorders>
              <w:top w:val="nil"/>
              <w:left w:val="nil"/>
              <w:bottom w:val="single" w:color="auto" w:sz="4" w:space="0"/>
              <w:right w:val="single" w:color="auto" w:sz="4" w:space="0"/>
            </w:tcBorders>
            <w:vAlign w:val="center"/>
          </w:tcPr>
          <w:p w14:paraId="62EE1D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36B798D">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3E06EAE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466" w:type="dxa"/>
            <w:tcBorders>
              <w:top w:val="nil"/>
              <w:left w:val="nil"/>
              <w:bottom w:val="single" w:color="auto" w:sz="4" w:space="0"/>
              <w:right w:val="single" w:color="auto" w:sz="4" w:space="0"/>
            </w:tcBorders>
            <w:vAlign w:val="center"/>
          </w:tcPr>
          <w:p w14:paraId="2A6E33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60B3D2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6DA78EF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640" w:type="dxa"/>
            <w:tcBorders>
              <w:top w:val="nil"/>
              <w:left w:val="nil"/>
              <w:bottom w:val="single" w:color="auto" w:sz="4" w:space="0"/>
              <w:right w:val="single" w:color="auto" w:sz="4" w:space="0"/>
            </w:tcBorders>
            <w:vAlign w:val="center"/>
          </w:tcPr>
          <w:p w14:paraId="5024AD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053" w:type="dxa"/>
            <w:tcBorders>
              <w:top w:val="nil"/>
              <w:left w:val="nil"/>
              <w:bottom w:val="single" w:color="auto" w:sz="4" w:space="0"/>
              <w:right w:val="single" w:color="auto" w:sz="4" w:space="0"/>
            </w:tcBorders>
            <w:vAlign w:val="center"/>
          </w:tcPr>
          <w:p w14:paraId="2A2BF53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0763905">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7D22FAFF">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420414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228" w:type="dxa"/>
            <w:tcBorders>
              <w:top w:val="nil"/>
              <w:left w:val="nil"/>
              <w:bottom w:val="single" w:color="auto" w:sz="4" w:space="0"/>
              <w:right w:val="single" w:color="auto" w:sz="4" w:space="0"/>
            </w:tcBorders>
            <w:vAlign w:val="center"/>
          </w:tcPr>
          <w:p w14:paraId="319A1D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0067734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640" w:type="dxa"/>
            <w:tcBorders>
              <w:top w:val="nil"/>
              <w:left w:val="nil"/>
              <w:bottom w:val="single" w:color="auto" w:sz="4" w:space="0"/>
              <w:right w:val="single" w:color="auto" w:sz="4" w:space="0"/>
            </w:tcBorders>
            <w:vAlign w:val="center"/>
          </w:tcPr>
          <w:p w14:paraId="1BBE49B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053" w:type="dxa"/>
            <w:tcBorders>
              <w:top w:val="nil"/>
              <w:left w:val="nil"/>
              <w:bottom w:val="single" w:color="auto" w:sz="4" w:space="0"/>
              <w:right w:val="single" w:color="auto" w:sz="4" w:space="0"/>
            </w:tcBorders>
            <w:vAlign w:val="center"/>
          </w:tcPr>
          <w:p w14:paraId="6E1F43B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7E74C97E">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127657C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466" w:type="dxa"/>
            <w:tcBorders>
              <w:top w:val="nil"/>
              <w:left w:val="nil"/>
              <w:bottom w:val="single" w:color="auto" w:sz="4" w:space="0"/>
              <w:right w:val="single" w:color="auto" w:sz="4" w:space="0"/>
            </w:tcBorders>
            <w:vAlign w:val="center"/>
          </w:tcPr>
          <w:p w14:paraId="611304E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31B0CD7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66C63D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40" w:type="dxa"/>
            <w:tcBorders>
              <w:top w:val="nil"/>
              <w:left w:val="nil"/>
              <w:bottom w:val="single" w:color="auto" w:sz="4" w:space="0"/>
              <w:right w:val="single" w:color="auto" w:sz="4" w:space="0"/>
            </w:tcBorders>
            <w:vAlign w:val="center"/>
          </w:tcPr>
          <w:p w14:paraId="5E36C0D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53" w:type="dxa"/>
            <w:tcBorders>
              <w:top w:val="nil"/>
              <w:left w:val="nil"/>
              <w:bottom w:val="single" w:color="auto" w:sz="4" w:space="0"/>
              <w:right w:val="single" w:color="auto" w:sz="4" w:space="0"/>
            </w:tcBorders>
            <w:vAlign w:val="center"/>
          </w:tcPr>
          <w:p w14:paraId="759209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8EBEF23">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6162E1E1">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29805F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228" w:type="dxa"/>
            <w:tcBorders>
              <w:top w:val="nil"/>
              <w:left w:val="nil"/>
              <w:bottom w:val="single" w:color="auto" w:sz="4" w:space="0"/>
              <w:right w:val="single" w:color="auto" w:sz="4" w:space="0"/>
            </w:tcBorders>
            <w:vAlign w:val="center"/>
          </w:tcPr>
          <w:p w14:paraId="3CD738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279E2A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640" w:type="dxa"/>
            <w:tcBorders>
              <w:top w:val="nil"/>
              <w:left w:val="nil"/>
              <w:bottom w:val="single" w:color="auto" w:sz="4" w:space="0"/>
              <w:right w:val="single" w:color="auto" w:sz="4" w:space="0"/>
            </w:tcBorders>
            <w:vAlign w:val="center"/>
          </w:tcPr>
          <w:p w14:paraId="79D491E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53" w:type="dxa"/>
            <w:tcBorders>
              <w:top w:val="nil"/>
              <w:left w:val="nil"/>
              <w:bottom w:val="single" w:color="auto" w:sz="4" w:space="0"/>
              <w:right w:val="single" w:color="auto" w:sz="4" w:space="0"/>
            </w:tcBorders>
            <w:vAlign w:val="center"/>
          </w:tcPr>
          <w:p w14:paraId="6AEE742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199F8027">
        <w:tblPrEx>
          <w:tblCellMar>
            <w:top w:w="0" w:type="dxa"/>
            <w:left w:w="108" w:type="dxa"/>
            <w:bottom w:w="0" w:type="dxa"/>
            <w:right w:w="108" w:type="dxa"/>
          </w:tblCellMar>
        </w:tblPrEx>
        <w:trPr>
          <w:trHeight w:val="348" w:hRule="atLeast"/>
          <w:jc w:val="center"/>
        </w:trPr>
        <w:tc>
          <w:tcPr>
            <w:tcW w:w="2075" w:type="dxa"/>
            <w:vMerge w:val="restart"/>
            <w:tcBorders>
              <w:top w:val="nil"/>
              <w:left w:val="single" w:color="auto" w:sz="4" w:space="0"/>
              <w:bottom w:val="single" w:color="auto" w:sz="4" w:space="0"/>
              <w:right w:val="single" w:color="auto" w:sz="4" w:space="0"/>
            </w:tcBorders>
            <w:vAlign w:val="center"/>
          </w:tcPr>
          <w:p w14:paraId="6E41F73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466" w:type="dxa"/>
            <w:tcBorders>
              <w:top w:val="nil"/>
              <w:left w:val="nil"/>
              <w:bottom w:val="single" w:color="auto" w:sz="4" w:space="0"/>
              <w:right w:val="single" w:color="auto" w:sz="4" w:space="0"/>
            </w:tcBorders>
            <w:vAlign w:val="center"/>
          </w:tcPr>
          <w:p w14:paraId="73B6E41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4A58DC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4E0E64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40" w:type="dxa"/>
            <w:tcBorders>
              <w:top w:val="nil"/>
              <w:left w:val="nil"/>
              <w:bottom w:val="single" w:color="auto" w:sz="4" w:space="0"/>
              <w:right w:val="single" w:color="auto" w:sz="4" w:space="0"/>
            </w:tcBorders>
            <w:vAlign w:val="center"/>
          </w:tcPr>
          <w:p w14:paraId="193EB0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53" w:type="dxa"/>
            <w:tcBorders>
              <w:top w:val="nil"/>
              <w:left w:val="nil"/>
              <w:bottom w:val="single" w:color="auto" w:sz="4" w:space="0"/>
              <w:right w:val="single" w:color="auto" w:sz="4" w:space="0"/>
            </w:tcBorders>
            <w:vAlign w:val="center"/>
          </w:tcPr>
          <w:p w14:paraId="15131F2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14B42C6">
        <w:tblPrEx>
          <w:tblCellMar>
            <w:top w:w="0" w:type="dxa"/>
            <w:left w:w="108" w:type="dxa"/>
            <w:bottom w:w="0" w:type="dxa"/>
            <w:right w:w="108" w:type="dxa"/>
          </w:tblCellMar>
        </w:tblPrEx>
        <w:trPr>
          <w:trHeight w:val="348" w:hRule="atLeast"/>
          <w:jc w:val="center"/>
        </w:trPr>
        <w:tc>
          <w:tcPr>
            <w:tcW w:w="2075" w:type="dxa"/>
            <w:vMerge w:val="continue"/>
            <w:tcBorders>
              <w:top w:val="nil"/>
              <w:left w:val="single" w:color="auto" w:sz="4" w:space="0"/>
              <w:bottom w:val="single" w:color="auto" w:sz="4" w:space="0"/>
              <w:right w:val="single" w:color="auto" w:sz="4" w:space="0"/>
            </w:tcBorders>
            <w:vAlign w:val="center"/>
          </w:tcPr>
          <w:p w14:paraId="17040F3E">
            <w:pPr>
              <w:widowControl/>
              <w:jc w:val="center"/>
              <w:rPr>
                <w:rFonts w:ascii="宋体" w:hAnsi="宋体" w:cs="宋体"/>
                <w:b/>
                <w:bCs/>
                <w:color w:val="auto"/>
                <w:kern w:val="0"/>
                <w:sz w:val="18"/>
                <w:szCs w:val="18"/>
                <w:highlight w:val="none"/>
              </w:rPr>
            </w:pPr>
          </w:p>
        </w:tc>
        <w:tc>
          <w:tcPr>
            <w:tcW w:w="1466" w:type="dxa"/>
            <w:tcBorders>
              <w:top w:val="nil"/>
              <w:left w:val="nil"/>
              <w:bottom w:val="single" w:color="auto" w:sz="4" w:space="0"/>
              <w:right w:val="single" w:color="auto" w:sz="4" w:space="0"/>
            </w:tcBorders>
            <w:vAlign w:val="center"/>
          </w:tcPr>
          <w:p w14:paraId="11C984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228" w:type="dxa"/>
            <w:tcBorders>
              <w:top w:val="nil"/>
              <w:left w:val="nil"/>
              <w:bottom w:val="single" w:color="auto" w:sz="4" w:space="0"/>
              <w:right w:val="single" w:color="auto" w:sz="4" w:space="0"/>
            </w:tcBorders>
            <w:vAlign w:val="center"/>
          </w:tcPr>
          <w:p w14:paraId="7AE95D2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70" w:type="dxa"/>
            <w:tcBorders>
              <w:top w:val="nil"/>
              <w:left w:val="nil"/>
              <w:bottom w:val="single" w:color="auto" w:sz="4" w:space="0"/>
              <w:right w:val="single" w:color="auto" w:sz="4" w:space="0"/>
            </w:tcBorders>
            <w:vAlign w:val="center"/>
          </w:tcPr>
          <w:p w14:paraId="65A867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640" w:type="dxa"/>
            <w:tcBorders>
              <w:top w:val="nil"/>
              <w:left w:val="nil"/>
              <w:bottom w:val="single" w:color="auto" w:sz="4" w:space="0"/>
              <w:right w:val="single" w:color="auto" w:sz="4" w:space="0"/>
            </w:tcBorders>
            <w:vAlign w:val="center"/>
          </w:tcPr>
          <w:p w14:paraId="089995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53" w:type="dxa"/>
            <w:tcBorders>
              <w:top w:val="nil"/>
              <w:left w:val="nil"/>
              <w:bottom w:val="single" w:color="auto" w:sz="4" w:space="0"/>
              <w:right w:val="single" w:color="auto" w:sz="4" w:space="0"/>
            </w:tcBorders>
            <w:vAlign w:val="center"/>
          </w:tcPr>
          <w:p w14:paraId="06FA744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B80450B">
        <w:tblPrEx>
          <w:tblCellMar>
            <w:top w:w="0" w:type="dxa"/>
            <w:left w:w="108" w:type="dxa"/>
            <w:bottom w:w="0" w:type="dxa"/>
            <w:right w:w="108" w:type="dxa"/>
          </w:tblCellMar>
        </w:tblPrEx>
        <w:trPr>
          <w:trHeight w:val="423" w:hRule="atLeast"/>
          <w:jc w:val="center"/>
        </w:trPr>
        <w:tc>
          <w:tcPr>
            <w:tcW w:w="2075" w:type="dxa"/>
            <w:tcBorders>
              <w:top w:val="nil"/>
              <w:left w:val="single" w:color="auto" w:sz="4" w:space="0"/>
              <w:bottom w:val="single" w:color="auto" w:sz="4" w:space="0"/>
              <w:right w:val="single" w:color="auto" w:sz="4" w:space="0"/>
            </w:tcBorders>
            <w:vAlign w:val="center"/>
          </w:tcPr>
          <w:p w14:paraId="4F4D794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466" w:type="dxa"/>
            <w:tcBorders>
              <w:top w:val="nil"/>
              <w:left w:val="nil"/>
              <w:bottom w:val="single" w:color="auto" w:sz="4" w:space="0"/>
              <w:right w:val="single" w:color="auto" w:sz="4" w:space="0"/>
            </w:tcBorders>
            <w:vAlign w:val="center"/>
          </w:tcPr>
          <w:p w14:paraId="6A3165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228" w:type="dxa"/>
            <w:tcBorders>
              <w:top w:val="nil"/>
              <w:left w:val="nil"/>
              <w:bottom w:val="single" w:color="auto" w:sz="4" w:space="0"/>
              <w:right w:val="single" w:color="auto" w:sz="4" w:space="0"/>
            </w:tcBorders>
            <w:vAlign w:val="center"/>
          </w:tcPr>
          <w:p w14:paraId="040F53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70" w:type="dxa"/>
            <w:tcBorders>
              <w:top w:val="nil"/>
              <w:left w:val="nil"/>
              <w:bottom w:val="single" w:color="auto" w:sz="4" w:space="0"/>
              <w:right w:val="single" w:color="auto" w:sz="4" w:space="0"/>
            </w:tcBorders>
            <w:vAlign w:val="center"/>
          </w:tcPr>
          <w:p w14:paraId="5AF260C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40" w:type="dxa"/>
            <w:tcBorders>
              <w:top w:val="nil"/>
              <w:left w:val="nil"/>
              <w:bottom w:val="single" w:color="auto" w:sz="4" w:space="0"/>
              <w:right w:val="single" w:color="auto" w:sz="4" w:space="0"/>
            </w:tcBorders>
            <w:vAlign w:val="center"/>
          </w:tcPr>
          <w:p w14:paraId="1F78B0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53" w:type="dxa"/>
            <w:tcBorders>
              <w:top w:val="nil"/>
              <w:left w:val="nil"/>
              <w:bottom w:val="single" w:color="auto" w:sz="4" w:space="0"/>
              <w:right w:val="single" w:color="auto" w:sz="4" w:space="0"/>
            </w:tcBorders>
            <w:vAlign w:val="center"/>
          </w:tcPr>
          <w:p w14:paraId="74152D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32E5AF68">
      <w:pPr>
        <w:spacing w:line="360" w:lineRule="auto"/>
        <w:ind w:firstLine="525" w:firstLineChars="250"/>
        <w:rPr>
          <w:rFonts w:ascii="宋体" w:hAnsi="宋体" w:cs="宋体"/>
          <w:color w:val="auto"/>
          <w:sz w:val="24"/>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cs="宋体"/>
          <w:color w:val="auto"/>
          <w:sz w:val="24"/>
          <w:highlight w:val="none"/>
        </w:rPr>
        <w:br w:type="page"/>
      </w:r>
    </w:p>
    <w:p w14:paraId="0F91E3E2">
      <w:pPr>
        <w:spacing w:line="360" w:lineRule="auto"/>
        <w:jc w:val="center"/>
        <w:rPr>
          <w:rFonts w:hint="eastAsia" w:ascii="宋体" w:hAnsi="宋体" w:cs="宋体"/>
          <w:color w:val="auto"/>
          <w:sz w:val="44"/>
          <w:szCs w:val="44"/>
          <w:highlight w:val="none"/>
        </w:rPr>
      </w:pPr>
    </w:p>
    <w:p w14:paraId="3086FEBA">
      <w:pPr>
        <w:spacing w:line="360" w:lineRule="auto"/>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45E6E629">
      <w:pPr>
        <w:spacing w:line="360" w:lineRule="auto"/>
        <w:contextualSpacing/>
        <w:rPr>
          <w:rFonts w:ascii="宋体" w:hAnsi="宋体" w:cs="宋体"/>
          <w:color w:val="auto"/>
          <w:sz w:val="32"/>
          <w:szCs w:val="32"/>
          <w:highlight w:val="none"/>
        </w:rPr>
      </w:pPr>
    </w:p>
    <w:p w14:paraId="46187C6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46936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434FAC52">
      <w:pPr>
        <w:spacing w:line="360" w:lineRule="auto"/>
        <w:contextualSpacing/>
        <w:rPr>
          <w:rFonts w:ascii="宋体" w:hAnsi="宋体" w:cs="宋体"/>
          <w:color w:val="auto"/>
          <w:sz w:val="24"/>
          <w:highlight w:val="none"/>
        </w:rPr>
      </w:pPr>
    </w:p>
    <w:p w14:paraId="62928F11">
      <w:pPr>
        <w:spacing w:line="360" w:lineRule="auto"/>
        <w:contextualSpacing/>
        <w:rPr>
          <w:rFonts w:ascii="宋体" w:hAnsi="宋体" w:cs="宋体"/>
          <w:color w:val="auto"/>
          <w:sz w:val="24"/>
          <w:highlight w:val="none"/>
        </w:rPr>
      </w:pPr>
    </w:p>
    <w:p w14:paraId="2B8771BE">
      <w:pPr>
        <w:spacing w:line="360" w:lineRule="auto"/>
        <w:contextualSpacing/>
        <w:rPr>
          <w:rFonts w:ascii="宋体" w:hAnsi="宋体" w:cs="宋体"/>
          <w:color w:val="auto"/>
          <w:sz w:val="24"/>
          <w:highlight w:val="none"/>
        </w:rPr>
      </w:pPr>
    </w:p>
    <w:p w14:paraId="06235574">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单位名称（盖章）：</w:t>
      </w:r>
    </w:p>
    <w:p w14:paraId="1491E4F0">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日  期：</w:t>
      </w:r>
    </w:p>
    <w:p w14:paraId="3C087B97">
      <w:pPr>
        <w:spacing w:line="360" w:lineRule="auto"/>
        <w:contextualSpacing/>
        <w:rPr>
          <w:rFonts w:ascii="宋体" w:hAnsi="宋体" w:cs="宋体"/>
          <w:color w:val="auto"/>
          <w:sz w:val="24"/>
          <w:highlight w:val="none"/>
        </w:rPr>
      </w:pPr>
    </w:p>
    <w:p w14:paraId="2C7A36BC">
      <w:pPr>
        <w:spacing w:line="360" w:lineRule="auto"/>
        <w:contextualSpacing/>
        <w:rPr>
          <w:rFonts w:ascii="宋体" w:hAnsi="宋体" w:cs="宋体"/>
          <w:color w:val="auto"/>
          <w:sz w:val="24"/>
          <w:highlight w:val="none"/>
        </w:rPr>
      </w:pPr>
    </w:p>
    <w:p w14:paraId="67928CD5">
      <w:pPr>
        <w:spacing w:line="360" w:lineRule="auto"/>
        <w:contextualSpacing/>
        <w:rPr>
          <w:rFonts w:ascii="宋体" w:hAnsi="宋体" w:cs="宋体"/>
          <w:color w:val="auto"/>
          <w:sz w:val="24"/>
          <w:highlight w:val="none"/>
        </w:rPr>
      </w:pPr>
    </w:p>
    <w:p w14:paraId="7C31AC9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8B79F5C">
      <w:pPr>
        <w:spacing w:line="360" w:lineRule="auto"/>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质疑函（格式）</w:t>
      </w:r>
    </w:p>
    <w:p w14:paraId="5769595F">
      <w:pPr>
        <w:pStyle w:val="20"/>
        <w:spacing w:line="348" w:lineRule="auto"/>
        <w:ind w:firstLine="422" w:firstLineChars="200"/>
        <w:contextualSpacing/>
        <w:rPr>
          <w:rFonts w:hAnsi="宋体" w:cs="宋体"/>
          <w:b/>
          <w:bCs/>
          <w:color w:val="auto"/>
          <w:sz w:val="21"/>
          <w:highlight w:val="none"/>
        </w:rPr>
      </w:pPr>
      <w:r>
        <w:rPr>
          <w:rFonts w:hint="eastAsia" w:hAnsi="宋体" w:cs="宋体"/>
          <w:b/>
          <w:bCs/>
          <w:color w:val="auto"/>
          <w:sz w:val="21"/>
          <w:highlight w:val="none"/>
        </w:rPr>
        <w:t>一、质疑供应商基本信息：</w:t>
      </w:r>
    </w:p>
    <w:p w14:paraId="7F968041">
      <w:pPr>
        <w:pStyle w:val="20"/>
        <w:spacing w:line="348" w:lineRule="auto"/>
        <w:ind w:firstLine="420" w:firstLineChars="200"/>
        <w:contextualSpacing/>
        <w:rPr>
          <w:rFonts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4BC32949">
      <w:pPr>
        <w:pStyle w:val="20"/>
        <w:spacing w:line="348" w:lineRule="auto"/>
        <w:ind w:firstLine="420" w:firstLineChars="200"/>
        <w:contextualSpacing/>
        <w:rPr>
          <w:rFonts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14:paraId="1913B01C">
      <w:pPr>
        <w:pStyle w:val="20"/>
        <w:spacing w:line="348" w:lineRule="auto"/>
        <w:ind w:firstLine="420" w:firstLineChars="200"/>
        <w:contextualSpacing/>
        <w:rPr>
          <w:rFonts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357ECCD">
      <w:pPr>
        <w:pStyle w:val="20"/>
        <w:spacing w:line="348" w:lineRule="auto"/>
        <w:ind w:firstLine="420" w:firstLineChars="200"/>
        <w:contextualSpacing/>
        <w:rPr>
          <w:rFonts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14:paraId="7F244B03">
      <w:pPr>
        <w:pStyle w:val="20"/>
        <w:spacing w:line="348" w:lineRule="auto"/>
        <w:ind w:firstLine="420" w:firstLineChars="200"/>
        <w:contextualSpacing/>
        <w:rPr>
          <w:rFonts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E5EAA6D">
      <w:pPr>
        <w:pStyle w:val="20"/>
        <w:spacing w:line="348" w:lineRule="auto"/>
        <w:ind w:firstLine="420" w:firstLineChars="200"/>
        <w:contextualSpacing/>
        <w:rPr>
          <w:rFonts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0BCE6A7">
      <w:pPr>
        <w:pStyle w:val="20"/>
        <w:spacing w:line="348" w:lineRule="auto"/>
        <w:ind w:firstLine="422" w:firstLineChars="200"/>
        <w:contextualSpacing/>
        <w:rPr>
          <w:rFonts w:hAnsi="宋体" w:cs="宋体"/>
          <w:b/>
          <w:bCs/>
          <w:color w:val="auto"/>
          <w:sz w:val="21"/>
          <w:highlight w:val="none"/>
        </w:rPr>
      </w:pPr>
      <w:r>
        <w:rPr>
          <w:rFonts w:hint="eastAsia" w:hAnsi="宋体" w:cs="宋体"/>
          <w:b/>
          <w:bCs/>
          <w:color w:val="auto"/>
          <w:sz w:val="21"/>
          <w:highlight w:val="none"/>
        </w:rPr>
        <w:t>二、质疑项目基本情况：</w:t>
      </w:r>
    </w:p>
    <w:p w14:paraId="69E939FB">
      <w:pPr>
        <w:pStyle w:val="20"/>
        <w:spacing w:line="348" w:lineRule="auto"/>
        <w:ind w:left="25" w:leftChars="12" w:firstLine="413" w:firstLineChars="197"/>
        <w:contextualSpacing/>
        <w:rPr>
          <w:rFonts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33623D8F">
      <w:pPr>
        <w:pStyle w:val="20"/>
        <w:spacing w:line="348" w:lineRule="auto"/>
        <w:ind w:left="25" w:leftChars="12" w:firstLine="413" w:firstLineChars="197"/>
        <w:contextualSpacing/>
        <w:rPr>
          <w:rFonts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5AE0610D">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6CF82236">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质疑事项：</w:t>
      </w:r>
    </w:p>
    <w:p w14:paraId="06456071">
      <w:pPr>
        <w:pStyle w:val="20"/>
        <w:spacing w:line="348" w:lineRule="auto"/>
        <w:ind w:left="25" w:leftChars="12" w:firstLine="308" w:firstLineChars="147"/>
        <w:contextualSpacing/>
        <w:rPr>
          <w:rFonts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14:paraId="2E91750A">
      <w:pPr>
        <w:pStyle w:val="20"/>
        <w:spacing w:line="348" w:lineRule="auto"/>
        <w:ind w:left="25" w:leftChars="12" w:firstLine="308" w:firstLineChars="147"/>
        <w:contextualSpacing/>
        <w:rPr>
          <w:rFonts w:hAnsi="宋体" w:cs="宋体"/>
          <w:color w:val="auto"/>
          <w:sz w:val="21"/>
          <w:highlight w:val="none"/>
        </w:rPr>
      </w:pPr>
      <w:r>
        <w:rPr>
          <w:rFonts w:hint="eastAsia" w:hAnsi="宋体" w:cs="宋体"/>
          <w:color w:val="auto"/>
          <w:sz w:val="21"/>
          <w:highlight w:val="none"/>
        </w:rPr>
        <w:t xml:space="preserve">□采购过程   </w:t>
      </w:r>
    </w:p>
    <w:p w14:paraId="1D43DDFF">
      <w:pPr>
        <w:pStyle w:val="20"/>
        <w:spacing w:line="348" w:lineRule="auto"/>
        <w:ind w:left="25" w:leftChars="12" w:firstLine="308" w:firstLineChars="147"/>
        <w:contextualSpacing/>
        <w:rPr>
          <w:rFonts w:hAnsi="宋体" w:cs="宋体"/>
          <w:bCs/>
          <w:color w:val="auto"/>
          <w:sz w:val="21"/>
          <w:highlight w:val="none"/>
          <w:u w:val="single"/>
        </w:rPr>
      </w:pPr>
      <w:r>
        <w:rPr>
          <w:rFonts w:hint="eastAsia" w:hAnsi="宋体" w:cs="宋体"/>
          <w:color w:val="auto"/>
          <w:sz w:val="21"/>
          <w:highlight w:val="none"/>
        </w:rPr>
        <w:t xml:space="preserve">□成交结果   </w:t>
      </w:r>
    </w:p>
    <w:p w14:paraId="4FA83F8D">
      <w:pPr>
        <w:pStyle w:val="20"/>
        <w:spacing w:line="348" w:lineRule="auto"/>
        <w:ind w:left="25" w:leftChars="12" w:firstLine="413" w:firstLineChars="196"/>
        <w:contextualSpacing/>
        <w:rPr>
          <w:rFonts w:hAnsi="宋体" w:cs="宋体"/>
          <w:b/>
          <w:color w:val="auto"/>
          <w:sz w:val="21"/>
          <w:highlight w:val="none"/>
        </w:rPr>
      </w:pPr>
      <w:r>
        <w:rPr>
          <w:rFonts w:hint="eastAsia" w:hAnsi="宋体" w:cs="宋体"/>
          <w:b/>
          <w:color w:val="auto"/>
          <w:sz w:val="21"/>
          <w:highlight w:val="none"/>
        </w:rPr>
        <w:t>三、质疑事项具体内容</w:t>
      </w:r>
    </w:p>
    <w:p w14:paraId="049ADBBE">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14:paraId="43ECC17E">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14:paraId="6CC7E4D3">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14:paraId="4BA25BA0">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质疑事项2</w:t>
      </w:r>
    </w:p>
    <w:p w14:paraId="2EA1F566">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w:t>
      </w:r>
    </w:p>
    <w:p w14:paraId="16500F97">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四、与质疑事项相关的质疑请求：</w:t>
      </w:r>
    </w:p>
    <w:p w14:paraId="1872DCEA">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0991B44F">
      <w:pPr>
        <w:pStyle w:val="20"/>
        <w:spacing w:line="348" w:lineRule="auto"/>
        <w:ind w:left="25" w:leftChars="12" w:firstLine="413" w:firstLineChars="197"/>
        <w:contextualSpacing/>
        <w:rPr>
          <w:rFonts w:hAnsi="宋体" w:cs="宋体"/>
          <w:color w:val="auto"/>
          <w:sz w:val="21"/>
          <w:highlight w:val="none"/>
        </w:rPr>
      </w:pPr>
      <w:r>
        <w:rPr>
          <w:rFonts w:hint="eastAsia" w:hAnsi="宋体" w:cs="宋体"/>
          <w:color w:val="auto"/>
          <w:sz w:val="21"/>
          <w:highlight w:val="none"/>
        </w:rPr>
        <w:t>签字（签章）：                                       公章：</w:t>
      </w:r>
    </w:p>
    <w:p w14:paraId="35BEF020">
      <w:pPr>
        <w:pStyle w:val="20"/>
        <w:spacing w:line="348" w:lineRule="auto"/>
        <w:ind w:firstLine="420" w:firstLineChars="200"/>
        <w:contextualSpacing/>
        <w:rPr>
          <w:rFonts w:hAnsi="宋体" w:cs="宋体"/>
          <w:b/>
          <w:color w:val="auto"/>
          <w:sz w:val="21"/>
          <w:highlight w:val="none"/>
        </w:rPr>
      </w:pPr>
      <w:r>
        <w:rPr>
          <w:rFonts w:hint="eastAsia" w:hAnsi="宋体" w:cs="宋体"/>
          <w:color w:val="auto"/>
          <w:sz w:val="21"/>
          <w:highlight w:val="none"/>
        </w:rPr>
        <w:t>日期：</w:t>
      </w:r>
    </w:p>
    <w:p w14:paraId="790EC2A7">
      <w:pPr>
        <w:pStyle w:val="20"/>
        <w:spacing w:line="348" w:lineRule="auto"/>
        <w:contextualSpacing/>
        <w:rPr>
          <w:rFonts w:hAnsi="宋体" w:cs="宋体"/>
          <w:b/>
          <w:color w:val="auto"/>
          <w:sz w:val="21"/>
          <w:highlight w:val="none"/>
        </w:rPr>
      </w:pPr>
      <w:r>
        <w:rPr>
          <w:rFonts w:hint="eastAsia" w:hAnsi="宋体" w:cs="宋体"/>
          <w:b/>
          <w:color w:val="auto"/>
          <w:sz w:val="21"/>
          <w:highlight w:val="none"/>
        </w:rPr>
        <w:t>说明：</w:t>
      </w:r>
    </w:p>
    <w:p w14:paraId="464E885D">
      <w:pPr>
        <w:pStyle w:val="20"/>
        <w:spacing w:line="348" w:lineRule="auto"/>
        <w:ind w:left="25" w:leftChars="12" w:firstLine="310" w:firstLineChars="147"/>
        <w:contextualSpacing/>
        <w:rPr>
          <w:rFonts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4DD22FD3">
      <w:pPr>
        <w:pStyle w:val="20"/>
        <w:spacing w:line="348" w:lineRule="auto"/>
        <w:ind w:left="25" w:leftChars="12" w:firstLine="310" w:firstLineChars="147"/>
        <w:contextualSpacing/>
        <w:rPr>
          <w:rFonts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3819BE7">
      <w:pPr>
        <w:pStyle w:val="20"/>
        <w:spacing w:line="348" w:lineRule="auto"/>
        <w:ind w:left="25" w:leftChars="12" w:firstLine="310" w:firstLineChars="147"/>
        <w:contextualSpacing/>
        <w:rPr>
          <w:rFonts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6E46B61F">
      <w:pPr>
        <w:pStyle w:val="20"/>
        <w:spacing w:line="348" w:lineRule="auto"/>
        <w:ind w:left="25" w:leftChars="12" w:firstLine="310" w:firstLineChars="147"/>
        <w:contextualSpacing/>
        <w:rPr>
          <w:rFonts w:hAnsi="宋体" w:cs="宋体"/>
          <w:b/>
          <w:color w:val="auto"/>
          <w:sz w:val="21"/>
          <w:highlight w:val="none"/>
        </w:rPr>
      </w:pPr>
      <w:r>
        <w:rPr>
          <w:rFonts w:hint="eastAsia" w:hAnsi="宋体" w:cs="宋体"/>
          <w:b/>
          <w:color w:val="auto"/>
          <w:sz w:val="21"/>
          <w:highlight w:val="none"/>
        </w:rPr>
        <w:t>4.质疑函的质疑请求应与质疑事项相关。</w:t>
      </w:r>
    </w:p>
    <w:p w14:paraId="29C5AEDC">
      <w:pPr>
        <w:pStyle w:val="20"/>
        <w:spacing w:line="348" w:lineRule="auto"/>
        <w:ind w:left="25" w:leftChars="12" w:firstLine="310" w:firstLineChars="147"/>
        <w:contextualSpacing/>
        <w:rPr>
          <w:rFonts w:hAnsi="宋体" w:cs="宋体"/>
          <w:b/>
          <w:color w:val="auto"/>
          <w:sz w:val="24"/>
          <w:szCs w:val="24"/>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1FD20178">
      <w:pPr>
        <w:pStyle w:val="3"/>
        <w:spacing w:before="0" w:after="0" w:line="480" w:lineRule="exact"/>
        <w:jc w:val="center"/>
        <w:rPr>
          <w:rFonts w:ascii="宋体" w:hAnsi="宋体" w:cs="宋体"/>
          <w:color w:val="auto"/>
          <w:highlight w:val="none"/>
        </w:rPr>
      </w:pPr>
      <w:bookmarkStart w:id="173" w:name="_Toc107326211"/>
      <w:r>
        <w:rPr>
          <w:rFonts w:hint="eastAsia" w:ascii="宋体" w:hAnsi="宋体" w:cs="宋体"/>
          <w:color w:val="auto"/>
          <w:highlight w:val="none"/>
        </w:rPr>
        <w:br w:type="page"/>
      </w:r>
    </w:p>
    <w:p w14:paraId="568F2060">
      <w:pPr>
        <w:pStyle w:val="3"/>
        <w:spacing w:before="0" w:after="0" w:line="480" w:lineRule="exact"/>
        <w:jc w:val="center"/>
        <w:rPr>
          <w:rFonts w:ascii="宋体" w:hAnsi="宋体" w:cs="宋体"/>
          <w:color w:val="auto"/>
          <w:highlight w:val="none"/>
        </w:rPr>
      </w:pPr>
      <w:r>
        <w:rPr>
          <w:rFonts w:hint="eastAsia" w:ascii="宋体" w:hAnsi="宋体" w:cs="宋体"/>
          <w:color w:val="auto"/>
          <w:highlight w:val="none"/>
        </w:rPr>
        <w:t>第六章 合同文本</w:t>
      </w:r>
      <w:bookmarkEnd w:id="173"/>
    </w:p>
    <w:p w14:paraId="4BD9DD2A">
      <w:pPr>
        <w:pStyle w:val="20"/>
        <w:snapToGrid w:val="0"/>
        <w:spacing w:line="360" w:lineRule="auto"/>
        <w:ind w:firstLine="1272" w:firstLineChars="396"/>
        <w:rPr>
          <w:rFonts w:hAnsi="宋体" w:cs="宋体"/>
          <w:b/>
          <w:color w:val="auto"/>
          <w:sz w:val="32"/>
          <w:szCs w:val="32"/>
          <w:highlight w:val="none"/>
        </w:rPr>
      </w:pPr>
    </w:p>
    <w:p w14:paraId="00066961">
      <w:pPr>
        <w:pStyle w:val="20"/>
        <w:snapToGrid w:val="0"/>
        <w:spacing w:line="360" w:lineRule="auto"/>
        <w:ind w:firstLine="1272" w:firstLineChars="396"/>
        <w:rPr>
          <w:rFonts w:hAnsi="宋体" w:cs="宋体"/>
          <w:b/>
          <w:color w:val="auto"/>
          <w:sz w:val="32"/>
          <w:szCs w:val="32"/>
          <w:highlight w:val="none"/>
        </w:rPr>
      </w:pPr>
    </w:p>
    <w:p w14:paraId="11056EE8">
      <w:pPr>
        <w:pStyle w:val="20"/>
        <w:snapToGrid w:val="0"/>
        <w:spacing w:line="360" w:lineRule="auto"/>
        <w:rPr>
          <w:rFonts w:hAnsi="宋体" w:cs="宋体"/>
          <w:b/>
          <w:color w:val="auto"/>
          <w:sz w:val="32"/>
          <w:szCs w:val="32"/>
          <w:highlight w:val="none"/>
        </w:rPr>
      </w:pPr>
    </w:p>
    <w:p w14:paraId="187C6465">
      <w:pPr>
        <w:pStyle w:val="20"/>
        <w:snapToGrid w:val="0"/>
        <w:spacing w:line="360" w:lineRule="auto"/>
        <w:jc w:val="center"/>
        <w:rPr>
          <w:rFonts w:hAnsi="宋体" w:cs="宋体"/>
          <w:b/>
          <w:color w:val="auto"/>
          <w:sz w:val="36"/>
          <w:szCs w:val="36"/>
          <w:highlight w:val="none"/>
        </w:rPr>
      </w:pPr>
      <w:r>
        <w:rPr>
          <w:rFonts w:hint="eastAsia" w:hAnsi="宋体" w:cs="宋体"/>
          <w:b/>
          <w:color w:val="auto"/>
          <w:sz w:val="36"/>
          <w:szCs w:val="36"/>
          <w:highlight w:val="none"/>
        </w:rPr>
        <w:t>项目</w:t>
      </w:r>
      <w:r>
        <w:rPr>
          <w:rFonts w:hint="eastAsia" w:hAnsi="宋体" w:cs="宋体"/>
          <w:b/>
          <w:color w:val="auto"/>
          <w:w w:val="95"/>
          <w:sz w:val="36"/>
          <w:szCs w:val="36"/>
          <w:highlight w:val="none"/>
        </w:rPr>
        <w:t>名称</w:t>
      </w:r>
      <w:r>
        <w:rPr>
          <w:rFonts w:hint="eastAsia" w:hAnsi="宋体" w:cs="宋体"/>
          <w:b/>
          <w:color w:val="auto"/>
          <w:sz w:val="36"/>
          <w:szCs w:val="36"/>
          <w:highlight w:val="none"/>
        </w:rPr>
        <w:t>：B08综合实训楼项目（北楼群）实训教室、教师休息室装修工程</w:t>
      </w:r>
    </w:p>
    <w:p w14:paraId="77243AF7">
      <w:pPr>
        <w:jc w:val="center"/>
        <w:rPr>
          <w:rFonts w:cs="黑体"/>
          <w:color w:val="auto"/>
          <w:highlight w:val="none"/>
        </w:rPr>
      </w:pPr>
    </w:p>
    <w:p w14:paraId="43F7204B">
      <w:pPr>
        <w:jc w:val="center"/>
        <w:rPr>
          <w:rFonts w:cs="黑体"/>
          <w:color w:val="auto"/>
          <w:highlight w:val="none"/>
        </w:rPr>
      </w:pPr>
    </w:p>
    <w:p w14:paraId="7A9EA9BF">
      <w:pPr>
        <w:jc w:val="center"/>
        <w:rPr>
          <w:rFonts w:cs="黑体"/>
          <w:color w:val="auto"/>
          <w:highlight w:val="none"/>
        </w:rPr>
      </w:pPr>
    </w:p>
    <w:p w14:paraId="33E2EFAF">
      <w:pPr>
        <w:jc w:val="center"/>
        <w:rPr>
          <w:rFonts w:cs="黑体"/>
          <w:color w:val="auto"/>
          <w:highlight w:val="none"/>
        </w:rPr>
      </w:pPr>
    </w:p>
    <w:p w14:paraId="2411EA9C">
      <w:pPr>
        <w:jc w:val="center"/>
        <w:rPr>
          <w:rFonts w:cs="黑体"/>
          <w:color w:val="auto"/>
          <w:highlight w:val="none"/>
        </w:rPr>
      </w:pPr>
    </w:p>
    <w:p w14:paraId="5E623AF0">
      <w:pPr>
        <w:jc w:val="center"/>
        <w:rPr>
          <w:rFonts w:cs="黑体"/>
          <w:color w:val="auto"/>
          <w:highlight w:val="none"/>
        </w:rPr>
      </w:pPr>
    </w:p>
    <w:p w14:paraId="797BE1F9">
      <w:pPr>
        <w:jc w:val="center"/>
        <w:rPr>
          <w:rFonts w:cs="黑体"/>
          <w:color w:val="auto"/>
          <w:highlight w:val="none"/>
        </w:rPr>
      </w:pPr>
    </w:p>
    <w:p w14:paraId="20991707">
      <w:pPr>
        <w:jc w:val="center"/>
        <w:rPr>
          <w:rFonts w:cs="黑体"/>
          <w:color w:val="auto"/>
          <w:highlight w:val="none"/>
        </w:rPr>
      </w:pPr>
    </w:p>
    <w:p w14:paraId="2C152DE7">
      <w:pPr>
        <w:jc w:val="center"/>
        <w:rPr>
          <w:rFonts w:cs="黑体"/>
          <w:color w:val="auto"/>
          <w:highlight w:val="none"/>
        </w:rPr>
      </w:pPr>
    </w:p>
    <w:p w14:paraId="438EBFE6">
      <w:pPr>
        <w:jc w:val="center"/>
        <w:rPr>
          <w:rFonts w:cs="黑体"/>
          <w:color w:val="auto"/>
          <w:highlight w:val="none"/>
        </w:rPr>
      </w:pPr>
    </w:p>
    <w:p w14:paraId="5664B13F">
      <w:pPr>
        <w:jc w:val="center"/>
        <w:rPr>
          <w:rFonts w:cs="黑体"/>
          <w:color w:val="auto"/>
          <w:highlight w:val="none"/>
        </w:rPr>
      </w:pPr>
    </w:p>
    <w:p w14:paraId="6FF09DCB">
      <w:pPr>
        <w:jc w:val="center"/>
        <w:rPr>
          <w:rFonts w:cs="黑体"/>
          <w:color w:val="auto"/>
          <w:highlight w:val="none"/>
        </w:rPr>
      </w:pPr>
    </w:p>
    <w:p w14:paraId="7CE261C3">
      <w:pPr>
        <w:jc w:val="center"/>
        <w:rPr>
          <w:rFonts w:cs="黑体"/>
          <w:color w:val="auto"/>
          <w:highlight w:val="none"/>
        </w:rPr>
      </w:pPr>
    </w:p>
    <w:p w14:paraId="13CD8122">
      <w:pPr>
        <w:jc w:val="center"/>
        <w:rPr>
          <w:rFonts w:cs="黑体"/>
          <w:color w:val="auto"/>
          <w:highlight w:val="none"/>
        </w:rPr>
      </w:pPr>
    </w:p>
    <w:p w14:paraId="4DDFC29A">
      <w:pPr>
        <w:spacing w:line="360" w:lineRule="auto"/>
        <w:ind w:firstLine="1120" w:firstLineChars="400"/>
        <w:jc w:val="left"/>
        <w:rPr>
          <w:rFonts w:hint="eastAsia" w:eastAsia="宋体"/>
          <w:color w:val="auto"/>
          <w:sz w:val="28"/>
          <w:szCs w:val="28"/>
          <w:highlight w:val="none"/>
          <w:u w:val="single"/>
          <w:lang w:eastAsia="zh-CN"/>
        </w:rPr>
      </w:pPr>
      <w:r>
        <w:rPr>
          <w:rFonts w:hint="eastAsia" w:hAnsi="宋体" w:cs="宋体"/>
          <w:color w:val="auto"/>
          <w:sz w:val="28"/>
          <w:szCs w:val="28"/>
          <w:highlight w:val="none"/>
        </w:rPr>
        <w:t>发包人（全称）：</w:t>
      </w:r>
      <w:r>
        <w:rPr>
          <w:rFonts w:hint="eastAsia" w:hAnsi="宋体"/>
          <w:color w:val="auto"/>
          <w:sz w:val="28"/>
          <w:szCs w:val="28"/>
          <w:highlight w:val="none"/>
          <w:u w:val="single"/>
          <w:lang w:eastAsia="zh-CN"/>
        </w:rPr>
        <w:t>广西职业技术大学</w:t>
      </w:r>
    </w:p>
    <w:p w14:paraId="1C397234">
      <w:pPr>
        <w:spacing w:line="360" w:lineRule="auto"/>
        <w:ind w:firstLine="1120" w:firstLineChars="400"/>
        <w:jc w:val="left"/>
        <w:rPr>
          <w:rFonts w:hAnsi="宋体" w:cs="宋体"/>
          <w:color w:val="auto"/>
          <w:sz w:val="28"/>
          <w:szCs w:val="28"/>
          <w:highlight w:val="none"/>
        </w:rPr>
      </w:pPr>
    </w:p>
    <w:p w14:paraId="62DEE9B7">
      <w:pPr>
        <w:spacing w:line="360" w:lineRule="auto"/>
        <w:ind w:firstLine="1120" w:firstLineChars="400"/>
        <w:jc w:val="left"/>
        <w:rPr>
          <w:rFonts w:hAnsi="宋体" w:cs="宋体"/>
          <w:color w:val="auto"/>
          <w:sz w:val="28"/>
          <w:szCs w:val="28"/>
          <w:highlight w:val="none"/>
          <w:u w:val="single"/>
        </w:rPr>
      </w:pPr>
      <w:r>
        <w:rPr>
          <w:rFonts w:hint="eastAsia" w:hAnsi="宋体" w:cs="宋体"/>
          <w:color w:val="auto"/>
          <w:sz w:val="28"/>
          <w:szCs w:val="28"/>
          <w:highlight w:val="none"/>
        </w:rPr>
        <w:t>承包人（全称）：</w:t>
      </w:r>
    </w:p>
    <w:p w14:paraId="1CB8ED7F">
      <w:pPr>
        <w:spacing w:line="360" w:lineRule="auto"/>
        <w:ind w:firstLine="1120" w:firstLineChars="400"/>
        <w:jc w:val="left"/>
        <w:rPr>
          <w:rFonts w:hAnsi="宋体" w:cs="宋体"/>
          <w:color w:val="auto"/>
          <w:sz w:val="28"/>
          <w:szCs w:val="28"/>
          <w:highlight w:val="none"/>
        </w:rPr>
      </w:pPr>
    </w:p>
    <w:p w14:paraId="7D7BD6B5">
      <w:pPr>
        <w:spacing w:line="360" w:lineRule="auto"/>
        <w:ind w:firstLine="1120" w:firstLineChars="400"/>
        <w:jc w:val="left"/>
        <w:rPr>
          <w:rFonts w:hAnsi="宋体" w:cs="宋体"/>
          <w:color w:val="auto"/>
          <w:sz w:val="28"/>
          <w:szCs w:val="28"/>
          <w:highlight w:val="none"/>
        </w:rPr>
      </w:pPr>
      <w:r>
        <w:rPr>
          <w:rFonts w:hint="eastAsia" w:hAnsi="宋体" w:cs="宋体"/>
          <w:color w:val="auto"/>
          <w:sz w:val="28"/>
          <w:szCs w:val="28"/>
          <w:highlight w:val="none"/>
        </w:rPr>
        <w:t>签订合同地点：广西南宁市</w:t>
      </w:r>
    </w:p>
    <w:p w14:paraId="12E8D917">
      <w:pPr>
        <w:spacing w:line="360" w:lineRule="auto"/>
        <w:ind w:firstLine="1120" w:firstLineChars="400"/>
        <w:jc w:val="left"/>
        <w:rPr>
          <w:rFonts w:hAnsi="宋体" w:cs="宋体"/>
          <w:color w:val="auto"/>
          <w:sz w:val="28"/>
          <w:szCs w:val="28"/>
          <w:highlight w:val="none"/>
        </w:rPr>
      </w:pPr>
    </w:p>
    <w:p w14:paraId="09DCFA3C">
      <w:pPr>
        <w:spacing w:line="360" w:lineRule="auto"/>
        <w:ind w:firstLine="1120" w:firstLineChars="400"/>
        <w:jc w:val="left"/>
        <w:rPr>
          <w:rFonts w:hAnsi="宋体" w:cs="宋体"/>
          <w:color w:val="auto"/>
          <w:sz w:val="28"/>
          <w:szCs w:val="28"/>
          <w:highlight w:val="none"/>
        </w:rPr>
      </w:pPr>
      <w:r>
        <w:rPr>
          <w:rFonts w:hint="eastAsia" w:hAnsi="宋体" w:cs="宋体"/>
          <w:color w:val="auto"/>
          <w:sz w:val="28"/>
          <w:szCs w:val="28"/>
          <w:highlight w:val="none"/>
        </w:rPr>
        <w:t>签订合同时间：      年    月   日</w:t>
      </w:r>
    </w:p>
    <w:p w14:paraId="7D789015">
      <w:pPr>
        <w:spacing w:line="480" w:lineRule="exact"/>
        <w:ind w:firstLine="2310" w:firstLineChars="500"/>
        <w:rPr>
          <w:rFonts w:ascii="宋体" w:hAnsi="宋体" w:cs="宋体"/>
          <w:color w:val="auto"/>
          <w:sz w:val="43"/>
          <w:szCs w:val="43"/>
          <w:highlight w:val="none"/>
        </w:rPr>
      </w:pPr>
      <w:r>
        <w:rPr>
          <w:rFonts w:hint="eastAsia" w:ascii="宋体" w:hAnsi="宋体" w:cs="宋体"/>
          <w:color w:val="auto"/>
          <w:spacing w:val="16"/>
          <w:sz w:val="43"/>
          <w:szCs w:val="43"/>
          <w:highlight w:val="none"/>
        </w:rPr>
        <w:br w:type="page"/>
      </w:r>
      <w:r>
        <w:rPr>
          <w:rFonts w:hint="eastAsia" w:ascii="宋体" w:hAnsi="宋体" w:cs="宋体"/>
          <w:color w:val="auto"/>
          <w:spacing w:val="16"/>
          <w:sz w:val="43"/>
          <w:szCs w:val="43"/>
          <w:highlight w:val="none"/>
        </w:rPr>
        <w:t>第</w:t>
      </w:r>
      <w:r>
        <w:rPr>
          <w:rFonts w:hint="eastAsia" w:ascii="宋体" w:hAnsi="宋体" w:cs="宋体"/>
          <w:color w:val="auto"/>
          <w:spacing w:val="13"/>
          <w:sz w:val="43"/>
          <w:szCs w:val="43"/>
          <w:highlight w:val="none"/>
        </w:rPr>
        <w:t>一部分 合同协议书</w:t>
      </w:r>
    </w:p>
    <w:p w14:paraId="153C6FFD">
      <w:pPr>
        <w:spacing w:line="480" w:lineRule="exact"/>
        <w:rPr>
          <w:rFonts w:ascii="宋体" w:hAnsi="宋体" w:cs="宋体"/>
          <w:color w:val="auto"/>
          <w:highlight w:val="none"/>
        </w:rPr>
      </w:pPr>
    </w:p>
    <w:p w14:paraId="4AA10836">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pacing w:val="1"/>
          <w:szCs w:val="21"/>
          <w:highlight w:val="none"/>
        </w:rPr>
        <w:t>发包人（全称）：</w:t>
      </w:r>
      <w:r>
        <w:rPr>
          <w:rFonts w:hint="eastAsia" w:ascii="宋体" w:hAnsi="宋体" w:cs="宋体"/>
          <w:color w:val="auto"/>
          <w:szCs w:val="21"/>
          <w:highlight w:val="none"/>
          <w:u w:val="single"/>
          <w:lang w:eastAsia="zh-CN"/>
        </w:rPr>
        <w:t>广西职业技术大学</w:t>
      </w:r>
    </w:p>
    <w:p w14:paraId="1EC4EE83">
      <w:pPr>
        <w:spacing w:line="360" w:lineRule="auto"/>
        <w:rPr>
          <w:rFonts w:ascii="宋体" w:hAnsi="宋体" w:cs="宋体"/>
          <w:color w:val="auto"/>
          <w:szCs w:val="21"/>
          <w:highlight w:val="none"/>
        </w:rPr>
      </w:pPr>
      <w:r>
        <w:rPr>
          <w:rFonts w:hint="eastAsia" w:ascii="宋体" w:hAnsi="宋体" w:cs="宋体"/>
          <w:color w:val="auto"/>
          <w:spacing w:val="10"/>
          <w:szCs w:val="21"/>
          <w:highlight w:val="none"/>
        </w:rPr>
        <w:t>承</w:t>
      </w:r>
      <w:r>
        <w:rPr>
          <w:rFonts w:hint="eastAsia" w:ascii="宋体" w:hAnsi="宋体" w:cs="宋体"/>
          <w:color w:val="auto"/>
          <w:spacing w:val="6"/>
          <w:szCs w:val="21"/>
          <w:highlight w:val="none"/>
        </w:rPr>
        <w:t>包人（全称）：</w:t>
      </w:r>
      <w:r>
        <w:rPr>
          <w:rFonts w:hint="eastAsia" w:ascii="宋体" w:hAnsi="宋体" w:cs="宋体"/>
          <w:color w:val="auto"/>
          <w:szCs w:val="21"/>
          <w:highlight w:val="none"/>
          <w:u w:val="single"/>
        </w:rPr>
        <w:t xml:space="preserve">                </w:t>
      </w:r>
    </w:p>
    <w:p w14:paraId="03FEEAD7">
      <w:pPr>
        <w:spacing w:line="360" w:lineRule="auto"/>
        <w:ind w:firstLine="421"/>
        <w:rPr>
          <w:rFonts w:ascii="宋体" w:hAnsi="宋体" w:cs="宋体"/>
          <w:color w:val="auto"/>
          <w:szCs w:val="21"/>
          <w:highlight w:val="none"/>
        </w:rPr>
      </w:pPr>
      <w:r>
        <w:rPr>
          <w:rFonts w:hint="eastAsia" w:ascii="宋体" w:hAnsi="宋体" w:cs="宋体"/>
          <w:color w:val="auto"/>
          <w:spacing w:val="1"/>
          <w:szCs w:val="21"/>
          <w:highlight w:val="none"/>
        </w:rPr>
        <w:t>根据《中华人民共和国民法典》《中华人民共和国建</w:t>
      </w:r>
      <w:r>
        <w:rPr>
          <w:rFonts w:hint="eastAsia" w:ascii="宋体" w:hAnsi="宋体" w:cs="宋体"/>
          <w:color w:val="auto"/>
          <w:szCs w:val="21"/>
          <w:highlight w:val="none"/>
        </w:rPr>
        <w:t xml:space="preserve">筑法》及有关法律规定，遵循平等、 </w:t>
      </w:r>
      <w:r>
        <w:rPr>
          <w:rFonts w:hint="eastAsia" w:ascii="宋体" w:hAnsi="宋体" w:cs="宋体"/>
          <w:color w:val="auto"/>
          <w:spacing w:val="-4"/>
          <w:szCs w:val="21"/>
          <w:highlight w:val="none"/>
        </w:rPr>
        <w:t>自愿、公平和诚实信</w:t>
      </w:r>
      <w:r>
        <w:rPr>
          <w:rFonts w:hint="eastAsia" w:ascii="宋体" w:hAnsi="宋体" w:cs="宋体"/>
          <w:color w:val="auto"/>
          <w:spacing w:val="-3"/>
          <w:szCs w:val="21"/>
          <w:highlight w:val="none"/>
        </w:rPr>
        <w:t>用</w:t>
      </w:r>
      <w:r>
        <w:rPr>
          <w:rFonts w:hint="eastAsia" w:ascii="宋体" w:hAnsi="宋体" w:cs="宋体"/>
          <w:color w:val="auto"/>
          <w:spacing w:val="-2"/>
          <w:szCs w:val="21"/>
          <w:highlight w:val="none"/>
        </w:rPr>
        <w:t>的原则，双方就</w:t>
      </w:r>
      <w:r>
        <w:rPr>
          <w:rFonts w:hint="eastAsia" w:ascii="宋体" w:hAnsi="宋体" w:cs="宋体"/>
          <w:color w:val="auto"/>
          <w:spacing w:val="-2"/>
          <w:szCs w:val="21"/>
          <w:highlight w:val="none"/>
          <w:u w:val="single"/>
        </w:rPr>
        <w:t>B08综合实训楼项目（北楼群）实训教室、教师休息室装修工程</w:t>
      </w:r>
      <w:r>
        <w:rPr>
          <w:rFonts w:hint="eastAsia" w:ascii="宋体" w:hAnsi="宋体" w:cs="宋体"/>
          <w:color w:val="auto"/>
          <w:spacing w:val="-2"/>
          <w:szCs w:val="21"/>
          <w:highlight w:val="none"/>
        </w:rPr>
        <w:t>施工及有关事项协商一致，</w:t>
      </w:r>
      <w:r>
        <w:rPr>
          <w:rFonts w:hint="eastAsia" w:ascii="宋体" w:hAnsi="宋体" w:cs="宋体"/>
          <w:color w:val="auto"/>
          <w:szCs w:val="21"/>
          <w:highlight w:val="none"/>
        </w:rPr>
        <w:t xml:space="preserve"> </w:t>
      </w:r>
      <w:r>
        <w:rPr>
          <w:rFonts w:hint="eastAsia" w:ascii="宋体" w:hAnsi="宋体" w:cs="宋体"/>
          <w:color w:val="auto"/>
          <w:spacing w:val="-6"/>
          <w:szCs w:val="21"/>
          <w:highlight w:val="none"/>
        </w:rPr>
        <w:t>共</w:t>
      </w:r>
      <w:r>
        <w:rPr>
          <w:rFonts w:hint="eastAsia" w:ascii="宋体" w:hAnsi="宋体" w:cs="宋体"/>
          <w:color w:val="auto"/>
          <w:spacing w:val="-5"/>
          <w:szCs w:val="21"/>
          <w:highlight w:val="none"/>
        </w:rPr>
        <w:t>同达成如下协议：</w:t>
      </w:r>
    </w:p>
    <w:p w14:paraId="6583E603">
      <w:pPr>
        <w:spacing w:line="360" w:lineRule="auto"/>
        <w:outlineLvl w:val="6"/>
        <w:rPr>
          <w:rFonts w:ascii="宋体" w:hAnsi="宋体" w:cs="宋体"/>
          <w:b/>
          <w:bCs/>
          <w:color w:val="auto"/>
          <w:szCs w:val="21"/>
          <w:highlight w:val="none"/>
        </w:rPr>
      </w:pPr>
      <w:r>
        <w:rPr>
          <w:rFonts w:hint="eastAsia" w:ascii="宋体" w:hAnsi="宋体" w:cs="宋体"/>
          <w:b/>
          <w:bCs/>
          <w:color w:val="auto"/>
          <w:spacing w:val="6"/>
          <w:szCs w:val="21"/>
          <w:highlight w:val="none"/>
        </w:rPr>
        <w:t>一、工程概</w:t>
      </w:r>
      <w:r>
        <w:rPr>
          <w:rFonts w:hint="eastAsia" w:ascii="宋体" w:hAnsi="宋体" w:cs="宋体"/>
          <w:b/>
          <w:bCs/>
          <w:color w:val="auto"/>
          <w:spacing w:val="5"/>
          <w:szCs w:val="21"/>
          <w:highlight w:val="none"/>
        </w:rPr>
        <w:t>况</w:t>
      </w:r>
    </w:p>
    <w:p w14:paraId="101BEBDE">
      <w:pPr>
        <w:spacing w:line="360" w:lineRule="auto"/>
        <w:ind w:firstLine="408" w:firstLineChars="200"/>
        <w:rPr>
          <w:rFonts w:ascii="宋体" w:hAnsi="宋体" w:cs="宋体"/>
          <w:color w:val="auto"/>
          <w:szCs w:val="21"/>
          <w:highlight w:val="none"/>
        </w:rPr>
      </w:pPr>
      <w:r>
        <w:rPr>
          <w:rFonts w:hint="eastAsia" w:ascii="宋体" w:hAnsi="宋体" w:cs="宋体"/>
          <w:color w:val="auto"/>
          <w:spacing w:val="-3"/>
          <w:szCs w:val="21"/>
          <w:highlight w:val="none"/>
        </w:rPr>
        <w:t>1.工程名称：</w:t>
      </w:r>
      <w:r>
        <w:rPr>
          <w:rFonts w:hint="eastAsia" w:ascii="宋体" w:hAnsi="宋体" w:cs="宋体"/>
          <w:color w:val="auto"/>
          <w:spacing w:val="-3"/>
          <w:szCs w:val="21"/>
          <w:highlight w:val="none"/>
          <w:u w:val="single"/>
        </w:rPr>
        <w:t>B08综合实训楼项目（北楼群）实训教室、教师休息室装修工程</w:t>
      </w:r>
      <w:r>
        <w:rPr>
          <w:rFonts w:hint="eastAsia" w:ascii="宋体" w:hAnsi="宋体" w:cs="宋体"/>
          <w:color w:val="auto"/>
          <w:spacing w:val="-1"/>
          <w:szCs w:val="21"/>
          <w:highlight w:val="none"/>
        </w:rPr>
        <w:t>。</w:t>
      </w:r>
    </w:p>
    <w:p w14:paraId="1A3450E8">
      <w:pPr>
        <w:spacing w:line="360" w:lineRule="auto"/>
        <w:ind w:firstLine="416" w:firstLineChars="200"/>
        <w:rPr>
          <w:rFonts w:ascii="宋体" w:hAnsi="宋体" w:cs="宋体"/>
          <w:color w:val="auto"/>
          <w:szCs w:val="21"/>
          <w:highlight w:val="none"/>
        </w:rPr>
      </w:pPr>
      <w:r>
        <w:rPr>
          <w:rFonts w:hint="eastAsia" w:ascii="宋体" w:hAnsi="宋体" w:cs="宋体"/>
          <w:color w:val="auto"/>
          <w:spacing w:val="-1"/>
          <w:szCs w:val="21"/>
          <w:highlight w:val="none"/>
        </w:rPr>
        <w:t>2.工程地点：</w:t>
      </w:r>
      <w:r>
        <w:rPr>
          <w:rFonts w:hint="eastAsia" w:ascii="宋体" w:hAnsi="宋体" w:cs="宋体"/>
          <w:color w:val="auto"/>
          <w:spacing w:val="-1"/>
          <w:szCs w:val="21"/>
          <w:highlight w:val="none"/>
          <w:u w:val="single"/>
        </w:rPr>
        <w:t>南宁市江南区明阳大道19号采购人指定地点</w:t>
      </w:r>
      <w:r>
        <w:rPr>
          <w:rFonts w:hint="eastAsia" w:ascii="宋体" w:hAnsi="宋体" w:cs="宋体"/>
          <w:color w:val="auto"/>
          <w:szCs w:val="21"/>
          <w:highlight w:val="none"/>
        </w:rPr>
        <w:t>。</w:t>
      </w:r>
    </w:p>
    <w:p w14:paraId="6410A307">
      <w:pPr>
        <w:spacing w:line="360" w:lineRule="auto"/>
        <w:ind w:firstLine="412" w:firstLineChars="200"/>
        <w:rPr>
          <w:rFonts w:ascii="宋体" w:hAnsi="宋体" w:cs="宋体"/>
          <w:color w:val="auto"/>
          <w:szCs w:val="21"/>
          <w:highlight w:val="none"/>
        </w:rPr>
      </w:pPr>
      <w:r>
        <w:rPr>
          <w:rFonts w:hint="eastAsia" w:ascii="宋体" w:hAnsi="宋体" w:cs="宋体"/>
          <w:color w:val="auto"/>
          <w:spacing w:val="-2"/>
          <w:szCs w:val="21"/>
          <w:highlight w:val="none"/>
        </w:rPr>
        <w:t>3.工程立项批准文号：</w:t>
      </w:r>
      <w:r>
        <w:rPr>
          <w:rFonts w:hint="eastAsia" w:ascii="宋体" w:hAnsi="宋体" w:cs="宋体"/>
          <w:color w:val="auto"/>
          <w:spacing w:val="-2"/>
          <w:szCs w:val="21"/>
          <w:highlight w:val="none"/>
          <w:u w:val="single"/>
        </w:rPr>
        <w:t xml:space="preserve">              /                 </w:t>
      </w:r>
      <w:r>
        <w:rPr>
          <w:rFonts w:hint="eastAsia" w:ascii="宋体" w:hAnsi="宋体" w:cs="宋体"/>
          <w:color w:val="auto"/>
          <w:spacing w:val="-1"/>
          <w:szCs w:val="21"/>
          <w:highlight w:val="none"/>
        </w:rPr>
        <w:t>。</w:t>
      </w:r>
    </w:p>
    <w:p w14:paraId="6D4B4012">
      <w:pPr>
        <w:spacing w:line="360" w:lineRule="auto"/>
        <w:ind w:firstLine="412" w:firstLineChars="200"/>
        <w:rPr>
          <w:rFonts w:ascii="宋体" w:hAnsi="宋体" w:cs="宋体"/>
          <w:color w:val="auto"/>
          <w:szCs w:val="21"/>
          <w:highlight w:val="none"/>
        </w:rPr>
      </w:pPr>
      <w:r>
        <w:rPr>
          <w:rFonts w:hint="eastAsia" w:ascii="宋体" w:hAnsi="宋体" w:cs="宋体"/>
          <w:color w:val="auto"/>
          <w:spacing w:val="-2"/>
          <w:szCs w:val="21"/>
          <w:highlight w:val="none"/>
        </w:rPr>
        <w:t>4.资金来源：</w:t>
      </w:r>
      <w:r>
        <w:rPr>
          <w:rFonts w:hint="eastAsia" w:ascii="宋体" w:hAnsi="宋体" w:cs="宋体"/>
          <w:color w:val="auto"/>
          <w:spacing w:val="-2"/>
          <w:szCs w:val="21"/>
          <w:highlight w:val="none"/>
          <w:u w:val="single"/>
        </w:rPr>
        <w:t xml:space="preserve">            财政资金    </w:t>
      </w:r>
      <w:r>
        <w:rPr>
          <w:rFonts w:hint="eastAsia" w:ascii="宋体" w:hAnsi="宋体" w:cs="宋体"/>
          <w:color w:val="auto"/>
          <w:spacing w:val="-1"/>
          <w:szCs w:val="21"/>
          <w:highlight w:val="none"/>
          <w:u w:val="single"/>
        </w:rPr>
        <w:t xml:space="preserve">                </w:t>
      </w:r>
      <w:r>
        <w:rPr>
          <w:rFonts w:hint="eastAsia" w:ascii="宋体" w:hAnsi="宋体" w:cs="宋体"/>
          <w:color w:val="auto"/>
          <w:spacing w:val="-1"/>
          <w:szCs w:val="21"/>
          <w:highlight w:val="none"/>
        </w:rPr>
        <w:t>。</w:t>
      </w:r>
    </w:p>
    <w:p w14:paraId="7AE5EE64">
      <w:pPr>
        <w:spacing w:line="360" w:lineRule="auto"/>
        <w:ind w:firstLine="408" w:firstLineChars="200"/>
        <w:rPr>
          <w:rFonts w:ascii="宋体" w:hAnsi="宋体" w:cs="宋体"/>
          <w:color w:val="auto"/>
          <w:szCs w:val="21"/>
          <w:highlight w:val="none"/>
        </w:rPr>
      </w:pPr>
      <w:r>
        <w:rPr>
          <w:rFonts w:hint="eastAsia" w:ascii="宋体" w:hAnsi="宋体" w:cs="宋体"/>
          <w:color w:val="auto"/>
          <w:spacing w:val="-3"/>
          <w:szCs w:val="21"/>
          <w:highlight w:val="none"/>
        </w:rPr>
        <w:t>5</w:t>
      </w:r>
      <w:r>
        <w:rPr>
          <w:rFonts w:hint="eastAsia" w:ascii="宋体" w:hAnsi="宋体" w:cs="宋体"/>
          <w:color w:val="auto"/>
          <w:spacing w:val="-2"/>
          <w:szCs w:val="21"/>
          <w:highlight w:val="none"/>
        </w:rPr>
        <w:t>.工程内容：</w:t>
      </w:r>
      <w:r>
        <w:rPr>
          <w:rFonts w:hint="eastAsia" w:ascii="宋体" w:hAnsi="宋体" w:cs="宋体"/>
          <w:color w:val="auto"/>
          <w:spacing w:val="-2"/>
          <w:szCs w:val="21"/>
          <w:highlight w:val="none"/>
          <w:u w:val="single"/>
        </w:rPr>
        <w:t>B08综合实训楼项目（北楼群）实训教室、教师休息室装修工程</w:t>
      </w:r>
      <w:r>
        <w:rPr>
          <w:rFonts w:hint="eastAsia" w:ascii="宋体" w:hAnsi="宋体" w:cs="宋体"/>
          <w:color w:val="auto"/>
          <w:spacing w:val="1"/>
          <w:szCs w:val="21"/>
          <w:highlight w:val="none"/>
          <w:u w:val="single"/>
        </w:rPr>
        <w:t>，</w:t>
      </w:r>
      <w:r>
        <w:rPr>
          <w:rFonts w:hint="eastAsia" w:ascii="宋体" w:hAnsi="宋体" w:cs="宋体"/>
          <w:color w:val="auto"/>
          <w:spacing w:val="-1"/>
          <w:szCs w:val="21"/>
          <w:highlight w:val="none"/>
          <w:u w:val="single"/>
        </w:rPr>
        <w:t>详见工程量清</w:t>
      </w:r>
      <w:r>
        <w:rPr>
          <w:rFonts w:hint="eastAsia" w:ascii="宋体" w:hAnsi="宋体" w:cs="宋体"/>
          <w:color w:val="auto"/>
          <w:szCs w:val="21"/>
          <w:highlight w:val="none"/>
          <w:u w:val="single"/>
        </w:rPr>
        <w:t>单及施工图纸</w:t>
      </w:r>
      <w:r>
        <w:rPr>
          <w:rFonts w:hint="eastAsia" w:ascii="宋体" w:hAnsi="宋体" w:cs="宋体"/>
          <w:color w:val="auto"/>
          <w:szCs w:val="21"/>
          <w:highlight w:val="none"/>
        </w:rPr>
        <w:t>。</w:t>
      </w:r>
    </w:p>
    <w:p w14:paraId="61F77C45">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6.</w:t>
      </w:r>
      <w:r>
        <w:rPr>
          <w:rFonts w:hint="eastAsia" w:ascii="宋体" w:hAnsi="宋体" w:cs="宋体"/>
          <w:color w:val="auto"/>
          <w:spacing w:val="-3"/>
          <w:szCs w:val="21"/>
          <w:highlight w:val="none"/>
        </w:rPr>
        <w:t>工程承包范围：</w:t>
      </w:r>
      <w:r>
        <w:rPr>
          <w:rFonts w:hint="eastAsia" w:ascii="宋体" w:hAnsi="宋体" w:cs="宋体"/>
          <w:color w:val="auto"/>
          <w:spacing w:val="-2"/>
          <w:szCs w:val="21"/>
          <w:highlight w:val="none"/>
          <w:u w:val="single"/>
        </w:rPr>
        <w:t>B08综合实训楼项目（北楼群）实训教室、教师休息室装修工程</w:t>
      </w:r>
      <w:r>
        <w:rPr>
          <w:rFonts w:hint="eastAsia" w:ascii="宋体" w:hAnsi="宋体" w:cs="宋体"/>
          <w:color w:val="auto"/>
          <w:spacing w:val="1"/>
          <w:szCs w:val="21"/>
          <w:highlight w:val="none"/>
          <w:u w:val="single"/>
        </w:rPr>
        <w:t>，</w:t>
      </w:r>
      <w:r>
        <w:rPr>
          <w:rFonts w:hint="eastAsia" w:ascii="宋体" w:hAnsi="宋体" w:cs="宋体"/>
          <w:color w:val="auto"/>
          <w:spacing w:val="-1"/>
          <w:szCs w:val="21"/>
          <w:highlight w:val="none"/>
          <w:u w:val="single"/>
        </w:rPr>
        <w:t>详见工程量清</w:t>
      </w:r>
      <w:r>
        <w:rPr>
          <w:rFonts w:hint="eastAsia" w:ascii="宋体" w:hAnsi="宋体" w:cs="宋体"/>
          <w:color w:val="auto"/>
          <w:szCs w:val="21"/>
          <w:highlight w:val="none"/>
          <w:u w:val="single"/>
        </w:rPr>
        <w:t>单及施工图纸</w:t>
      </w:r>
      <w:r>
        <w:rPr>
          <w:rFonts w:hint="eastAsia" w:ascii="宋体" w:hAnsi="宋体" w:cs="宋体"/>
          <w:color w:val="auto"/>
          <w:szCs w:val="21"/>
          <w:highlight w:val="none"/>
        </w:rPr>
        <w:t>。</w:t>
      </w:r>
    </w:p>
    <w:p w14:paraId="6E674C57">
      <w:pPr>
        <w:spacing w:line="360" w:lineRule="auto"/>
        <w:outlineLvl w:val="6"/>
        <w:rPr>
          <w:rFonts w:ascii="宋体" w:hAnsi="宋体" w:cs="宋体"/>
          <w:b/>
          <w:bCs/>
          <w:color w:val="auto"/>
          <w:spacing w:val="6"/>
          <w:szCs w:val="21"/>
          <w:highlight w:val="none"/>
        </w:rPr>
      </w:pPr>
      <w:r>
        <w:rPr>
          <w:rFonts w:hint="eastAsia" w:ascii="宋体" w:hAnsi="宋体" w:cs="宋体"/>
          <w:b/>
          <w:bCs/>
          <w:color w:val="auto"/>
          <w:spacing w:val="6"/>
          <w:szCs w:val="21"/>
          <w:highlight w:val="none"/>
        </w:rPr>
        <w:t>二、合同工期</w:t>
      </w:r>
    </w:p>
    <w:p w14:paraId="0BE88751">
      <w:pPr>
        <w:spacing w:line="360" w:lineRule="auto"/>
        <w:ind w:firstLine="388" w:firstLineChars="200"/>
        <w:rPr>
          <w:rFonts w:ascii="宋体" w:hAnsi="宋体" w:cs="宋体"/>
          <w:color w:val="auto"/>
          <w:szCs w:val="21"/>
          <w:highlight w:val="none"/>
        </w:rPr>
      </w:pPr>
      <w:r>
        <w:rPr>
          <w:rFonts w:hint="eastAsia" w:ascii="宋体" w:hAnsi="宋体" w:cs="宋体"/>
          <w:color w:val="auto"/>
          <w:spacing w:val="-8"/>
          <w:szCs w:val="21"/>
          <w:highlight w:val="none"/>
        </w:rPr>
        <w:t>计划开工</w:t>
      </w:r>
      <w:r>
        <w:rPr>
          <w:rFonts w:hint="eastAsia" w:ascii="宋体" w:hAnsi="宋体" w:cs="宋体"/>
          <w:color w:val="auto"/>
          <w:spacing w:val="-7"/>
          <w:szCs w:val="21"/>
          <w:highlight w:val="none"/>
        </w:rPr>
        <w:t>日</w:t>
      </w:r>
      <w:r>
        <w:rPr>
          <w:rFonts w:hint="eastAsia" w:ascii="宋体" w:hAnsi="宋体" w:cs="宋体"/>
          <w:color w:val="auto"/>
          <w:spacing w:val="-4"/>
          <w:szCs w:val="21"/>
          <w:highlight w:val="none"/>
        </w:rPr>
        <w:t>期：</w:t>
      </w:r>
      <w:r>
        <w:rPr>
          <w:rFonts w:hint="eastAsia" w:ascii="宋体" w:hAnsi="宋体" w:cs="宋体"/>
          <w:color w:val="auto"/>
          <w:spacing w:val="-4"/>
          <w:szCs w:val="21"/>
          <w:highlight w:val="none"/>
          <w:u w:val="single"/>
        </w:rPr>
        <w:t xml:space="preserve">           </w:t>
      </w:r>
      <w:r>
        <w:rPr>
          <w:rFonts w:hint="eastAsia" w:ascii="宋体" w:hAnsi="宋体" w:cs="宋体"/>
          <w:color w:val="auto"/>
          <w:spacing w:val="-4"/>
          <w:szCs w:val="21"/>
          <w:highlight w:val="none"/>
        </w:rPr>
        <w:t>年</w:t>
      </w:r>
      <w:r>
        <w:rPr>
          <w:rFonts w:hint="eastAsia" w:ascii="宋体" w:hAnsi="宋体" w:cs="宋体"/>
          <w:color w:val="auto"/>
          <w:spacing w:val="-4"/>
          <w:szCs w:val="21"/>
          <w:highlight w:val="none"/>
          <w:u w:val="single"/>
        </w:rPr>
        <w:t xml:space="preserve">      </w:t>
      </w:r>
      <w:r>
        <w:rPr>
          <w:rFonts w:hint="eastAsia" w:ascii="宋体" w:hAnsi="宋体" w:cs="宋体"/>
          <w:color w:val="auto"/>
          <w:spacing w:val="-4"/>
          <w:szCs w:val="21"/>
          <w:highlight w:val="none"/>
        </w:rPr>
        <w:t>月</w:t>
      </w:r>
      <w:r>
        <w:rPr>
          <w:rFonts w:hint="eastAsia" w:ascii="宋体" w:hAnsi="宋体" w:cs="宋体"/>
          <w:color w:val="auto"/>
          <w:spacing w:val="-4"/>
          <w:szCs w:val="21"/>
          <w:highlight w:val="none"/>
          <w:u w:val="single"/>
        </w:rPr>
        <w:t xml:space="preserve">      </w:t>
      </w:r>
      <w:r>
        <w:rPr>
          <w:rFonts w:hint="eastAsia" w:ascii="宋体" w:hAnsi="宋体" w:cs="宋体"/>
          <w:color w:val="auto"/>
          <w:spacing w:val="-4"/>
          <w:szCs w:val="21"/>
          <w:highlight w:val="none"/>
        </w:rPr>
        <w:t>日。  （具体以发包人书面通知为准）</w:t>
      </w:r>
    </w:p>
    <w:p w14:paraId="729BDC81">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计划</w:t>
      </w:r>
      <w:r>
        <w:rPr>
          <w:rFonts w:hint="eastAsia" w:ascii="宋体" w:hAnsi="宋体" w:cs="宋体"/>
          <w:color w:val="auto"/>
          <w:spacing w:val="-3"/>
          <w:szCs w:val="21"/>
          <w:highlight w:val="none"/>
        </w:rPr>
        <w:t>竣工日期：</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年</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月</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日。</w:t>
      </w:r>
    </w:p>
    <w:p w14:paraId="606735E6">
      <w:pPr>
        <w:spacing w:line="360" w:lineRule="auto"/>
        <w:ind w:firstLine="412" w:firstLineChars="200"/>
        <w:rPr>
          <w:rFonts w:ascii="宋体" w:hAnsi="宋体" w:cs="宋体"/>
          <w:color w:val="auto"/>
          <w:szCs w:val="21"/>
          <w:highlight w:val="none"/>
        </w:rPr>
      </w:pPr>
      <w:r>
        <w:rPr>
          <w:rFonts w:hint="eastAsia" w:ascii="宋体" w:hAnsi="宋体" w:cs="宋体"/>
          <w:color w:val="auto"/>
          <w:spacing w:val="-2"/>
          <w:szCs w:val="21"/>
          <w:highlight w:val="none"/>
        </w:rPr>
        <w:t xml:space="preserve">工期总日历天数： </w:t>
      </w:r>
      <w:r>
        <w:rPr>
          <w:rFonts w:hint="eastAsia" w:ascii="宋体" w:hAnsi="宋体" w:cs="宋体"/>
          <w:color w:val="auto"/>
          <w:spacing w:val="-2"/>
          <w:szCs w:val="21"/>
          <w:highlight w:val="none"/>
          <w:u w:val="single"/>
        </w:rPr>
        <w:t>45日历天</w:t>
      </w:r>
      <w:r>
        <w:rPr>
          <w:rFonts w:hint="eastAsia" w:ascii="宋体" w:hAnsi="宋体" w:cs="宋体"/>
          <w:color w:val="auto"/>
          <w:spacing w:val="-2"/>
          <w:szCs w:val="21"/>
          <w:highlight w:val="none"/>
        </w:rPr>
        <w:t>。工期总日历天数与根据前述计划开竣工日期计算的工期天数</w:t>
      </w:r>
      <w:r>
        <w:rPr>
          <w:rFonts w:hint="eastAsia" w:ascii="宋体" w:hAnsi="宋体" w:cs="宋体"/>
          <w:color w:val="auto"/>
          <w:szCs w:val="21"/>
          <w:highlight w:val="none"/>
        </w:rPr>
        <w:t xml:space="preserve">不一 </w:t>
      </w:r>
      <w:r>
        <w:rPr>
          <w:rFonts w:hint="eastAsia" w:ascii="宋体" w:hAnsi="宋体" w:cs="宋体"/>
          <w:color w:val="auto"/>
          <w:spacing w:val="-4"/>
          <w:szCs w:val="21"/>
          <w:highlight w:val="none"/>
        </w:rPr>
        <w:t>致</w:t>
      </w:r>
      <w:r>
        <w:rPr>
          <w:rFonts w:hint="eastAsia" w:ascii="宋体" w:hAnsi="宋体" w:cs="宋体"/>
          <w:color w:val="auto"/>
          <w:spacing w:val="-2"/>
          <w:szCs w:val="21"/>
          <w:highlight w:val="none"/>
        </w:rPr>
        <w:t>的，以工期总日历天数为准。</w:t>
      </w:r>
    </w:p>
    <w:p w14:paraId="728BAE44">
      <w:pPr>
        <w:spacing w:line="360" w:lineRule="auto"/>
        <w:outlineLvl w:val="6"/>
        <w:rPr>
          <w:rFonts w:ascii="宋体" w:hAnsi="宋体" w:cs="宋体"/>
          <w:b/>
          <w:bCs/>
          <w:color w:val="auto"/>
          <w:szCs w:val="21"/>
          <w:highlight w:val="none"/>
        </w:rPr>
      </w:pPr>
      <w:r>
        <w:rPr>
          <w:rFonts w:hint="eastAsia" w:ascii="宋体" w:hAnsi="宋体" w:cs="宋体"/>
          <w:b/>
          <w:bCs/>
          <w:color w:val="auto"/>
          <w:spacing w:val="8"/>
          <w:szCs w:val="21"/>
          <w:highlight w:val="none"/>
        </w:rPr>
        <w:t>三</w:t>
      </w:r>
      <w:r>
        <w:rPr>
          <w:rFonts w:hint="eastAsia" w:ascii="宋体" w:hAnsi="宋体" w:cs="宋体"/>
          <w:b/>
          <w:bCs/>
          <w:color w:val="auto"/>
          <w:spacing w:val="6"/>
          <w:szCs w:val="21"/>
          <w:highlight w:val="none"/>
        </w:rPr>
        <w:t>、质量标准</w:t>
      </w:r>
    </w:p>
    <w:p w14:paraId="73A94E40">
      <w:pPr>
        <w:spacing w:line="360" w:lineRule="auto"/>
        <w:ind w:firstLine="404" w:firstLineChars="200"/>
        <w:rPr>
          <w:rFonts w:ascii="宋体" w:hAnsi="宋体" w:cs="宋体"/>
          <w:color w:val="auto"/>
          <w:szCs w:val="21"/>
          <w:highlight w:val="none"/>
        </w:rPr>
      </w:pPr>
      <w:r>
        <w:rPr>
          <w:rFonts w:hint="eastAsia" w:ascii="宋体" w:hAnsi="宋体" w:cs="宋体"/>
          <w:color w:val="auto"/>
          <w:spacing w:val="-4"/>
          <w:szCs w:val="21"/>
          <w:highlight w:val="none"/>
        </w:rPr>
        <w:t>工程质量符合</w:t>
      </w:r>
      <w:r>
        <w:rPr>
          <w:rFonts w:hint="eastAsia" w:ascii="宋体" w:hAnsi="宋体" w:cs="宋体"/>
          <w:color w:val="auto"/>
          <w:spacing w:val="-4"/>
          <w:szCs w:val="21"/>
          <w:highlight w:val="none"/>
          <w:u w:val="single"/>
        </w:rPr>
        <w:t xml:space="preserve"> 达到国家施工验收规范合格标准要求</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标准。</w:t>
      </w:r>
    </w:p>
    <w:p w14:paraId="412BEEA7">
      <w:pPr>
        <w:spacing w:line="360" w:lineRule="auto"/>
        <w:outlineLvl w:val="6"/>
        <w:rPr>
          <w:rFonts w:ascii="宋体" w:hAnsi="宋体" w:cs="宋体"/>
          <w:b/>
          <w:bCs/>
          <w:color w:val="auto"/>
          <w:szCs w:val="21"/>
          <w:highlight w:val="none"/>
        </w:rPr>
      </w:pPr>
      <w:r>
        <w:rPr>
          <w:rFonts w:hint="eastAsia" w:ascii="宋体" w:hAnsi="宋体" w:cs="宋体"/>
          <w:b/>
          <w:bCs/>
          <w:color w:val="auto"/>
          <w:spacing w:val="4"/>
          <w:szCs w:val="21"/>
          <w:highlight w:val="none"/>
        </w:rPr>
        <w:t>四、签约</w:t>
      </w:r>
      <w:r>
        <w:rPr>
          <w:rFonts w:hint="eastAsia" w:ascii="宋体" w:hAnsi="宋体" w:cs="宋体"/>
          <w:b/>
          <w:bCs/>
          <w:color w:val="auto"/>
          <w:spacing w:val="3"/>
          <w:szCs w:val="21"/>
          <w:highlight w:val="none"/>
        </w:rPr>
        <w:t>合</w:t>
      </w:r>
      <w:r>
        <w:rPr>
          <w:rFonts w:hint="eastAsia" w:ascii="宋体" w:hAnsi="宋体" w:cs="宋体"/>
          <w:b/>
          <w:bCs/>
          <w:color w:val="auto"/>
          <w:spacing w:val="2"/>
          <w:szCs w:val="21"/>
          <w:highlight w:val="none"/>
        </w:rPr>
        <w:t>同价与合同价格形式</w:t>
      </w:r>
    </w:p>
    <w:p w14:paraId="4D6F4AD1">
      <w:pPr>
        <w:spacing w:line="360" w:lineRule="auto"/>
        <w:ind w:firstLine="400" w:firstLineChars="200"/>
        <w:rPr>
          <w:rFonts w:ascii="宋体" w:hAnsi="宋体" w:cs="宋体"/>
          <w:color w:val="auto"/>
          <w:szCs w:val="21"/>
          <w:highlight w:val="none"/>
        </w:rPr>
      </w:pPr>
      <w:r>
        <w:rPr>
          <w:rFonts w:hint="eastAsia" w:ascii="宋体" w:hAnsi="宋体" w:cs="宋体"/>
          <w:color w:val="auto"/>
          <w:spacing w:val="-5"/>
          <w:szCs w:val="21"/>
          <w:highlight w:val="none"/>
        </w:rPr>
        <w:t>1.签约合同价为：</w:t>
      </w:r>
      <w:r>
        <w:rPr>
          <w:rFonts w:hint="eastAsia" w:ascii="宋体" w:hAnsi="宋体" w:cs="宋体"/>
          <w:color w:val="auto"/>
          <w:spacing w:val="4"/>
          <w:szCs w:val="21"/>
          <w:highlight w:val="none"/>
        </w:rPr>
        <w:t>人民</w:t>
      </w:r>
      <w:r>
        <w:rPr>
          <w:rFonts w:hint="eastAsia" w:ascii="宋体" w:hAnsi="宋体" w:cs="宋体"/>
          <w:color w:val="auto"/>
          <w:spacing w:val="2"/>
          <w:szCs w:val="21"/>
          <w:highlight w:val="none"/>
        </w:rPr>
        <w:t>币（大写）</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 xml:space="preserve"> 元） ；</w:t>
      </w:r>
    </w:p>
    <w:p w14:paraId="41961F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具体构成详见价格清单。</w:t>
      </w:r>
      <w:r>
        <w:rPr>
          <w:rFonts w:hint="eastAsia" w:ascii="宋体" w:hAnsi="宋体" w:cs="宋体"/>
          <w:color w:val="auto"/>
          <w:spacing w:val="-14"/>
          <w:szCs w:val="21"/>
          <w:highlight w:val="none"/>
        </w:rPr>
        <w:t>其</w:t>
      </w:r>
      <w:r>
        <w:rPr>
          <w:rFonts w:hint="eastAsia" w:ascii="宋体" w:hAnsi="宋体" w:cs="宋体"/>
          <w:color w:val="auto"/>
          <w:spacing w:val="-12"/>
          <w:szCs w:val="21"/>
          <w:highlight w:val="none"/>
        </w:rPr>
        <w:t>中：</w:t>
      </w:r>
    </w:p>
    <w:p w14:paraId="3732EC00">
      <w:pPr>
        <w:spacing w:line="360" w:lineRule="auto"/>
        <w:ind w:firstLine="476" w:firstLineChars="200"/>
        <w:rPr>
          <w:rFonts w:ascii="宋体" w:hAnsi="宋体" w:cs="宋体"/>
          <w:color w:val="auto"/>
          <w:szCs w:val="21"/>
          <w:highlight w:val="none"/>
        </w:rPr>
      </w:pPr>
      <w:r>
        <w:rPr>
          <w:rFonts w:hint="eastAsia" w:ascii="宋体" w:hAnsi="宋体" w:cs="宋体"/>
          <w:color w:val="auto"/>
          <w:spacing w:val="14"/>
          <w:szCs w:val="21"/>
          <w:highlight w:val="none"/>
        </w:rPr>
        <w:t>（1）安全文明施工费</w:t>
      </w:r>
      <w:r>
        <w:rPr>
          <w:rFonts w:hint="eastAsia" w:ascii="宋体" w:hAnsi="宋体" w:cs="宋体"/>
          <w:color w:val="auto"/>
          <w:spacing w:val="12"/>
          <w:szCs w:val="21"/>
          <w:highlight w:val="none"/>
        </w:rPr>
        <w:t>：</w:t>
      </w:r>
    </w:p>
    <w:p w14:paraId="37949C82">
      <w:pPr>
        <w:spacing w:line="360" w:lineRule="auto"/>
        <w:ind w:firstLine="436" w:firstLineChars="200"/>
        <w:rPr>
          <w:rFonts w:ascii="宋体" w:hAnsi="宋体" w:cs="宋体"/>
          <w:color w:val="auto"/>
          <w:szCs w:val="21"/>
          <w:highlight w:val="none"/>
        </w:rPr>
      </w:pPr>
      <w:r>
        <w:rPr>
          <w:rFonts w:hint="eastAsia" w:ascii="宋体" w:hAnsi="宋体" w:cs="宋体"/>
          <w:color w:val="auto"/>
          <w:spacing w:val="4"/>
          <w:szCs w:val="21"/>
          <w:highlight w:val="none"/>
        </w:rPr>
        <w:t>人民币（大写）</w:t>
      </w:r>
      <w:r>
        <w:rPr>
          <w:rFonts w:hint="eastAsia" w:ascii="宋体" w:hAnsi="宋体" w:cs="宋体"/>
          <w:color w:val="auto"/>
          <w:spacing w:val="4"/>
          <w:szCs w:val="21"/>
          <w:highlight w:val="none"/>
          <w:u w:val="single"/>
        </w:rPr>
        <w:t xml:space="preserve"> </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 xml:space="preserve"> 元） ；</w:t>
      </w:r>
    </w:p>
    <w:p w14:paraId="5B44FF44">
      <w:pPr>
        <w:spacing w:line="360" w:lineRule="auto"/>
        <w:ind w:firstLine="492" w:firstLineChars="200"/>
        <w:rPr>
          <w:rFonts w:ascii="宋体" w:hAnsi="宋体" w:cs="宋体"/>
          <w:color w:val="auto"/>
          <w:szCs w:val="21"/>
          <w:highlight w:val="none"/>
        </w:rPr>
      </w:pPr>
      <w:r>
        <w:rPr>
          <w:rFonts w:hint="eastAsia" w:ascii="宋体" w:hAnsi="宋体" w:cs="宋体"/>
          <w:color w:val="auto"/>
          <w:spacing w:val="18"/>
          <w:szCs w:val="21"/>
          <w:highlight w:val="none"/>
        </w:rPr>
        <w:t>（</w:t>
      </w:r>
      <w:r>
        <w:rPr>
          <w:rFonts w:hint="eastAsia" w:ascii="宋体" w:hAnsi="宋体" w:cs="宋体"/>
          <w:color w:val="auto"/>
          <w:spacing w:val="10"/>
          <w:szCs w:val="21"/>
          <w:highlight w:val="none"/>
        </w:rPr>
        <w:t>2</w:t>
      </w:r>
      <w:r>
        <w:rPr>
          <w:rFonts w:hint="eastAsia" w:ascii="宋体" w:hAnsi="宋体" w:cs="宋体"/>
          <w:color w:val="auto"/>
          <w:spacing w:val="9"/>
          <w:szCs w:val="21"/>
          <w:highlight w:val="none"/>
        </w:rPr>
        <w:t>）材料和工程设备暂估价金额：</w:t>
      </w:r>
    </w:p>
    <w:p w14:paraId="0101BDF5">
      <w:pPr>
        <w:spacing w:line="360" w:lineRule="auto"/>
        <w:ind w:firstLine="436" w:firstLineChars="200"/>
        <w:rPr>
          <w:rFonts w:ascii="宋体" w:hAnsi="宋体" w:cs="宋体"/>
          <w:color w:val="auto"/>
          <w:szCs w:val="21"/>
          <w:highlight w:val="none"/>
        </w:rPr>
      </w:pPr>
      <w:r>
        <w:rPr>
          <w:rFonts w:hint="eastAsia" w:ascii="宋体" w:hAnsi="宋体" w:cs="宋体"/>
          <w:color w:val="auto"/>
          <w:spacing w:val="4"/>
          <w:szCs w:val="21"/>
          <w:highlight w:val="none"/>
        </w:rPr>
        <w:t>人民币（大写）</w:t>
      </w:r>
      <w:r>
        <w:rPr>
          <w:rFonts w:hint="eastAsia" w:ascii="宋体" w:hAnsi="宋体" w:cs="宋体"/>
          <w:color w:val="auto"/>
          <w:spacing w:val="4"/>
          <w:szCs w:val="21"/>
          <w:highlight w:val="none"/>
          <w:u w:val="single"/>
        </w:rPr>
        <w:t xml:space="preserve"> </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 xml:space="preserve"> 元） ；</w:t>
      </w:r>
    </w:p>
    <w:p w14:paraId="3AE102D9">
      <w:pPr>
        <w:spacing w:line="360" w:lineRule="auto"/>
        <w:ind w:firstLine="468" w:firstLineChars="200"/>
        <w:rPr>
          <w:rFonts w:ascii="宋体" w:hAnsi="宋体" w:cs="宋体"/>
          <w:color w:val="auto"/>
          <w:szCs w:val="21"/>
          <w:highlight w:val="none"/>
        </w:rPr>
      </w:pPr>
      <w:r>
        <w:rPr>
          <w:rFonts w:hint="eastAsia" w:ascii="宋体" w:hAnsi="宋体" w:cs="宋体"/>
          <w:color w:val="auto"/>
          <w:spacing w:val="12"/>
          <w:szCs w:val="21"/>
          <w:highlight w:val="none"/>
        </w:rPr>
        <w:t>（3）专业工程暂估价金额</w:t>
      </w:r>
      <w:r>
        <w:rPr>
          <w:rFonts w:hint="eastAsia" w:ascii="宋体" w:hAnsi="宋体" w:cs="宋体"/>
          <w:color w:val="auto"/>
          <w:spacing w:val="9"/>
          <w:szCs w:val="21"/>
          <w:highlight w:val="none"/>
        </w:rPr>
        <w:t>：</w:t>
      </w:r>
    </w:p>
    <w:p w14:paraId="65370411">
      <w:pPr>
        <w:spacing w:line="360" w:lineRule="auto"/>
        <w:ind w:firstLine="436" w:firstLineChars="200"/>
        <w:rPr>
          <w:rFonts w:ascii="宋体" w:hAnsi="宋体" w:cs="宋体"/>
          <w:color w:val="auto"/>
          <w:szCs w:val="21"/>
          <w:highlight w:val="none"/>
        </w:rPr>
      </w:pPr>
      <w:r>
        <w:rPr>
          <w:rFonts w:hint="eastAsia" w:ascii="宋体" w:hAnsi="宋体" w:cs="宋体"/>
          <w:color w:val="auto"/>
          <w:spacing w:val="4"/>
          <w:szCs w:val="21"/>
          <w:highlight w:val="none"/>
        </w:rPr>
        <w:t>人民币（大写）</w:t>
      </w:r>
      <w:r>
        <w:rPr>
          <w:rFonts w:hint="eastAsia" w:ascii="宋体" w:hAnsi="宋体" w:cs="宋体"/>
          <w:color w:val="auto"/>
          <w:spacing w:val="4"/>
          <w:szCs w:val="21"/>
          <w:highlight w:val="none"/>
          <w:u w:val="single"/>
        </w:rPr>
        <w:t xml:space="preserve"> </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 xml:space="preserve"> 元） ；</w:t>
      </w:r>
    </w:p>
    <w:p w14:paraId="0AA3DF30">
      <w:pPr>
        <w:spacing w:line="360" w:lineRule="auto"/>
        <w:ind w:firstLine="496" w:firstLineChars="200"/>
        <w:rPr>
          <w:rFonts w:ascii="宋体" w:hAnsi="宋体" w:cs="宋体"/>
          <w:color w:val="auto"/>
          <w:szCs w:val="21"/>
          <w:highlight w:val="none"/>
        </w:rPr>
      </w:pPr>
      <w:r>
        <w:rPr>
          <w:rFonts w:hint="eastAsia" w:ascii="宋体" w:hAnsi="宋体" w:cs="宋体"/>
          <w:color w:val="auto"/>
          <w:spacing w:val="19"/>
          <w:szCs w:val="21"/>
          <w:highlight w:val="none"/>
        </w:rPr>
        <w:t>（4）暂列金额</w:t>
      </w:r>
      <w:r>
        <w:rPr>
          <w:rFonts w:hint="eastAsia" w:ascii="宋体" w:hAnsi="宋体" w:cs="宋体"/>
          <w:color w:val="auto"/>
          <w:spacing w:val="17"/>
          <w:szCs w:val="21"/>
          <w:highlight w:val="none"/>
        </w:rPr>
        <w:t>：</w:t>
      </w:r>
    </w:p>
    <w:p w14:paraId="4BB5F433">
      <w:pPr>
        <w:spacing w:line="360" w:lineRule="auto"/>
        <w:ind w:firstLine="436" w:firstLineChars="200"/>
        <w:rPr>
          <w:rFonts w:ascii="宋体" w:hAnsi="宋体" w:cs="宋体"/>
          <w:color w:val="auto"/>
          <w:szCs w:val="21"/>
          <w:highlight w:val="none"/>
        </w:rPr>
      </w:pPr>
      <w:r>
        <w:rPr>
          <w:rFonts w:hint="eastAsia" w:ascii="宋体" w:hAnsi="宋体" w:cs="宋体"/>
          <w:color w:val="auto"/>
          <w:spacing w:val="4"/>
          <w:szCs w:val="21"/>
          <w:highlight w:val="none"/>
        </w:rPr>
        <w:t>人民币（大写）</w:t>
      </w:r>
      <w:r>
        <w:rPr>
          <w:rFonts w:hint="eastAsia" w:ascii="宋体" w:hAnsi="宋体" w:cs="宋体"/>
          <w:color w:val="auto"/>
          <w:spacing w:val="4"/>
          <w:szCs w:val="21"/>
          <w:highlight w:val="none"/>
          <w:u w:val="single"/>
        </w:rPr>
        <w:t xml:space="preserve"> </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 xml:space="preserve"> 元）。</w:t>
      </w:r>
    </w:p>
    <w:p w14:paraId="1E663879">
      <w:pPr>
        <w:spacing w:line="360" w:lineRule="auto"/>
        <w:ind w:firstLine="404" w:firstLineChars="200"/>
        <w:rPr>
          <w:rFonts w:ascii="宋体" w:hAnsi="宋体" w:cs="宋体"/>
          <w:color w:val="auto"/>
          <w:szCs w:val="21"/>
          <w:highlight w:val="none"/>
        </w:rPr>
      </w:pPr>
      <w:r>
        <w:rPr>
          <w:rFonts w:hint="eastAsia" w:ascii="宋体" w:hAnsi="宋体" w:cs="宋体"/>
          <w:color w:val="auto"/>
          <w:spacing w:val="-4"/>
          <w:szCs w:val="21"/>
          <w:highlight w:val="none"/>
        </w:rPr>
        <w:t>2.合同价格形式</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rPr>
        <w:t>。</w:t>
      </w:r>
    </w:p>
    <w:p w14:paraId="52913BAB">
      <w:pPr>
        <w:spacing w:line="360" w:lineRule="auto"/>
        <w:outlineLvl w:val="6"/>
        <w:rPr>
          <w:rFonts w:ascii="宋体" w:hAnsi="宋体" w:cs="宋体"/>
          <w:b/>
          <w:bCs/>
          <w:color w:val="auto"/>
          <w:szCs w:val="21"/>
          <w:highlight w:val="none"/>
        </w:rPr>
      </w:pPr>
      <w:r>
        <w:rPr>
          <w:rFonts w:hint="eastAsia" w:ascii="宋体" w:hAnsi="宋体" w:cs="宋体"/>
          <w:b/>
          <w:bCs/>
          <w:color w:val="auto"/>
          <w:spacing w:val="6"/>
          <w:szCs w:val="21"/>
          <w:highlight w:val="none"/>
        </w:rPr>
        <w:t>五、项目经</w:t>
      </w:r>
      <w:r>
        <w:rPr>
          <w:rFonts w:hint="eastAsia" w:ascii="宋体" w:hAnsi="宋体" w:cs="宋体"/>
          <w:b/>
          <w:bCs/>
          <w:color w:val="auto"/>
          <w:spacing w:val="5"/>
          <w:szCs w:val="21"/>
          <w:highlight w:val="none"/>
        </w:rPr>
        <w:t>理</w:t>
      </w:r>
    </w:p>
    <w:p w14:paraId="28AAF46D">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承包人项目</w:t>
      </w:r>
      <w:r>
        <w:rPr>
          <w:rFonts w:hint="eastAsia" w:ascii="宋体" w:hAnsi="宋体" w:cs="宋体"/>
          <w:color w:val="auto"/>
          <w:spacing w:val="-3"/>
          <w:szCs w:val="21"/>
          <w:highlight w:val="none"/>
        </w:rPr>
        <w:t>经理：</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w:t>
      </w:r>
    </w:p>
    <w:p w14:paraId="416FC341">
      <w:pPr>
        <w:spacing w:line="360" w:lineRule="auto"/>
        <w:outlineLvl w:val="6"/>
        <w:rPr>
          <w:rFonts w:ascii="宋体" w:hAnsi="宋体" w:cs="宋体"/>
          <w:b/>
          <w:bCs/>
          <w:color w:val="auto"/>
          <w:szCs w:val="21"/>
          <w:highlight w:val="none"/>
        </w:rPr>
      </w:pPr>
      <w:r>
        <w:rPr>
          <w:rFonts w:hint="eastAsia" w:ascii="宋体" w:hAnsi="宋体" w:cs="宋体"/>
          <w:b/>
          <w:bCs/>
          <w:color w:val="auto"/>
          <w:spacing w:val="8"/>
          <w:szCs w:val="21"/>
          <w:highlight w:val="none"/>
        </w:rPr>
        <w:t>六</w:t>
      </w:r>
      <w:r>
        <w:rPr>
          <w:rFonts w:hint="eastAsia" w:ascii="宋体" w:hAnsi="宋体" w:cs="宋体"/>
          <w:b/>
          <w:bCs/>
          <w:color w:val="auto"/>
          <w:spacing w:val="5"/>
          <w:szCs w:val="21"/>
          <w:highlight w:val="none"/>
        </w:rPr>
        <w:t>、</w:t>
      </w:r>
      <w:r>
        <w:rPr>
          <w:rFonts w:hint="eastAsia" w:ascii="宋体" w:hAnsi="宋体" w:cs="宋体"/>
          <w:b/>
          <w:bCs/>
          <w:color w:val="auto"/>
          <w:spacing w:val="4"/>
          <w:szCs w:val="21"/>
          <w:highlight w:val="none"/>
        </w:rPr>
        <w:t>合同文件构成</w:t>
      </w:r>
    </w:p>
    <w:p w14:paraId="77A25D4A">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本协议书与下列文件一起构成合同文件：</w:t>
      </w:r>
    </w:p>
    <w:p w14:paraId="2AE1E76E">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（1）合同协议书；</w:t>
      </w:r>
    </w:p>
    <w:p w14:paraId="37783111">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（2）成交通知书；</w:t>
      </w:r>
    </w:p>
    <w:p w14:paraId="18FF254E">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（3）磋商声明；</w:t>
      </w:r>
    </w:p>
    <w:p w14:paraId="0F46E9CB">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（4）专用合同条款及其附件；</w:t>
      </w:r>
    </w:p>
    <w:p w14:paraId="2E83DD06">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（5）通用合同条款；</w:t>
      </w:r>
    </w:p>
    <w:p w14:paraId="13C30593">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（6）技术标准和要求；</w:t>
      </w:r>
    </w:p>
    <w:p w14:paraId="3BB99C70">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（7）已标价工程量清单或预算书；</w:t>
      </w:r>
    </w:p>
    <w:p w14:paraId="5AB34BD4">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（8）图纸；</w:t>
      </w:r>
    </w:p>
    <w:p w14:paraId="2B70E75F">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（9）磋商文件（含补充通知和答疑）；</w:t>
      </w:r>
    </w:p>
    <w:p w14:paraId="2568FBCF">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（10）履约保证金缴纳证明；</w:t>
      </w:r>
    </w:p>
    <w:p w14:paraId="4790F4F0">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（11）其他合同文件（在合同订立及履行过程中形成的与合同有关的文件均构成合同文件组成部分）。</w:t>
      </w:r>
    </w:p>
    <w:p w14:paraId="1F1172A2">
      <w:pPr>
        <w:spacing w:line="360" w:lineRule="auto"/>
        <w:ind w:firstLine="440" w:firstLineChars="200"/>
        <w:rPr>
          <w:rFonts w:ascii="宋体" w:hAnsi="宋体" w:cs="宋体"/>
          <w:color w:val="auto"/>
          <w:spacing w:val="5"/>
          <w:szCs w:val="21"/>
          <w:highlight w:val="none"/>
        </w:rPr>
      </w:pPr>
      <w:r>
        <w:rPr>
          <w:rFonts w:hint="eastAsia" w:ascii="宋体" w:hAnsi="宋体" w:cs="宋体"/>
          <w:color w:val="auto"/>
          <w:spacing w:val="5"/>
          <w:szCs w:val="21"/>
          <w:highlight w:val="none"/>
        </w:rPr>
        <w:t>上述各项合同文件包括合同当事人就该项合同文件所作出的补充和修改，属于同一类内容的 文件，应以最新签署的为准（违反磋商文件实质性内容的约定除外）。专用合同条款及其附件须经合同当事人签字或盖章。</w:t>
      </w:r>
    </w:p>
    <w:p w14:paraId="7B67635A">
      <w:pPr>
        <w:spacing w:line="360" w:lineRule="auto"/>
        <w:outlineLvl w:val="6"/>
        <w:rPr>
          <w:rFonts w:ascii="宋体" w:hAnsi="宋体" w:cs="宋体"/>
          <w:b/>
          <w:bCs/>
          <w:color w:val="auto"/>
          <w:szCs w:val="21"/>
          <w:highlight w:val="none"/>
        </w:rPr>
      </w:pPr>
      <w:r>
        <w:rPr>
          <w:rFonts w:hint="eastAsia" w:ascii="宋体" w:hAnsi="宋体" w:cs="宋体"/>
          <w:b/>
          <w:bCs/>
          <w:color w:val="auto"/>
          <w:spacing w:val="12"/>
          <w:szCs w:val="21"/>
          <w:highlight w:val="none"/>
        </w:rPr>
        <w:t>七</w:t>
      </w:r>
      <w:r>
        <w:rPr>
          <w:rFonts w:hint="eastAsia" w:ascii="宋体" w:hAnsi="宋体" w:cs="宋体"/>
          <w:b/>
          <w:bCs/>
          <w:color w:val="auto"/>
          <w:spacing w:val="9"/>
          <w:szCs w:val="21"/>
          <w:highlight w:val="none"/>
        </w:rPr>
        <w:t>、承诺</w:t>
      </w:r>
    </w:p>
    <w:p w14:paraId="485B5DDE">
      <w:pPr>
        <w:spacing w:line="360" w:lineRule="auto"/>
        <w:ind w:firstLine="412" w:firstLineChars="200"/>
        <w:rPr>
          <w:rFonts w:ascii="宋体" w:hAnsi="宋体" w:cs="宋体"/>
          <w:color w:val="auto"/>
          <w:szCs w:val="21"/>
          <w:highlight w:val="none"/>
        </w:rPr>
      </w:pPr>
      <w:r>
        <w:rPr>
          <w:rFonts w:hint="eastAsia" w:ascii="宋体" w:hAnsi="宋体" w:cs="宋体"/>
          <w:color w:val="auto"/>
          <w:spacing w:val="-2"/>
          <w:szCs w:val="21"/>
          <w:highlight w:val="none"/>
        </w:rPr>
        <w:t>1.发包人承诺</w:t>
      </w:r>
      <w:r>
        <w:rPr>
          <w:rFonts w:hint="eastAsia" w:ascii="宋体" w:hAnsi="宋体" w:cs="宋体"/>
          <w:color w:val="auto"/>
          <w:spacing w:val="-1"/>
          <w:szCs w:val="21"/>
          <w:highlight w:val="none"/>
        </w:rPr>
        <w:t>按照法律规定履行项目审批手续、筹集工程建设资金并按照合同约定的期限和</w:t>
      </w:r>
      <w:r>
        <w:rPr>
          <w:rFonts w:hint="eastAsia" w:ascii="宋体" w:hAnsi="宋体" w:cs="宋体"/>
          <w:color w:val="auto"/>
          <w:szCs w:val="21"/>
          <w:highlight w:val="none"/>
        </w:rPr>
        <w:t xml:space="preserve"> </w:t>
      </w:r>
      <w:r>
        <w:rPr>
          <w:rFonts w:hint="eastAsia" w:ascii="宋体" w:hAnsi="宋体" w:cs="宋体"/>
          <w:color w:val="auto"/>
          <w:spacing w:val="-6"/>
          <w:szCs w:val="21"/>
          <w:highlight w:val="none"/>
        </w:rPr>
        <w:t>方</w:t>
      </w:r>
      <w:r>
        <w:rPr>
          <w:rFonts w:hint="eastAsia" w:ascii="宋体" w:hAnsi="宋体" w:cs="宋体"/>
          <w:color w:val="auto"/>
          <w:spacing w:val="-4"/>
          <w:szCs w:val="21"/>
          <w:highlight w:val="none"/>
        </w:rPr>
        <w:t>式</w:t>
      </w:r>
      <w:r>
        <w:rPr>
          <w:rFonts w:hint="eastAsia" w:ascii="宋体" w:hAnsi="宋体" w:cs="宋体"/>
          <w:color w:val="auto"/>
          <w:spacing w:val="-3"/>
          <w:szCs w:val="21"/>
          <w:highlight w:val="none"/>
        </w:rPr>
        <w:t>支付合同价款。</w:t>
      </w:r>
    </w:p>
    <w:p w14:paraId="742CF652">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2.承包人承诺按照法律规定及合同约定组织完成工程施工， 确保工程质量和安全， 不进行</w:t>
      </w:r>
      <w:r>
        <w:rPr>
          <w:rFonts w:hint="eastAsia" w:ascii="宋体" w:hAnsi="宋体" w:cs="宋体"/>
          <w:color w:val="auto"/>
          <w:spacing w:val="-5"/>
          <w:szCs w:val="21"/>
          <w:highlight w:val="none"/>
        </w:rPr>
        <w:t>转</w:t>
      </w:r>
      <w:r>
        <w:rPr>
          <w:rFonts w:hint="eastAsia" w:ascii="宋体" w:hAnsi="宋体" w:cs="宋体"/>
          <w:color w:val="auto"/>
          <w:szCs w:val="21"/>
          <w:highlight w:val="none"/>
        </w:rPr>
        <w:t xml:space="preserve"> </w:t>
      </w:r>
      <w:r>
        <w:rPr>
          <w:rFonts w:hint="eastAsia" w:ascii="宋体" w:hAnsi="宋体" w:cs="宋体"/>
          <w:color w:val="auto"/>
          <w:spacing w:val="-1"/>
          <w:szCs w:val="21"/>
          <w:highlight w:val="none"/>
        </w:rPr>
        <w:t>包及违法分包，并在缺陷责任期及保修期内承担相应</w:t>
      </w:r>
      <w:r>
        <w:rPr>
          <w:rFonts w:hint="eastAsia" w:ascii="宋体" w:hAnsi="宋体" w:cs="宋体"/>
          <w:color w:val="auto"/>
          <w:szCs w:val="21"/>
          <w:highlight w:val="none"/>
        </w:rPr>
        <w:t>的工程维修责任。</w:t>
      </w:r>
    </w:p>
    <w:p w14:paraId="7BF29E79">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3.发包</w:t>
      </w:r>
      <w:r>
        <w:rPr>
          <w:rFonts w:hint="eastAsia" w:ascii="宋体" w:hAnsi="宋体" w:cs="宋体"/>
          <w:color w:val="auto"/>
          <w:spacing w:val="-3"/>
          <w:szCs w:val="21"/>
          <w:highlight w:val="none"/>
        </w:rPr>
        <w:t>人和承包人通过招投标形式签订合同的， 双方理解并承诺不再就同一工程另行签订与</w:t>
      </w:r>
      <w:r>
        <w:rPr>
          <w:rFonts w:hint="eastAsia" w:ascii="宋体" w:hAnsi="宋体" w:cs="宋体"/>
          <w:color w:val="auto"/>
          <w:szCs w:val="21"/>
          <w:highlight w:val="none"/>
        </w:rPr>
        <w:t xml:space="preserve"> </w:t>
      </w:r>
      <w:r>
        <w:rPr>
          <w:rFonts w:hint="eastAsia" w:ascii="宋体" w:hAnsi="宋体" w:cs="宋体"/>
          <w:color w:val="auto"/>
          <w:spacing w:val="-2"/>
          <w:szCs w:val="21"/>
          <w:highlight w:val="none"/>
        </w:rPr>
        <w:t>合同实质性内容相背离的协议。</w:t>
      </w:r>
    </w:p>
    <w:p w14:paraId="25B67D5F">
      <w:pPr>
        <w:spacing w:line="360" w:lineRule="auto"/>
        <w:outlineLvl w:val="6"/>
        <w:rPr>
          <w:rFonts w:ascii="宋体" w:hAnsi="宋体" w:cs="宋体"/>
          <w:b/>
          <w:bCs/>
          <w:color w:val="auto"/>
          <w:szCs w:val="21"/>
          <w:highlight w:val="none"/>
        </w:rPr>
      </w:pPr>
      <w:r>
        <w:rPr>
          <w:rFonts w:hint="eastAsia" w:ascii="宋体" w:hAnsi="宋体" w:cs="宋体"/>
          <w:b/>
          <w:bCs/>
          <w:color w:val="auto"/>
          <w:spacing w:val="6"/>
          <w:szCs w:val="21"/>
          <w:highlight w:val="none"/>
        </w:rPr>
        <w:t>八、词语含</w:t>
      </w:r>
      <w:r>
        <w:rPr>
          <w:rFonts w:hint="eastAsia" w:ascii="宋体" w:hAnsi="宋体" w:cs="宋体"/>
          <w:b/>
          <w:bCs/>
          <w:color w:val="auto"/>
          <w:spacing w:val="5"/>
          <w:szCs w:val="21"/>
          <w:highlight w:val="none"/>
        </w:rPr>
        <w:t>义</w:t>
      </w:r>
    </w:p>
    <w:p w14:paraId="64F47143">
      <w:pPr>
        <w:spacing w:line="360" w:lineRule="auto"/>
        <w:ind w:firstLine="416" w:firstLineChars="200"/>
        <w:rPr>
          <w:rFonts w:ascii="宋体" w:hAnsi="宋体" w:cs="宋体"/>
          <w:color w:val="auto"/>
          <w:szCs w:val="21"/>
          <w:highlight w:val="none"/>
        </w:rPr>
      </w:pPr>
      <w:r>
        <w:rPr>
          <w:rFonts w:hint="eastAsia" w:ascii="宋体" w:hAnsi="宋体" w:cs="宋体"/>
          <w:color w:val="auto"/>
          <w:spacing w:val="-1"/>
          <w:szCs w:val="21"/>
          <w:highlight w:val="none"/>
        </w:rPr>
        <w:t>本协议书中词语含义与第二部分通用合同条款中赋予的含</w:t>
      </w:r>
      <w:r>
        <w:rPr>
          <w:rFonts w:hint="eastAsia" w:ascii="宋体" w:hAnsi="宋体" w:cs="宋体"/>
          <w:color w:val="auto"/>
          <w:szCs w:val="21"/>
          <w:highlight w:val="none"/>
        </w:rPr>
        <w:t>义相同。</w:t>
      </w:r>
    </w:p>
    <w:p w14:paraId="10AA09AF">
      <w:pPr>
        <w:spacing w:line="360" w:lineRule="auto"/>
        <w:outlineLvl w:val="6"/>
        <w:rPr>
          <w:rFonts w:ascii="宋体" w:hAnsi="宋体" w:cs="宋体"/>
          <w:b/>
          <w:bCs/>
          <w:color w:val="auto"/>
          <w:szCs w:val="21"/>
          <w:highlight w:val="none"/>
        </w:rPr>
      </w:pPr>
      <w:r>
        <w:rPr>
          <w:rFonts w:hint="eastAsia" w:ascii="宋体" w:hAnsi="宋体" w:cs="宋体"/>
          <w:b/>
          <w:bCs/>
          <w:color w:val="auto"/>
          <w:spacing w:val="8"/>
          <w:szCs w:val="21"/>
          <w:highlight w:val="none"/>
        </w:rPr>
        <w:t>九</w:t>
      </w:r>
      <w:r>
        <w:rPr>
          <w:rFonts w:hint="eastAsia" w:ascii="宋体" w:hAnsi="宋体" w:cs="宋体"/>
          <w:b/>
          <w:bCs/>
          <w:color w:val="auto"/>
          <w:spacing w:val="5"/>
          <w:szCs w:val="21"/>
          <w:highlight w:val="none"/>
        </w:rPr>
        <w:t>、签订时间</w:t>
      </w:r>
    </w:p>
    <w:p w14:paraId="66423917">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本合同于</w:t>
      </w:r>
      <w:r>
        <w:rPr>
          <w:rFonts w:hint="eastAsia" w:ascii="宋体" w:hAnsi="宋体" w:cs="宋体"/>
          <w:color w:val="auto"/>
          <w:spacing w:val="-6"/>
          <w:szCs w:val="21"/>
          <w:highlight w:val="none"/>
          <w:u w:val="single"/>
        </w:rPr>
        <w:t xml:space="preserve">   </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年</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月</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rPr>
        <w:t>日签订。</w:t>
      </w:r>
    </w:p>
    <w:p w14:paraId="1595223E">
      <w:pPr>
        <w:spacing w:line="360" w:lineRule="auto"/>
        <w:outlineLvl w:val="6"/>
        <w:rPr>
          <w:b/>
          <w:bCs/>
          <w:color w:val="auto"/>
          <w:highlight w:val="none"/>
        </w:rPr>
      </w:pPr>
      <w:bookmarkStart w:id="174" w:name="_Toc351203490"/>
      <w:r>
        <w:rPr>
          <w:rFonts w:hint="eastAsia" w:hAnsi="宋体" w:cs="宋体"/>
          <w:b/>
          <w:bCs/>
          <w:color w:val="auto"/>
          <w:highlight w:val="none"/>
        </w:rPr>
        <w:t>十、签订地点</w:t>
      </w:r>
      <w:bookmarkEnd w:id="174"/>
    </w:p>
    <w:p w14:paraId="154F53CE">
      <w:pPr>
        <w:spacing w:line="360" w:lineRule="auto"/>
        <w:ind w:firstLine="420" w:firstLineChars="200"/>
        <w:rPr>
          <w:rFonts w:hAnsi="宋体"/>
          <w:color w:val="auto"/>
          <w:highlight w:val="none"/>
        </w:rPr>
      </w:pPr>
      <w:r>
        <w:rPr>
          <w:rFonts w:hint="eastAsia" w:hAnsi="宋体" w:cs="宋体"/>
          <w:color w:val="auto"/>
          <w:highlight w:val="none"/>
        </w:rPr>
        <w:t>本合同在签订</w:t>
      </w:r>
      <w:r>
        <w:rPr>
          <w:rFonts w:hint="eastAsia" w:hAnsi="宋体" w:cs="宋体"/>
          <w:color w:val="auto"/>
          <w:highlight w:val="none"/>
          <w:u w:val="single"/>
        </w:rPr>
        <w:t xml:space="preserve"> 广西南宁市 </w:t>
      </w:r>
      <w:r>
        <w:rPr>
          <w:rFonts w:hint="eastAsia" w:hAnsi="宋体" w:cs="宋体"/>
          <w:color w:val="auto"/>
          <w:highlight w:val="none"/>
        </w:rPr>
        <w:t>。</w:t>
      </w:r>
    </w:p>
    <w:p w14:paraId="1F4ED0EB">
      <w:pPr>
        <w:spacing w:line="360" w:lineRule="auto"/>
        <w:jc w:val="left"/>
        <w:outlineLvl w:val="0"/>
        <w:rPr>
          <w:color w:val="auto"/>
          <w:highlight w:val="none"/>
          <w:lang w:eastAsia="zh-Hans"/>
        </w:rPr>
      </w:pPr>
      <w:r>
        <w:rPr>
          <w:rFonts w:hint="eastAsia" w:hAnsi="宋体" w:cs="宋体"/>
          <w:b/>
          <w:bCs/>
          <w:color w:val="auto"/>
          <w:highlight w:val="none"/>
        </w:rPr>
        <w:t>十一、</w:t>
      </w:r>
      <w:r>
        <w:rPr>
          <w:rFonts w:hint="eastAsia" w:hAnsi="宋体" w:cs="宋体"/>
          <w:b/>
          <w:bCs/>
          <w:color w:val="auto"/>
          <w:highlight w:val="none"/>
          <w:lang w:eastAsia="zh-Hans"/>
        </w:rPr>
        <w:t>送达</w:t>
      </w:r>
    </w:p>
    <w:p w14:paraId="2DB17B00">
      <w:pPr>
        <w:pStyle w:val="140"/>
        <w:ind w:firstLine="420"/>
        <w:rPr>
          <w:rFonts w:ascii="Times New Roman"/>
          <w:color w:val="auto"/>
          <w:sz w:val="21"/>
          <w:highlight w:val="none"/>
        </w:rPr>
      </w:pPr>
      <w:r>
        <w:rPr>
          <w:rFonts w:hint="eastAsia" w:ascii="Times New Roman"/>
          <w:color w:val="auto"/>
          <w:sz w:val="21"/>
          <w:highlight w:val="none"/>
        </w:rPr>
        <w:t>双方确认本合同预留的所有的联系人、地址、电话、电子邮箱等信息作为双方有效送达方式（同为法院诉讼送达方式），任何一方上述信息发生变更均应立即书面通知对方，在收到对方发送的变更通知前，以上信息一直有效，对双方具有约束力。</w:t>
      </w:r>
    </w:p>
    <w:p w14:paraId="0CC86840">
      <w:pPr>
        <w:spacing w:line="360" w:lineRule="auto"/>
        <w:outlineLvl w:val="0"/>
        <w:rPr>
          <w:b/>
          <w:bCs/>
          <w:color w:val="auto"/>
          <w:highlight w:val="none"/>
        </w:rPr>
      </w:pPr>
      <w:r>
        <w:rPr>
          <w:rFonts w:hint="eastAsia" w:hAnsi="宋体" w:cs="宋体"/>
          <w:b/>
          <w:bCs/>
          <w:color w:val="auto"/>
          <w:highlight w:val="none"/>
          <w:lang w:eastAsia="zh-Hans"/>
        </w:rPr>
        <w:t>十二、</w:t>
      </w:r>
      <w:r>
        <w:rPr>
          <w:rFonts w:hint="eastAsia" w:hAnsi="宋体" w:cs="宋体"/>
          <w:b/>
          <w:bCs/>
          <w:color w:val="auto"/>
          <w:highlight w:val="none"/>
        </w:rPr>
        <w:t>补充协议</w:t>
      </w:r>
    </w:p>
    <w:p w14:paraId="7F540A08">
      <w:pPr>
        <w:spacing w:line="360" w:lineRule="auto"/>
        <w:ind w:firstLine="420" w:firstLineChars="200"/>
        <w:rPr>
          <w:rFonts w:hAnsi="宋体"/>
          <w:color w:val="auto"/>
          <w:highlight w:val="none"/>
        </w:rPr>
      </w:pPr>
      <w:r>
        <w:rPr>
          <w:rFonts w:hint="eastAsia" w:hAnsi="宋体" w:cs="宋体"/>
          <w:color w:val="auto"/>
          <w:highlight w:val="none"/>
        </w:rPr>
        <w:t>合同未尽事宜，合同当事人另行签订补充协议，补充协议是合同的组成部分。</w:t>
      </w:r>
    </w:p>
    <w:p w14:paraId="5611CA3E">
      <w:pPr>
        <w:spacing w:line="360" w:lineRule="auto"/>
        <w:outlineLvl w:val="0"/>
        <w:rPr>
          <w:b/>
          <w:bCs/>
          <w:color w:val="auto"/>
          <w:highlight w:val="none"/>
        </w:rPr>
      </w:pPr>
      <w:bookmarkStart w:id="175" w:name="_Toc351203492"/>
      <w:r>
        <w:rPr>
          <w:rFonts w:hint="eastAsia" w:hAnsi="宋体" w:cs="宋体"/>
          <w:b/>
          <w:bCs/>
          <w:color w:val="auto"/>
          <w:highlight w:val="none"/>
        </w:rPr>
        <w:t>十</w:t>
      </w:r>
      <w:r>
        <w:rPr>
          <w:rFonts w:hint="eastAsia" w:hAnsi="宋体" w:cs="宋体"/>
          <w:b/>
          <w:bCs/>
          <w:color w:val="auto"/>
          <w:highlight w:val="none"/>
          <w:lang w:eastAsia="zh-Hans"/>
        </w:rPr>
        <w:t>三</w:t>
      </w:r>
      <w:r>
        <w:rPr>
          <w:rFonts w:hint="eastAsia" w:hAnsi="宋体" w:cs="宋体"/>
          <w:b/>
          <w:bCs/>
          <w:color w:val="auto"/>
          <w:highlight w:val="none"/>
        </w:rPr>
        <w:t>、合同生效</w:t>
      </w:r>
      <w:bookmarkEnd w:id="175"/>
    </w:p>
    <w:p w14:paraId="038897C0">
      <w:pPr>
        <w:spacing w:line="360" w:lineRule="auto"/>
        <w:ind w:firstLine="420" w:firstLineChars="200"/>
        <w:rPr>
          <w:rFonts w:hAnsi="宋体"/>
          <w:color w:val="auto"/>
          <w:highlight w:val="none"/>
        </w:rPr>
      </w:pPr>
      <w:r>
        <w:rPr>
          <w:rFonts w:hint="eastAsia" w:hAnsi="宋体" w:cs="宋体"/>
          <w:color w:val="auto"/>
          <w:highlight w:val="none"/>
        </w:rPr>
        <w:t>本合同自双方法定代表人签字加盖公章后生效。</w:t>
      </w:r>
    </w:p>
    <w:p w14:paraId="2A325174">
      <w:pPr>
        <w:spacing w:line="360" w:lineRule="auto"/>
        <w:outlineLvl w:val="0"/>
        <w:rPr>
          <w:b/>
          <w:bCs/>
          <w:color w:val="auto"/>
          <w:highlight w:val="none"/>
        </w:rPr>
      </w:pPr>
      <w:bookmarkStart w:id="176" w:name="_Toc351203493"/>
      <w:r>
        <w:rPr>
          <w:rFonts w:hint="eastAsia" w:hAnsi="宋体" w:cs="宋体"/>
          <w:b/>
          <w:bCs/>
          <w:color w:val="auto"/>
          <w:highlight w:val="none"/>
        </w:rPr>
        <w:t>十</w:t>
      </w:r>
      <w:r>
        <w:rPr>
          <w:rFonts w:hint="eastAsia" w:hAnsi="宋体" w:cs="宋体"/>
          <w:b/>
          <w:bCs/>
          <w:color w:val="auto"/>
          <w:highlight w:val="none"/>
          <w:lang w:eastAsia="zh-Hans"/>
        </w:rPr>
        <w:t>四</w:t>
      </w:r>
      <w:r>
        <w:rPr>
          <w:rFonts w:hint="eastAsia" w:hAnsi="宋体" w:cs="宋体"/>
          <w:b/>
          <w:bCs/>
          <w:color w:val="auto"/>
          <w:highlight w:val="none"/>
        </w:rPr>
        <w:t>、合同份数</w:t>
      </w:r>
      <w:bookmarkEnd w:id="176"/>
    </w:p>
    <w:p w14:paraId="676BAB86">
      <w:pPr>
        <w:spacing w:line="360" w:lineRule="auto"/>
        <w:ind w:firstLine="420" w:firstLineChars="200"/>
        <w:rPr>
          <w:color w:val="auto"/>
          <w:highlight w:val="none"/>
        </w:rPr>
      </w:pPr>
      <w:r>
        <w:rPr>
          <w:rFonts w:hint="eastAsia" w:hAnsi="宋体" w:cs="宋体"/>
          <w:color w:val="auto"/>
          <w:highlight w:val="none"/>
        </w:rPr>
        <w:t>本合同一式</w:t>
      </w:r>
      <w:r>
        <w:rPr>
          <w:rFonts w:hint="eastAsia" w:hAnsi="宋体" w:cs="宋体"/>
          <w:color w:val="auto"/>
          <w:highlight w:val="none"/>
          <w:u w:val="single"/>
        </w:rPr>
        <w:t>陆</w:t>
      </w:r>
      <w:r>
        <w:rPr>
          <w:rFonts w:hint="eastAsia" w:hAnsi="宋体" w:cs="宋体"/>
          <w:color w:val="auto"/>
          <w:highlight w:val="none"/>
        </w:rPr>
        <w:t>份，均具有同等法律效力，发包人执</w:t>
      </w:r>
      <w:r>
        <w:rPr>
          <w:rFonts w:hint="eastAsia" w:hAnsi="宋体" w:cs="宋体"/>
          <w:color w:val="auto"/>
          <w:highlight w:val="none"/>
          <w:u w:val="single"/>
        </w:rPr>
        <w:t>贰</w:t>
      </w:r>
      <w:r>
        <w:rPr>
          <w:rFonts w:hint="eastAsia" w:hAnsi="宋体" w:cs="宋体"/>
          <w:color w:val="auto"/>
          <w:highlight w:val="none"/>
        </w:rPr>
        <w:t>份，承包人执</w:t>
      </w:r>
      <w:r>
        <w:rPr>
          <w:rFonts w:hint="eastAsia" w:hAnsi="宋体" w:cs="宋体"/>
          <w:color w:val="auto"/>
          <w:highlight w:val="none"/>
          <w:u w:val="single"/>
        </w:rPr>
        <w:t>贰</w:t>
      </w:r>
      <w:r>
        <w:rPr>
          <w:rFonts w:hint="eastAsia" w:hAnsi="宋体" w:cs="宋体"/>
          <w:color w:val="auto"/>
          <w:highlight w:val="none"/>
        </w:rPr>
        <w:t>份，代理机构</w:t>
      </w:r>
      <w:r>
        <w:rPr>
          <w:rFonts w:hint="eastAsia" w:hAnsi="宋体" w:cs="宋体"/>
          <w:color w:val="auto"/>
          <w:highlight w:val="none"/>
          <w:u w:val="single"/>
        </w:rPr>
        <w:t>贰</w:t>
      </w:r>
      <w:r>
        <w:rPr>
          <w:rFonts w:hint="eastAsia" w:hAnsi="宋体" w:cs="宋体"/>
          <w:color w:val="auto"/>
          <w:highlight w:val="none"/>
        </w:rPr>
        <w:t>份。</w:t>
      </w:r>
    </w:p>
    <w:p w14:paraId="28A03276">
      <w:pPr>
        <w:spacing w:line="360" w:lineRule="auto"/>
        <w:rPr>
          <w:color w:val="auto"/>
          <w:highlight w:val="none"/>
        </w:rPr>
      </w:pPr>
    </w:p>
    <w:p w14:paraId="24BC993C">
      <w:pPr>
        <w:spacing w:line="360" w:lineRule="auto"/>
        <w:ind w:firstLine="420" w:firstLineChars="200"/>
        <w:rPr>
          <w:color w:val="auto"/>
          <w:highlight w:val="none"/>
        </w:rPr>
      </w:pPr>
      <w:r>
        <w:rPr>
          <w:rFonts w:hint="eastAsia" w:hAnsi="宋体" w:cs="宋体"/>
          <w:color w:val="auto"/>
          <w:highlight w:val="none"/>
        </w:rPr>
        <w:t>发包人：</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r>
        <w:rPr>
          <w:rFonts w:hint="eastAsia" w:ascii="宋体" w:hAnsi="宋体"/>
          <w:color w:val="auto"/>
          <w:szCs w:val="21"/>
          <w:highlight w:val="none"/>
          <w:u w:val="single"/>
          <w:lang w:eastAsia="zh-CN"/>
        </w:rPr>
        <w:t>广西职业技术大学</w:t>
      </w:r>
      <w:r>
        <w:rPr>
          <w:rFonts w:hint="eastAsia" w:cs="宋体"/>
          <w:color w:val="auto"/>
          <w:highlight w:val="none"/>
        </w:rPr>
        <w:t xml:space="preserve">                 </w:t>
      </w:r>
      <w:r>
        <w:rPr>
          <w:rFonts w:hint="eastAsia" w:hAnsi="宋体" w:cs="宋体"/>
          <w:color w:val="auto"/>
          <w:highlight w:val="none"/>
        </w:rPr>
        <w:t>承包人：</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p>
    <w:p w14:paraId="724F4765">
      <w:pPr>
        <w:spacing w:line="360" w:lineRule="auto"/>
        <w:rPr>
          <w:color w:val="auto"/>
          <w:highlight w:val="none"/>
          <w:u w:val="single"/>
        </w:rPr>
      </w:pPr>
    </w:p>
    <w:p w14:paraId="6672DB29">
      <w:pPr>
        <w:spacing w:line="360" w:lineRule="auto"/>
        <w:ind w:firstLine="420" w:firstLineChars="200"/>
        <w:rPr>
          <w:color w:val="auto"/>
          <w:highlight w:val="none"/>
        </w:rPr>
      </w:pPr>
      <w:r>
        <w:rPr>
          <w:rFonts w:hint="eastAsia" w:hAnsi="宋体" w:cs="宋体"/>
          <w:color w:val="auto"/>
          <w:highlight w:val="none"/>
        </w:rPr>
        <w:t>法定代表人或其委托代理人：                       法定代表人或其委托代理人：</w:t>
      </w:r>
    </w:p>
    <w:p w14:paraId="5F4E9C45">
      <w:pPr>
        <w:spacing w:line="360" w:lineRule="auto"/>
        <w:ind w:firstLine="840" w:firstLineChars="400"/>
        <w:rPr>
          <w:color w:val="auto"/>
          <w:highlight w:val="none"/>
        </w:rPr>
      </w:pPr>
      <w:r>
        <w:rPr>
          <w:rFonts w:hint="eastAsia" w:hAnsi="宋体" w:cs="宋体"/>
          <w:color w:val="auto"/>
          <w:highlight w:val="none"/>
        </w:rPr>
        <w:t>（签字或盖章）                                  （签字或盖章）</w:t>
      </w:r>
    </w:p>
    <w:p w14:paraId="65CDDDE1">
      <w:pPr>
        <w:spacing w:line="360" w:lineRule="auto"/>
        <w:rPr>
          <w:color w:val="auto"/>
          <w:highlight w:val="none"/>
          <w:u w:val="single"/>
        </w:rPr>
      </w:pPr>
    </w:p>
    <w:p w14:paraId="25C5E046">
      <w:pPr>
        <w:tabs>
          <w:tab w:val="left" w:pos="4410"/>
        </w:tabs>
        <w:spacing w:line="360" w:lineRule="auto"/>
        <w:ind w:firstLine="420" w:firstLineChars="200"/>
        <w:rPr>
          <w:color w:val="auto"/>
          <w:highlight w:val="none"/>
        </w:rPr>
      </w:pPr>
      <w:r>
        <w:rPr>
          <w:rFonts w:hint="eastAsia" w:hAnsi="宋体" w:cs="宋体"/>
          <w:color w:val="auto"/>
          <w:highlight w:val="none"/>
        </w:rPr>
        <w:t xml:space="preserve">统一社会信用代码：                               </w:t>
      </w:r>
      <w:r>
        <w:rPr>
          <w:rFonts w:hint="eastAsia" w:cs="宋体"/>
          <w:color w:val="auto"/>
          <w:highlight w:val="none"/>
        </w:rPr>
        <w:t>统一</w:t>
      </w:r>
      <w:r>
        <w:rPr>
          <w:rFonts w:hint="eastAsia" w:hAnsi="宋体" w:cs="宋体"/>
          <w:color w:val="auto"/>
          <w:highlight w:val="none"/>
        </w:rPr>
        <w:t>社会信用代码：</w:t>
      </w:r>
    </w:p>
    <w:p w14:paraId="3339A79C">
      <w:pPr>
        <w:spacing w:line="360" w:lineRule="auto"/>
        <w:ind w:firstLine="420" w:firstLineChars="200"/>
        <w:rPr>
          <w:color w:val="auto"/>
          <w:highlight w:val="none"/>
        </w:rPr>
      </w:pPr>
      <w:r>
        <w:rPr>
          <w:rFonts w:hint="eastAsia" w:hAnsi="宋体" w:cs="宋体"/>
          <w:color w:val="auto"/>
          <w:highlight w:val="none"/>
        </w:rPr>
        <w:t>地址：南宁市江南区明阳大道19号                  地址：</w:t>
      </w:r>
    </w:p>
    <w:p w14:paraId="45DFDEC4">
      <w:pPr>
        <w:spacing w:line="360" w:lineRule="auto"/>
        <w:ind w:firstLine="420" w:firstLineChars="200"/>
        <w:rPr>
          <w:color w:val="auto"/>
          <w:highlight w:val="none"/>
        </w:rPr>
      </w:pPr>
      <w:r>
        <w:rPr>
          <w:rFonts w:hint="eastAsia" w:hAnsi="宋体" w:cs="宋体"/>
          <w:color w:val="auto"/>
          <w:highlight w:val="none"/>
        </w:rPr>
        <w:t>邮政编码：                                       邮政编码：</w:t>
      </w:r>
    </w:p>
    <w:p w14:paraId="3871EFE7">
      <w:pPr>
        <w:spacing w:line="360" w:lineRule="auto"/>
        <w:ind w:firstLine="420" w:firstLineChars="200"/>
        <w:rPr>
          <w:rFonts w:hAnsi="宋体" w:cs="宋体"/>
          <w:color w:val="auto"/>
          <w:highlight w:val="none"/>
        </w:rPr>
      </w:pPr>
      <w:r>
        <w:rPr>
          <w:rFonts w:hint="eastAsia" w:hAnsi="宋体" w:cs="宋体"/>
          <w:color w:val="auto"/>
          <w:highlight w:val="none"/>
        </w:rPr>
        <w:t>法定代表人：                                     法定代表人：</w:t>
      </w:r>
    </w:p>
    <w:p w14:paraId="060D3D93">
      <w:pPr>
        <w:spacing w:line="360" w:lineRule="auto"/>
        <w:ind w:firstLine="420" w:firstLineChars="200"/>
        <w:rPr>
          <w:color w:val="auto"/>
          <w:highlight w:val="none"/>
        </w:rPr>
      </w:pPr>
      <w:r>
        <w:rPr>
          <w:rFonts w:hint="eastAsia" w:hAnsi="宋体" w:cs="宋体"/>
          <w:color w:val="auto"/>
          <w:highlight w:val="none"/>
        </w:rPr>
        <w:t>委托代理人：                                     委托代理人：</w:t>
      </w:r>
    </w:p>
    <w:p w14:paraId="44FFDCE9">
      <w:pPr>
        <w:spacing w:line="360" w:lineRule="auto"/>
        <w:ind w:firstLine="420" w:firstLineChars="200"/>
        <w:rPr>
          <w:color w:val="auto"/>
          <w:highlight w:val="none"/>
        </w:rPr>
      </w:pPr>
      <w:r>
        <w:rPr>
          <w:rFonts w:hint="eastAsia" w:hAnsi="宋体" w:cs="宋体"/>
          <w:color w:val="auto"/>
          <w:highlight w:val="none"/>
        </w:rPr>
        <w:t>电话：                                           电话：</w:t>
      </w:r>
    </w:p>
    <w:p w14:paraId="26CAAC70">
      <w:pPr>
        <w:spacing w:line="360" w:lineRule="auto"/>
        <w:ind w:firstLine="420" w:firstLineChars="200"/>
        <w:rPr>
          <w:color w:val="auto"/>
          <w:highlight w:val="none"/>
        </w:rPr>
      </w:pPr>
      <w:r>
        <w:rPr>
          <w:rFonts w:hint="eastAsia" w:hAnsi="宋体" w:cs="宋体"/>
          <w:color w:val="auto"/>
          <w:highlight w:val="none"/>
        </w:rPr>
        <w:t>传真：                                           传真：</w:t>
      </w:r>
    </w:p>
    <w:p w14:paraId="48461DB4">
      <w:pPr>
        <w:spacing w:line="360" w:lineRule="auto"/>
        <w:ind w:firstLine="420" w:firstLineChars="200"/>
        <w:rPr>
          <w:color w:val="auto"/>
          <w:highlight w:val="none"/>
        </w:rPr>
      </w:pPr>
      <w:r>
        <w:rPr>
          <w:rFonts w:hint="eastAsia" w:hAnsi="宋体" w:cs="宋体"/>
          <w:color w:val="auto"/>
          <w:highlight w:val="none"/>
        </w:rPr>
        <w:t>电子信箱：                                       电子信箱：</w:t>
      </w:r>
    </w:p>
    <w:p w14:paraId="44EE5423">
      <w:pPr>
        <w:spacing w:line="360" w:lineRule="auto"/>
        <w:ind w:left="6300" w:leftChars="200" w:hanging="5880" w:hangingChars="2800"/>
        <w:rPr>
          <w:color w:val="auto"/>
          <w:highlight w:val="none"/>
        </w:rPr>
      </w:pPr>
      <w:r>
        <w:rPr>
          <w:rFonts w:hint="eastAsia" w:hAnsi="宋体" w:cs="宋体"/>
          <w:color w:val="auto"/>
          <w:highlight w:val="none"/>
        </w:rPr>
        <w:t>开户银行：                                       开户银行：</w:t>
      </w:r>
    </w:p>
    <w:p w14:paraId="061EA314">
      <w:pPr>
        <w:spacing w:line="360" w:lineRule="auto"/>
        <w:ind w:firstLine="420" w:firstLineChars="200"/>
        <w:rPr>
          <w:color w:val="auto"/>
          <w:highlight w:val="none"/>
          <w:u w:val="single"/>
        </w:rPr>
      </w:pPr>
      <w:r>
        <w:rPr>
          <w:rFonts w:hint="eastAsia" w:hAnsi="宋体" w:cs="宋体"/>
          <w:color w:val="auto"/>
          <w:highlight w:val="none"/>
        </w:rPr>
        <w:t>账号：                                           账号：</w:t>
      </w:r>
    </w:p>
    <w:p w14:paraId="6062DA01">
      <w:pPr>
        <w:rPr>
          <w:rFonts w:ascii="宋体" w:hAnsi="宋体" w:cs="宋体"/>
          <w:color w:val="auto"/>
          <w:highlight w:val="none"/>
        </w:rPr>
      </w:pPr>
    </w:p>
    <w:p w14:paraId="4B524ADA">
      <w:pPr>
        <w:spacing w:before="140" w:line="222" w:lineRule="auto"/>
        <w:ind w:left="2112"/>
        <w:rPr>
          <w:rFonts w:ascii="宋体" w:hAnsi="宋体" w:cs="宋体"/>
          <w:color w:val="auto"/>
          <w:spacing w:val="14"/>
          <w:sz w:val="43"/>
          <w:szCs w:val="43"/>
          <w:highlight w:val="none"/>
        </w:rPr>
      </w:pPr>
      <w:r>
        <w:rPr>
          <w:rFonts w:hint="eastAsia" w:ascii="宋体" w:hAnsi="宋体" w:cs="宋体"/>
          <w:color w:val="auto"/>
          <w:spacing w:val="14"/>
          <w:sz w:val="43"/>
          <w:szCs w:val="43"/>
          <w:highlight w:val="none"/>
        </w:rPr>
        <w:br w:type="page"/>
      </w:r>
    </w:p>
    <w:p w14:paraId="04619F0B">
      <w:pPr>
        <w:spacing w:before="140" w:line="222" w:lineRule="auto"/>
        <w:ind w:left="2112"/>
        <w:rPr>
          <w:rFonts w:hint="eastAsia" w:ascii="宋体" w:hAnsi="宋体" w:cs="宋体"/>
          <w:color w:val="auto"/>
          <w:spacing w:val="14"/>
          <w:sz w:val="43"/>
          <w:szCs w:val="43"/>
          <w:highlight w:val="none"/>
        </w:rPr>
      </w:pPr>
    </w:p>
    <w:p w14:paraId="3EA57DCE">
      <w:pPr>
        <w:spacing w:before="140" w:line="222" w:lineRule="auto"/>
        <w:ind w:left="2112"/>
        <w:rPr>
          <w:rFonts w:hint="eastAsia" w:ascii="宋体" w:hAnsi="宋体" w:cs="宋体"/>
          <w:color w:val="auto"/>
          <w:spacing w:val="14"/>
          <w:sz w:val="43"/>
          <w:szCs w:val="43"/>
          <w:highlight w:val="none"/>
        </w:rPr>
      </w:pPr>
    </w:p>
    <w:p w14:paraId="2F0E7C04">
      <w:pPr>
        <w:spacing w:before="140" w:line="222" w:lineRule="auto"/>
        <w:ind w:left="2112"/>
        <w:rPr>
          <w:rFonts w:ascii="宋体" w:hAnsi="宋体" w:cs="宋体"/>
          <w:color w:val="auto"/>
          <w:sz w:val="43"/>
          <w:szCs w:val="43"/>
          <w:highlight w:val="none"/>
        </w:rPr>
      </w:pPr>
      <w:r>
        <w:rPr>
          <w:rFonts w:hint="eastAsia" w:ascii="宋体" w:hAnsi="宋体" w:cs="宋体"/>
          <w:color w:val="auto"/>
          <w:spacing w:val="14"/>
          <w:sz w:val="43"/>
          <w:szCs w:val="43"/>
          <w:highlight w:val="none"/>
        </w:rPr>
        <w:t>第二部分 通用合同条</w:t>
      </w:r>
      <w:r>
        <w:rPr>
          <w:rFonts w:hint="eastAsia" w:ascii="宋体" w:hAnsi="宋体" w:cs="宋体"/>
          <w:color w:val="auto"/>
          <w:spacing w:val="13"/>
          <w:sz w:val="43"/>
          <w:szCs w:val="43"/>
          <w:highlight w:val="none"/>
        </w:rPr>
        <w:t>款</w:t>
      </w:r>
    </w:p>
    <w:p w14:paraId="59B871BB">
      <w:pPr>
        <w:spacing w:line="500" w:lineRule="exact"/>
        <w:ind w:firstLine="1652" w:firstLineChars="700"/>
        <w:rPr>
          <w:rFonts w:ascii="宋体" w:hAnsi="宋体" w:cs="宋体"/>
          <w:color w:val="auto"/>
          <w:spacing w:val="11"/>
          <w:szCs w:val="21"/>
          <w:highlight w:val="none"/>
        </w:rPr>
        <w:sectPr>
          <w:footerReference r:id="rId10" w:type="default"/>
          <w:pgSz w:w="11911" w:h="16843"/>
          <w:pgMar w:top="1134" w:right="1434" w:bottom="1134" w:left="1434" w:header="0" w:footer="1191" w:gutter="0"/>
          <w:cols w:space="720" w:num="1"/>
        </w:sectPr>
      </w:pPr>
      <w:r>
        <w:rPr>
          <w:rFonts w:hint="eastAsia" w:ascii="宋体" w:hAnsi="宋体" w:cs="宋体"/>
          <w:color w:val="auto"/>
          <w:spacing w:val="13"/>
          <w:szCs w:val="21"/>
          <w:highlight w:val="none"/>
        </w:rPr>
        <w:t>采</w:t>
      </w:r>
      <w:r>
        <w:rPr>
          <w:rFonts w:hint="eastAsia" w:ascii="宋体" w:hAnsi="宋体" w:cs="宋体"/>
          <w:color w:val="auto"/>
          <w:spacing w:val="11"/>
          <w:szCs w:val="21"/>
          <w:highlight w:val="none"/>
        </w:rPr>
        <w:t>用《建设工程施工合同（示范文本）》（</w:t>
      </w:r>
      <w:r>
        <w:rPr>
          <w:rFonts w:hint="eastAsia" w:ascii="宋体" w:hAnsi="宋体" w:cs="宋体"/>
          <w:b/>
          <w:bCs/>
          <w:color w:val="auto"/>
          <w:szCs w:val="21"/>
          <w:highlight w:val="none"/>
        </w:rPr>
        <w:t>GF</w:t>
      </w:r>
      <w:r>
        <w:rPr>
          <w:rFonts w:hint="eastAsia" w:ascii="宋体" w:hAnsi="宋体" w:cs="宋体"/>
          <w:color w:val="auto"/>
          <w:spacing w:val="11"/>
          <w:szCs w:val="21"/>
          <w:highlight w:val="none"/>
        </w:rPr>
        <w:t>—</w:t>
      </w:r>
      <w:r>
        <w:rPr>
          <w:rFonts w:hint="eastAsia" w:ascii="宋体" w:hAnsi="宋体" w:cs="宋体"/>
          <w:b/>
          <w:bCs/>
          <w:color w:val="auto"/>
          <w:spacing w:val="11"/>
          <w:szCs w:val="21"/>
          <w:highlight w:val="none"/>
        </w:rPr>
        <w:t>2017</w:t>
      </w:r>
      <w:r>
        <w:rPr>
          <w:rFonts w:hint="eastAsia" w:ascii="宋体" w:hAnsi="宋体" w:cs="宋体"/>
          <w:color w:val="auto"/>
          <w:spacing w:val="11"/>
          <w:szCs w:val="21"/>
          <w:highlight w:val="none"/>
        </w:rPr>
        <w:t>—</w:t>
      </w:r>
      <w:r>
        <w:rPr>
          <w:rFonts w:hint="eastAsia" w:ascii="宋体" w:hAnsi="宋体" w:cs="宋体"/>
          <w:b/>
          <w:bCs/>
          <w:color w:val="auto"/>
          <w:spacing w:val="11"/>
          <w:szCs w:val="21"/>
          <w:highlight w:val="none"/>
        </w:rPr>
        <w:t>0201</w:t>
      </w:r>
      <w:r>
        <w:rPr>
          <w:rFonts w:hint="eastAsia" w:ascii="宋体" w:hAnsi="宋体" w:cs="宋体"/>
          <w:color w:val="auto"/>
          <w:spacing w:val="11"/>
          <w:szCs w:val="21"/>
          <w:highlight w:val="none"/>
        </w:rPr>
        <w:t>）。</w:t>
      </w:r>
    </w:p>
    <w:p w14:paraId="13EFE954">
      <w:pPr>
        <w:spacing w:line="480" w:lineRule="exact"/>
        <w:jc w:val="center"/>
        <w:rPr>
          <w:rFonts w:ascii="宋体" w:hAnsi="宋体"/>
          <w:color w:val="auto"/>
          <w:sz w:val="30"/>
          <w:szCs w:val="30"/>
          <w:highlight w:val="none"/>
        </w:rPr>
      </w:pPr>
      <w:r>
        <w:rPr>
          <w:rFonts w:ascii="宋体" w:hAnsi="宋体"/>
          <w:color w:val="auto"/>
          <w:sz w:val="30"/>
          <w:szCs w:val="30"/>
          <w:highlight w:val="none"/>
        </w:rPr>
        <w:t>第</w:t>
      </w:r>
      <w:r>
        <w:rPr>
          <w:rFonts w:hint="eastAsia" w:ascii="宋体" w:hAnsi="宋体"/>
          <w:color w:val="auto"/>
          <w:sz w:val="30"/>
          <w:szCs w:val="30"/>
          <w:highlight w:val="none"/>
        </w:rPr>
        <w:t>三</w:t>
      </w:r>
      <w:r>
        <w:rPr>
          <w:rFonts w:ascii="宋体" w:hAnsi="宋体"/>
          <w:color w:val="auto"/>
          <w:sz w:val="30"/>
          <w:szCs w:val="30"/>
          <w:highlight w:val="none"/>
        </w:rPr>
        <w:t>部分 专用合同条款</w:t>
      </w:r>
    </w:p>
    <w:p w14:paraId="75D6FF8C">
      <w:pPr>
        <w:spacing w:line="480" w:lineRule="exact"/>
        <w:rPr>
          <w:color w:val="auto"/>
          <w:szCs w:val="21"/>
          <w:highlight w:val="none"/>
        </w:rPr>
      </w:pPr>
      <w:bookmarkStart w:id="177" w:name="_Toc351203633"/>
      <w:bookmarkStart w:id="178" w:name="_Toc389065258"/>
      <w:bookmarkStart w:id="179" w:name="_Toc373478339"/>
      <w:bookmarkStart w:id="180" w:name="_Toc373227692"/>
      <w:bookmarkStart w:id="181" w:name="_Toc486950496"/>
      <w:r>
        <w:rPr>
          <w:color w:val="auto"/>
          <w:szCs w:val="21"/>
          <w:highlight w:val="none"/>
        </w:rPr>
        <w:t>1</w:t>
      </w:r>
      <w:bookmarkStart w:id="182" w:name="_Toc297120456"/>
      <w:bookmarkStart w:id="183" w:name="_Toc296347155"/>
      <w:bookmarkStart w:id="184" w:name="_Toc296890984"/>
      <w:bookmarkStart w:id="185" w:name="_Toc292559361"/>
      <w:bookmarkStart w:id="186" w:name="_Toc297048342"/>
      <w:bookmarkStart w:id="187" w:name="_Toc296891196"/>
      <w:bookmarkStart w:id="188" w:name="_Toc296346657"/>
      <w:bookmarkStart w:id="189" w:name="_Toc292559866"/>
      <w:bookmarkStart w:id="190" w:name="_Toc296944495"/>
      <w:bookmarkStart w:id="191" w:name="_Toc296503156"/>
      <w:r>
        <w:rPr>
          <w:color w:val="auto"/>
          <w:szCs w:val="21"/>
          <w:highlight w:val="none"/>
        </w:rPr>
        <w:t xml:space="preserve">. </w:t>
      </w:r>
      <w:r>
        <w:rPr>
          <w:rFonts w:hAnsi="宋体"/>
          <w:color w:val="auto"/>
          <w:szCs w:val="21"/>
          <w:highlight w:val="none"/>
        </w:rPr>
        <w:t>一般约定</w:t>
      </w:r>
      <w:bookmarkEnd w:id="177"/>
      <w:bookmarkEnd w:id="178"/>
      <w:bookmarkEnd w:id="179"/>
      <w:bookmarkEnd w:id="180"/>
      <w:bookmarkEnd w:id="181"/>
    </w:p>
    <w:bookmarkEnd w:id="182"/>
    <w:bookmarkEnd w:id="183"/>
    <w:bookmarkEnd w:id="184"/>
    <w:bookmarkEnd w:id="185"/>
    <w:bookmarkEnd w:id="186"/>
    <w:bookmarkEnd w:id="187"/>
    <w:bookmarkEnd w:id="188"/>
    <w:bookmarkEnd w:id="189"/>
    <w:bookmarkEnd w:id="190"/>
    <w:bookmarkEnd w:id="191"/>
    <w:p w14:paraId="54169B5D">
      <w:pPr>
        <w:spacing w:line="480" w:lineRule="exact"/>
        <w:rPr>
          <w:color w:val="auto"/>
          <w:szCs w:val="21"/>
          <w:highlight w:val="none"/>
        </w:rPr>
      </w:pPr>
      <w:bookmarkStart w:id="192" w:name="_Toc389065259"/>
      <w:bookmarkStart w:id="193" w:name="_Toc373227693"/>
      <w:bookmarkStart w:id="194" w:name="_Toc486950497"/>
      <w:bookmarkStart w:id="195" w:name="_Toc373478340"/>
      <w:r>
        <w:rPr>
          <w:color w:val="auto"/>
          <w:szCs w:val="21"/>
          <w:highlight w:val="none"/>
        </w:rPr>
        <w:t xml:space="preserve">1.1 </w:t>
      </w:r>
      <w:r>
        <w:rPr>
          <w:rFonts w:hAnsi="宋体"/>
          <w:color w:val="auto"/>
          <w:szCs w:val="21"/>
          <w:highlight w:val="none"/>
        </w:rPr>
        <w:t>词语定义</w:t>
      </w:r>
      <w:bookmarkEnd w:id="192"/>
      <w:bookmarkEnd w:id="193"/>
      <w:bookmarkEnd w:id="194"/>
      <w:bookmarkEnd w:id="195"/>
    </w:p>
    <w:p w14:paraId="02532238">
      <w:pPr>
        <w:spacing w:line="480" w:lineRule="exact"/>
        <w:ind w:firstLine="420" w:firstLineChars="200"/>
        <w:rPr>
          <w:color w:val="auto"/>
          <w:kern w:val="0"/>
          <w:szCs w:val="21"/>
          <w:highlight w:val="none"/>
        </w:rPr>
      </w:pPr>
      <w:r>
        <w:rPr>
          <w:color w:val="auto"/>
          <w:kern w:val="0"/>
          <w:szCs w:val="21"/>
          <w:highlight w:val="none"/>
        </w:rPr>
        <w:t>1.1.1</w:t>
      </w:r>
      <w:r>
        <w:rPr>
          <w:rFonts w:hint="eastAsia"/>
          <w:color w:val="auto"/>
          <w:kern w:val="0"/>
          <w:szCs w:val="21"/>
          <w:highlight w:val="none"/>
        </w:rPr>
        <w:t xml:space="preserve"> </w:t>
      </w:r>
      <w:r>
        <w:rPr>
          <w:rFonts w:hAnsi="宋体"/>
          <w:color w:val="auto"/>
          <w:kern w:val="0"/>
          <w:szCs w:val="21"/>
          <w:highlight w:val="none"/>
        </w:rPr>
        <w:t>合同</w:t>
      </w:r>
    </w:p>
    <w:p w14:paraId="4A54733E">
      <w:pPr>
        <w:spacing w:line="480" w:lineRule="exact"/>
        <w:rPr>
          <w:color w:val="auto"/>
          <w:kern w:val="0"/>
          <w:szCs w:val="21"/>
          <w:highlight w:val="none"/>
        </w:rPr>
      </w:pPr>
      <w:r>
        <w:rPr>
          <w:color w:val="auto"/>
          <w:kern w:val="0"/>
          <w:szCs w:val="21"/>
          <w:highlight w:val="none"/>
        </w:rPr>
        <w:t>1.1.1.10</w:t>
      </w:r>
      <w:r>
        <w:rPr>
          <w:rFonts w:hint="eastAsia"/>
          <w:color w:val="auto"/>
          <w:kern w:val="0"/>
          <w:szCs w:val="21"/>
          <w:highlight w:val="none"/>
        </w:rPr>
        <w:t xml:space="preserve"> </w:t>
      </w:r>
      <w:r>
        <w:rPr>
          <w:rFonts w:hAnsi="宋体"/>
          <w:color w:val="auto"/>
          <w:kern w:val="0"/>
          <w:szCs w:val="21"/>
          <w:highlight w:val="none"/>
        </w:rPr>
        <w:t>其他合同文件包括：</w:t>
      </w:r>
      <w:r>
        <w:rPr>
          <w:rFonts w:hint="eastAsia" w:hAnsi="宋体"/>
          <w:color w:val="auto"/>
          <w:kern w:val="0"/>
          <w:szCs w:val="21"/>
          <w:highlight w:val="none"/>
          <w:u w:val="single"/>
        </w:rPr>
        <w:t>合同协议书</w:t>
      </w:r>
      <w:r>
        <w:rPr>
          <w:rFonts w:hint="eastAsia" w:hAnsi="宋体"/>
          <w:color w:val="auto"/>
          <w:szCs w:val="21"/>
          <w:highlight w:val="none"/>
          <w:u w:val="single"/>
        </w:rPr>
        <w:t>、成交通知书、响应文件及其附件，采购文件（含补充通知和答疑），履约保证金缴纳证明；履行合同过程中双方签订的补充协议、对合同内容有实质性影响的会议纪要、签证、设计变更等资料。</w:t>
      </w:r>
    </w:p>
    <w:p w14:paraId="24D5F482">
      <w:pPr>
        <w:spacing w:line="480" w:lineRule="exact"/>
        <w:ind w:firstLine="420" w:firstLineChars="200"/>
        <w:rPr>
          <w:color w:val="auto"/>
          <w:szCs w:val="21"/>
          <w:highlight w:val="none"/>
        </w:rPr>
      </w:pPr>
      <w:r>
        <w:rPr>
          <w:color w:val="auto"/>
          <w:szCs w:val="21"/>
          <w:highlight w:val="none"/>
        </w:rPr>
        <w:t xml:space="preserve">1.1.2 </w:t>
      </w:r>
      <w:r>
        <w:rPr>
          <w:rFonts w:hAnsi="宋体"/>
          <w:color w:val="auto"/>
          <w:szCs w:val="21"/>
          <w:highlight w:val="none"/>
        </w:rPr>
        <w:t>合同当事人及其他相关方</w:t>
      </w:r>
    </w:p>
    <w:p w14:paraId="3F11E7AF">
      <w:pPr>
        <w:spacing w:line="480" w:lineRule="exact"/>
        <w:ind w:firstLine="420" w:firstLineChars="200"/>
        <w:rPr>
          <w:color w:val="auto"/>
          <w:szCs w:val="21"/>
          <w:highlight w:val="none"/>
        </w:rPr>
      </w:pPr>
      <w:r>
        <w:rPr>
          <w:color w:val="auto"/>
          <w:szCs w:val="21"/>
          <w:highlight w:val="none"/>
        </w:rPr>
        <w:t>1.1.2.4</w:t>
      </w:r>
      <w:r>
        <w:rPr>
          <w:rFonts w:hint="eastAsia"/>
          <w:color w:val="auto"/>
          <w:szCs w:val="21"/>
          <w:highlight w:val="none"/>
        </w:rPr>
        <w:t xml:space="preserve"> </w:t>
      </w:r>
      <w:r>
        <w:rPr>
          <w:rFonts w:hAnsi="宋体"/>
          <w:color w:val="auto"/>
          <w:szCs w:val="21"/>
          <w:highlight w:val="none"/>
        </w:rPr>
        <w:t>监理人：</w:t>
      </w:r>
    </w:p>
    <w:p w14:paraId="2CF1F0DA">
      <w:pPr>
        <w:spacing w:line="480" w:lineRule="exact"/>
        <w:ind w:firstLine="420" w:firstLineChars="200"/>
        <w:rPr>
          <w:color w:val="auto"/>
          <w:szCs w:val="21"/>
          <w:highlight w:val="none"/>
        </w:rPr>
      </w:pPr>
      <w:r>
        <w:rPr>
          <w:rFonts w:hAnsi="宋体"/>
          <w:color w:val="auto"/>
          <w:szCs w:val="21"/>
          <w:highlight w:val="none"/>
        </w:rPr>
        <w:t>名</w:t>
      </w:r>
      <w:r>
        <w:rPr>
          <w:color w:val="auto"/>
          <w:szCs w:val="21"/>
          <w:highlight w:val="none"/>
        </w:rPr>
        <w:t xml:space="preserve">    </w:t>
      </w:r>
      <w:r>
        <w:rPr>
          <w:rFonts w:hAnsi="宋体"/>
          <w:color w:val="auto"/>
          <w:szCs w:val="21"/>
          <w:highlight w:val="none"/>
        </w:rPr>
        <w:t>称：</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rPr>
        <w:t>；</w:t>
      </w:r>
    </w:p>
    <w:p w14:paraId="58B1B196">
      <w:pPr>
        <w:spacing w:line="480" w:lineRule="exact"/>
        <w:ind w:firstLine="420" w:firstLineChars="200"/>
        <w:rPr>
          <w:color w:val="auto"/>
          <w:szCs w:val="21"/>
          <w:highlight w:val="none"/>
        </w:rPr>
      </w:pPr>
      <w:r>
        <w:rPr>
          <w:rFonts w:hAnsi="宋体"/>
          <w:color w:val="auto"/>
          <w:szCs w:val="21"/>
          <w:highlight w:val="none"/>
        </w:rPr>
        <w:t>资质类别和等级：</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33F6B1E4">
      <w:pPr>
        <w:spacing w:line="480" w:lineRule="exact"/>
        <w:ind w:firstLine="420" w:firstLineChars="200"/>
        <w:rPr>
          <w:color w:val="auto"/>
          <w:szCs w:val="21"/>
          <w:highlight w:val="none"/>
        </w:rPr>
      </w:pPr>
      <w:r>
        <w:rPr>
          <w:rFonts w:hAnsi="宋体"/>
          <w:color w:val="auto"/>
          <w:szCs w:val="21"/>
          <w:highlight w:val="none"/>
        </w:rPr>
        <w:t>联系电话：</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1A134EF9">
      <w:pPr>
        <w:spacing w:line="480" w:lineRule="exact"/>
        <w:ind w:firstLine="420" w:firstLineChars="200"/>
        <w:rPr>
          <w:color w:val="auto"/>
          <w:szCs w:val="21"/>
          <w:highlight w:val="none"/>
        </w:rPr>
      </w:pPr>
      <w:r>
        <w:rPr>
          <w:rFonts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71C96372">
      <w:pPr>
        <w:spacing w:line="480" w:lineRule="exact"/>
        <w:ind w:firstLine="420" w:firstLineChars="200"/>
        <w:rPr>
          <w:color w:val="auto"/>
          <w:szCs w:val="21"/>
          <w:highlight w:val="none"/>
        </w:rPr>
      </w:pPr>
      <w:r>
        <w:rPr>
          <w:rFonts w:hAnsi="宋体"/>
          <w:color w:val="auto"/>
          <w:szCs w:val="21"/>
          <w:highlight w:val="none"/>
        </w:rPr>
        <w:t>通信地址：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55F90712">
      <w:pPr>
        <w:spacing w:line="480" w:lineRule="exact"/>
        <w:ind w:firstLine="420" w:firstLineChars="200"/>
        <w:rPr>
          <w:color w:val="auto"/>
          <w:szCs w:val="21"/>
          <w:highlight w:val="none"/>
        </w:rPr>
      </w:pPr>
      <w:r>
        <w:rPr>
          <w:color w:val="auto"/>
          <w:szCs w:val="21"/>
          <w:highlight w:val="none"/>
        </w:rPr>
        <w:t xml:space="preserve">1.1.2.5 </w:t>
      </w:r>
      <w:r>
        <w:rPr>
          <w:rFonts w:hAnsi="宋体"/>
          <w:color w:val="auto"/>
          <w:szCs w:val="21"/>
          <w:highlight w:val="none"/>
        </w:rPr>
        <w:t>设计人：</w:t>
      </w:r>
    </w:p>
    <w:p w14:paraId="4D9124B7">
      <w:pPr>
        <w:spacing w:line="480" w:lineRule="exact"/>
        <w:ind w:firstLine="420" w:firstLineChars="200"/>
        <w:rPr>
          <w:color w:val="auto"/>
          <w:szCs w:val="21"/>
          <w:highlight w:val="none"/>
        </w:rPr>
      </w:pPr>
      <w:r>
        <w:rPr>
          <w:rFonts w:hAnsi="宋体"/>
          <w:color w:val="auto"/>
          <w:szCs w:val="21"/>
          <w:highlight w:val="none"/>
        </w:rPr>
        <w:t>名</w:t>
      </w:r>
      <w:r>
        <w:rPr>
          <w:color w:val="auto"/>
          <w:szCs w:val="21"/>
          <w:highlight w:val="none"/>
        </w:rPr>
        <w:t xml:space="preserve">    </w:t>
      </w:r>
      <w:r>
        <w:rPr>
          <w:rFonts w:hAnsi="宋体"/>
          <w:color w:val="auto"/>
          <w:szCs w:val="21"/>
          <w:highlight w:val="none"/>
        </w:rPr>
        <w:t>称：</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rPr>
        <w:t>；</w:t>
      </w:r>
    </w:p>
    <w:p w14:paraId="543A5EE4">
      <w:pPr>
        <w:spacing w:line="480" w:lineRule="exact"/>
        <w:ind w:firstLine="420" w:firstLineChars="200"/>
        <w:rPr>
          <w:color w:val="auto"/>
          <w:szCs w:val="21"/>
          <w:highlight w:val="none"/>
        </w:rPr>
      </w:pPr>
      <w:r>
        <w:rPr>
          <w:rFonts w:hAnsi="宋体"/>
          <w:color w:val="auto"/>
          <w:szCs w:val="21"/>
          <w:highlight w:val="none"/>
        </w:rPr>
        <w:t>资质类别和等级：</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5E572592">
      <w:pPr>
        <w:spacing w:line="480" w:lineRule="exact"/>
        <w:ind w:firstLine="420" w:firstLineChars="200"/>
        <w:rPr>
          <w:color w:val="auto"/>
          <w:szCs w:val="21"/>
          <w:highlight w:val="none"/>
        </w:rPr>
      </w:pPr>
      <w:r>
        <w:rPr>
          <w:rFonts w:hAnsi="宋体"/>
          <w:color w:val="auto"/>
          <w:szCs w:val="21"/>
          <w:highlight w:val="none"/>
        </w:rPr>
        <w:t>联系电话：</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50493C96">
      <w:pPr>
        <w:spacing w:line="480" w:lineRule="exact"/>
        <w:ind w:firstLine="420" w:firstLineChars="200"/>
        <w:rPr>
          <w:color w:val="auto"/>
          <w:szCs w:val="21"/>
          <w:highlight w:val="none"/>
        </w:rPr>
      </w:pPr>
      <w:r>
        <w:rPr>
          <w:rFonts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rPr>
        <w:t>；</w:t>
      </w:r>
    </w:p>
    <w:p w14:paraId="24A62B93">
      <w:pPr>
        <w:spacing w:line="480" w:lineRule="exact"/>
        <w:ind w:firstLine="420" w:firstLineChars="200"/>
        <w:rPr>
          <w:color w:val="auto"/>
          <w:szCs w:val="21"/>
          <w:highlight w:val="none"/>
        </w:rPr>
      </w:pPr>
      <w:r>
        <w:rPr>
          <w:rFonts w:hAnsi="宋体"/>
          <w:color w:val="auto"/>
          <w:szCs w:val="21"/>
          <w:highlight w:val="none"/>
        </w:rPr>
        <w:t>通信地址：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15E25B28">
      <w:pPr>
        <w:spacing w:line="480" w:lineRule="exact"/>
        <w:ind w:firstLine="420" w:firstLineChars="200"/>
        <w:rPr>
          <w:color w:val="auto"/>
          <w:szCs w:val="21"/>
          <w:highlight w:val="none"/>
        </w:rPr>
      </w:pPr>
      <w:r>
        <w:rPr>
          <w:color w:val="auto"/>
          <w:szCs w:val="21"/>
          <w:highlight w:val="none"/>
        </w:rPr>
        <w:t xml:space="preserve">1.1.3 </w:t>
      </w:r>
      <w:r>
        <w:rPr>
          <w:rFonts w:hAnsi="宋体"/>
          <w:color w:val="auto"/>
          <w:szCs w:val="21"/>
          <w:highlight w:val="none"/>
        </w:rPr>
        <w:t>工程和设备</w:t>
      </w:r>
    </w:p>
    <w:p w14:paraId="27CFBC37">
      <w:pPr>
        <w:spacing w:line="480" w:lineRule="exact"/>
        <w:ind w:firstLine="420" w:firstLineChars="200"/>
        <w:rPr>
          <w:color w:val="auto"/>
          <w:szCs w:val="21"/>
          <w:highlight w:val="none"/>
        </w:rPr>
      </w:pPr>
      <w:r>
        <w:rPr>
          <w:color w:val="auto"/>
          <w:szCs w:val="21"/>
          <w:highlight w:val="none"/>
        </w:rPr>
        <w:t xml:space="preserve">1.1.3.7 </w:t>
      </w:r>
      <w:r>
        <w:rPr>
          <w:rFonts w:hAnsi="宋体"/>
          <w:color w:val="auto"/>
          <w:szCs w:val="21"/>
          <w:highlight w:val="none"/>
        </w:rPr>
        <w:t>作为施工现场组成部分的其他场所包括：</w:t>
      </w:r>
      <w:r>
        <w:rPr>
          <w:rFonts w:hint="eastAsia"/>
          <w:color w:val="auto"/>
          <w:szCs w:val="21"/>
          <w:highlight w:val="none"/>
          <w:u w:val="single"/>
        </w:rPr>
        <w:t>按本合同《通用条款》第1.1.3.7款规定执行。</w:t>
      </w:r>
    </w:p>
    <w:p w14:paraId="677443AC">
      <w:pPr>
        <w:spacing w:line="480" w:lineRule="exact"/>
        <w:ind w:firstLine="420" w:firstLineChars="200"/>
        <w:jc w:val="left"/>
        <w:rPr>
          <w:color w:val="auto"/>
          <w:szCs w:val="21"/>
          <w:highlight w:val="none"/>
          <w:u w:val="single"/>
        </w:rPr>
      </w:pPr>
      <w:r>
        <w:rPr>
          <w:color w:val="auto"/>
          <w:kern w:val="0"/>
          <w:szCs w:val="21"/>
          <w:highlight w:val="none"/>
        </w:rPr>
        <w:t xml:space="preserve">1.1.3.9 </w:t>
      </w:r>
      <w:r>
        <w:rPr>
          <w:rFonts w:hAnsi="宋体"/>
          <w:color w:val="auto"/>
          <w:kern w:val="0"/>
          <w:szCs w:val="21"/>
          <w:highlight w:val="none"/>
        </w:rPr>
        <w:t>永久占地包括：</w:t>
      </w:r>
      <w:r>
        <w:rPr>
          <w:rFonts w:hint="eastAsia"/>
          <w:color w:val="auto"/>
          <w:szCs w:val="21"/>
          <w:highlight w:val="none"/>
          <w:u w:val="single"/>
        </w:rPr>
        <w:t>具体内容见双方确认的本工程规划图为准</w:t>
      </w:r>
      <w:r>
        <w:rPr>
          <w:rFonts w:hint="eastAsia"/>
          <w:color w:val="auto"/>
          <w:szCs w:val="21"/>
          <w:highlight w:val="none"/>
        </w:rPr>
        <w:t>。</w:t>
      </w:r>
      <w:r>
        <w:rPr>
          <w:color w:val="auto"/>
          <w:szCs w:val="21"/>
          <w:highlight w:val="none"/>
        </w:rPr>
        <w:t xml:space="preserve">  </w:t>
      </w:r>
    </w:p>
    <w:p w14:paraId="72551870">
      <w:pPr>
        <w:spacing w:line="480" w:lineRule="exact"/>
        <w:ind w:firstLine="420" w:firstLineChars="200"/>
        <w:jc w:val="left"/>
        <w:rPr>
          <w:color w:val="auto"/>
          <w:szCs w:val="21"/>
          <w:highlight w:val="none"/>
        </w:rPr>
      </w:pPr>
      <w:r>
        <w:rPr>
          <w:color w:val="auto"/>
          <w:kern w:val="0"/>
          <w:szCs w:val="21"/>
          <w:highlight w:val="none"/>
        </w:rPr>
        <w:t xml:space="preserve">1.1.3.10 </w:t>
      </w:r>
      <w:r>
        <w:rPr>
          <w:rFonts w:hAnsi="宋体"/>
          <w:color w:val="auto"/>
          <w:kern w:val="0"/>
          <w:szCs w:val="21"/>
          <w:highlight w:val="none"/>
        </w:rPr>
        <w:t>临时占地包括：</w:t>
      </w:r>
      <w:r>
        <w:rPr>
          <w:rFonts w:hint="eastAsia"/>
          <w:color w:val="auto"/>
          <w:szCs w:val="21"/>
          <w:highlight w:val="none"/>
          <w:u w:val="single"/>
        </w:rPr>
        <w:t>如有，双方另行协商</w:t>
      </w:r>
      <w:r>
        <w:rPr>
          <w:rFonts w:hAnsi="宋体"/>
          <w:color w:val="auto"/>
          <w:kern w:val="0"/>
          <w:szCs w:val="21"/>
          <w:highlight w:val="none"/>
        </w:rPr>
        <w:t>。</w:t>
      </w:r>
    </w:p>
    <w:p w14:paraId="459783AA">
      <w:pPr>
        <w:spacing w:line="480" w:lineRule="exact"/>
        <w:rPr>
          <w:color w:val="auto"/>
          <w:szCs w:val="21"/>
          <w:highlight w:val="none"/>
        </w:rPr>
      </w:pPr>
      <w:bookmarkStart w:id="196" w:name="_Toc373478341"/>
      <w:bookmarkStart w:id="197" w:name="_Toc389065260"/>
      <w:bookmarkStart w:id="198" w:name="_Toc486950498"/>
      <w:bookmarkStart w:id="199" w:name="_Toc373227694"/>
      <w:r>
        <w:rPr>
          <w:color w:val="auto"/>
          <w:szCs w:val="21"/>
          <w:highlight w:val="none"/>
        </w:rPr>
        <w:t>1.3</w:t>
      </w:r>
      <w:r>
        <w:rPr>
          <w:rFonts w:hint="eastAsia"/>
          <w:color w:val="auto"/>
          <w:szCs w:val="21"/>
          <w:highlight w:val="none"/>
        </w:rPr>
        <w:t xml:space="preserve"> </w:t>
      </w:r>
      <w:r>
        <w:rPr>
          <w:rFonts w:hAnsi="宋体"/>
          <w:color w:val="auto"/>
          <w:szCs w:val="21"/>
          <w:highlight w:val="none"/>
        </w:rPr>
        <w:t>法律</w:t>
      </w:r>
      <w:bookmarkEnd w:id="196"/>
      <w:bookmarkEnd w:id="197"/>
      <w:bookmarkEnd w:id="198"/>
      <w:bookmarkEnd w:id="199"/>
    </w:p>
    <w:p w14:paraId="60A2D7B7">
      <w:pPr>
        <w:autoSpaceDE w:val="0"/>
        <w:autoSpaceDN w:val="0"/>
        <w:adjustRightInd w:val="0"/>
        <w:spacing w:line="480" w:lineRule="exact"/>
        <w:ind w:firstLine="420" w:firstLineChars="200"/>
        <w:jc w:val="left"/>
        <w:rPr>
          <w:color w:val="auto"/>
          <w:szCs w:val="21"/>
          <w:highlight w:val="none"/>
        </w:rPr>
      </w:pPr>
      <w:r>
        <w:rPr>
          <w:rFonts w:hAnsi="宋体"/>
          <w:color w:val="auto"/>
          <w:szCs w:val="21"/>
          <w:highlight w:val="none"/>
        </w:rPr>
        <w:t>适用于合同的其他规范性文件：</w:t>
      </w:r>
      <w:r>
        <w:rPr>
          <w:rFonts w:hint="eastAsia" w:hAnsi="宋体"/>
          <w:color w:val="auto"/>
          <w:szCs w:val="21"/>
          <w:highlight w:val="none"/>
          <w:u w:val="single"/>
        </w:rPr>
        <w:t>现行的国家法律和行政法规及部门规章，工程所在地政府、行政主管部门的有关法规和规章及规范性文件。</w:t>
      </w:r>
    </w:p>
    <w:p w14:paraId="623A61D8">
      <w:pPr>
        <w:spacing w:line="480" w:lineRule="exact"/>
        <w:rPr>
          <w:color w:val="auto"/>
          <w:szCs w:val="21"/>
          <w:highlight w:val="none"/>
        </w:rPr>
      </w:pPr>
      <w:bookmarkStart w:id="200" w:name="_Toc373227695"/>
      <w:bookmarkStart w:id="201" w:name="_Toc486950499"/>
      <w:bookmarkStart w:id="202" w:name="_Toc389065261"/>
      <w:bookmarkStart w:id="203" w:name="_Toc373478342"/>
      <w:r>
        <w:rPr>
          <w:color w:val="auto"/>
          <w:szCs w:val="21"/>
          <w:highlight w:val="none"/>
        </w:rPr>
        <w:t xml:space="preserve">1.4 </w:t>
      </w:r>
      <w:r>
        <w:rPr>
          <w:rFonts w:hAnsi="宋体"/>
          <w:color w:val="auto"/>
          <w:szCs w:val="21"/>
          <w:highlight w:val="none"/>
        </w:rPr>
        <w:t>标准和规范</w:t>
      </w:r>
      <w:bookmarkEnd w:id="200"/>
      <w:bookmarkEnd w:id="201"/>
      <w:bookmarkEnd w:id="202"/>
      <w:bookmarkEnd w:id="203"/>
    </w:p>
    <w:p w14:paraId="74C8778D">
      <w:pPr>
        <w:spacing w:line="480" w:lineRule="exact"/>
        <w:rPr>
          <w:color w:val="auto"/>
          <w:szCs w:val="21"/>
          <w:highlight w:val="none"/>
        </w:rPr>
      </w:pPr>
      <w:r>
        <w:rPr>
          <w:color w:val="auto"/>
          <w:szCs w:val="21"/>
          <w:highlight w:val="none"/>
        </w:rPr>
        <w:t>1.4.1</w:t>
      </w:r>
      <w:r>
        <w:rPr>
          <w:rFonts w:hint="eastAsia"/>
          <w:color w:val="auto"/>
          <w:szCs w:val="21"/>
          <w:highlight w:val="none"/>
        </w:rPr>
        <w:t xml:space="preserve"> </w:t>
      </w:r>
      <w:r>
        <w:rPr>
          <w:rFonts w:hAnsi="宋体"/>
          <w:color w:val="auto"/>
          <w:szCs w:val="21"/>
          <w:highlight w:val="none"/>
        </w:rPr>
        <w:t>适用于工程的标准规范包括：</w:t>
      </w:r>
      <w:r>
        <w:rPr>
          <w:rFonts w:hint="eastAsia" w:hAnsi="宋体"/>
          <w:color w:val="auto"/>
          <w:szCs w:val="21"/>
          <w:highlight w:val="none"/>
          <w:u w:val="single"/>
        </w:rPr>
        <w:t>现行的国家标准、规范，行业标准、规范</w:t>
      </w:r>
      <w:r>
        <w:rPr>
          <w:rFonts w:hAnsi="宋体"/>
          <w:color w:val="auto"/>
          <w:szCs w:val="21"/>
          <w:highlight w:val="none"/>
        </w:rPr>
        <w:t>。</w:t>
      </w:r>
    </w:p>
    <w:p w14:paraId="499F657E">
      <w:pPr>
        <w:spacing w:line="480" w:lineRule="exact"/>
        <w:rPr>
          <w:color w:val="auto"/>
          <w:kern w:val="0"/>
          <w:szCs w:val="21"/>
          <w:highlight w:val="none"/>
        </w:rPr>
      </w:pPr>
      <w:r>
        <w:rPr>
          <w:color w:val="auto"/>
          <w:kern w:val="0"/>
          <w:szCs w:val="21"/>
          <w:highlight w:val="none"/>
        </w:rPr>
        <w:t xml:space="preserve">1.4.2 </w:t>
      </w:r>
      <w:r>
        <w:rPr>
          <w:rFonts w:hAnsi="宋体"/>
          <w:color w:val="auto"/>
          <w:kern w:val="0"/>
          <w:szCs w:val="21"/>
          <w:highlight w:val="none"/>
        </w:rPr>
        <w:t>发包人提供国外标准、规范的名称：</w:t>
      </w:r>
      <w:r>
        <w:rPr>
          <w:rFonts w:hAnsi="宋体"/>
          <w:color w:val="auto"/>
          <w:szCs w:val="21"/>
          <w:highlight w:val="none"/>
          <w:u w:val="single"/>
        </w:rPr>
        <w:t></w:t>
      </w:r>
      <w:r>
        <w:rPr>
          <w:rFonts w:hint="eastAsia" w:hAnsi="宋体"/>
          <w:color w:val="auto"/>
          <w:szCs w:val="21"/>
          <w:highlight w:val="none"/>
          <w:u w:val="single"/>
        </w:rPr>
        <w:t xml:space="preserve">无           </w:t>
      </w:r>
      <w:r>
        <w:rPr>
          <w:rFonts w:hint="eastAsia" w:hAnsi="宋体"/>
          <w:color w:val="auto"/>
          <w:szCs w:val="21"/>
          <w:highlight w:val="none"/>
        </w:rPr>
        <w:t>；</w:t>
      </w:r>
    </w:p>
    <w:p w14:paraId="030563A0">
      <w:pPr>
        <w:spacing w:line="480" w:lineRule="exact"/>
        <w:ind w:firstLine="420" w:firstLineChars="200"/>
        <w:rPr>
          <w:color w:val="auto"/>
          <w:kern w:val="0"/>
          <w:szCs w:val="21"/>
          <w:highlight w:val="none"/>
        </w:rPr>
      </w:pPr>
      <w:r>
        <w:rPr>
          <w:rFonts w:hAnsi="宋体"/>
          <w:color w:val="auto"/>
          <w:kern w:val="0"/>
          <w:szCs w:val="21"/>
          <w:highlight w:val="none"/>
        </w:rPr>
        <w:t>发包人提供国外标准、规范的份数：</w:t>
      </w:r>
      <w:r>
        <w:rPr>
          <w:color w:val="auto"/>
          <w:kern w:val="0"/>
          <w:szCs w:val="21"/>
          <w:highlight w:val="none"/>
          <w:u w:val="single"/>
        </w:rPr>
        <w:t xml:space="preserve">         </w:t>
      </w:r>
      <w:r>
        <w:rPr>
          <w:rFonts w:hint="eastAsia"/>
          <w:color w:val="auto"/>
          <w:kern w:val="0"/>
          <w:szCs w:val="21"/>
          <w:highlight w:val="none"/>
          <w:u w:val="single"/>
        </w:rPr>
        <w:t>无</w:t>
      </w:r>
      <w:r>
        <w:rPr>
          <w:color w:val="auto"/>
          <w:kern w:val="0"/>
          <w:szCs w:val="21"/>
          <w:highlight w:val="none"/>
          <w:u w:val="single"/>
        </w:rPr>
        <w:t xml:space="preserve">           </w:t>
      </w:r>
      <w:r>
        <w:rPr>
          <w:rFonts w:hAnsi="宋体"/>
          <w:color w:val="auto"/>
          <w:kern w:val="0"/>
          <w:szCs w:val="21"/>
          <w:highlight w:val="none"/>
        </w:rPr>
        <w:t>；</w:t>
      </w:r>
    </w:p>
    <w:p w14:paraId="00CBA43B">
      <w:pPr>
        <w:spacing w:line="480" w:lineRule="exact"/>
        <w:ind w:firstLine="420" w:firstLineChars="200"/>
        <w:rPr>
          <w:color w:val="auto"/>
          <w:szCs w:val="21"/>
          <w:highlight w:val="none"/>
        </w:rPr>
      </w:pPr>
      <w:r>
        <w:rPr>
          <w:rFonts w:hAnsi="宋体"/>
          <w:color w:val="auto"/>
          <w:kern w:val="0"/>
          <w:szCs w:val="21"/>
          <w:highlight w:val="none"/>
        </w:rPr>
        <w:t>发包人提供国外标准、规范的名称：</w:t>
      </w:r>
      <w:r>
        <w:rPr>
          <w:color w:val="auto"/>
          <w:kern w:val="0"/>
          <w:szCs w:val="21"/>
          <w:highlight w:val="none"/>
          <w:u w:val="single"/>
        </w:rPr>
        <w:t xml:space="preserve">       </w:t>
      </w:r>
      <w:r>
        <w:rPr>
          <w:rFonts w:hint="eastAsia"/>
          <w:color w:val="auto"/>
          <w:kern w:val="0"/>
          <w:szCs w:val="21"/>
          <w:highlight w:val="none"/>
          <w:u w:val="single"/>
        </w:rPr>
        <w:t xml:space="preserve">  无</w:t>
      </w:r>
      <w:r>
        <w:rPr>
          <w:color w:val="auto"/>
          <w:kern w:val="0"/>
          <w:szCs w:val="21"/>
          <w:highlight w:val="none"/>
          <w:u w:val="single"/>
        </w:rPr>
        <w:t xml:space="preserve">           </w:t>
      </w:r>
      <w:r>
        <w:rPr>
          <w:rFonts w:hAnsi="宋体"/>
          <w:color w:val="auto"/>
          <w:kern w:val="0"/>
          <w:szCs w:val="21"/>
          <w:highlight w:val="none"/>
        </w:rPr>
        <w:t>。</w:t>
      </w:r>
    </w:p>
    <w:p w14:paraId="1F681A45">
      <w:pPr>
        <w:spacing w:line="480" w:lineRule="exact"/>
        <w:rPr>
          <w:color w:val="auto"/>
          <w:szCs w:val="21"/>
          <w:highlight w:val="none"/>
        </w:rPr>
      </w:pPr>
      <w:r>
        <w:rPr>
          <w:color w:val="auto"/>
          <w:szCs w:val="21"/>
          <w:highlight w:val="none"/>
        </w:rPr>
        <w:t>1.4.3</w:t>
      </w:r>
      <w:r>
        <w:rPr>
          <w:rFonts w:hint="eastAsia"/>
          <w:color w:val="auto"/>
          <w:szCs w:val="21"/>
          <w:highlight w:val="none"/>
        </w:rPr>
        <w:t xml:space="preserve"> </w:t>
      </w:r>
      <w:r>
        <w:rPr>
          <w:rFonts w:hAnsi="宋体"/>
          <w:color w:val="auto"/>
          <w:szCs w:val="21"/>
          <w:highlight w:val="none"/>
        </w:rPr>
        <w:t>发包人对工程的技术标准和功能要求的特殊要求：</w:t>
      </w:r>
      <w:r>
        <w:rPr>
          <w:rFonts w:hint="eastAsia" w:ascii="宋体" w:hAnsi="宋体" w:cs="仿宋"/>
          <w:color w:val="auto"/>
          <w:highlight w:val="none"/>
          <w:u w:val="single"/>
        </w:rPr>
        <w:t>如有，双方另行协商</w:t>
      </w:r>
      <w:r>
        <w:rPr>
          <w:rFonts w:hAnsi="宋体"/>
          <w:color w:val="auto"/>
          <w:szCs w:val="21"/>
          <w:highlight w:val="none"/>
        </w:rPr>
        <w:t>。</w:t>
      </w:r>
    </w:p>
    <w:p w14:paraId="77C48154">
      <w:pPr>
        <w:spacing w:line="480" w:lineRule="exact"/>
        <w:rPr>
          <w:color w:val="auto"/>
          <w:szCs w:val="21"/>
          <w:highlight w:val="none"/>
        </w:rPr>
      </w:pPr>
      <w:bookmarkStart w:id="204" w:name="_Toc389065262"/>
      <w:bookmarkStart w:id="205" w:name="_Toc486950500"/>
      <w:bookmarkStart w:id="206" w:name="_Toc373478343"/>
      <w:bookmarkStart w:id="207" w:name="_Toc373227696"/>
      <w:r>
        <w:rPr>
          <w:color w:val="auto"/>
          <w:szCs w:val="21"/>
          <w:highlight w:val="none"/>
        </w:rPr>
        <w:t>1.5 合同文件的优先顺序</w:t>
      </w:r>
      <w:bookmarkEnd w:id="204"/>
      <w:bookmarkEnd w:id="205"/>
      <w:bookmarkEnd w:id="206"/>
      <w:bookmarkEnd w:id="207"/>
    </w:p>
    <w:p w14:paraId="48A27062">
      <w:pPr>
        <w:spacing w:line="480" w:lineRule="exact"/>
        <w:ind w:firstLine="420" w:firstLineChars="200"/>
        <w:rPr>
          <w:rFonts w:ascii="宋体" w:hAnsi="宋体" w:cs="仿宋"/>
          <w:color w:val="auto"/>
          <w:highlight w:val="none"/>
        </w:rPr>
      </w:pPr>
      <w:bookmarkStart w:id="208" w:name="_Toc373227697"/>
      <w:bookmarkStart w:id="209" w:name="_Toc373478344"/>
      <w:bookmarkStart w:id="210" w:name="_Toc389065263"/>
      <w:bookmarkStart w:id="211" w:name="_Toc486950501"/>
      <w:r>
        <w:rPr>
          <w:rFonts w:hint="eastAsia" w:ascii="宋体" w:hAnsi="宋体" w:cs="仿宋"/>
          <w:color w:val="auto"/>
          <w:highlight w:val="none"/>
        </w:rPr>
        <w:t>合同文件组成及优先顺序为：</w:t>
      </w:r>
    </w:p>
    <w:p w14:paraId="1ABE4163">
      <w:pPr>
        <w:numPr>
          <w:ilvl w:val="0"/>
          <w:numId w:val="3"/>
        </w:numPr>
        <w:spacing w:line="480" w:lineRule="exact"/>
        <w:ind w:firstLine="420" w:firstLineChars="200"/>
        <w:rPr>
          <w:rFonts w:ascii="宋体" w:hAnsi="宋体" w:cs="仿宋"/>
          <w:color w:val="auto"/>
          <w:highlight w:val="none"/>
        </w:rPr>
      </w:pPr>
      <w:r>
        <w:rPr>
          <w:rFonts w:hint="eastAsia" w:ascii="宋体" w:hAnsi="宋体" w:cs="仿宋"/>
          <w:color w:val="auto"/>
          <w:highlight w:val="none"/>
        </w:rPr>
        <w:t xml:space="preserve">本合同签订后双方签订约谈记录、变更等书面协议； </w:t>
      </w:r>
    </w:p>
    <w:p w14:paraId="0FDF2804">
      <w:pPr>
        <w:numPr>
          <w:ilvl w:val="0"/>
          <w:numId w:val="3"/>
        </w:numPr>
        <w:spacing w:line="480" w:lineRule="exact"/>
        <w:ind w:firstLine="420" w:firstLineChars="200"/>
        <w:rPr>
          <w:rFonts w:ascii="宋体" w:hAnsi="宋体" w:cs="仿宋"/>
          <w:color w:val="auto"/>
          <w:kern w:val="0"/>
          <w:highlight w:val="none"/>
        </w:rPr>
      </w:pPr>
      <w:r>
        <w:rPr>
          <w:rFonts w:hint="eastAsia" w:ascii="宋体" w:hAnsi="宋体" w:cs="仿宋"/>
          <w:color w:val="auto"/>
          <w:highlight w:val="none"/>
        </w:rPr>
        <w:t>合同协议书；</w:t>
      </w:r>
    </w:p>
    <w:p w14:paraId="7F0EEC01">
      <w:pPr>
        <w:numPr>
          <w:ilvl w:val="0"/>
          <w:numId w:val="3"/>
        </w:numPr>
        <w:spacing w:line="480" w:lineRule="exact"/>
        <w:ind w:firstLine="420" w:firstLineChars="200"/>
        <w:rPr>
          <w:rFonts w:ascii="宋体" w:hAnsi="宋体" w:cs="仿宋"/>
          <w:color w:val="auto"/>
          <w:highlight w:val="none"/>
        </w:rPr>
      </w:pPr>
      <w:r>
        <w:rPr>
          <w:rFonts w:hint="eastAsia" w:ascii="宋体" w:hAnsi="宋体" w:cs="仿宋"/>
          <w:color w:val="auto"/>
          <w:kern w:val="0"/>
          <w:highlight w:val="none"/>
        </w:rPr>
        <w:t>专用合同条款及其附件；</w:t>
      </w:r>
    </w:p>
    <w:p w14:paraId="7A80D84C">
      <w:pPr>
        <w:spacing w:line="480" w:lineRule="exact"/>
        <w:rPr>
          <w:rFonts w:ascii="宋体" w:hAnsi="宋体" w:cs="仿宋"/>
          <w:color w:val="auto"/>
          <w:kern w:val="0"/>
          <w:highlight w:val="none"/>
        </w:rPr>
      </w:pPr>
      <w:r>
        <w:rPr>
          <w:rFonts w:hint="eastAsia" w:ascii="宋体" w:hAnsi="宋体" w:cs="仿宋"/>
          <w:color w:val="auto"/>
          <w:kern w:val="0"/>
          <w:highlight w:val="none"/>
        </w:rPr>
        <w:t xml:space="preserve">    （4）成交通知书；</w:t>
      </w:r>
    </w:p>
    <w:p w14:paraId="3BF6D837">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（5）采购文件及附件（含所有补充通知）；</w:t>
      </w:r>
    </w:p>
    <w:p w14:paraId="07D19285">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（6）采购预算；</w:t>
      </w:r>
    </w:p>
    <w:p w14:paraId="0DEEB84F">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（7）发包人向承包人下发的</w:t>
      </w:r>
      <w:r>
        <w:rPr>
          <w:rFonts w:hint="eastAsia" w:ascii="宋体" w:hAnsi="宋体" w:cs="仿宋"/>
          <w:color w:val="auto"/>
          <w:highlight w:val="none"/>
        </w:rPr>
        <w:t>图纸</w:t>
      </w:r>
      <w:r>
        <w:rPr>
          <w:rFonts w:hint="eastAsia" w:ascii="宋体" w:hAnsi="宋体" w:cs="仿宋"/>
          <w:color w:val="auto"/>
          <w:kern w:val="0"/>
          <w:highlight w:val="none"/>
        </w:rPr>
        <w:t>；</w:t>
      </w:r>
    </w:p>
    <w:p w14:paraId="1A2166D3">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（8）经发包人审核确认的</w:t>
      </w:r>
      <w:r>
        <w:rPr>
          <w:rFonts w:hint="eastAsia" w:ascii="宋体" w:hAnsi="宋体" w:cs="仿宋"/>
          <w:color w:val="auto"/>
          <w:highlight w:val="none"/>
        </w:rPr>
        <w:t>已标价工程量清单</w:t>
      </w:r>
      <w:r>
        <w:rPr>
          <w:rFonts w:hint="eastAsia" w:ascii="宋体" w:hAnsi="宋体" w:cs="仿宋"/>
          <w:color w:val="auto"/>
          <w:kern w:val="0"/>
          <w:highlight w:val="none"/>
        </w:rPr>
        <w:t>；</w:t>
      </w:r>
    </w:p>
    <w:p w14:paraId="0E726201">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（9）报价函函及其附录（如果有）；</w:t>
      </w:r>
    </w:p>
    <w:p w14:paraId="5526806D">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（10）</w:t>
      </w:r>
      <w:r>
        <w:rPr>
          <w:rFonts w:hint="eastAsia" w:ascii="宋体" w:hAnsi="宋体" w:cs="仿宋"/>
          <w:color w:val="auto"/>
          <w:highlight w:val="none"/>
        </w:rPr>
        <w:t>其他合同文件；</w:t>
      </w:r>
    </w:p>
    <w:p w14:paraId="4119BB0D">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11）《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w:t>
      </w:r>
    </w:p>
    <w:p w14:paraId="1329B951">
      <w:pPr>
        <w:spacing w:line="480" w:lineRule="exact"/>
        <w:rPr>
          <w:color w:val="auto"/>
          <w:szCs w:val="21"/>
          <w:highlight w:val="none"/>
        </w:rPr>
      </w:pPr>
      <w:r>
        <w:rPr>
          <w:color w:val="auto"/>
          <w:szCs w:val="21"/>
          <w:highlight w:val="none"/>
        </w:rPr>
        <w:t>1.6 图纸和承包人文件</w:t>
      </w:r>
      <w:bookmarkEnd w:id="208"/>
      <w:bookmarkEnd w:id="209"/>
      <w:bookmarkEnd w:id="210"/>
      <w:bookmarkEnd w:id="211"/>
      <w:r>
        <w:rPr>
          <w:color w:val="auto"/>
          <w:szCs w:val="21"/>
          <w:highlight w:val="none"/>
        </w:rPr>
        <w:tab/>
      </w:r>
    </w:p>
    <w:p w14:paraId="42B718DD">
      <w:pPr>
        <w:spacing w:line="480" w:lineRule="exact"/>
        <w:ind w:firstLine="420" w:firstLineChars="200"/>
        <w:rPr>
          <w:rFonts w:ascii="宋体" w:hAnsi="宋体" w:cs="仿宋"/>
          <w:color w:val="auto"/>
          <w:highlight w:val="none"/>
        </w:rPr>
      </w:pPr>
      <w:bookmarkStart w:id="212" w:name="_Toc351203634"/>
      <w:bookmarkStart w:id="213" w:name="_Toc389065268"/>
      <w:bookmarkStart w:id="214" w:name="_Toc373227702"/>
      <w:bookmarkStart w:id="215" w:name="_Toc373478349"/>
      <w:bookmarkStart w:id="216" w:name="_Toc486950506"/>
      <w:r>
        <w:rPr>
          <w:rFonts w:hint="eastAsia" w:ascii="宋体" w:hAnsi="宋体" w:cs="仿宋"/>
          <w:color w:val="auto"/>
          <w:highlight w:val="none"/>
        </w:rPr>
        <w:t>1.6.1 图纸的提供</w:t>
      </w:r>
    </w:p>
    <w:p w14:paraId="0541B838">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发包人向承包人提供图纸的期限：</w:t>
      </w:r>
      <w:r>
        <w:rPr>
          <w:rFonts w:hint="eastAsia" w:ascii="宋体" w:hAnsi="宋体" w:cs="仿宋"/>
          <w:bCs/>
          <w:color w:val="auto"/>
          <w:highlight w:val="none"/>
          <w:u w:val="single"/>
        </w:rPr>
        <w:t>工程开工前7天内</w:t>
      </w:r>
      <w:r>
        <w:rPr>
          <w:rFonts w:hint="eastAsia" w:ascii="宋体" w:hAnsi="宋体" w:cs="仿宋"/>
          <w:color w:val="auto"/>
          <w:highlight w:val="none"/>
        </w:rPr>
        <w:t>；</w:t>
      </w:r>
    </w:p>
    <w:p w14:paraId="4544FF54">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发包人向承包人提供图纸的数量：</w:t>
      </w:r>
      <w:r>
        <w:rPr>
          <w:rFonts w:hint="eastAsia" w:ascii="宋体" w:hAnsi="宋体" w:cs="仿宋"/>
          <w:color w:val="auto"/>
          <w:highlight w:val="none"/>
          <w:u w:val="single"/>
        </w:rPr>
        <w:t>一式肆套（含制作竣工图使用的四套），承包人需要增加图纸套数的，发包人可代为复制，复制费用由承包人承担</w:t>
      </w:r>
      <w:r>
        <w:rPr>
          <w:rFonts w:hint="eastAsia" w:ascii="宋体" w:hAnsi="宋体" w:cs="仿宋"/>
          <w:color w:val="auto"/>
          <w:highlight w:val="none"/>
        </w:rPr>
        <w:t>；</w:t>
      </w:r>
    </w:p>
    <w:p w14:paraId="03042232">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发包人向承包人提供图纸的内容：</w:t>
      </w:r>
      <w:r>
        <w:rPr>
          <w:rFonts w:hint="eastAsia" w:ascii="宋体" w:hAnsi="宋体" w:cs="仿宋"/>
          <w:color w:val="auto"/>
          <w:highlight w:val="none"/>
          <w:u w:val="single"/>
        </w:rPr>
        <w:t>经双方确认的本合同工程承包范围内的全部图纸。</w:t>
      </w:r>
    </w:p>
    <w:p w14:paraId="50A08220">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1.6.4 承包人文件</w:t>
      </w:r>
    </w:p>
    <w:p w14:paraId="38ACD4AD">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需要由承包人提供的文件，包括：（1）</w:t>
      </w:r>
      <w:r>
        <w:rPr>
          <w:rFonts w:hint="eastAsia" w:ascii="宋体" w:hAnsi="宋体" w:cs="仿宋"/>
          <w:color w:val="auto"/>
          <w:highlight w:val="none"/>
          <w:u w:val="single"/>
        </w:rPr>
        <w:t>开工前7天应提供完善的施工组织设计和安全专项方案；（2）承包人在开工前应向发包人、监理提供有关人员上岗证、有关设备合格证年审证等证件，并需保证现场施工劳动力、机械设备能满足本工程进度要求。（3）其他需要由承包人提供的文件由双方另行确定。</w:t>
      </w:r>
    </w:p>
    <w:p w14:paraId="5967D387">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承包人提供的文件的期限为：本合同未约定的，由发包人确定，应给予承包人合理的时间；</w:t>
      </w:r>
    </w:p>
    <w:p w14:paraId="7F2AC458">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承包人提供的文件的数量为：</w:t>
      </w:r>
      <w:r>
        <w:rPr>
          <w:rFonts w:hint="eastAsia" w:ascii="宋体" w:hAnsi="宋体" w:cs="仿宋"/>
          <w:color w:val="auto"/>
          <w:highlight w:val="none"/>
          <w:u w:val="single"/>
        </w:rPr>
        <w:t>双方另行确定</w:t>
      </w:r>
      <w:r>
        <w:rPr>
          <w:rFonts w:hint="eastAsia" w:ascii="宋体" w:hAnsi="宋体" w:cs="仿宋"/>
          <w:color w:val="auto"/>
          <w:highlight w:val="none"/>
        </w:rPr>
        <w:t>；</w:t>
      </w:r>
    </w:p>
    <w:p w14:paraId="26BB7029">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承包人提供的文件的形式为：</w:t>
      </w:r>
      <w:r>
        <w:rPr>
          <w:rFonts w:hint="eastAsia" w:ascii="宋体" w:hAnsi="宋体" w:cs="仿宋"/>
          <w:color w:val="auto"/>
          <w:highlight w:val="none"/>
          <w:u w:val="single"/>
        </w:rPr>
        <w:t>书面形式</w:t>
      </w:r>
      <w:r>
        <w:rPr>
          <w:rFonts w:hint="eastAsia" w:ascii="宋体" w:hAnsi="宋体" w:cs="仿宋"/>
          <w:color w:val="auto"/>
          <w:highlight w:val="none"/>
        </w:rPr>
        <w:t>；</w:t>
      </w:r>
    </w:p>
    <w:p w14:paraId="7FCAA909">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发包人审批承包人文件的期限：</w:t>
      </w:r>
      <w:r>
        <w:rPr>
          <w:rFonts w:hint="eastAsia" w:ascii="宋体" w:hAnsi="宋体" w:cs="仿宋"/>
          <w:color w:val="auto"/>
          <w:highlight w:val="none"/>
          <w:u w:val="single"/>
        </w:rPr>
        <w:t>提交文件后7个工作日内</w:t>
      </w:r>
      <w:r>
        <w:rPr>
          <w:rFonts w:hint="eastAsia" w:ascii="宋体" w:hAnsi="宋体" w:cs="仿宋"/>
          <w:color w:val="auto"/>
          <w:highlight w:val="none"/>
        </w:rPr>
        <w:t>。</w:t>
      </w:r>
    </w:p>
    <w:p w14:paraId="1CC3BDCD">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1.6.5 现场图纸准备</w:t>
      </w:r>
    </w:p>
    <w:p w14:paraId="1C551AF2">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rPr>
        <w:t>关于现场图纸准备的约定：（1）</w:t>
      </w:r>
      <w:r>
        <w:rPr>
          <w:rFonts w:hint="eastAsia" w:ascii="宋体" w:hAnsi="宋体" w:cs="仿宋"/>
          <w:color w:val="auto"/>
          <w:highlight w:val="none"/>
          <w:u w:val="single"/>
        </w:rPr>
        <w:t>收到施工图后，应在【5】天内做出详细的施工组织设计，报发包人及监理审批。若在施工期间有特殊情况出现，发包人认为必须修改已认可的施工组织部署及进度计划表，承包人须按发包人要求修改其施工组织部署及进度计划表，并在【5】天内提交。（2）开工前应对施工图纸认真核查，积极参与发包人组织的施工图纸交底及会审工作，在承包人收到施工图【15】天内应指出图纸上有悖国家强制性规范、施工质量与安全之处，并做好各系统管线的综合平衡工作，及时发现图纸错漏并避免发包人损失。（3）如发包人提供的图纸、资料不完整的，承包人应在该项工程或分项工程开工前【14】 日之前向发包人提交补充图纸及资料的使用时间表。（4）承包人应按施工作业规范需要，在施工现场至少保留一套完整图纸，供有关人员进行工程检查时使用。（5）如根据本合同约定和现场管理需要，由承包人出具的相关设计图纸及资料，承包人须及时应提供给发包人。</w:t>
      </w:r>
    </w:p>
    <w:p w14:paraId="07F7759B">
      <w:pPr>
        <w:spacing w:line="480" w:lineRule="exact"/>
        <w:outlineLvl w:val="2"/>
        <w:rPr>
          <w:rFonts w:ascii="宋体" w:hAnsi="宋体" w:cs="仿宋"/>
          <w:b/>
          <w:bCs/>
          <w:color w:val="auto"/>
          <w:szCs w:val="32"/>
          <w:highlight w:val="none"/>
        </w:rPr>
      </w:pPr>
      <w:bookmarkStart w:id="217" w:name="_Toc434602137"/>
      <w:bookmarkStart w:id="218" w:name="_Toc403483732"/>
      <w:bookmarkStart w:id="219" w:name="_Toc434601297"/>
      <w:bookmarkStart w:id="220" w:name="_Toc389065264"/>
      <w:bookmarkStart w:id="221" w:name="_Toc373227698"/>
      <w:bookmarkStart w:id="222" w:name="_Toc373478345"/>
      <w:r>
        <w:rPr>
          <w:rFonts w:hint="eastAsia" w:ascii="宋体" w:hAnsi="宋体" w:cs="仿宋"/>
          <w:b/>
          <w:bCs/>
          <w:color w:val="auto"/>
          <w:szCs w:val="32"/>
          <w:highlight w:val="none"/>
        </w:rPr>
        <w:t>1.7 联络</w:t>
      </w:r>
      <w:bookmarkEnd w:id="217"/>
      <w:bookmarkEnd w:id="218"/>
      <w:bookmarkEnd w:id="219"/>
      <w:bookmarkEnd w:id="220"/>
      <w:bookmarkEnd w:id="221"/>
      <w:bookmarkEnd w:id="222"/>
    </w:p>
    <w:p w14:paraId="3B677DEC">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1.7.1发包人和承包人应当在</w:t>
      </w:r>
      <w:r>
        <w:rPr>
          <w:rFonts w:hint="eastAsia" w:ascii="宋体" w:hAnsi="宋体" w:cs="仿宋"/>
          <w:color w:val="auto"/>
          <w:kern w:val="0"/>
          <w:highlight w:val="none"/>
          <w:u w:val="single"/>
        </w:rPr>
        <w:t>开工前</w:t>
      </w:r>
      <w:r>
        <w:rPr>
          <w:rFonts w:hint="eastAsia" w:ascii="宋体" w:hAnsi="宋体" w:cs="仿宋"/>
          <w:color w:val="auto"/>
          <w:highlight w:val="none"/>
          <w:u w:val="single"/>
        </w:rPr>
        <w:t>7</w:t>
      </w:r>
      <w:r>
        <w:rPr>
          <w:rFonts w:hint="eastAsia" w:ascii="宋体" w:hAnsi="宋体" w:cs="仿宋"/>
          <w:color w:val="auto"/>
          <w:kern w:val="0"/>
          <w:highlight w:val="none"/>
        </w:rPr>
        <w:t>天内将与合同有关的通知、批准、证明、证书、指示、指令、要求、请求、同意、意见、确定和决定等书面函件送达对方当事人。</w:t>
      </w:r>
    </w:p>
    <w:p w14:paraId="0C568C92">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1.7.2 发包人接收文件的地点：发包人另行确定；</w:t>
      </w:r>
    </w:p>
    <w:p w14:paraId="6F5B7B9A">
      <w:pPr>
        <w:spacing w:line="480" w:lineRule="exact"/>
        <w:ind w:firstLine="420" w:firstLineChars="200"/>
        <w:rPr>
          <w:rFonts w:ascii="宋体" w:hAnsi="宋体" w:cs="仿宋"/>
          <w:color w:val="auto"/>
          <w:highlight w:val="none"/>
          <w:u w:val="single"/>
        </w:rPr>
      </w:pPr>
      <w:r>
        <w:rPr>
          <w:rFonts w:hint="eastAsia" w:ascii="宋体" w:hAnsi="宋体" w:cs="仿宋"/>
          <w:color w:val="auto"/>
          <w:kern w:val="0"/>
          <w:highlight w:val="none"/>
        </w:rPr>
        <w:t xml:space="preserve">发包人指定的接收人为： </w:t>
      </w:r>
      <w:r>
        <w:rPr>
          <w:rFonts w:hint="eastAsia" w:ascii="宋体" w:hAnsi="宋体" w:cs="仿宋"/>
          <w:color w:val="auto"/>
          <w:highlight w:val="none"/>
          <w:u w:val="single"/>
        </w:rPr>
        <w:tab/>
      </w:r>
      <w:r>
        <w:rPr>
          <w:rFonts w:hint="eastAsia" w:ascii="宋体" w:hAnsi="宋体" w:cs="仿宋"/>
          <w:color w:val="auto"/>
          <w:highlight w:val="none"/>
          <w:u w:val="single"/>
        </w:rPr>
        <w:t xml:space="preserve">            </w:t>
      </w:r>
      <w:r>
        <w:rPr>
          <w:rFonts w:hint="eastAsia" w:ascii="宋体" w:hAnsi="宋体" w:cs="仿宋"/>
          <w:color w:val="auto"/>
          <w:kern w:val="0"/>
          <w:highlight w:val="none"/>
        </w:rPr>
        <w:t>。</w:t>
      </w:r>
    </w:p>
    <w:p w14:paraId="23A1B67D">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承包人接收文件的地点：承包人项目部资料室；</w:t>
      </w:r>
    </w:p>
    <w:p w14:paraId="0DE2907C">
      <w:pPr>
        <w:spacing w:line="480" w:lineRule="exact"/>
        <w:ind w:firstLine="420" w:firstLineChars="200"/>
        <w:rPr>
          <w:rFonts w:ascii="宋体" w:hAnsi="宋体" w:cs="仿宋"/>
          <w:color w:val="auto"/>
          <w:kern w:val="0"/>
          <w:highlight w:val="none"/>
          <w:u w:val="single"/>
        </w:rPr>
      </w:pPr>
      <w:r>
        <w:rPr>
          <w:rFonts w:hint="eastAsia" w:ascii="宋体" w:hAnsi="宋体" w:cs="仿宋"/>
          <w:color w:val="auto"/>
          <w:kern w:val="0"/>
          <w:highlight w:val="none"/>
        </w:rPr>
        <w:t>承包人指定的接收人为：承包人在项目的资料员、</w:t>
      </w:r>
      <w:r>
        <w:rPr>
          <w:rFonts w:hint="eastAsia" w:ascii="宋体" w:hAnsi="宋体" w:cs="仿宋"/>
          <w:color w:val="auto"/>
          <w:highlight w:val="none"/>
          <w:u w:val="single"/>
        </w:rPr>
        <w:t>合同协议书中载明的承包人项目经理本人或者项目经理的授权代表</w:t>
      </w:r>
      <w:r>
        <w:rPr>
          <w:rFonts w:hint="eastAsia" w:ascii="宋体" w:hAnsi="宋体" w:cs="仿宋"/>
          <w:color w:val="auto"/>
          <w:kern w:val="0"/>
          <w:highlight w:val="none"/>
          <w:u w:val="single"/>
        </w:rPr>
        <w:t>。</w:t>
      </w:r>
    </w:p>
    <w:p w14:paraId="47CDABEE">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监理人接收文件的地点：</w:t>
      </w:r>
      <w:r>
        <w:rPr>
          <w:rFonts w:hint="eastAsia" w:ascii="宋体" w:hAnsi="宋体" w:cs="仿宋"/>
          <w:color w:val="auto"/>
          <w:highlight w:val="none"/>
          <w:u w:val="single"/>
        </w:rPr>
        <w:t>双方自行协商</w:t>
      </w:r>
      <w:r>
        <w:rPr>
          <w:rFonts w:hint="eastAsia" w:ascii="宋体" w:hAnsi="宋体" w:cs="仿宋"/>
          <w:color w:val="auto"/>
          <w:kern w:val="0"/>
          <w:highlight w:val="none"/>
        </w:rPr>
        <w:t>；</w:t>
      </w:r>
    </w:p>
    <w:p w14:paraId="38499CDB">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监理人指定的接收人为：</w:t>
      </w:r>
      <w:r>
        <w:rPr>
          <w:rFonts w:hint="eastAsia" w:ascii="宋体" w:hAnsi="宋体" w:cs="仿宋"/>
          <w:color w:val="auto"/>
          <w:kern w:val="0"/>
          <w:highlight w:val="none"/>
          <w:u w:val="single"/>
        </w:rPr>
        <w:t xml:space="preserve">            </w:t>
      </w:r>
      <w:r>
        <w:rPr>
          <w:rFonts w:hint="eastAsia" w:ascii="宋体" w:hAnsi="宋体" w:cs="仿宋"/>
          <w:color w:val="auto"/>
          <w:kern w:val="0"/>
          <w:highlight w:val="none"/>
        </w:rPr>
        <w:t>。</w:t>
      </w:r>
    </w:p>
    <w:p w14:paraId="7B135DC3">
      <w:pPr>
        <w:spacing w:line="480" w:lineRule="exact"/>
        <w:outlineLvl w:val="2"/>
        <w:rPr>
          <w:rFonts w:ascii="宋体" w:hAnsi="宋体" w:cs="仿宋"/>
          <w:b/>
          <w:bCs/>
          <w:color w:val="auto"/>
          <w:szCs w:val="32"/>
          <w:highlight w:val="none"/>
        </w:rPr>
      </w:pPr>
      <w:bookmarkStart w:id="223" w:name="_Toc389065265"/>
      <w:bookmarkStart w:id="224" w:name="_Toc373478346"/>
      <w:bookmarkStart w:id="225" w:name="_Toc373227699"/>
      <w:bookmarkStart w:id="226" w:name="_Toc434601298"/>
      <w:bookmarkStart w:id="227" w:name="_Toc403483733"/>
      <w:bookmarkStart w:id="228" w:name="_Toc434602138"/>
      <w:r>
        <w:rPr>
          <w:rFonts w:hint="eastAsia" w:ascii="宋体" w:hAnsi="宋体" w:cs="仿宋"/>
          <w:b/>
          <w:bCs/>
          <w:color w:val="auto"/>
          <w:szCs w:val="32"/>
          <w:highlight w:val="none"/>
        </w:rPr>
        <w:t>1.10 交通运输</w:t>
      </w:r>
      <w:bookmarkEnd w:id="223"/>
      <w:bookmarkEnd w:id="224"/>
      <w:bookmarkEnd w:id="225"/>
      <w:bookmarkEnd w:id="226"/>
      <w:bookmarkEnd w:id="227"/>
      <w:bookmarkEnd w:id="228"/>
    </w:p>
    <w:p w14:paraId="31010ABC">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w:t>
      </w:r>
      <w:bookmarkStart w:id="229" w:name="_Toc303539100"/>
      <w:bookmarkStart w:id="230" w:name="_Toc312677986"/>
      <w:bookmarkStart w:id="231" w:name="_Toc304295521"/>
      <w:bookmarkStart w:id="232" w:name="_Toc318581155"/>
      <w:bookmarkStart w:id="233" w:name="_Toc300934943"/>
      <w:r>
        <w:rPr>
          <w:rFonts w:hint="eastAsia" w:ascii="宋体" w:hAnsi="宋体" w:cs="仿宋"/>
          <w:color w:val="auto"/>
          <w:highlight w:val="none"/>
        </w:rPr>
        <w:t>.10.1 出入现场的权利</w:t>
      </w:r>
    </w:p>
    <w:p w14:paraId="1005A2BF">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关于出入现场的权利的约定：</w:t>
      </w:r>
      <w:r>
        <w:rPr>
          <w:rFonts w:hint="eastAsia" w:ascii="宋体" w:hAnsi="宋体" w:cs="仿宋"/>
          <w:color w:val="auto"/>
          <w:highlight w:val="none"/>
          <w:u w:val="single"/>
        </w:rPr>
        <w:t>大中型机械设备材料等相关人员进退场须报工程师确认同意后方可实施</w:t>
      </w:r>
      <w:r>
        <w:rPr>
          <w:rFonts w:hint="eastAsia" w:ascii="宋体" w:hAnsi="宋体" w:cs="仿宋"/>
          <w:color w:val="auto"/>
          <w:highlight w:val="none"/>
        </w:rPr>
        <w:t>。</w:t>
      </w:r>
    </w:p>
    <w:p w14:paraId="434121B3">
      <w:pPr>
        <w:spacing w:line="480" w:lineRule="exact"/>
        <w:rPr>
          <w:rFonts w:ascii="宋体" w:hAnsi="宋体" w:cs="仿宋"/>
          <w:color w:val="auto"/>
          <w:highlight w:val="none"/>
        </w:rPr>
      </w:pPr>
      <w:r>
        <w:rPr>
          <w:rFonts w:hint="eastAsia" w:ascii="宋体" w:hAnsi="宋体" w:cs="仿宋"/>
          <w:color w:val="auto"/>
          <w:highlight w:val="none"/>
        </w:rPr>
        <w:t xml:space="preserve">    1.10.2 承包人应自行遵守有关交通法规，严格按照道路和桥梁的限制荷载行驶，执行有关道路限速、限行、禁止超载的规定，并配合交通管理部门的监督和检查。场外交通设施无法满足工程施工需要的，由承包人负责完善并承担相关费用。</w:t>
      </w:r>
    </w:p>
    <w:bookmarkEnd w:id="229"/>
    <w:bookmarkEnd w:id="230"/>
    <w:bookmarkEnd w:id="231"/>
    <w:bookmarkEnd w:id="232"/>
    <w:bookmarkEnd w:id="233"/>
    <w:p w14:paraId="34B69F3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w:t>
      </w:r>
      <w:bookmarkStart w:id="234" w:name="_Toc304295522"/>
      <w:bookmarkStart w:id="235" w:name="_Toc300934944"/>
      <w:bookmarkStart w:id="236" w:name="_Toc312677987"/>
      <w:bookmarkStart w:id="237" w:name="_Toc318581156"/>
      <w:bookmarkStart w:id="238" w:name="_Toc303539101"/>
      <w:r>
        <w:rPr>
          <w:rFonts w:hint="eastAsia" w:ascii="宋体" w:hAnsi="宋体" w:cs="仿宋"/>
          <w:color w:val="auto"/>
          <w:highlight w:val="none"/>
        </w:rPr>
        <w:t>.10.3 场内交通</w:t>
      </w:r>
    </w:p>
    <w:p w14:paraId="5D074DAF">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1.10.3第1款 承包人自行负责工程施工所需的场内道路和交通设施建设维护。因承包人原因造成上述道路或交通设施损坏的，承包人负责修复并承担由此增加的费用。</w:t>
      </w:r>
    </w:p>
    <w:p w14:paraId="7C3C15B3">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关于场外交通和场内交通的边界的约定：</w:t>
      </w:r>
      <w:r>
        <w:rPr>
          <w:rFonts w:hint="eastAsia" w:ascii="宋体" w:hAnsi="宋体" w:cs="仿宋"/>
          <w:color w:val="auto"/>
          <w:highlight w:val="none"/>
          <w:u w:val="single"/>
        </w:rPr>
        <w:t>以双方确认的建筑红线为边界</w:t>
      </w:r>
      <w:r>
        <w:rPr>
          <w:rFonts w:hint="eastAsia" w:ascii="宋体" w:hAnsi="宋体" w:cs="仿宋"/>
          <w:color w:val="auto"/>
          <w:highlight w:val="none"/>
        </w:rPr>
        <w:t>。</w:t>
      </w:r>
    </w:p>
    <w:p w14:paraId="2819802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关于发包人向承包人免费提供满足工程施工需要的场内道路和交通设施的约定：</w:t>
      </w:r>
      <w:r>
        <w:rPr>
          <w:rFonts w:hint="eastAsia" w:ascii="宋体" w:hAnsi="宋体" w:cs="仿宋"/>
          <w:color w:val="auto"/>
          <w:highlight w:val="none"/>
          <w:u w:val="single"/>
        </w:rPr>
        <w:t>开工前七天将施工场地与公共道路的通道开通至施工场地内</w:t>
      </w:r>
      <w:r>
        <w:rPr>
          <w:rFonts w:hint="eastAsia" w:ascii="宋体" w:hAnsi="宋体" w:cs="仿宋"/>
          <w:color w:val="auto"/>
          <w:highlight w:val="none"/>
        </w:rPr>
        <w:t>。</w:t>
      </w:r>
      <w:bookmarkEnd w:id="234"/>
      <w:bookmarkEnd w:id="235"/>
      <w:bookmarkEnd w:id="236"/>
      <w:bookmarkEnd w:id="237"/>
      <w:bookmarkEnd w:id="238"/>
      <w:bookmarkStart w:id="239" w:name="_Toc318581157"/>
    </w:p>
    <w:p w14:paraId="7555D8B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1.10.4超大件和超重件的运输</w:t>
      </w:r>
    </w:p>
    <w:p w14:paraId="7966E28D">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运输超大件或超重件所需的道路和桥梁临时加固改造费用和其他有关费用由</w:t>
      </w:r>
      <w:r>
        <w:rPr>
          <w:rFonts w:hint="eastAsia" w:ascii="宋体" w:hAnsi="宋体" w:cs="仿宋"/>
          <w:color w:val="auto"/>
          <w:highlight w:val="none"/>
          <w:u w:val="single"/>
        </w:rPr>
        <w:t>负责运输的一方</w:t>
      </w:r>
      <w:r>
        <w:rPr>
          <w:rFonts w:hint="eastAsia" w:ascii="宋体" w:hAnsi="宋体" w:cs="仿宋"/>
          <w:color w:val="auto"/>
          <w:highlight w:val="none"/>
        </w:rPr>
        <w:t>承担。</w:t>
      </w:r>
    </w:p>
    <w:bookmarkEnd w:id="239"/>
    <w:p w14:paraId="7B0E3CEC">
      <w:pPr>
        <w:spacing w:line="480" w:lineRule="exact"/>
        <w:outlineLvl w:val="2"/>
        <w:rPr>
          <w:rFonts w:ascii="宋体" w:hAnsi="宋体" w:cs="仿宋"/>
          <w:b/>
          <w:bCs/>
          <w:color w:val="auto"/>
          <w:szCs w:val="32"/>
          <w:highlight w:val="none"/>
        </w:rPr>
      </w:pPr>
      <w:bookmarkStart w:id="240" w:name="_Toc373478347"/>
      <w:bookmarkStart w:id="241" w:name="_Toc403483734"/>
      <w:bookmarkStart w:id="242" w:name="_Toc373227700"/>
      <w:bookmarkStart w:id="243" w:name="_Toc389065266"/>
      <w:bookmarkStart w:id="244" w:name="_Toc434601299"/>
      <w:bookmarkStart w:id="245" w:name="_Toc434602139"/>
      <w:r>
        <w:rPr>
          <w:rFonts w:hint="eastAsia" w:ascii="宋体" w:hAnsi="宋体" w:cs="仿宋"/>
          <w:b/>
          <w:bCs/>
          <w:color w:val="auto"/>
          <w:szCs w:val="32"/>
          <w:highlight w:val="none"/>
        </w:rPr>
        <w:t>1.11 知识产权</w:t>
      </w:r>
      <w:bookmarkEnd w:id="240"/>
      <w:bookmarkEnd w:id="241"/>
      <w:bookmarkEnd w:id="242"/>
      <w:bookmarkEnd w:id="243"/>
      <w:bookmarkEnd w:id="244"/>
      <w:bookmarkEnd w:id="245"/>
    </w:p>
    <w:p w14:paraId="6C4413C1">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仿宋"/>
          <w:color w:val="auto"/>
          <w:highlight w:val="none"/>
          <w:u w:val="single"/>
        </w:rPr>
        <w:t>按本合同《通用条款》第1.11.1款规定执行。</w:t>
      </w:r>
    </w:p>
    <w:p w14:paraId="0AB6D438">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关于发包人提供的上述文件的使用限制的要求：</w:t>
      </w:r>
      <w:r>
        <w:rPr>
          <w:rFonts w:hint="eastAsia" w:ascii="宋体" w:hAnsi="宋体" w:cs="仿宋"/>
          <w:color w:val="auto"/>
          <w:highlight w:val="none"/>
          <w:u w:val="single"/>
        </w:rPr>
        <w:t>未经发包人许可，承包人不得用于其他工程或提供给第三方。</w:t>
      </w:r>
    </w:p>
    <w:p w14:paraId="22F81A9F">
      <w:pPr>
        <w:spacing w:line="480" w:lineRule="exact"/>
        <w:ind w:firstLine="420" w:firstLineChars="200"/>
        <w:rPr>
          <w:rFonts w:ascii="宋体" w:hAnsi="宋体" w:cs="仿宋"/>
          <w:color w:val="auto"/>
          <w:szCs w:val="22"/>
          <w:highlight w:val="none"/>
        </w:rPr>
      </w:pPr>
      <w:r>
        <w:rPr>
          <w:rFonts w:hint="eastAsia" w:ascii="宋体" w:hAnsi="宋体" w:cs="仿宋"/>
          <w:color w:val="auto"/>
          <w:szCs w:val="22"/>
          <w:highlight w:val="none"/>
        </w:rPr>
        <w:t>1.11.2 关于承包人为实施工程所编制文件的著作权的归属：</w:t>
      </w:r>
      <w:r>
        <w:rPr>
          <w:rFonts w:hint="eastAsia" w:ascii="宋体" w:hAnsi="宋体" w:cs="仿宋"/>
          <w:color w:val="auto"/>
          <w:szCs w:val="22"/>
          <w:highlight w:val="none"/>
          <w:u w:val="single"/>
        </w:rPr>
        <w:t>按本合同《通用条款》第1.11.2款规定执行。</w:t>
      </w:r>
    </w:p>
    <w:p w14:paraId="23221B08">
      <w:pPr>
        <w:spacing w:line="480" w:lineRule="exact"/>
        <w:rPr>
          <w:rFonts w:ascii="宋体" w:hAnsi="宋体" w:cs="仿宋"/>
          <w:color w:val="auto"/>
          <w:szCs w:val="22"/>
          <w:highlight w:val="none"/>
        </w:rPr>
      </w:pPr>
      <w:r>
        <w:rPr>
          <w:rFonts w:hint="eastAsia" w:ascii="宋体" w:hAnsi="宋体" w:cs="仿宋"/>
          <w:color w:val="auto"/>
          <w:highlight w:val="none"/>
        </w:rPr>
        <w:t>关于承包人提供的上述文件的使用限制的要求：</w:t>
      </w:r>
      <w:r>
        <w:rPr>
          <w:rFonts w:hint="eastAsia" w:ascii="宋体" w:hAnsi="宋体" w:cs="仿宋"/>
          <w:color w:val="auto"/>
          <w:szCs w:val="22"/>
          <w:highlight w:val="none"/>
          <w:u w:val="single"/>
        </w:rPr>
        <w:t>未经发包人许可，承包人不得用于其他工程或提供给第三方。</w:t>
      </w:r>
    </w:p>
    <w:p w14:paraId="6E73D081">
      <w:pPr>
        <w:spacing w:line="480" w:lineRule="exact"/>
        <w:outlineLvl w:val="0"/>
        <w:rPr>
          <w:rFonts w:ascii="宋体" w:hAnsi="宋体" w:cs="仿宋"/>
          <w:color w:val="auto"/>
          <w:kern w:val="0"/>
          <w:szCs w:val="22"/>
          <w:highlight w:val="none"/>
        </w:rPr>
      </w:pPr>
      <w:r>
        <w:rPr>
          <w:rFonts w:hint="eastAsia" w:ascii="宋体" w:hAnsi="宋体" w:cs="仿宋"/>
          <w:color w:val="auto"/>
          <w:szCs w:val="22"/>
          <w:highlight w:val="none"/>
        </w:rPr>
        <w:t>1.11.4 承包人在施工过程中所采用的专利、专有技术、技术秘密的使用费的承担方式：</w:t>
      </w:r>
      <w:r>
        <w:rPr>
          <w:rFonts w:hint="eastAsia" w:ascii="宋体" w:hAnsi="宋体" w:cs="仿宋"/>
          <w:color w:val="auto"/>
          <w:szCs w:val="22"/>
          <w:highlight w:val="none"/>
          <w:u w:val="single"/>
        </w:rPr>
        <w:t>按本合同《通用条款》第1.11.4款规定执行</w:t>
      </w:r>
      <w:r>
        <w:rPr>
          <w:rFonts w:hint="eastAsia" w:ascii="宋体" w:hAnsi="宋体" w:cs="仿宋"/>
          <w:color w:val="auto"/>
          <w:kern w:val="0"/>
          <w:szCs w:val="22"/>
          <w:highlight w:val="none"/>
        </w:rPr>
        <w:t>。</w:t>
      </w:r>
    </w:p>
    <w:p w14:paraId="6C12D374">
      <w:pPr>
        <w:spacing w:line="480" w:lineRule="exact"/>
        <w:outlineLvl w:val="2"/>
        <w:rPr>
          <w:rFonts w:ascii="宋体" w:hAnsi="宋体" w:cs="仿宋"/>
          <w:b/>
          <w:bCs/>
          <w:color w:val="auto"/>
          <w:szCs w:val="32"/>
          <w:highlight w:val="none"/>
        </w:rPr>
      </w:pPr>
      <w:bookmarkStart w:id="246" w:name="_Toc389065267"/>
      <w:bookmarkStart w:id="247" w:name="_Toc434602140"/>
      <w:bookmarkStart w:id="248" w:name="_Toc434601300"/>
      <w:bookmarkStart w:id="249" w:name="_Toc373227701"/>
      <w:bookmarkStart w:id="250" w:name="_Toc373478348"/>
      <w:bookmarkStart w:id="251" w:name="_Toc403483735"/>
      <w:r>
        <w:rPr>
          <w:rFonts w:hint="eastAsia" w:ascii="宋体" w:hAnsi="宋体" w:cs="仿宋"/>
          <w:b/>
          <w:bCs/>
          <w:color w:val="auto"/>
          <w:szCs w:val="32"/>
          <w:highlight w:val="none"/>
        </w:rPr>
        <w:t>1.13工程量清单错误的修正</w:t>
      </w:r>
      <w:bookmarkEnd w:id="246"/>
      <w:bookmarkEnd w:id="247"/>
      <w:bookmarkEnd w:id="248"/>
      <w:bookmarkEnd w:id="249"/>
      <w:bookmarkEnd w:id="250"/>
      <w:bookmarkEnd w:id="251"/>
    </w:p>
    <w:p w14:paraId="29470D3E">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rPr>
        <w:t>出现工程量清单工程量偏差时，调整合同价格：</w:t>
      </w:r>
      <w:r>
        <w:rPr>
          <w:rFonts w:hint="eastAsia" w:ascii="宋体" w:hAnsi="宋体" w:cs="仿宋"/>
          <w:color w:val="auto"/>
          <w:szCs w:val="22"/>
          <w:highlight w:val="none"/>
          <w:u w:val="single"/>
        </w:rPr>
        <w:t>合同履行期间，由于工程量清单缺项、漏项，新增分部分项工程清单项目的，按照以下规定确定单价，并调整合同价格：（1）合同中已有适用的综合单价，按合同中已有的综合单价确定；（2）合同中有类似的综合单价，参照类似的综合单价确定；（3）合同中没有适用或类似的综合单价，</w:t>
      </w:r>
      <w:r>
        <w:rPr>
          <w:rFonts w:hint="eastAsia" w:ascii="宋体" w:hAnsi="宋体" w:cs="仿宋"/>
          <w:color w:val="auto"/>
          <w:highlight w:val="none"/>
          <w:u w:val="single"/>
        </w:rPr>
        <w:t>有定额的套定额，并乘以下浮系数（中标价/经审定的工程招标控制价）计算，其中材料价格按施工期间的《南宁建设工程造价信息》相应价格信息进行计算；《南宁建设工程造价信息》没有相应价格信息的按经发包人确认市场价计算；无定额可套的，根据市场价格协商确定综合价格；缺项、漏项、新增项目的单价必须经</w:t>
      </w:r>
      <w:r>
        <w:rPr>
          <w:rFonts w:hint="eastAsia" w:ascii="宋体" w:hAnsi="宋体" w:cs="仿宋"/>
          <w:color w:val="auto"/>
          <w:szCs w:val="22"/>
          <w:highlight w:val="none"/>
          <w:u w:val="single"/>
        </w:rPr>
        <w:t>发</w:t>
      </w:r>
      <w:r>
        <w:rPr>
          <w:rFonts w:hint="eastAsia" w:ascii="宋体" w:hAnsi="宋体" w:cs="仿宋"/>
          <w:color w:val="auto"/>
          <w:highlight w:val="none"/>
          <w:u w:val="single"/>
        </w:rPr>
        <w:t>包方</w:t>
      </w:r>
      <w:r>
        <w:rPr>
          <w:rFonts w:hint="eastAsia" w:ascii="宋体" w:hAnsi="宋体" w:cs="仿宋"/>
          <w:color w:val="auto"/>
          <w:szCs w:val="22"/>
          <w:highlight w:val="none"/>
          <w:u w:val="single"/>
        </w:rPr>
        <w:t>认可的中介机构</w:t>
      </w:r>
      <w:r>
        <w:rPr>
          <w:rFonts w:hint="eastAsia" w:ascii="宋体" w:hAnsi="宋体" w:cs="仿宋"/>
          <w:color w:val="auto"/>
          <w:highlight w:val="none"/>
          <w:u w:val="single"/>
        </w:rPr>
        <w:t>审定确认，否则对发包人不生效。承包人不得以以上价款未确定为由而停工、延期工期，否则由此产生的责任损失由承包人承担。</w:t>
      </w:r>
    </w:p>
    <w:p w14:paraId="25D3BFFE">
      <w:pPr>
        <w:spacing w:line="480" w:lineRule="exact"/>
        <w:ind w:firstLine="441" w:firstLineChars="210"/>
        <w:rPr>
          <w:rFonts w:ascii="宋体" w:hAnsi="宋体" w:cs="仿宋"/>
          <w:color w:val="auto"/>
          <w:szCs w:val="20"/>
          <w:highlight w:val="none"/>
          <w:u w:val="single"/>
        </w:rPr>
      </w:pPr>
      <w:r>
        <w:rPr>
          <w:rFonts w:hint="eastAsia" w:ascii="宋体" w:hAnsi="宋体" w:cs="仿宋"/>
          <w:color w:val="auto"/>
          <w:szCs w:val="20"/>
          <w:highlight w:val="none"/>
        </w:rPr>
        <w:t>允许调整合同价格的工程量偏差范围及其调整办法：</w:t>
      </w:r>
      <w:r>
        <w:rPr>
          <w:rFonts w:hint="eastAsia" w:ascii="宋体" w:hAnsi="宋体" w:cs="仿宋"/>
          <w:color w:val="auto"/>
          <w:szCs w:val="20"/>
          <w:highlight w:val="none"/>
          <w:u w:val="single"/>
        </w:rPr>
        <w:t>承包人实际完成的某单项清单项目工程量与招标工程量清 单工程量偏差超过15%(选择项)且该单项清单造价超过合同总价1%(选择项)以上的，超过后增加部分工程量或减少后剩余部分工程量的综合单价按以下方法调整：有定额的套定额，并乘以下浮系数（中标价/公布的工程招标控制价）计算，其中：材料设备价格按施工期间的《南宁市建设工程造价信息》相应信息价的加权平均值计算，《南宁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p>
    <w:p w14:paraId="47793D27">
      <w:pPr>
        <w:spacing w:line="480" w:lineRule="exact"/>
        <w:rPr>
          <w:color w:val="auto"/>
          <w:szCs w:val="21"/>
          <w:highlight w:val="none"/>
        </w:rPr>
      </w:pPr>
      <w:r>
        <w:rPr>
          <w:color w:val="auto"/>
          <w:szCs w:val="21"/>
          <w:highlight w:val="none"/>
        </w:rPr>
        <w:t>2</w:t>
      </w:r>
      <w:bookmarkStart w:id="252" w:name="_Toc296891197"/>
      <w:bookmarkStart w:id="253" w:name="_Toc297048343"/>
      <w:bookmarkStart w:id="254" w:name="_Toc296944496"/>
      <w:bookmarkStart w:id="255" w:name="_Toc292559362"/>
      <w:bookmarkStart w:id="256" w:name="_Toc292559867"/>
      <w:bookmarkStart w:id="257" w:name="_Toc296347156"/>
      <w:bookmarkStart w:id="258" w:name="_Toc296503157"/>
      <w:bookmarkStart w:id="259" w:name="_Toc296346658"/>
      <w:bookmarkStart w:id="260" w:name="_Toc297120457"/>
      <w:bookmarkStart w:id="261" w:name="_Toc296890985"/>
      <w:r>
        <w:rPr>
          <w:color w:val="auto"/>
          <w:szCs w:val="21"/>
          <w:highlight w:val="none"/>
        </w:rPr>
        <w:t xml:space="preserve">. </w:t>
      </w:r>
      <w:r>
        <w:rPr>
          <w:rFonts w:hAnsi="宋体"/>
          <w:color w:val="auto"/>
          <w:szCs w:val="21"/>
          <w:highlight w:val="none"/>
        </w:rPr>
        <w:t>发包人</w:t>
      </w:r>
      <w:bookmarkEnd w:id="212"/>
      <w:bookmarkEnd w:id="213"/>
      <w:bookmarkEnd w:id="214"/>
      <w:bookmarkEnd w:id="215"/>
      <w:bookmarkEnd w:id="216"/>
    </w:p>
    <w:bookmarkEnd w:id="252"/>
    <w:bookmarkEnd w:id="253"/>
    <w:bookmarkEnd w:id="254"/>
    <w:bookmarkEnd w:id="255"/>
    <w:bookmarkEnd w:id="256"/>
    <w:bookmarkEnd w:id="257"/>
    <w:bookmarkEnd w:id="258"/>
    <w:bookmarkEnd w:id="259"/>
    <w:bookmarkEnd w:id="260"/>
    <w:bookmarkEnd w:id="261"/>
    <w:p w14:paraId="112BDEC2">
      <w:pPr>
        <w:spacing w:line="480" w:lineRule="exact"/>
        <w:outlineLvl w:val="1"/>
        <w:rPr>
          <w:rFonts w:ascii="宋体" w:hAnsi="宋体" w:cs="仿宋"/>
          <w:bCs/>
          <w:color w:val="auto"/>
          <w:szCs w:val="32"/>
          <w:highlight w:val="none"/>
        </w:rPr>
      </w:pPr>
      <w:bookmarkStart w:id="262" w:name="_Toc389065269"/>
      <w:bookmarkStart w:id="263" w:name="_Toc373478350"/>
      <w:bookmarkStart w:id="264" w:name="_Toc373227703"/>
      <w:bookmarkStart w:id="265" w:name="_Toc486950507"/>
      <w:r>
        <w:rPr>
          <w:rFonts w:hint="eastAsia" w:ascii="宋体" w:hAnsi="宋体" w:cs="仿宋"/>
          <w:bCs/>
          <w:color w:val="auto"/>
          <w:szCs w:val="32"/>
          <w:highlight w:val="none"/>
        </w:rPr>
        <w:t>2.1发包人应遵守法律，并办理建设用地规划许可证、建设工程规划许可证、建设工程施工许可证、施工所需临时用水、临时用电许可和批准。其他相关手续，包括中断交通、临时占用土地等由承包人自行负责办理，发包人应协助承包人办理法律规定的有关施工证件和批件。</w:t>
      </w:r>
    </w:p>
    <w:p w14:paraId="5B0D66EE">
      <w:pPr>
        <w:spacing w:line="480" w:lineRule="exact"/>
        <w:rPr>
          <w:color w:val="auto"/>
          <w:szCs w:val="21"/>
          <w:highlight w:val="none"/>
        </w:rPr>
      </w:pPr>
      <w:r>
        <w:rPr>
          <w:color w:val="auto"/>
          <w:szCs w:val="21"/>
          <w:highlight w:val="none"/>
        </w:rPr>
        <w:t xml:space="preserve">2.2 </w:t>
      </w:r>
      <w:r>
        <w:rPr>
          <w:rFonts w:hAnsi="宋体"/>
          <w:color w:val="auto"/>
          <w:szCs w:val="21"/>
          <w:highlight w:val="none"/>
        </w:rPr>
        <w:t>发包人代表</w:t>
      </w:r>
      <w:bookmarkEnd w:id="262"/>
      <w:bookmarkEnd w:id="263"/>
      <w:bookmarkEnd w:id="264"/>
      <w:bookmarkEnd w:id="265"/>
    </w:p>
    <w:p w14:paraId="2C32A9FB">
      <w:pPr>
        <w:spacing w:line="480" w:lineRule="exact"/>
        <w:ind w:firstLine="420" w:firstLineChars="200"/>
        <w:rPr>
          <w:color w:val="auto"/>
          <w:szCs w:val="21"/>
          <w:highlight w:val="none"/>
        </w:rPr>
      </w:pPr>
      <w:r>
        <w:rPr>
          <w:rFonts w:hAnsi="宋体"/>
          <w:color w:val="auto"/>
          <w:szCs w:val="21"/>
          <w:highlight w:val="none"/>
        </w:rPr>
        <w:t>发包人代表：</w:t>
      </w:r>
    </w:p>
    <w:p w14:paraId="2EAFBCC7">
      <w:pPr>
        <w:spacing w:line="480" w:lineRule="exact"/>
        <w:ind w:firstLine="420" w:firstLineChars="200"/>
        <w:rPr>
          <w:color w:val="auto"/>
          <w:szCs w:val="21"/>
          <w:highlight w:val="none"/>
        </w:rPr>
      </w:pPr>
      <w:r>
        <w:rPr>
          <w:rFonts w:hAnsi="宋体"/>
          <w:color w:val="auto"/>
          <w:szCs w:val="21"/>
          <w:highlight w:val="none"/>
        </w:rPr>
        <w:t>姓</w:t>
      </w:r>
      <w:r>
        <w:rPr>
          <w:color w:val="auto"/>
          <w:szCs w:val="21"/>
          <w:highlight w:val="none"/>
        </w:rPr>
        <w:t xml:space="preserve">    </w:t>
      </w:r>
      <w:r>
        <w:rPr>
          <w:rFonts w:hAnsi="宋体"/>
          <w:color w:val="auto"/>
          <w:szCs w:val="21"/>
          <w:highlight w:val="none"/>
        </w:rPr>
        <w:t>名：</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26E9F9C8">
      <w:pPr>
        <w:spacing w:line="480" w:lineRule="exact"/>
        <w:ind w:firstLine="420" w:firstLineChars="200"/>
        <w:rPr>
          <w:color w:val="auto"/>
          <w:szCs w:val="21"/>
          <w:highlight w:val="none"/>
        </w:rPr>
      </w:pPr>
      <w:r>
        <w:rPr>
          <w:rFonts w:hAnsi="宋体"/>
          <w:color w:val="auto"/>
          <w:szCs w:val="21"/>
          <w:highlight w:val="none"/>
        </w:rPr>
        <w:t>身份证号：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79203F2D">
      <w:pPr>
        <w:spacing w:line="480" w:lineRule="exact"/>
        <w:ind w:firstLine="420" w:firstLineChars="200"/>
        <w:rPr>
          <w:color w:val="auto"/>
          <w:szCs w:val="21"/>
          <w:highlight w:val="none"/>
        </w:rPr>
      </w:pPr>
      <w:r>
        <w:rPr>
          <w:rFonts w:hAnsi="宋体"/>
          <w:color w:val="auto"/>
          <w:szCs w:val="21"/>
          <w:highlight w:val="none"/>
        </w:rPr>
        <w:t>职</w:t>
      </w:r>
      <w:r>
        <w:rPr>
          <w:color w:val="auto"/>
          <w:szCs w:val="21"/>
          <w:highlight w:val="none"/>
        </w:rPr>
        <w:t xml:space="preserve">    </w:t>
      </w:r>
      <w:r>
        <w:rPr>
          <w:rFonts w:hAnsi="宋体"/>
          <w:color w:val="auto"/>
          <w:szCs w:val="21"/>
          <w:highlight w:val="none"/>
        </w:rPr>
        <w:t>务：</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65249329">
      <w:pPr>
        <w:spacing w:line="480" w:lineRule="exact"/>
        <w:ind w:firstLine="420" w:firstLineChars="200"/>
        <w:rPr>
          <w:color w:val="auto"/>
          <w:szCs w:val="21"/>
          <w:highlight w:val="none"/>
        </w:rPr>
      </w:pPr>
      <w:r>
        <w:rPr>
          <w:rFonts w:hAnsi="宋体"/>
          <w:color w:val="auto"/>
          <w:szCs w:val="21"/>
          <w:highlight w:val="none"/>
        </w:rPr>
        <w:t>联系电话：</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472E88CD">
      <w:pPr>
        <w:spacing w:line="480" w:lineRule="exact"/>
        <w:ind w:firstLine="420" w:firstLineChars="200"/>
        <w:rPr>
          <w:color w:val="auto"/>
          <w:szCs w:val="21"/>
          <w:highlight w:val="none"/>
        </w:rPr>
      </w:pPr>
      <w:r>
        <w:rPr>
          <w:rFonts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5F42F271">
      <w:pPr>
        <w:spacing w:line="480" w:lineRule="exact"/>
        <w:ind w:firstLine="420" w:firstLineChars="200"/>
        <w:rPr>
          <w:color w:val="auto"/>
          <w:szCs w:val="21"/>
          <w:highlight w:val="none"/>
        </w:rPr>
      </w:pPr>
      <w:r>
        <w:rPr>
          <w:rFonts w:hAnsi="宋体"/>
          <w:color w:val="auto"/>
          <w:szCs w:val="21"/>
          <w:highlight w:val="none"/>
        </w:rPr>
        <w:t>通信地址：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265BCE51">
      <w:pPr>
        <w:spacing w:line="480" w:lineRule="exact"/>
        <w:ind w:firstLine="420" w:firstLineChars="200"/>
        <w:rPr>
          <w:rFonts w:ascii="宋体" w:hAnsi="宋体" w:cs="仿宋"/>
          <w:color w:val="auto"/>
          <w:highlight w:val="none"/>
          <w:u w:val="single"/>
        </w:rPr>
      </w:pPr>
      <w:r>
        <w:rPr>
          <w:rFonts w:hAnsi="宋体"/>
          <w:color w:val="auto"/>
          <w:szCs w:val="21"/>
          <w:highlight w:val="none"/>
        </w:rPr>
        <w:t>发包人对发包人代表的授权范围如下：</w:t>
      </w:r>
      <w:r>
        <w:rPr>
          <w:rFonts w:hint="eastAsia" w:ascii="宋体" w:hAnsi="宋体" w:cs="仿宋"/>
          <w:color w:val="auto"/>
          <w:highlight w:val="none"/>
          <w:u w:val="single"/>
        </w:rPr>
        <w:t>代表发包人行使合同约定的权利，履行合同约定的职责，但无权减轻合同中约定的承包人的责任或义务且下列事项须经发包人盖公司公章确认方有效：涉及工期、价款的签证、工程结算、涉及经济条款、工程造价的谈判。发包人代表易人，发包人应提前【7】天书面通知承包人。</w:t>
      </w:r>
    </w:p>
    <w:p w14:paraId="2B06B72B">
      <w:pPr>
        <w:spacing w:line="480" w:lineRule="exact"/>
        <w:ind w:firstLine="420"/>
        <w:rPr>
          <w:rFonts w:ascii="宋体" w:hAnsi="宋体" w:cs="仿宋"/>
          <w:color w:val="auto"/>
          <w:highlight w:val="none"/>
        </w:rPr>
      </w:pPr>
      <w:r>
        <w:rPr>
          <w:rFonts w:hint="eastAsia" w:ascii="宋体" w:hAnsi="宋体" w:cs="仿宋"/>
          <w:color w:val="auto"/>
          <w:highlight w:val="none"/>
        </w:rPr>
        <w:t>发包人代表就下述事项所做出的决定或签署之意见，如未经发包人另行的书面盖章认可，对发包人不发生效力：</w:t>
      </w:r>
    </w:p>
    <w:p w14:paraId="3BADB9DF">
      <w:pPr>
        <w:spacing w:line="480" w:lineRule="exact"/>
        <w:ind w:firstLine="420"/>
        <w:rPr>
          <w:rFonts w:ascii="宋体" w:hAnsi="宋体" w:cs="仿宋"/>
          <w:color w:val="auto"/>
          <w:highlight w:val="none"/>
        </w:rPr>
      </w:pPr>
      <w:r>
        <w:rPr>
          <w:rFonts w:hint="eastAsia" w:ascii="宋体" w:hAnsi="宋体" w:cs="仿宋"/>
          <w:color w:val="auto"/>
          <w:highlight w:val="none"/>
        </w:rPr>
        <w:t>（1）签发开工令、停工令与复工令；</w:t>
      </w:r>
    </w:p>
    <w:p w14:paraId="12C08445">
      <w:pPr>
        <w:spacing w:line="480" w:lineRule="exact"/>
        <w:ind w:firstLine="420"/>
        <w:rPr>
          <w:rFonts w:ascii="宋体" w:hAnsi="宋体" w:cs="仿宋"/>
          <w:color w:val="auto"/>
          <w:highlight w:val="none"/>
        </w:rPr>
      </w:pPr>
      <w:r>
        <w:rPr>
          <w:rFonts w:hint="eastAsia" w:ascii="宋体" w:hAnsi="宋体" w:cs="仿宋"/>
          <w:color w:val="auto"/>
          <w:highlight w:val="none"/>
        </w:rPr>
        <w:t>（2）审核与批准承包人提交的施工组织设计（方案）、施工进度计划等；</w:t>
      </w:r>
    </w:p>
    <w:p w14:paraId="7E9EFFE3">
      <w:pPr>
        <w:spacing w:line="480" w:lineRule="exact"/>
        <w:ind w:firstLine="420"/>
        <w:rPr>
          <w:rFonts w:ascii="宋体" w:hAnsi="宋体" w:cs="仿宋"/>
          <w:color w:val="auto"/>
          <w:highlight w:val="none"/>
        </w:rPr>
      </w:pPr>
      <w:r>
        <w:rPr>
          <w:rFonts w:hint="eastAsia" w:ascii="宋体" w:hAnsi="宋体" w:cs="仿宋"/>
          <w:color w:val="auto"/>
          <w:highlight w:val="none"/>
        </w:rPr>
        <w:t>（3）工程进度与结算付款审核；</w:t>
      </w:r>
    </w:p>
    <w:p w14:paraId="34CBA9D7">
      <w:pPr>
        <w:spacing w:line="480" w:lineRule="exact"/>
        <w:ind w:firstLine="420"/>
        <w:rPr>
          <w:rFonts w:ascii="宋体" w:hAnsi="宋体" w:cs="仿宋"/>
          <w:color w:val="auto"/>
          <w:highlight w:val="none"/>
        </w:rPr>
      </w:pPr>
      <w:r>
        <w:rPr>
          <w:rFonts w:hint="eastAsia" w:ascii="宋体" w:hAnsi="宋体" w:cs="仿宋"/>
          <w:color w:val="auto"/>
          <w:highlight w:val="none"/>
        </w:rPr>
        <w:t>（4）指令承包人撤换不能胜任、玩忽职守的施工人员或班组；</w:t>
      </w:r>
    </w:p>
    <w:p w14:paraId="043F790C">
      <w:pPr>
        <w:spacing w:line="480" w:lineRule="exact"/>
        <w:ind w:firstLine="420"/>
        <w:rPr>
          <w:rFonts w:ascii="宋体" w:hAnsi="宋体" w:cs="仿宋"/>
          <w:color w:val="auto"/>
          <w:highlight w:val="none"/>
        </w:rPr>
      </w:pPr>
      <w:r>
        <w:rPr>
          <w:rFonts w:hint="eastAsia" w:ascii="宋体" w:hAnsi="宋体" w:cs="仿宋"/>
          <w:color w:val="auto"/>
          <w:highlight w:val="none"/>
        </w:rPr>
        <w:t>（5）竣工验收；</w:t>
      </w:r>
    </w:p>
    <w:p w14:paraId="12136FF8">
      <w:pPr>
        <w:spacing w:line="480" w:lineRule="exact"/>
        <w:ind w:firstLine="420"/>
        <w:rPr>
          <w:rFonts w:ascii="宋体" w:hAnsi="宋体" w:cs="仿宋"/>
          <w:color w:val="auto"/>
          <w:highlight w:val="none"/>
        </w:rPr>
      </w:pPr>
      <w:r>
        <w:rPr>
          <w:rFonts w:hint="eastAsia" w:ascii="宋体" w:hAnsi="宋体" w:cs="仿宋"/>
          <w:color w:val="auto"/>
          <w:highlight w:val="none"/>
        </w:rPr>
        <w:t>（6）免除、减轻承包人的任何合同义务；</w:t>
      </w:r>
    </w:p>
    <w:p w14:paraId="0EBB2FD3">
      <w:pPr>
        <w:spacing w:line="480" w:lineRule="exact"/>
        <w:ind w:firstLine="420"/>
        <w:rPr>
          <w:rFonts w:ascii="宋体" w:hAnsi="宋体" w:cs="仿宋"/>
          <w:color w:val="auto"/>
          <w:highlight w:val="none"/>
        </w:rPr>
      </w:pPr>
      <w:r>
        <w:rPr>
          <w:rFonts w:hint="eastAsia" w:ascii="宋体" w:hAnsi="宋体" w:cs="仿宋"/>
          <w:color w:val="auto"/>
          <w:highlight w:val="none"/>
        </w:rPr>
        <w:t>（7）变更承包人承包范围、数量或标准；</w:t>
      </w:r>
    </w:p>
    <w:p w14:paraId="3E266401">
      <w:pPr>
        <w:spacing w:line="480" w:lineRule="exact"/>
        <w:ind w:firstLine="420"/>
        <w:rPr>
          <w:rFonts w:ascii="宋体" w:hAnsi="宋体" w:cs="仿宋"/>
          <w:color w:val="auto"/>
          <w:highlight w:val="none"/>
        </w:rPr>
      </w:pPr>
      <w:r>
        <w:rPr>
          <w:rFonts w:hint="eastAsia" w:ascii="宋体" w:hAnsi="宋体" w:cs="仿宋"/>
          <w:color w:val="auto"/>
          <w:highlight w:val="none"/>
        </w:rPr>
        <w:t>（8）变更图纸；</w:t>
      </w:r>
    </w:p>
    <w:p w14:paraId="61D75699">
      <w:pPr>
        <w:spacing w:line="480" w:lineRule="exact"/>
        <w:ind w:firstLine="420"/>
        <w:rPr>
          <w:rFonts w:ascii="宋体" w:hAnsi="宋体" w:cs="仿宋"/>
          <w:color w:val="auto"/>
          <w:highlight w:val="none"/>
        </w:rPr>
      </w:pPr>
      <w:r>
        <w:rPr>
          <w:rFonts w:hint="eastAsia" w:ascii="宋体" w:hAnsi="宋体" w:cs="仿宋"/>
          <w:color w:val="auto"/>
          <w:highlight w:val="none"/>
        </w:rPr>
        <w:t>（9）变更合同价或计价方法；</w:t>
      </w:r>
    </w:p>
    <w:p w14:paraId="1D221C6D">
      <w:pPr>
        <w:spacing w:line="480" w:lineRule="exact"/>
        <w:ind w:firstLine="420"/>
        <w:rPr>
          <w:rFonts w:ascii="宋体" w:hAnsi="宋体" w:cs="仿宋"/>
          <w:color w:val="auto"/>
          <w:highlight w:val="none"/>
        </w:rPr>
      </w:pPr>
      <w:r>
        <w:rPr>
          <w:rFonts w:hint="eastAsia" w:ascii="宋体" w:hAnsi="宋体" w:cs="仿宋"/>
          <w:color w:val="auto"/>
          <w:highlight w:val="none"/>
        </w:rPr>
        <w:t>（10）工程的计量签证；</w:t>
      </w:r>
    </w:p>
    <w:p w14:paraId="40A94A34">
      <w:pPr>
        <w:spacing w:line="480" w:lineRule="exact"/>
        <w:ind w:firstLine="420"/>
        <w:rPr>
          <w:rFonts w:ascii="宋体" w:hAnsi="宋体" w:cs="仿宋"/>
          <w:color w:val="auto"/>
          <w:highlight w:val="none"/>
        </w:rPr>
      </w:pPr>
      <w:r>
        <w:rPr>
          <w:rFonts w:hint="eastAsia" w:ascii="宋体" w:hAnsi="宋体" w:cs="仿宋"/>
          <w:color w:val="auto"/>
          <w:highlight w:val="none"/>
        </w:rPr>
        <w:t>（11）工期顺延签证；</w:t>
      </w:r>
    </w:p>
    <w:p w14:paraId="3990871B">
      <w:pPr>
        <w:spacing w:line="480" w:lineRule="exact"/>
        <w:ind w:firstLine="420"/>
        <w:rPr>
          <w:rFonts w:ascii="宋体" w:hAnsi="宋体" w:cs="仿宋"/>
          <w:color w:val="auto"/>
          <w:highlight w:val="none"/>
        </w:rPr>
      </w:pPr>
      <w:r>
        <w:rPr>
          <w:rFonts w:hint="eastAsia" w:ascii="宋体" w:hAnsi="宋体" w:cs="仿宋"/>
          <w:color w:val="auto"/>
          <w:highlight w:val="none"/>
        </w:rPr>
        <w:t>（12）延长合同工期；</w:t>
      </w:r>
    </w:p>
    <w:p w14:paraId="789BE4F5">
      <w:pPr>
        <w:spacing w:line="480" w:lineRule="exact"/>
        <w:ind w:firstLine="420"/>
        <w:rPr>
          <w:rFonts w:ascii="宋体" w:hAnsi="宋体" w:cs="仿宋"/>
          <w:color w:val="auto"/>
          <w:highlight w:val="none"/>
        </w:rPr>
      </w:pPr>
      <w:r>
        <w:rPr>
          <w:rFonts w:hint="eastAsia" w:ascii="宋体" w:hAnsi="宋体" w:cs="仿宋"/>
          <w:color w:val="auto"/>
          <w:highlight w:val="none"/>
        </w:rPr>
        <w:t>（13）同意承包人的任何索赔主张；</w:t>
      </w:r>
    </w:p>
    <w:p w14:paraId="0FAB7628">
      <w:pPr>
        <w:spacing w:line="480" w:lineRule="exact"/>
        <w:ind w:firstLine="420"/>
        <w:rPr>
          <w:rFonts w:ascii="宋体" w:hAnsi="宋体" w:cs="仿宋"/>
          <w:color w:val="auto"/>
          <w:highlight w:val="none"/>
        </w:rPr>
      </w:pPr>
      <w:r>
        <w:rPr>
          <w:rFonts w:hint="eastAsia" w:ascii="宋体" w:hAnsi="宋体" w:cs="仿宋"/>
          <w:color w:val="auto"/>
          <w:highlight w:val="none"/>
        </w:rPr>
        <w:t>（14）批准分包、转包。</w:t>
      </w:r>
    </w:p>
    <w:p w14:paraId="3FE0866B">
      <w:pPr>
        <w:spacing w:line="480" w:lineRule="exact"/>
        <w:ind w:firstLine="420"/>
        <w:rPr>
          <w:rFonts w:ascii="宋体" w:hAnsi="宋体" w:cs="仿宋"/>
          <w:color w:val="auto"/>
          <w:highlight w:val="none"/>
        </w:rPr>
      </w:pPr>
      <w:r>
        <w:rPr>
          <w:rFonts w:hint="eastAsia" w:ascii="宋体" w:hAnsi="宋体" w:cs="仿宋"/>
          <w:color w:val="auto"/>
          <w:highlight w:val="none"/>
        </w:rPr>
        <w:t>（15）其他对本合同变更、终止以及对发包人实体权益构成影响的任何承诺、确认、和同意等。</w:t>
      </w:r>
    </w:p>
    <w:p w14:paraId="23917EF4">
      <w:pPr>
        <w:spacing w:line="480" w:lineRule="exact"/>
        <w:ind w:firstLine="420"/>
        <w:rPr>
          <w:rFonts w:ascii="宋体" w:hAnsi="宋体" w:cs="仿宋"/>
          <w:color w:val="auto"/>
          <w:highlight w:val="none"/>
        </w:rPr>
      </w:pPr>
      <w:r>
        <w:rPr>
          <w:rFonts w:hint="eastAsia" w:ascii="宋体" w:hAnsi="宋体" w:cs="仿宋"/>
          <w:color w:val="auto"/>
          <w:highlight w:val="none"/>
        </w:rPr>
        <w:t xml:space="preserve">    发包人代表依据合同行使管理权利或发出各种指令时，承包人必须服从并遵照执行，否则，承包人应向发包人承担违约责任。</w:t>
      </w:r>
    </w:p>
    <w:p w14:paraId="1FC02671">
      <w:pPr>
        <w:spacing w:line="480" w:lineRule="exact"/>
        <w:rPr>
          <w:color w:val="auto"/>
          <w:szCs w:val="21"/>
          <w:highlight w:val="none"/>
        </w:rPr>
      </w:pPr>
      <w:bookmarkStart w:id="266" w:name="_Toc486950508"/>
      <w:bookmarkStart w:id="267" w:name="_Toc389065270"/>
      <w:bookmarkStart w:id="268" w:name="_Toc373227704"/>
      <w:bookmarkStart w:id="269" w:name="_Toc373478351"/>
      <w:r>
        <w:rPr>
          <w:color w:val="auto"/>
          <w:szCs w:val="21"/>
          <w:highlight w:val="none"/>
        </w:rPr>
        <w:t>2.4 施工现场、施工条件和基础资料的提供</w:t>
      </w:r>
      <w:bookmarkEnd w:id="266"/>
      <w:bookmarkEnd w:id="267"/>
      <w:bookmarkEnd w:id="268"/>
      <w:bookmarkEnd w:id="269"/>
    </w:p>
    <w:p w14:paraId="298F81B0">
      <w:pPr>
        <w:spacing w:line="480" w:lineRule="exact"/>
        <w:ind w:firstLine="420" w:firstLineChars="200"/>
        <w:rPr>
          <w:rFonts w:ascii="宋体" w:hAnsi="宋体" w:cs="仿宋"/>
          <w:color w:val="auto"/>
          <w:highlight w:val="none"/>
        </w:rPr>
      </w:pPr>
      <w:bookmarkStart w:id="270" w:name="_Toc373478352"/>
      <w:bookmarkStart w:id="271" w:name="_Toc486950509"/>
      <w:bookmarkStart w:id="272" w:name="_Toc373227705"/>
      <w:bookmarkStart w:id="273" w:name="_Toc389065271"/>
      <w:r>
        <w:rPr>
          <w:rFonts w:hint="eastAsia" w:ascii="宋体" w:hAnsi="宋体" w:cs="仿宋"/>
          <w:color w:val="auto"/>
          <w:highlight w:val="none"/>
        </w:rPr>
        <w:t>2.4.1 提供施工现场</w:t>
      </w:r>
    </w:p>
    <w:p w14:paraId="016EFF1A">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关于发包人移交施工现场的期限要求：</w:t>
      </w:r>
      <w:r>
        <w:rPr>
          <w:rFonts w:hint="eastAsia" w:ascii="宋体" w:hAnsi="宋体" w:cs="仿宋"/>
          <w:color w:val="auto"/>
          <w:highlight w:val="none"/>
          <w:u w:val="single"/>
        </w:rPr>
        <w:t>施工场地应当在监理人发出的开工通知中载明的开工日期前 7 天具备施工条件并移交给承包人。</w:t>
      </w:r>
    </w:p>
    <w:p w14:paraId="1A3D4AD6">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如无相反证据，开工令的签发是现场满足本合同约定的移交标准具备施工条件且发包人已将现场移交给承包人的充分证据，承包人应及时进场施工。</w:t>
      </w:r>
    </w:p>
    <w:p w14:paraId="3C6CA4AC">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2.4.2 提供施工条件</w:t>
      </w:r>
    </w:p>
    <w:p w14:paraId="2EF630EA">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rPr>
        <w:t>关于发包人应负责提供施工所需要的条件，包括：</w:t>
      </w:r>
      <w:r>
        <w:rPr>
          <w:rFonts w:hint="eastAsia" w:ascii="宋体" w:hAnsi="宋体" w:cs="仿宋"/>
          <w:color w:val="auto"/>
          <w:highlight w:val="none"/>
          <w:u w:val="single"/>
        </w:rPr>
        <w:t>施工场地内地下管线和地下设施等有关资料。承包人应对发包人提供的工程地质、地下管网线路资料，进行必要的进一步勘查，确保不破坏地下管网、临近建筑物及市政设施，并自行承担费用。</w:t>
      </w:r>
    </w:p>
    <w:p w14:paraId="35BF5BAC">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rPr>
        <w:t xml:space="preserve">2.4.4 </w:t>
      </w:r>
      <w:r>
        <w:rPr>
          <w:rFonts w:ascii="宋体" w:hAnsi="宋体" w:cs="仿宋"/>
          <w:color w:val="auto"/>
          <w:highlight w:val="none"/>
        </w:rPr>
        <w:t>因发包人原因未能按合同约定及时向承包人提供施工现场、施工条件、基础资料的，发包人</w:t>
      </w:r>
      <w:r>
        <w:rPr>
          <w:rFonts w:hint="eastAsia" w:ascii="宋体" w:hAnsi="宋体" w:cs="仿宋"/>
          <w:color w:val="auto"/>
          <w:highlight w:val="none"/>
        </w:rPr>
        <w:t>不</w:t>
      </w:r>
      <w:r>
        <w:rPr>
          <w:rFonts w:ascii="宋体" w:hAnsi="宋体" w:cs="仿宋"/>
          <w:color w:val="auto"/>
          <w:highlight w:val="none"/>
        </w:rPr>
        <w:t>承担由此增加的费用和（或）延误的工期。</w:t>
      </w:r>
    </w:p>
    <w:p w14:paraId="092CA716">
      <w:pPr>
        <w:spacing w:line="480" w:lineRule="exact"/>
        <w:rPr>
          <w:color w:val="auto"/>
          <w:szCs w:val="21"/>
          <w:highlight w:val="none"/>
        </w:rPr>
      </w:pPr>
      <w:r>
        <w:rPr>
          <w:color w:val="auto"/>
          <w:szCs w:val="21"/>
          <w:highlight w:val="none"/>
        </w:rPr>
        <w:t>2.5 资金来源证明及支付担保</w:t>
      </w:r>
      <w:bookmarkEnd w:id="270"/>
      <w:bookmarkEnd w:id="271"/>
      <w:bookmarkEnd w:id="272"/>
      <w:bookmarkEnd w:id="273"/>
    </w:p>
    <w:p w14:paraId="1112A30E">
      <w:pPr>
        <w:spacing w:line="480" w:lineRule="exact"/>
        <w:ind w:firstLine="420" w:firstLineChars="200"/>
        <w:rPr>
          <w:color w:val="auto"/>
          <w:szCs w:val="21"/>
          <w:highlight w:val="none"/>
        </w:rPr>
      </w:pPr>
      <w:r>
        <w:rPr>
          <w:rFonts w:hAnsi="宋体"/>
          <w:color w:val="auto"/>
          <w:szCs w:val="21"/>
          <w:highlight w:val="none"/>
        </w:rPr>
        <w:t>发包人提供资金来源证明的期限要求：</w:t>
      </w:r>
      <w:r>
        <w:rPr>
          <w:rFonts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1305FC12">
      <w:pPr>
        <w:spacing w:line="480" w:lineRule="exact"/>
        <w:ind w:firstLine="420" w:firstLineChars="200"/>
        <w:rPr>
          <w:color w:val="auto"/>
          <w:szCs w:val="21"/>
          <w:highlight w:val="none"/>
        </w:rPr>
      </w:pPr>
      <w:r>
        <w:rPr>
          <w:rFonts w:hAnsi="宋体"/>
          <w:color w:val="auto"/>
          <w:szCs w:val="21"/>
          <w:highlight w:val="none"/>
        </w:rPr>
        <w:t>发包人是否提供支付担保：</w:t>
      </w:r>
      <w:r>
        <w:rPr>
          <w:rFonts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否</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rPr>
        <w:t>。</w:t>
      </w:r>
    </w:p>
    <w:p w14:paraId="67A409EA">
      <w:pPr>
        <w:spacing w:line="480" w:lineRule="exact"/>
        <w:ind w:firstLine="420" w:firstLineChars="200"/>
        <w:rPr>
          <w:rFonts w:hAnsi="宋体"/>
          <w:color w:val="auto"/>
          <w:szCs w:val="21"/>
          <w:highlight w:val="none"/>
        </w:rPr>
      </w:pPr>
      <w:r>
        <w:rPr>
          <w:rFonts w:hAnsi="宋体"/>
          <w:color w:val="auto"/>
          <w:szCs w:val="21"/>
          <w:highlight w:val="none"/>
        </w:rPr>
        <w:t>发包人提供支付担保的形式：</w:t>
      </w:r>
      <w:r>
        <w:rPr>
          <w:rFonts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否</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1B1D4BDF">
      <w:pPr>
        <w:spacing w:line="480" w:lineRule="exact"/>
        <w:ind w:firstLine="420" w:firstLineChars="200"/>
        <w:rPr>
          <w:rFonts w:hAnsi="宋体"/>
          <w:color w:val="auto"/>
          <w:szCs w:val="21"/>
          <w:highlight w:val="none"/>
        </w:rPr>
      </w:pPr>
      <w:r>
        <w:rPr>
          <w:rFonts w:hint="eastAsia" w:hAnsi="宋体"/>
          <w:color w:val="auto"/>
          <w:szCs w:val="21"/>
          <w:highlight w:val="none"/>
        </w:rPr>
        <w:t>发包人提供的支付担保格式见合同附件2。</w:t>
      </w:r>
    </w:p>
    <w:p w14:paraId="4DF47923">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2.6.批准不免除责任</w:t>
      </w:r>
    </w:p>
    <w:p w14:paraId="36D8065D">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2.6.1在合同履行过程中，发包人对承包人所提交图纸、施工方案、进度计划、材料采购与进场计划、资金使用计划及其它文件等的任何批准与认可，不免除承包人依据合同与法律所应向发包人或第三人承担的任何义务和责任。</w:t>
      </w:r>
    </w:p>
    <w:p w14:paraId="1878DEAD">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2.6.2除非发包人给予承包人顺延工期签证，否则，发包人或工程师无论以何种形式对承包人在履行合同上的时间宽限，或对承包人所提出的延期完工、竣工方案的认可等，不影响或限制发包人所享有的依据合同追究承包人延误工期或进度滞后违约责任的权利。</w:t>
      </w:r>
    </w:p>
    <w:p w14:paraId="700351DC">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2.6.3发包人或承包人一方对另一方违反合同所享有的索赔权利的放弃，不意味着对其将来违约所产生的索赔权利的放弃。</w:t>
      </w:r>
    </w:p>
    <w:p w14:paraId="4A685BE8">
      <w:pPr>
        <w:spacing w:line="480" w:lineRule="exact"/>
        <w:rPr>
          <w:color w:val="auto"/>
          <w:szCs w:val="21"/>
          <w:highlight w:val="none"/>
        </w:rPr>
      </w:pPr>
      <w:bookmarkStart w:id="274" w:name="_Toc486950510"/>
      <w:bookmarkStart w:id="275" w:name="_Toc373227706"/>
      <w:bookmarkStart w:id="276" w:name="_Toc351203635"/>
      <w:bookmarkStart w:id="277" w:name="_Toc389065272"/>
      <w:bookmarkStart w:id="278" w:name="_Toc373478353"/>
      <w:r>
        <w:rPr>
          <w:color w:val="auto"/>
          <w:szCs w:val="21"/>
          <w:highlight w:val="none"/>
        </w:rPr>
        <w:t>3</w:t>
      </w:r>
      <w:bookmarkStart w:id="279" w:name="_Toc296891198"/>
      <w:bookmarkStart w:id="280" w:name="_Toc296944497"/>
      <w:bookmarkStart w:id="281" w:name="_Toc296890986"/>
      <w:bookmarkStart w:id="282" w:name="_Toc297048344"/>
      <w:bookmarkStart w:id="283" w:name="_Toc297120458"/>
      <w:bookmarkStart w:id="284" w:name="_Toc292559363"/>
      <w:bookmarkStart w:id="285" w:name="_Toc296347157"/>
      <w:bookmarkStart w:id="286" w:name="_Toc292559868"/>
      <w:bookmarkStart w:id="287" w:name="_Toc296503158"/>
      <w:bookmarkStart w:id="288" w:name="_Toc296346659"/>
      <w:r>
        <w:rPr>
          <w:color w:val="auto"/>
          <w:szCs w:val="21"/>
          <w:highlight w:val="none"/>
        </w:rPr>
        <w:t xml:space="preserve">. </w:t>
      </w:r>
      <w:r>
        <w:rPr>
          <w:rFonts w:hAnsi="宋体"/>
          <w:color w:val="auto"/>
          <w:szCs w:val="21"/>
          <w:highlight w:val="none"/>
        </w:rPr>
        <w:t>承包人</w:t>
      </w:r>
      <w:bookmarkEnd w:id="274"/>
      <w:bookmarkEnd w:id="275"/>
      <w:bookmarkEnd w:id="276"/>
      <w:bookmarkEnd w:id="277"/>
      <w:bookmarkEnd w:id="278"/>
    </w:p>
    <w:bookmarkEnd w:id="279"/>
    <w:bookmarkEnd w:id="280"/>
    <w:bookmarkEnd w:id="281"/>
    <w:bookmarkEnd w:id="282"/>
    <w:bookmarkEnd w:id="283"/>
    <w:bookmarkEnd w:id="284"/>
    <w:bookmarkEnd w:id="285"/>
    <w:bookmarkEnd w:id="286"/>
    <w:bookmarkEnd w:id="287"/>
    <w:bookmarkEnd w:id="288"/>
    <w:p w14:paraId="209ABE35">
      <w:pPr>
        <w:spacing w:line="480" w:lineRule="exact"/>
        <w:ind w:firstLine="420" w:firstLineChars="200"/>
        <w:jc w:val="left"/>
        <w:rPr>
          <w:rFonts w:ascii="宋体" w:hAnsi="宋体" w:cs="仿宋"/>
          <w:color w:val="auto"/>
          <w:highlight w:val="none"/>
        </w:rPr>
      </w:pPr>
      <w:bookmarkStart w:id="289" w:name="_Toc373227708"/>
      <w:bookmarkStart w:id="290" w:name="_Toc389065274"/>
      <w:bookmarkStart w:id="291" w:name="_Toc486950512"/>
      <w:bookmarkStart w:id="292" w:name="_Toc373478355"/>
      <w:r>
        <w:rPr>
          <w:rFonts w:hint="eastAsia" w:ascii="宋体" w:hAnsi="宋体" w:cs="仿宋"/>
          <w:color w:val="auto"/>
          <w:kern w:val="0"/>
          <w:highlight w:val="none"/>
        </w:rPr>
        <w:t>（9）</w:t>
      </w:r>
      <w:r>
        <w:rPr>
          <w:rFonts w:hint="eastAsia" w:ascii="宋体" w:hAnsi="宋体" w:cs="仿宋"/>
          <w:color w:val="auto"/>
          <w:highlight w:val="none"/>
        </w:rPr>
        <w:t>承包人提交的竣工资料的内容：竣工结算资料应包括但不限于施工合同复印件、竣工图、签证单、竣工验收单、报审结算书、设计变更通知书及有关的函件、报告等；结算资料均</w:t>
      </w:r>
      <w:bookmarkStart w:id="293" w:name="EBa23a95d86dcd4e4d8610515daf436037"/>
      <w:r>
        <w:rPr>
          <w:rFonts w:hint="eastAsia" w:ascii="宋体" w:hAnsi="宋体" w:cs="仿宋"/>
          <w:color w:val="auto"/>
          <w:highlight w:val="none"/>
          <w:u w:val="single"/>
        </w:rPr>
        <w:t>按照发包人《工程建设项目竣工资料归档管理规定》的有关要求移交项目档案</w:t>
      </w:r>
      <w:r>
        <w:rPr>
          <w:rFonts w:hint="eastAsia" w:ascii="宋体" w:hAnsi="宋体" w:cs="仿宋"/>
          <w:color w:val="auto"/>
          <w:highlight w:val="none"/>
        </w:rPr>
        <w:t>。</w:t>
      </w:r>
      <w:bookmarkEnd w:id="293"/>
    </w:p>
    <w:p w14:paraId="6B7FB27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承包人需要提交的竣工资料套数：</w:t>
      </w:r>
      <w:r>
        <w:rPr>
          <w:rFonts w:hint="eastAsia" w:ascii="宋体" w:hAnsi="宋体" w:cs="仿宋"/>
          <w:color w:val="auto"/>
          <w:highlight w:val="none"/>
          <w:u w:val="single"/>
        </w:rPr>
        <w:t>4套</w:t>
      </w:r>
      <w:r>
        <w:rPr>
          <w:rFonts w:hint="eastAsia" w:ascii="宋体" w:hAnsi="宋体" w:cs="仿宋"/>
          <w:color w:val="auto"/>
          <w:highlight w:val="none"/>
        </w:rPr>
        <w:t>。</w:t>
      </w:r>
    </w:p>
    <w:p w14:paraId="1CEDAC4A">
      <w:pPr>
        <w:spacing w:line="480" w:lineRule="exact"/>
        <w:jc w:val="left"/>
        <w:rPr>
          <w:rFonts w:ascii="宋体" w:hAnsi="宋体" w:cs="仿宋"/>
          <w:color w:val="auto"/>
          <w:highlight w:val="none"/>
        </w:rPr>
      </w:pPr>
      <w:r>
        <w:rPr>
          <w:rFonts w:hint="eastAsia" w:ascii="宋体" w:hAnsi="宋体" w:cs="仿宋"/>
          <w:color w:val="auto"/>
          <w:highlight w:val="none"/>
        </w:rPr>
        <w:t>承包人提交的竣工资料的费用承担：</w:t>
      </w:r>
      <w:bookmarkStart w:id="294" w:name="EB1925d6aef6784424b87435f0eeffe15e"/>
      <w:r>
        <w:rPr>
          <w:rFonts w:hint="eastAsia" w:ascii="宋体" w:hAnsi="宋体" w:cs="仿宋"/>
          <w:color w:val="auto"/>
          <w:highlight w:val="none"/>
          <w:u w:val="single"/>
        </w:rPr>
        <w:t>承包人自行承担</w:t>
      </w:r>
      <w:bookmarkEnd w:id="294"/>
      <w:r>
        <w:rPr>
          <w:rFonts w:hint="eastAsia" w:ascii="宋体" w:hAnsi="宋体" w:cs="仿宋"/>
          <w:color w:val="auto"/>
          <w:highlight w:val="none"/>
        </w:rPr>
        <w:t>。</w:t>
      </w:r>
    </w:p>
    <w:p w14:paraId="64F74382">
      <w:pPr>
        <w:spacing w:line="480" w:lineRule="exact"/>
        <w:jc w:val="left"/>
        <w:rPr>
          <w:rFonts w:ascii="宋体" w:hAnsi="宋体" w:cs="仿宋"/>
          <w:color w:val="auto"/>
          <w:highlight w:val="none"/>
        </w:rPr>
      </w:pPr>
      <w:r>
        <w:rPr>
          <w:rFonts w:hint="eastAsia" w:ascii="宋体" w:hAnsi="宋体" w:cs="仿宋"/>
          <w:color w:val="auto"/>
          <w:highlight w:val="none"/>
        </w:rPr>
        <w:t>承包人提交的竣工资料移交时间：</w:t>
      </w:r>
      <w:bookmarkStart w:id="295" w:name="EBe785c96d1d9c4afa8730fecf0f8636e3"/>
      <w:r>
        <w:rPr>
          <w:rFonts w:hint="eastAsia" w:ascii="宋体" w:hAnsi="宋体" w:cs="仿宋"/>
          <w:color w:val="auto"/>
          <w:highlight w:val="none"/>
          <w:u w:val="single"/>
        </w:rPr>
        <w:t>竣工验收正式通过后 28天</w:t>
      </w:r>
      <w:bookmarkEnd w:id="295"/>
      <w:r>
        <w:rPr>
          <w:rFonts w:hint="eastAsia" w:ascii="宋体" w:hAnsi="宋体" w:cs="仿宋"/>
          <w:color w:val="auto"/>
          <w:highlight w:val="none"/>
        </w:rPr>
        <w:t>。</w:t>
      </w:r>
    </w:p>
    <w:p w14:paraId="7CE5CE0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承包人提交的竣工资料形式要求：</w:t>
      </w:r>
      <w:bookmarkStart w:id="296" w:name="EBf02b648271ac4ba0b857b4a82617bf76"/>
      <w:r>
        <w:rPr>
          <w:rFonts w:hint="eastAsia" w:ascii="宋体" w:hAnsi="宋体" w:cs="仿宋"/>
          <w:color w:val="auto"/>
          <w:highlight w:val="none"/>
          <w:u w:val="single"/>
        </w:rPr>
        <w:t>符合档案管理要求</w:t>
      </w:r>
      <w:bookmarkEnd w:id="296"/>
      <w:r>
        <w:rPr>
          <w:rFonts w:hint="eastAsia" w:ascii="宋体" w:hAnsi="宋体" w:cs="仿宋"/>
          <w:color w:val="auto"/>
          <w:highlight w:val="none"/>
        </w:rPr>
        <w:t>。</w:t>
      </w:r>
    </w:p>
    <w:p w14:paraId="171CFF44">
      <w:pPr>
        <w:spacing w:line="480" w:lineRule="exact"/>
        <w:ind w:firstLine="420" w:firstLineChars="200"/>
        <w:rPr>
          <w:rFonts w:ascii="宋体" w:hAnsi="宋体" w:cs="仿宋"/>
          <w:color w:val="auto"/>
          <w:kern w:val="0"/>
          <w:highlight w:val="none"/>
        </w:rPr>
      </w:pPr>
      <w:r>
        <w:rPr>
          <w:rFonts w:hint="eastAsia" w:ascii="宋体" w:hAnsi="宋体" w:cs="仿宋"/>
          <w:color w:val="auto"/>
          <w:kern w:val="0"/>
          <w:highlight w:val="none"/>
        </w:rPr>
        <w:t>（10）承包人应履行的其他义务：</w:t>
      </w:r>
    </w:p>
    <w:p w14:paraId="4E7993C4">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u w:val="single"/>
        </w:rPr>
        <w:t>1）配合发包人做好安全文明宣传、领导检查、宣传治理“五乱”等工作，相关费用由承包人承担。</w:t>
      </w:r>
    </w:p>
    <w:p w14:paraId="2926ABA8">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u w:val="single"/>
        </w:rPr>
        <w:t>2）承包人生活设施及施工场地，应自费配备消防设备，防止火灾发生。</w:t>
      </w:r>
    </w:p>
    <w:p w14:paraId="4B94239F">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u w:val="single"/>
        </w:rPr>
        <w:t>3）承包人的临时占地（含项目部驻地等）租用费（含拆迁补偿）、临时用地的环保、恢复及施工范围内临时性占地的青苗补偿及地面附着物发生的费用均由承包人负责，发生的一切费用已包含在相关报价中。</w:t>
      </w:r>
    </w:p>
    <w:p w14:paraId="0D277191">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u w:val="single"/>
        </w:rPr>
        <w:t>4）经过城市道路的施工车辆，必须按交警、城管、运输等部门相关规定执行，自行办理有关证照并自行承担费用。由于施工车辆造成的道路、环境等污染，其罚款、责任和费用均由承包人承担。</w:t>
      </w:r>
    </w:p>
    <w:p w14:paraId="3D3C833F">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u w:val="single"/>
        </w:rPr>
        <w:t>5）承包人应负责合同实施期间其合同段内临时交通道路（含场内外连接公共交通道路）和交通设施的修建、维修、养护和交通管理工作，并承担一切费用。</w:t>
      </w:r>
    </w:p>
    <w:p w14:paraId="5583CADF">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u w:val="single"/>
        </w:rPr>
        <w:t>6）承包人修建的临时道路和交通设施，应免费提供给发包人、监理人、其他合同段的承包人和必须经过此路段的其他使用人使用，如共同使用的路基损坏严重，发包人或监理人将负责通知有关承包人共同出资修复，若使用频率相差悬殊，则按比例分摊。</w:t>
      </w:r>
    </w:p>
    <w:p w14:paraId="3C0AB5B0">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7）承包人应按工程师指示为他人在施工现场或附近实施与工程有关的其它各项工程提供可能的条件。</w:t>
      </w:r>
    </w:p>
    <w:p w14:paraId="01E8F144">
      <w:pPr>
        <w:spacing w:line="480" w:lineRule="exact"/>
        <w:ind w:firstLine="443" w:firstLineChars="210"/>
        <w:rPr>
          <w:rFonts w:ascii="宋体" w:hAnsi="宋体" w:cs="仿宋"/>
          <w:b/>
          <w:bCs/>
          <w:color w:val="auto"/>
          <w:highlight w:val="none"/>
          <w:u w:val="single"/>
        </w:rPr>
      </w:pPr>
      <w:r>
        <w:rPr>
          <w:rFonts w:hint="eastAsia" w:ascii="宋体" w:hAnsi="宋体" w:cs="仿宋"/>
          <w:b/>
          <w:bCs/>
          <w:color w:val="auto"/>
          <w:highlight w:val="none"/>
        </w:rPr>
        <w:t>8）承担施工安全保卫工作及非夜间施工照明的责任和要求：</w:t>
      </w:r>
      <w:r>
        <w:rPr>
          <w:rFonts w:hint="eastAsia" w:ascii="宋体" w:hAnsi="宋体" w:cs="仿宋"/>
          <w:b/>
          <w:bCs/>
          <w:color w:val="auto"/>
          <w:highlight w:val="none"/>
          <w:u w:val="single"/>
        </w:rPr>
        <w:t>承包人应采取一切合理的预防措施，防止人员伤亡、财产损失事故，费用由承包人承担。</w:t>
      </w:r>
    </w:p>
    <w:p w14:paraId="607C6663">
      <w:pPr>
        <w:spacing w:line="480" w:lineRule="exact"/>
        <w:ind w:firstLine="441" w:firstLineChars="210"/>
        <w:rPr>
          <w:rFonts w:ascii="宋体" w:hAnsi="宋体" w:cs="仿宋"/>
          <w:color w:val="auto"/>
          <w:highlight w:val="none"/>
          <w:u w:val="single"/>
        </w:rPr>
      </w:pPr>
      <w:bookmarkStart w:id="297" w:name="_Toc251051705"/>
      <w:r>
        <w:rPr>
          <w:rFonts w:hint="eastAsia" w:ascii="宋体" w:hAnsi="宋体" w:cs="仿宋"/>
          <w:color w:val="auto"/>
          <w:highlight w:val="none"/>
        </w:rPr>
        <w:t>9）向发包人提供的办公和生活房屋及设施的要求：</w:t>
      </w:r>
      <w:bookmarkEnd w:id="297"/>
      <w:r>
        <w:rPr>
          <w:rFonts w:hint="eastAsia" w:ascii="宋体" w:hAnsi="宋体" w:cs="仿宋"/>
          <w:color w:val="auto"/>
          <w:highlight w:val="none"/>
          <w:u w:val="single"/>
        </w:rPr>
        <w:t xml:space="preserve"> 无 </w:t>
      </w:r>
      <w:r>
        <w:rPr>
          <w:rFonts w:hint="eastAsia" w:ascii="宋体" w:hAnsi="宋体" w:cs="仿宋"/>
          <w:color w:val="auto"/>
          <w:highlight w:val="none"/>
        </w:rPr>
        <w:t>。</w:t>
      </w:r>
    </w:p>
    <w:p w14:paraId="1F70D603">
      <w:pPr>
        <w:spacing w:line="480" w:lineRule="exact"/>
        <w:ind w:firstLine="443" w:firstLineChars="210"/>
        <w:rPr>
          <w:rFonts w:ascii="宋体" w:hAnsi="宋体" w:cs="仿宋"/>
          <w:b/>
          <w:bCs/>
          <w:color w:val="auto"/>
          <w:highlight w:val="none"/>
          <w:u w:val="single"/>
        </w:rPr>
      </w:pPr>
      <w:bookmarkStart w:id="298" w:name="_Toc251051706"/>
      <w:r>
        <w:rPr>
          <w:rFonts w:hint="eastAsia" w:ascii="宋体" w:hAnsi="宋体" w:cs="仿宋"/>
          <w:b/>
          <w:bCs/>
          <w:color w:val="auto"/>
          <w:highlight w:val="none"/>
        </w:rPr>
        <w:t>10）需承包人办理的有关施工场地交通、环卫和施工噪音管理等手续：</w:t>
      </w:r>
      <w:bookmarkEnd w:id="298"/>
      <w:r>
        <w:rPr>
          <w:rFonts w:hint="eastAsia" w:ascii="宋体" w:hAnsi="宋体" w:cs="仿宋"/>
          <w:b/>
          <w:bCs/>
          <w:color w:val="auto"/>
          <w:highlight w:val="none"/>
          <w:u w:val="single"/>
        </w:rPr>
        <w:t>因施工需要，经发包人批准，由承包人办理和负责费用。</w:t>
      </w:r>
    </w:p>
    <w:p w14:paraId="46CEE6BD">
      <w:pPr>
        <w:spacing w:line="480" w:lineRule="exact"/>
        <w:ind w:firstLine="443" w:firstLineChars="210"/>
        <w:rPr>
          <w:rFonts w:ascii="宋体" w:hAnsi="宋体" w:cs="仿宋"/>
          <w:b/>
          <w:bCs/>
          <w:color w:val="auto"/>
          <w:highlight w:val="none"/>
          <w:u w:val="single"/>
        </w:rPr>
      </w:pPr>
      <w:bookmarkStart w:id="299" w:name="_Toc251051708"/>
      <w:r>
        <w:rPr>
          <w:rFonts w:hint="eastAsia" w:ascii="宋体" w:hAnsi="宋体" w:cs="仿宋"/>
          <w:b/>
          <w:bCs/>
          <w:color w:val="auto"/>
          <w:highlight w:val="none"/>
        </w:rPr>
        <w:t>11）施工场地周围地下管线和邻近建筑物、构筑物（含文物保护建筑）、古树名木的保护要求及费用承担：</w:t>
      </w:r>
      <w:bookmarkEnd w:id="299"/>
      <w:r>
        <w:rPr>
          <w:rFonts w:hint="eastAsia" w:ascii="宋体" w:hAnsi="宋体" w:cs="仿宋"/>
          <w:b/>
          <w:color w:val="auto"/>
          <w:highlight w:val="none"/>
          <w:u w:val="single"/>
        </w:rPr>
        <w:t>承包人施工时应探明并负责保护且承担费用，施工时如损坏地下管线、邻近建筑物、构筑物，所发生责任、费用由承包人承担</w:t>
      </w:r>
      <w:r>
        <w:rPr>
          <w:rFonts w:hint="eastAsia" w:ascii="宋体" w:hAnsi="宋体" w:cs="仿宋"/>
          <w:b/>
          <w:bCs/>
          <w:color w:val="auto"/>
          <w:highlight w:val="none"/>
          <w:u w:val="single"/>
        </w:rPr>
        <w:t>。</w:t>
      </w:r>
    </w:p>
    <w:p w14:paraId="0A76BC9A">
      <w:pPr>
        <w:spacing w:line="480" w:lineRule="exact"/>
        <w:ind w:firstLine="443" w:firstLineChars="210"/>
        <w:rPr>
          <w:rFonts w:ascii="宋体" w:hAnsi="宋体" w:cs="仿宋"/>
          <w:b/>
          <w:bCs/>
          <w:color w:val="auto"/>
          <w:highlight w:val="none"/>
          <w:u w:val="single"/>
        </w:rPr>
      </w:pPr>
      <w:r>
        <w:rPr>
          <w:rFonts w:ascii="宋体" w:hAnsi="宋体" w:cs="仿宋"/>
          <w:b/>
          <w:bCs/>
          <w:color w:val="auto"/>
          <w:highlight w:val="none"/>
          <w:u w:val="single"/>
        </w:rPr>
        <w:t>12</w:t>
      </w:r>
      <w:r>
        <w:rPr>
          <w:rFonts w:hint="eastAsia" w:ascii="宋体" w:hAnsi="宋体" w:cs="仿宋"/>
          <w:b/>
          <w:bCs/>
          <w:color w:val="auto"/>
          <w:highlight w:val="none"/>
          <w:u w:val="single"/>
        </w:rPr>
        <w:t>）施工场地清洁卫生的要求：由于施工造成的环境污染，其责任和费用均由承包人承担。</w:t>
      </w:r>
    </w:p>
    <w:p w14:paraId="082E0E8E">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13）承包人负责施工场地且属于承包人承包范围内的所有成品、半成品的保护，如有损坏、污染、遗失，承包人承担赔偿责任。承包人对于工程的成品、半成品的保护维护应遵循有关的规程、规范和设备说明书的要求，注意材料、设备存放的防火、防潮等，不得由于存放和维护措施不当而造成材料、设备的变形，变质、失效、损坏。工程在交付给发包人之前，全部由承包人负责成品及半成品的保护并承担费用，在交付给发包人之前有损坏的由承包人按发包人要求的合理期限内自费修复并确保质量。如在合理限期内未修复、赔偿上述材料、成品、半成品、设备的，须向发包人支付上述材料、成品、半成品、设备价值的二倍的违约金。如因发包人指定专业分包原因造成的修复不及时或未修复，专业承包承担责任，承包方承担总包连带责任。</w:t>
      </w:r>
    </w:p>
    <w:p w14:paraId="69F1104F">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14）承担在施工承包范围内施工过程中发生的检验试验配合费，按规定进行建筑材料、构配件、关键工序等试样的制作、封样、送检和其他保证工程质量进行的检验试验。</w:t>
      </w:r>
    </w:p>
    <w:p w14:paraId="600BA5C7">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15）承包人必须无条件服从发包人所有管理规定，负责协助发包人办理有关证件。承包人生活用房，应按当地相关部门要求在指定地点建设，并承担相应费用，禁止开设经营性商铺、饭店、娱乐场所等（自用的食堂及小卖部除外），否则，每次按人民币500元~2000元向发包人支付违约金，且发包人有权要求取消上述经营场所。</w:t>
      </w:r>
    </w:p>
    <w:p w14:paraId="39E39F88">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16）对发包人移交后的施工场地上发生的一切负责，包括但不限于工期、财产、人员等。对与本工程有关或本工程进行期间因承包人原因导致的人身伤亡及财产损坏承担费用索偿或法律诉讼责任。</w:t>
      </w:r>
    </w:p>
    <w:p w14:paraId="6C6BEEE2">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17）因为承包人原因造成的劳资纠纷，其后果为：工期延误、质量缺陷、安全隐患、媒体曝光、政府主管部门处罚、工人向政府或发包人申诉（或其它过激、不当行为）、对发包人形象造成不良影响等情况，承包人必须立即无条件的采取补救措施，并承担相应费用，以及每次向发包人支付违约金3万元以上（含）。如发包人认为承包人不能及时有效地解决事端、或不能立即消除负面影响，发包人有权直接介入，所有相关费用由承包人承担，另增加按合同价款5%的违约金，以上费用均从承包人工程款中直接扣除，并无需得到承包人同意。</w:t>
      </w:r>
    </w:p>
    <w:p w14:paraId="03B84313">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18）承包人要严格遵守发包人的各项管理规定，配合发包人的管理，如承包人违反相关规定，造成严重后果的，发包人有权解除合同，并依法追究承包人责任。</w:t>
      </w:r>
    </w:p>
    <w:p w14:paraId="4EF1E3D4">
      <w:pPr>
        <w:spacing w:line="480" w:lineRule="exact"/>
        <w:rPr>
          <w:color w:val="auto"/>
          <w:szCs w:val="21"/>
          <w:highlight w:val="none"/>
        </w:rPr>
      </w:pPr>
      <w:r>
        <w:rPr>
          <w:color w:val="auto"/>
          <w:szCs w:val="21"/>
          <w:highlight w:val="none"/>
        </w:rPr>
        <w:t xml:space="preserve">3.2 </w:t>
      </w:r>
      <w:r>
        <w:rPr>
          <w:rFonts w:hAnsi="宋体"/>
          <w:color w:val="auto"/>
          <w:szCs w:val="21"/>
          <w:highlight w:val="none"/>
        </w:rPr>
        <w:t>项目经理</w:t>
      </w:r>
      <w:bookmarkEnd w:id="289"/>
      <w:bookmarkEnd w:id="290"/>
      <w:bookmarkEnd w:id="291"/>
      <w:bookmarkEnd w:id="292"/>
    </w:p>
    <w:p w14:paraId="30BE1123">
      <w:pPr>
        <w:spacing w:line="480" w:lineRule="exact"/>
        <w:ind w:firstLine="420" w:firstLineChars="200"/>
        <w:rPr>
          <w:color w:val="auto"/>
          <w:szCs w:val="21"/>
          <w:highlight w:val="none"/>
        </w:rPr>
      </w:pPr>
      <w:r>
        <w:rPr>
          <w:color w:val="auto"/>
          <w:kern w:val="0"/>
          <w:szCs w:val="21"/>
          <w:highlight w:val="none"/>
        </w:rPr>
        <w:t xml:space="preserve">3.2.1 </w:t>
      </w:r>
      <w:r>
        <w:rPr>
          <w:rFonts w:hAnsi="宋体"/>
          <w:color w:val="auto"/>
          <w:szCs w:val="21"/>
          <w:highlight w:val="none"/>
        </w:rPr>
        <w:t>项目经理：</w:t>
      </w:r>
    </w:p>
    <w:p w14:paraId="06A42C62">
      <w:pPr>
        <w:spacing w:line="480" w:lineRule="exact"/>
        <w:ind w:firstLine="420" w:firstLineChars="200"/>
        <w:rPr>
          <w:color w:val="auto"/>
          <w:szCs w:val="21"/>
          <w:highlight w:val="none"/>
        </w:rPr>
      </w:pPr>
      <w:r>
        <w:rPr>
          <w:rFonts w:hAnsi="宋体"/>
          <w:color w:val="auto"/>
          <w:szCs w:val="21"/>
          <w:highlight w:val="none"/>
        </w:rPr>
        <w:t>姓</w:t>
      </w:r>
      <w:r>
        <w:rPr>
          <w:color w:val="auto"/>
          <w:szCs w:val="21"/>
          <w:highlight w:val="none"/>
        </w:rPr>
        <w:t xml:space="preserve">    </w:t>
      </w:r>
      <w:r>
        <w:rPr>
          <w:rFonts w:hAnsi="宋体"/>
          <w:color w:val="auto"/>
          <w:szCs w:val="21"/>
          <w:highlight w:val="none"/>
        </w:rPr>
        <w:t>名：</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634755B6">
      <w:pPr>
        <w:spacing w:line="480" w:lineRule="exact"/>
        <w:ind w:firstLine="420" w:firstLineChars="200"/>
        <w:rPr>
          <w:color w:val="auto"/>
          <w:szCs w:val="21"/>
          <w:highlight w:val="none"/>
        </w:rPr>
      </w:pPr>
      <w:r>
        <w:rPr>
          <w:rFonts w:hAnsi="宋体"/>
          <w:color w:val="auto"/>
          <w:szCs w:val="21"/>
          <w:highlight w:val="none"/>
        </w:rPr>
        <w:t>身份证号：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42B0041A">
      <w:pPr>
        <w:spacing w:line="480" w:lineRule="exact"/>
        <w:ind w:firstLine="420" w:firstLineChars="200"/>
        <w:rPr>
          <w:color w:val="auto"/>
          <w:szCs w:val="21"/>
          <w:highlight w:val="none"/>
        </w:rPr>
      </w:pPr>
      <w:r>
        <w:rPr>
          <w:rFonts w:hAnsi="宋体"/>
          <w:color w:val="auto"/>
          <w:szCs w:val="21"/>
          <w:highlight w:val="none"/>
        </w:rPr>
        <w:t>建造师执业资格等级：</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759A433E">
      <w:pPr>
        <w:spacing w:line="480" w:lineRule="exact"/>
        <w:ind w:firstLine="420" w:firstLineChars="200"/>
        <w:rPr>
          <w:color w:val="auto"/>
          <w:szCs w:val="21"/>
          <w:highlight w:val="none"/>
        </w:rPr>
      </w:pPr>
      <w:r>
        <w:rPr>
          <w:rFonts w:hAnsi="宋体"/>
          <w:color w:val="auto"/>
          <w:szCs w:val="21"/>
          <w:highlight w:val="none"/>
        </w:rPr>
        <w:t>建造师注册证书号：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3A128DA5">
      <w:pPr>
        <w:spacing w:line="480" w:lineRule="exact"/>
        <w:ind w:firstLine="420" w:firstLineChars="200"/>
        <w:rPr>
          <w:color w:val="auto"/>
          <w:szCs w:val="21"/>
          <w:highlight w:val="none"/>
        </w:rPr>
      </w:pPr>
      <w:r>
        <w:rPr>
          <w:rFonts w:hAnsi="宋体"/>
          <w:color w:val="auto"/>
          <w:szCs w:val="21"/>
          <w:highlight w:val="none"/>
        </w:rPr>
        <w:t>建造师执业印章号：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74D0D0F9">
      <w:pPr>
        <w:spacing w:line="480" w:lineRule="exact"/>
        <w:ind w:firstLine="420" w:firstLineChars="200"/>
        <w:rPr>
          <w:rFonts w:hAnsi="宋体"/>
          <w:color w:val="auto"/>
          <w:szCs w:val="21"/>
          <w:highlight w:val="none"/>
        </w:rPr>
      </w:pPr>
      <w:r>
        <w:rPr>
          <w:rFonts w:hAnsi="宋体"/>
          <w:color w:val="auto"/>
          <w:szCs w:val="21"/>
          <w:highlight w:val="none"/>
        </w:rPr>
        <w:t>安全生产考核合格证书号：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09EDDF17">
      <w:pPr>
        <w:spacing w:line="480" w:lineRule="exact"/>
        <w:ind w:firstLine="420" w:firstLineChars="200"/>
        <w:rPr>
          <w:color w:val="auto"/>
          <w:szCs w:val="21"/>
          <w:highlight w:val="none"/>
        </w:rPr>
      </w:pPr>
      <w:r>
        <w:rPr>
          <w:rFonts w:hAnsi="宋体"/>
          <w:color w:val="auto"/>
          <w:szCs w:val="21"/>
          <w:highlight w:val="none"/>
        </w:rPr>
        <w:t>联系电话：</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059427F0">
      <w:pPr>
        <w:spacing w:line="480" w:lineRule="exact"/>
        <w:ind w:firstLine="420" w:firstLineChars="200"/>
        <w:rPr>
          <w:color w:val="auto"/>
          <w:szCs w:val="21"/>
          <w:highlight w:val="none"/>
        </w:rPr>
      </w:pPr>
      <w:r>
        <w:rPr>
          <w:rFonts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1FCCC69B">
      <w:pPr>
        <w:spacing w:line="480" w:lineRule="exact"/>
        <w:ind w:firstLine="420" w:firstLineChars="200"/>
        <w:rPr>
          <w:color w:val="auto"/>
          <w:szCs w:val="21"/>
          <w:highlight w:val="none"/>
        </w:rPr>
      </w:pPr>
      <w:r>
        <w:rPr>
          <w:rFonts w:hAnsi="宋体"/>
          <w:color w:val="auto"/>
          <w:szCs w:val="21"/>
          <w:highlight w:val="none"/>
        </w:rPr>
        <w:t>通信地址：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0DEBE66D">
      <w:pPr>
        <w:spacing w:line="480" w:lineRule="exact"/>
        <w:ind w:firstLine="420" w:firstLineChars="200"/>
        <w:rPr>
          <w:rFonts w:ascii="宋体" w:hAnsi="宋体" w:cs="仿宋"/>
          <w:color w:val="auto"/>
          <w:highlight w:val="none"/>
        </w:rPr>
      </w:pPr>
      <w:bookmarkStart w:id="300" w:name="_Toc486950513"/>
      <w:bookmarkStart w:id="301" w:name="_Toc373227709"/>
      <w:bookmarkStart w:id="302" w:name="_Toc373478356"/>
      <w:bookmarkStart w:id="303" w:name="_Toc389065275"/>
      <w:r>
        <w:rPr>
          <w:rFonts w:hint="eastAsia" w:ascii="宋体" w:hAnsi="宋体" w:cs="仿宋"/>
          <w:color w:val="auto"/>
          <w:highlight w:val="none"/>
        </w:rPr>
        <w:t>承包人对项目经理的授权范围如下：</w:t>
      </w:r>
      <w:r>
        <w:rPr>
          <w:rFonts w:hint="eastAsia" w:ascii="宋体" w:hAnsi="宋体" w:cs="仿宋"/>
          <w:color w:val="auto"/>
          <w:highlight w:val="none"/>
          <w:u w:val="single"/>
        </w:rPr>
        <w:t>承包人项目经理、各专业工程师所签署的工程量确认单、结算书、请款申请书、签证单、各种承诺书以及其他与施工有关的请求、文件等，均对承包人及项目负责人有效；项目经理不得以承包人名义向外采购材料设备、租用建筑周转材料、雇用劳动力、签订分包合同等从事一切为承包人设立义务或责任的行为</w:t>
      </w:r>
      <w:r>
        <w:rPr>
          <w:rFonts w:hint="eastAsia" w:ascii="宋体" w:hAnsi="宋体" w:cs="仿宋"/>
          <w:color w:val="auto"/>
          <w:highlight w:val="none"/>
        </w:rPr>
        <w:t>。</w:t>
      </w:r>
    </w:p>
    <w:p w14:paraId="2DF3AD54">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关于项目经理每月在施工现场的时间要求：项目经理不得兼任其他项目的工地代表或项目经理，</w:t>
      </w:r>
      <w:r>
        <w:rPr>
          <w:rFonts w:hint="eastAsia" w:ascii="宋体" w:hAnsi="宋体" w:cs="仿宋"/>
          <w:color w:val="auto"/>
          <w:highlight w:val="none"/>
          <w:u w:val="single"/>
        </w:rPr>
        <w:t>每月在岗带班时间不得少于当月施工时间的80%</w:t>
      </w:r>
      <w:r>
        <w:rPr>
          <w:rFonts w:hint="eastAsia" w:ascii="宋体" w:hAnsi="宋体" w:cs="仿宋"/>
          <w:color w:val="auto"/>
          <w:highlight w:val="none"/>
        </w:rPr>
        <w:t>。</w:t>
      </w:r>
    </w:p>
    <w:p w14:paraId="784D3F29">
      <w:pPr>
        <w:spacing w:line="480" w:lineRule="exact"/>
        <w:rPr>
          <w:rFonts w:ascii="宋体" w:hAnsi="宋体" w:cs="仿宋"/>
          <w:color w:val="auto"/>
          <w:kern w:val="0"/>
          <w:highlight w:val="none"/>
        </w:rPr>
      </w:pPr>
      <w:r>
        <w:rPr>
          <w:rFonts w:hint="eastAsia" w:ascii="宋体" w:hAnsi="宋体" w:cs="仿宋"/>
          <w:color w:val="auto"/>
          <w:kern w:val="0"/>
          <w:highlight w:val="none"/>
        </w:rPr>
        <w:t>承包人未提交劳动合同，以及没有为项目经理缴纳社会保险证明的违约责任：</w:t>
      </w:r>
      <w:r>
        <w:rPr>
          <w:rFonts w:hint="eastAsia" w:ascii="宋体" w:hAnsi="宋体" w:cs="仿宋"/>
          <w:color w:val="auto"/>
          <w:highlight w:val="none"/>
          <w:u w:val="single"/>
        </w:rPr>
        <w:t>处以1万元罚款（该罚款在履约保证金中扣除），责令限期提交劳动合同并补缴社会保险</w:t>
      </w:r>
      <w:r>
        <w:rPr>
          <w:rFonts w:hint="eastAsia" w:ascii="宋体" w:hAnsi="宋体" w:cs="仿宋"/>
          <w:color w:val="auto"/>
          <w:highlight w:val="none"/>
        </w:rPr>
        <w:t>。</w:t>
      </w:r>
    </w:p>
    <w:p w14:paraId="467D0B52">
      <w:pPr>
        <w:spacing w:line="480" w:lineRule="exact"/>
        <w:ind w:firstLine="420" w:firstLineChars="200"/>
        <w:rPr>
          <w:rFonts w:ascii="宋体" w:hAnsi="宋体" w:cs="仿宋"/>
          <w:color w:val="auto"/>
          <w:highlight w:val="none"/>
          <w:u w:val="single"/>
        </w:rPr>
      </w:pPr>
      <w:r>
        <w:rPr>
          <w:rFonts w:hint="eastAsia" w:ascii="宋体" w:hAnsi="宋体" w:cs="仿宋"/>
          <w:color w:val="auto"/>
          <w:kern w:val="0"/>
          <w:highlight w:val="none"/>
        </w:rPr>
        <w:t>项目经理未经批准，擅自离开施工现场的违约责任：</w:t>
      </w:r>
      <w:r>
        <w:rPr>
          <w:rFonts w:hint="eastAsia" w:ascii="宋体" w:hAnsi="宋体" w:cs="仿宋"/>
          <w:color w:val="auto"/>
          <w:highlight w:val="none"/>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仿宋"/>
          <w:b/>
          <w:color w:val="auto"/>
          <w:highlight w:val="none"/>
          <w:u w:val="single"/>
        </w:rPr>
        <w:t>500</w:t>
      </w:r>
      <w:r>
        <w:rPr>
          <w:rFonts w:hint="eastAsia" w:ascii="宋体" w:hAnsi="宋体" w:cs="仿宋"/>
          <w:color w:val="auto"/>
          <w:highlight w:val="none"/>
          <w:u w:val="single"/>
        </w:rPr>
        <w:t xml:space="preserve">元/日（人民币）  </w:t>
      </w:r>
      <w:r>
        <w:rPr>
          <w:rFonts w:hint="eastAsia" w:ascii="宋体" w:hAnsi="宋体" w:cs="仿宋"/>
          <w:color w:val="auto"/>
          <w:highlight w:val="none"/>
        </w:rPr>
        <w:t>。</w:t>
      </w:r>
    </w:p>
    <w:p w14:paraId="46281358">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3.2.3 承包人擅自更换项目经理的违约责任：</w:t>
      </w:r>
      <w:r>
        <w:rPr>
          <w:rFonts w:hint="eastAsia" w:ascii="宋体" w:hAnsi="宋体" w:cs="仿宋"/>
          <w:color w:val="auto"/>
          <w:highlight w:val="none"/>
          <w:u w:val="single"/>
        </w:rPr>
        <w:t>承包人项目经理必须与承包人投标时所承诺的人员一致，并在  （开工日期）  前到任。在监理人向承包人颁发   （竣工证明材料名称）  前，项目经理不得同时兼任其他任何项目的项目经理</w:t>
      </w:r>
      <w:r>
        <w:rPr>
          <w:rFonts w:hint="eastAsia" w:ascii="宋体" w:hAnsi="宋体" w:cs="仿宋"/>
          <w:color w:val="auto"/>
          <w:kern w:val="0"/>
          <w:highlight w:val="none"/>
          <w:u w:val="single"/>
        </w:rPr>
        <w:t>（符合桂建管</w:t>
      </w:r>
      <w:r>
        <w:rPr>
          <w:rFonts w:hint="eastAsia" w:ascii="宋体" w:hAnsi="宋体" w:cs="仿宋"/>
          <w:color w:val="auto"/>
          <w:highlight w:val="none"/>
          <w:u w:val="single"/>
        </w:rPr>
        <w:t>﹝2013﹞</w:t>
      </w:r>
      <w:r>
        <w:rPr>
          <w:rFonts w:hint="eastAsia" w:ascii="宋体" w:hAnsi="宋体" w:cs="仿宋"/>
          <w:color w:val="auto"/>
          <w:kern w:val="0"/>
          <w:highlight w:val="none"/>
          <w:u w:val="single"/>
        </w:rPr>
        <w:t>17号和</w:t>
      </w:r>
      <w:r>
        <w:rPr>
          <w:rFonts w:hint="eastAsia" w:ascii="宋体" w:hAnsi="宋体" w:cs="仿宋"/>
          <w:color w:val="auto"/>
          <w:highlight w:val="none"/>
          <w:u w:val="single"/>
        </w:rPr>
        <w:t>桂建管﹝2014﹞25号</w:t>
      </w:r>
      <w:r>
        <w:rPr>
          <w:rFonts w:hint="eastAsia" w:ascii="宋体" w:hAnsi="宋体" w:cs="仿宋"/>
          <w:color w:val="auto"/>
          <w:kern w:val="0"/>
          <w:highlight w:val="none"/>
          <w:u w:val="single"/>
        </w:rPr>
        <w:t>文除外）</w:t>
      </w:r>
      <w:r>
        <w:rPr>
          <w:rFonts w:hint="eastAsia" w:ascii="宋体" w:hAnsi="宋体" w:cs="仿宋"/>
          <w:color w:val="auto"/>
          <w:highlight w:val="none"/>
          <w:u w:val="single"/>
        </w:rPr>
        <w:t>。未经发包人书面同意，承包人擅自更换项目经理的视为违约，违约金处1</w:t>
      </w:r>
      <w:r>
        <w:rPr>
          <w:rFonts w:hint="eastAsia" w:ascii="宋体" w:hAnsi="宋体" w:cs="仿宋"/>
          <w:b/>
          <w:color w:val="auto"/>
          <w:highlight w:val="none"/>
          <w:u w:val="single"/>
        </w:rPr>
        <w:t>万</w:t>
      </w:r>
      <w:r>
        <w:rPr>
          <w:rFonts w:hint="eastAsia" w:ascii="宋体" w:hAnsi="宋体" w:cs="仿宋"/>
          <w:color w:val="auto"/>
          <w:highlight w:val="none"/>
          <w:u w:val="single"/>
        </w:rPr>
        <w:t>元/人•次（人民币）</w:t>
      </w:r>
      <w:r>
        <w:rPr>
          <w:rFonts w:hint="eastAsia" w:ascii="宋体" w:hAnsi="宋体" w:cs="仿宋"/>
          <w:color w:val="auto"/>
          <w:highlight w:val="none"/>
        </w:rPr>
        <w:t>。</w:t>
      </w:r>
    </w:p>
    <w:p w14:paraId="0A7AE68C">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3.2.4 承包人无正当理由拒绝更换项目经理的违约责任：</w:t>
      </w:r>
      <w:r>
        <w:rPr>
          <w:rFonts w:hint="eastAsia" w:ascii="宋体" w:hAnsi="宋体" w:cs="仿宋"/>
          <w:color w:val="auto"/>
          <w:highlight w:val="none"/>
          <w:u w:val="single"/>
        </w:rPr>
        <w:t>发包人认为承包人项目经理不称职，发包人要求调换的承包人必须在7天内调换，未及时调换的，视为承包人违约，必须向发包人交纳违约金</w:t>
      </w:r>
      <w:r>
        <w:rPr>
          <w:rFonts w:hint="eastAsia" w:ascii="宋体" w:hAnsi="宋体" w:cs="仿宋"/>
          <w:b/>
          <w:color w:val="auto"/>
          <w:highlight w:val="none"/>
          <w:u w:val="single"/>
        </w:rPr>
        <w:t>1000</w:t>
      </w:r>
      <w:r>
        <w:rPr>
          <w:rFonts w:hint="eastAsia" w:ascii="宋体" w:hAnsi="宋体" w:cs="仿宋"/>
          <w:color w:val="auto"/>
          <w:highlight w:val="none"/>
          <w:u w:val="single"/>
        </w:rPr>
        <w:t>元/人•次（人民币）</w:t>
      </w:r>
      <w:r>
        <w:rPr>
          <w:rFonts w:hint="eastAsia" w:ascii="宋体" w:hAnsi="宋体" w:cs="仿宋"/>
          <w:color w:val="auto"/>
          <w:highlight w:val="none"/>
        </w:rPr>
        <w:t>。如承包人第二次接到发包人要求更换项目经理的通知后，仍然逾期更换的，每逾期一日，按2万元支付违约金，逾期达15日的，发包人同时有权解除合同（不免除承包人的违约责任）。</w:t>
      </w:r>
    </w:p>
    <w:p w14:paraId="27EB3897">
      <w:pPr>
        <w:spacing w:line="480" w:lineRule="exact"/>
        <w:rPr>
          <w:color w:val="auto"/>
          <w:szCs w:val="21"/>
          <w:highlight w:val="none"/>
        </w:rPr>
      </w:pPr>
      <w:r>
        <w:rPr>
          <w:color w:val="auto"/>
          <w:szCs w:val="21"/>
          <w:highlight w:val="none"/>
        </w:rPr>
        <w:t xml:space="preserve">3.3 </w:t>
      </w:r>
      <w:r>
        <w:rPr>
          <w:rFonts w:hAnsi="宋体"/>
          <w:color w:val="auto"/>
          <w:szCs w:val="21"/>
          <w:highlight w:val="none"/>
        </w:rPr>
        <w:t>承包人人员</w:t>
      </w:r>
      <w:bookmarkEnd w:id="300"/>
      <w:bookmarkEnd w:id="301"/>
      <w:bookmarkEnd w:id="302"/>
      <w:bookmarkEnd w:id="303"/>
    </w:p>
    <w:p w14:paraId="05E6C762">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3.3.1 承包人提交项目管理机构及施工现场管理人员安排报告（格式见合同附件3）的期限：</w:t>
      </w:r>
    </w:p>
    <w:p w14:paraId="017BBBDE">
      <w:pPr>
        <w:spacing w:line="480" w:lineRule="exact"/>
        <w:rPr>
          <w:rFonts w:ascii="宋体" w:hAnsi="宋体" w:cs="仿宋"/>
          <w:color w:val="auto"/>
          <w:highlight w:val="none"/>
        </w:rPr>
      </w:pPr>
      <w:r>
        <w:rPr>
          <w:rFonts w:hint="eastAsia" w:ascii="宋体" w:hAnsi="宋体" w:cs="仿宋"/>
          <w:color w:val="auto"/>
          <w:highlight w:val="none"/>
          <w:u w:val="single"/>
        </w:rPr>
        <w:t>开工前七天，如承包人不按时送审符合要求的项目管理机构及施工现场管理人员安排报告，发包人可按照现实情况要求承包人支付1000∕天的违约金，并可拒付工程进度款，责任由承包人承担</w:t>
      </w:r>
      <w:r>
        <w:rPr>
          <w:rFonts w:hint="eastAsia" w:ascii="宋体" w:hAnsi="宋体" w:cs="仿宋"/>
          <w:color w:val="auto"/>
          <w:highlight w:val="none"/>
        </w:rPr>
        <w:t>。</w:t>
      </w:r>
    </w:p>
    <w:p w14:paraId="02E2EF25">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3.3.3 承包人无正当理由拒绝撤换主要施工管理人员的违约责任：</w:t>
      </w:r>
      <w:r>
        <w:rPr>
          <w:rFonts w:hint="eastAsia" w:ascii="宋体" w:hAnsi="宋体" w:cs="仿宋"/>
          <w:color w:val="auto"/>
          <w:highlight w:val="none"/>
          <w:u w:val="single"/>
        </w:rPr>
        <w:t>因发包人认为承包人主要施工管理人员不称职，发包人要求调换的承包人必须在24小时内调换，无正当理由拒绝撤换或未及时调换的，视为承包人违约，必须向发包人交纳处罚金，处罚标准：技术负责人</w:t>
      </w:r>
      <w:r>
        <w:rPr>
          <w:rFonts w:hint="eastAsia" w:ascii="宋体" w:hAnsi="宋体" w:cs="仿宋"/>
          <w:b/>
          <w:color w:val="auto"/>
          <w:highlight w:val="none"/>
          <w:u w:val="single"/>
        </w:rPr>
        <w:t>1000</w:t>
      </w:r>
      <w:r>
        <w:rPr>
          <w:rFonts w:hint="eastAsia" w:ascii="宋体" w:hAnsi="宋体" w:cs="仿宋"/>
          <w:color w:val="auto"/>
          <w:highlight w:val="none"/>
          <w:u w:val="single"/>
        </w:rPr>
        <w:t>元/人•次（人民币）；专业工程师10</w:t>
      </w:r>
      <w:r>
        <w:rPr>
          <w:rFonts w:hint="eastAsia" w:ascii="宋体" w:hAnsi="宋体" w:cs="仿宋"/>
          <w:b/>
          <w:color w:val="auto"/>
          <w:highlight w:val="none"/>
          <w:u w:val="single"/>
        </w:rPr>
        <w:t>00</w:t>
      </w:r>
      <w:r>
        <w:rPr>
          <w:rFonts w:hint="eastAsia" w:ascii="宋体" w:hAnsi="宋体" w:cs="仿宋"/>
          <w:color w:val="auto"/>
          <w:highlight w:val="none"/>
          <w:u w:val="single"/>
        </w:rPr>
        <w:t>元/人•次（人民币），逾期达15日的，发包人有权解除合同（不免除承包人的违约责任）</w:t>
      </w:r>
      <w:r>
        <w:rPr>
          <w:rFonts w:hint="eastAsia" w:ascii="宋体" w:hAnsi="宋体" w:cs="仿宋"/>
          <w:color w:val="auto"/>
          <w:highlight w:val="none"/>
        </w:rPr>
        <w:t>。</w:t>
      </w:r>
    </w:p>
    <w:p w14:paraId="56FD1A76">
      <w:pPr>
        <w:spacing w:line="480" w:lineRule="exact"/>
        <w:ind w:firstLine="420" w:firstLineChars="200"/>
        <w:rPr>
          <w:rFonts w:ascii="宋体" w:hAnsi="宋体" w:cs="仿宋"/>
          <w:color w:val="auto"/>
          <w:highlight w:val="none"/>
          <w:u w:val="single"/>
        </w:rPr>
      </w:pPr>
      <w:r>
        <w:rPr>
          <w:rFonts w:hint="eastAsia" w:ascii="宋体" w:hAnsi="宋体" w:cs="仿宋"/>
          <w:color w:val="auto"/>
          <w:szCs w:val="22"/>
          <w:highlight w:val="none"/>
        </w:rPr>
        <w:t>3.3.4 承包人主要施工管理人员离开施工现场的批准要求：</w:t>
      </w:r>
      <w:r>
        <w:rPr>
          <w:rFonts w:hint="eastAsia" w:ascii="宋体" w:hAnsi="宋体" w:cs="仿宋"/>
          <w:color w:val="auto"/>
          <w:szCs w:val="22"/>
          <w:highlight w:val="none"/>
          <w:u w:val="single"/>
        </w:rPr>
        <w:t>按本合同《通用条款》相关条款规定执行</w:t>
      </w:r>
      <w:r>
        <w:rPr>
          <w:rFonts w:hint="eastAsia" w:ascii="宋体" w:hAnsi="宋体" w:cs="仿宋"/>
          <w:color w:val="auto"/>
          <w:szCs w:val="22"/>
          <w:highlight w:val="none"/>
        </w:rPr>
        <w:t>。</w:t>
      </w:r>
    </w:p>
    <w:p w14:paraId="46ECF2CD">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3.3.5承包人擅自更换主要施工管理人员的违约责任：</w:t>
      </w:r>
      <w:r>
        <w:rPr>
          <w:rFonts w:hint="eastAsia" w:ascii="宋体" w:hAnsi="宋体" w:cs="仿宋"/>
          <w:color w:val="auto"/>
          <w:highlight w:val="none"/>
          <w:u w:val="single"/>
        </w:rPr>
        <w:t>项目技术负责人、专职安全员及其承诺的其它在场管理人员未经发包人书面同意不准擅自更换，擅自更换项目技术负责人处0.5</w:t>
      </w:r>
      <w:r>
        <w:rPr>
          <w:rFonts w:hint="eastAsia" w:ascii="宋体" w:hAnsi="宋体" w:cs="仿宋"/>
          <w:b/>
          <w:color w:val="auto"/>
          <w:highlight w:val="none"/>
          <w:u w:val="single"/>
        </w:rPr>
        <w:t>万</w:t>
      </w:r>
      <w:r>
        <w:rPr>
          <w:rFonts w:hint="eastAsia" w:ascii="宋体" w:hAnsi="宋体" w:cs="仿宋"/>
          <w:color w:val="auto"/>
          <w:highlight w:val="none"/>
          <w:u w:val="single"/>
        </w:rPr>
        <w:t>元/人•次（人民币）违约金；擅自更换专职安全员处 0.3</w:t>
      </w:r>
      <w:r>
        <w:rPr>
          <w:rFonts w:hint="eastAsia" w:ascii="宋体" w:hAnsi="宋体" w:cs="仿宋"/>
          <w:b/>
          <w:color w:val="auto"/>
          <w:highlight w:val="none"/>
          <w:u w:val="single"/>
        </w:rPr>
        <w:t>万</w:t>
      </w:r>
      <w:r>
        <w:rPr>
          <w:rFonts w:hint="eastAsia" w:ascii="宋体" w:hAnsi="宋体" w:cs="仿宋"/>
          <w:color w:val="auto"/>
          <w:highlight w:val="none"/>
          <w:u w:val="single"/>
        </w:rPr>
        <w:t>元/人•次（人民币）违约金；擅自更换其它在场管理人员处0.2</w:t>
      </w:r>
      <w:r>
        <w:rPr>
          <w:rFonts w:hint="eastAsia" w:ascii="宋体" w:hAnsi="宋体" w:cs="仿宋"/>
          <w:b/>
          <w:color w:val="auto"/>
          <w:highlight w:val="none"/>
          <w:u w:val="single"/>
        </w:rPr>
        <w:t>万</w:t>
      </w:r>
      <w:r>
        <w:rPr>
          <w:rFonts w:hint="eastAsia" w:ascii="宋体" w:hAnsi="宋体" w:cs="仿宋"/>
          <w:color w:val="auto"/>
          <w:highlight w:val="none"/>
          <w:u w:val="single"/>
        </w:rPr>
        <w:t>元/人•次（人民币）违约金</w:t>
      </w:r>
      <w:r>
        <w:rPr>
          <w:rFonts w:hint="eastAsia" w:ascii="宋体" w:hAnsi="宋体" w:cs="仿宋"/>
          <w:color w:val="auto"/>
          <w:highlight w:val="none"/>
        </w:rPr>
        <w:t>。</w:t>
      </w:r>
    </w:p>
    <w:p w14:paraId="0B2B6A1C">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承包人主要施工管理人员擅自离开施工现场的违约责任：</w:t>
      </w:r>
      <w:r>
        <w:rPr>
          <w:rFonts w:hint="eastAsia" w:ascii="宋体" w:hAnsi="宋体" w:cs="仿宋"/>
          <w:color w:val="auto"/>
          <w:highlight w:val="none"/>
          <w:u w:val="single"/>
        </w:rPr>
        <w:t>未经发包人同意，项目技术负责人擅自离岗的，视为承包人违约，发包人有权处违约金</w:t>
      </w:r>
      <w:r>
        <w:rPr>
          <w:rFonts w:hint="eastAsia" w:ascii="宋体" w:hAnsi="宋体" w:cs="仿宋"/>
          <w:b/>
          <w:color w:val="auto"/>
          <w:highlight w:val="none"/>
          <w:u w:val="single"/>
        </w:rPr>
        <w:t>500</w:t>
      </w:r>
      <w:r>
        <w:rPr>
          <w:rFonts w:hint="eastAsia" w:ascii="宋体" w:hAnsi="宋体" w:cs="仿宋"/>
          <w:color w:val="auto"/>
          <w:highlight w:val="none"/>
          <w:u w:val="single"/>
        </w:rPr>
        <w:t>元/人•次（人民币）；未经发包人同意，专职安全员擅自离岗的，视为承包人违约，发包人有权处违约金</w:t>
      </w:r>
      <w:r>
        <w:rPr>
          <w:rFonts w:hint="eastAsia" w:ascii="宋体" w:hAnsi="宋体" w:cs="仿宋"/>
          <w:b/>
          <w:color w:val="auto"/>
          <w:highlight w:val="none"/>
          <w:u w:val="single"/>
        </w:rPr>
        <w:t>500</w:t>
      </w:r>
      <w:r>
        <w:rPr>
          <w:rFonts w:hint="eastAsia" w:ascii="宋体" w:hAnsi="宋体" w:cs="仿宋"/>
          <w:color w:val="auto"/>
          <w:highlight w:val="none"/>
          <w:u w:val="single"/>
        </w:rPr>
        <w:t>元/人•次（人民币）；其它在场管理人员擅自离岗的，视为承包人违约，发包人有权处违约金</w:t>
      </w:r>
      <w:r>
        <w:rPr>
          <w:rFonts w:hint="eastAsia" w:ascii="宋体" w:hAnsi="宋体" w:cs="仿宋"/>
          <w:b/>
          <w:color w:val="auto"/>
          <w:highlight w:val="none"/>
          <w:u w:val="single"/>
        </w:rPr>
        <w:t>300</w:t>
      </w:r>
      <w:r>
        <w:rPr>
          <w:rFonts w:hint="eastAsia" w:ascii="宋体" w:hAnsi="宋体" w:cs="仿宋"/>
          <w:color w:val="auto"/>
          <w:highlight w:val="none"/>
          <w:u w:val="single"/>
        </w:rPr>
        <w:t>元/人•次（人民币）</w:t>
      </w:r>
      <w:r>
        <w:rPr>
          <w:rFonts w:hint="eastAsia" w:ascii="宋体" w:hAnsi="宋体" w:cs="仿宋"/>
          <w:color w:val="auto"/>
          <w:highlight w:val="none"/>
        </w:rPr>
        <w:t>。</w:t>
      </w:r>
    </w:p>
    <w:p w14:paraId="1B925A2A">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3.3.6工程例会要求：承包人项目经理、项目技术负责人、水电负责人、质量员、安全员必须参加由监理人主持的每周工程例会，因故不能参加的应提前4小时向监理或项目总监提出书面申请并在获得总监批准后方可缺席（最多只能1人缺席），否则承包人须向发包人支付违约金 500元/人•次，迟到的承包人须向发包人支付违约金 200元/人•次。</w:t>
      </w:r>
    </w:p>
    <w:p w14:paraId="5899B441">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3.3.7对承包人工作人员的要求：对于下列承包人工作人员，发包人有权要求及时更换，承包人在收到书面通知后必须在24小时内将其调离本工程范围，否则承包人支付违约金 1000元/人•次；同时，承包人应在48 小时内用发包人批准的合格的人员代替上述调离的人员。</w:t>
      </w:r>
    </w:p>
    <w:p w14:paraId="1BA507E5">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（1）分部分项工程经两次验收仍不能满足要求的主要责任者（指施工员、班组长、质检员、工长）；</w:t>
      </w:r>
    </w:p>
    <w:p w14:paraId="252C8D59">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（2）专业水平达不到岗位要求、工作责任心不强的施工人员；</w:t>
      </w:r>
    </w:p>
    <w:p w14:paraId="393748CE">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（3）不能积极配合监理和发包人的管理的工作人员；</w:t>
      </w:r>
    </w:p>
    <w:p w14:paraId="18F0C687">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（4）违反发包人或承包人工地现场管理规定者；</w:t>
      </w:r>
    </w:p>
    <w:p w14:paraId="67FCEBA7">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（5）高空抛弃建筑垃圾者及随地大小便者；</w:t>
      </w:r>
    </w:p>
    <w:p w14:paraId="6CE951DD">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（6）无证上岗者；</w:t>
      </w:r>
    </w:p>
    <w:p w14:paraId="4DF67037">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（7）与投标书及本合同规定名册不符者；</w:t>
      </w:r>
    </w:p>
    <w:p w14:paraId="023BBB3C">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（8）与本工程施工无关及对本工程产生不良影响的其他人员。</w:t>
      </w:r>
    </w:p>
    <w:p w14:paraId="488AAAB0">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3.4 在承包人签署合同文件时，承包人应被认为已对现场的相关条件进行了周详的了解和考查，并已充分掌握了下述因素及其对合同履行成本、费用、税金和时间的影响：</w:t>
      </w:r>
    </w:p>
    <w:p w14:paraId="0AC2FD22">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（1）现场的状况、环境与限制；</w:t>
      </w:r>
    </w:p>
    <w:p w14:paraId="7575A7A3">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（2）现场的地质、水文与气候特点；</w:t>
      </w:r>
    </w:p>
    <w:p w14:paraId="3DAD1173">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（3）施工及承担质量保证责任所需的工作、人力、机械、材料；</w:t>
      </w:r>
    </w:p>
    <w:p w14:paraId="33833EB9">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（4）材料、设备的采购、运输、存放、保管及检测；</w:t>
      </w:r>
    </w:p>
    <w:p w14:paraId="4D09FFCB">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（5）进出现场的手段及承包人可能需要的食宿与办公条件；</w:t>
      </w:r>
    </w:p>
    <w:p w14:paraId="13A6FE9E">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（6）可能受到的来自现场其它承包人的各种影响及所需要的相互配合；</w:t>
      </w:r>
    </w:p>
    <w:p w14:paraId="0882AE25">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（7）对合同履行有影响或起作用的其它各种可能的风险。</w:t>
      </w:r>
    </w:p>
    <w:p w14:paraId="185F8481">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承包人不得以上述理由为由，而要求对合同进行变更或免责。</w:t>
      </w:r>
    </w:p>
    <w:p w14:paraId="236B1225">
      <w:pPr>
        <w:spacing w:line="480" w:lineRule="exact"/>
        <w:rPr>
          <w:color w:val="auto"/>
          <w:szCs w:val="21"/>
          <w:highlight w:val="none"/>
        </w:rPr>
      </w:pPr>
      <w:bookmarkStart w:id="304" w:name="_Toc373227710"/>
      <w:bookmarkStart w:id="305" w:name="_Toc373478357"/>
      <w:bookmarkStart w:id="306" w:name="_Toc389065276"/>
      <w:bookmarkStart w:id="307" w:name="_Toc486950514"/>
      <w:r>
        <w:rPr>
          <w:color w:val="auto"/>
          <w:szCs w:val="21"/>
          <w:highlight w:val="none"/>
        </w:rPr>
        <w:t>3</w:t>
      </w:r>
      <w:bookmarkStart w:id="308" w:name="_Toc297123492"/>
      <w:bookmarkStart w:id="309" w:name="_Toc297120459"/>
      <w:bookmarkStart w:id="310" w:name="_Toc296944498"/>
      <w:bookmarkStart w:id="311" w:name="_Toc303539102"/>
      <w:bookmarkStart w:id="312" w:name="_Toc292559364"/>
      <w:bookmarkStart w:id="313" w:name="_Toc297216151"/>
      <w:bookmarkStart w:id="314" w:name="_Toc296347158"/>
      <w:bookmarkStart w:id="315" w:name="_Toc300934945"/>
      <w:bookmarkStart w:id="316" w:name="_Toc312677988"/>
      <w:bookmarkStart w:id="317" w:name="_Toc296890987"/>
      <w:bookmarkStart w:id="318" w:name="_Toc297048345"/>
      <w:bookmarkStart w:id="319" w:name="_Toc296503159"/>
      <w:bookmarkStart w:id="320" w:name="_Toc304295523"/>
      <w:bookmarkStart w:id="321" w:name="_Toc296346660"/>
      <w:bookmarkStart w:id="322" w:name="_Toc296891199"/>
      <w:bookmarkStart w:id="323" w:name="_Toc292559869"/>
      <w:r>
        <w:rPr>
          <w:color w:val="auto"/>
          <w:szCs w:val="21"/>
          <w:highlight w:val="none"/>
        </w:rPr>
        <w:t xml:space="preserve">.5 </w:t>
      </w:r>
      <w:r>
        <w:rPr>
          <w:rFonts w:hAnsi="宋体"/>
          <w:color w:val="auto"/>
          <w:szCs w:val="21"/>
          <w:highlight w:val="none"/>
        </w:rPr>
        <w:t>分包</w:t>
      </w:r>
      <w:bookmarkEnd w:id="304"/>
      <w:bookmarkEnd w:id="305"/>
      <w:bookmarkEnd w:id="306"/>
      <w:bookmarkEnd w:id="307"/>
    </w:p>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14:paraId="5DA3E1A4">
      <w:pPr>
        <w:spacing w:line="480" w:lineRule="exact"/>
        <w:ind w:firstLine="420" w:firstLineChars="200"/>
        <w:rPr>
          <w:rFonts w:ascii="宋体" w:hAnsi="宋体" w:cs="仿宋"/>
          <w:color w:val="auto"/>
          <w:highlight w:val="none"/>
        </w:rPr>
      </w:pPr>
      <w:bookmarkStart w:id="324" w:name="_Toc373227711"/>
      <w:bookmarkStart w:id="325" w:name="_Toc373478358"/>
      <w:bookmarkStart w:id="326" w:name="_Toc486950515"/>
      <w:bookmarkStart w:id="327" w:name="_Toc389065277"/>
      <w:r>
        <w:rPr>
          <w:rFonts w:hint="eastAsia" w:ascii="宋体" w:hAnsi="宋体" w:cs="仿宋"/>
          <w:color w:val="auto"/>
          <w:highlight w:val="none"/>
        </w:rPr>
        <w:t>3</w:t>
      </w:r>
      <w:bookmarkStart w:id="328" w:name="_Toc292559870"/>
      <w:bookmarkStart w:id="329" w:name="_Toc297048346"/>
      <w:bookmarkStart w:id="330" w:name="_Toc300934946"/>
      <w:bookmarkStart w:id="331" w:name="_Toc297120460"/>
      <w:bookmarkStart w:id="332" w:name="_Toc304295524"/>
      <w:bookmarkStart w:id="333" w:name="_Toc303539103"/>
      <w:bookmarkStart w:id="334" w:name="_Toc296503160"/>
      <w:bookmarkStart w:id="335" w:name="_Toc296346661"/>
      <w:bookmarkStart w:id="336" w:name="_Toc318581158"/>
      <w:bookmarkStart w:id="337" w:name="_Toc296890988"/>
      <w:bookmarkStart w:id="338" w:name="_Toc297216152"/>
      <w:bookmarkStart w:id="339" w:name="_Toc312677989"/>
      <w:bookmarkStart w:id="340" w:name="_Toc297123493"/>
      <w:bookmarkStart w:id="341" w:name="_Toc292559365"/>
      <w:bookmarkStart w:id="342" w:name="_Toc296891200"/>
      <w:bookmarkStart w:id="343" w:name="_Toc296347159"/>
      <w:bookmarkStart w:id="344" w:name="_Toc296944499"/>
      <w:r>
        <w:rPr>
          <w:rFonts w:hint="eastAsia" w:ascii="宋体" w:hAnsi="宋体" w:cs="仿宋"/>
          <w:color w:val="auto"/>
          <w:highlight w:val="none"/>
        </w:rPr>
        <w:t>.5.1 分包的一般约定</w:t>
      </w:r>
    </w:p>
    <w:p w14:paraId="7314465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禁止分包的工程包括：</w:t>
      </w:r>
      <w:r>
        <w:rPr>
          <w:rFonts w:hint="eastAsia" w:ascii="宋体" w:hAnsi="宋体" w:cs="仿宋"/>
          <w:color w:val="auto"/>
          <w:highlight w:val="none"/>
          <w:u w:val="single"/>
        </w:rPr>
        <w:t>除本专用条款第3.5.2允许分包的专业工程以外的所有工程</w:t>
      </w:r>
      <w:r>
        <w:rPr>
          <w:rFonts w:hint="eastAsia" w:ascii="宋体" w:hAnsi="宋体" w:cs="仿宋"/>
          <w:color w:val="auto"/>
          <w:highlight w:val="none"/>
        </w:rPr>
        <w:t>。</w:t>
      </w:r>
    </w:p>
    <w:p w14:paraId="6BDC4C4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主体结构、关键性工作的范围：</w:t>
      </w:r>
      <w:r>
        <w:rPr>
          <w:rFonts w:hint="eastAsia" w:ascii="宋体" w:hAnsi="宋体" w:cs="仿宋"/>
          <w:color w:val="auto"/>
          <w:highlight w:val="none"/>
          <w:u w:val="single"/>
        </w:rPr>
        <w:t>/</w:t>
      </w:r>
      <w:r>
        <w:rPr>
          <w:rFonts w:hint="eastAsia" w:ascii="宋体" w:hAnsi="宋体" w:cs="仿宋"/>
          <w:color w:val="auto"/>
          <w:highlight w:val="none"/>
        </w:rPr>
        <w:t>。</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7D68232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3</w:t>
      </w:r>
      <w:bookmarkStart w:id="345" w:name="_Toc312677990"/>
      <w:bookmarkStart w:id="346" w:name="_Toc318581159"/>
      <w:r>
        <w:rPr>
          <w:rFonts w:hint="eastAsia" w:ascii="宋体" w:hAnsi="宋体" w:cs="仿宋"/>
          <w:color w:val="auto"/>
          <w:highlight w:val="none"/>
        </w:rPr>
        <w:t>.5.2分包的确定</w:t>
      </w:r>
    </w:p>
    <w:p w14:paraId="1F1A6345">
      <w:pPr>
        <w:spacing w:line="480" w:lineRule="exact"/>
        <w:ind w:firstLine="420" w:firstLineChars="200"/>
        <w:rPr>
          <w:rFonts w:ascii="宋体" w:hAnsi="宋体" w:cs="仿宋"/>
          <w:color w:val="auto"/>
          <w:highlight w:val="none"/>
          <w:u w:val="single"/>
        </w:rPr>
      </w:pPr>
      <w:r>
        <w:rPr>
          <w:rFonts w:hint="eastAsia" w:ascii="宋体" w:hAnsi="宋体" w:cs="仿宋"/>
          <w:color w:val="auto"/>
          <w:highlight w:val="none"/>
        </w:rPr>
        <w:t>本工程不允许分包。</w:t>
      </w:r>
    </w:p>
    <w:bookmarkEnd w:id="345"/>
    <w:bookmarkEnd w:id="346"/>
    <w:p w14:paraId="525F1386">
      <w:pPr>
        <w:spacing w:line="480" w:lineRule="exact"/>
        <w:rPr>
          <w:color w:val="auto"/>
          <w:szCs w:val="21"/>
          <w:highlight w:val="none"/>
        </w:rPr>
      </w:pPr>
      <w:r>
        <w:rPr>
          <w:color w:val="auto"/>
          <w:szCs w:val="21"/>
          <w:highlight w:val="none"/>
        </w:rPr>
        <w:t>3.6 工程照管与成品、半成品保护</w:t>
      </w:r>
      <w:bookmarkEnd w:id="324"/>
      <w:bookmarkEnd w:id="325"/>
      <w:bookmarkEnd w:id="326"/>
      <w:bookmarkEnd w:id="327"/>
    </w:p>
    <w:p w14:paraId="247CE422">
      <w:pPr>
        <w:spacing w:line="480" w:lineRule="exact"/>
        <w:ind w:firstLine="420" w:firstLineChars="200"/>
        <w:rPr>
          <w:color w:val="auto"/>
          <w:kern w:val="0"/>
          <w:szCs w:val="21"/>
          <w:highlight w:val="none"/>
          <w:u w:val="single"/>
        </w:rPr>
      </w:pPr>
      <w:r>
        <w:rPr>
          <w:rFonts w:hAnsi="宋体"/>
          <w:color w:val="auto"/>
          <w:kern w:val="0"/>
          <w:szCs w:val="21"/>
          <w:highlight w:val="none"/>
        </w:rPr>
        <w:t>承包人负责照管工程及工程相关的材料、工程设备的起始时间：</w:t>
      </w:r>
      <w:r>
        <w:rPr>
          <w:rFonts w:hint="eastAsia"/>
          <w:color w:val="auto"/>
          <w:kern w:val="0"/>
          <w:szCs w:val="21"/>
          <w:highlight w:val="none"/>
          <w:u w:val="single"/>
        </w:rPr>
        <w:t>开工之日起，且在工程全部竣工并经发包人、监理、相关政府部门、其他相关单位部门验收通过并同意接收前，成品、半成品、施工机具、机械、材料等一切相关物品、设备等的保护由承包人负责，费用已含在合同价款内，发生损坏、灭失的，承包人及时负责予以修复或照价赔偿，修复费用自理；如交付后，发包人要求承包人继续保护，费用另行商定</w:t>
      </w:r>
      <w:r>
        <w:rPr>
          <w:rFonts w:hAnsi="宋体"/>
          <w:color w:val="auto"/>
          <w:kern w:val="0"/>
          <w:szCs w:val="21"/>
          <w:highlight w:val="none"/>
        </w:rPr>
        <w:t>。</w:t>
      </w:r>
    </w:p>
    <w:p w14:paraId="6648A7C5">
      <w:pPr>
        <w:spacing w:line="480" w:lineRule="exact"/>
        <w:rPr>
          <w:color w:val="auto"/>
          <w:szCs w:val="21"/>
          <w:highlight w:val="none"/>
        </w:rPr>
      </w:pPr>
      <w:bookmarkStart w:id="347" w:name="_Toc373478359"/>
      <w:bookmarkStart w:id="348" w:name="_Toc373227712"/>
      <w:bookmarkStart w:id="349" w:name="_Toc389065278"/>
      <w:bookmarkStart w:id="350" w:name="_Toc486950516"/>
      <w:r>
        <w:rPr>
          <w:color w:val="auto"/>
          <w:szCs w:val="21"/>
          <w:highlight w:val="none"/>
        </w:rPr>
        <w:t xml:space="preserve">3.7 </w:t>
      </w:r>
      <w:r>
        <w:rPr>
          <w:rFonts w:hAnsi="宋体"/>
          <w:color w:val="auto"/>
          <w:szCs w:val="21"/>
          <w:highlight w:val="none"/>
        </w:rPr>
        <w:t>履约</w:t>
      </w:r>
      <w:bookmarkEnd w:id="347"/>
      <w:bookmarkEnd w:id="348"/>
      <w:bookmarkEnd w:id="349"/>
      <w:r>
        <w:rPr>
          <w:rFonts w:hint="eastAsia" w:hAnsi="宋体"/>
          <w:color w:val="auto"/>
          <w:szCs w:val="21"/>
          <w:highlight w:val="none"/>
        </w:rPr>
        <w:t>保证金</w:t>
      </w:r>
      <w:bookmarkEnd w:id="350"/>
    </w:p>
    <w:p w14:paraId="0C590BFB">
      <w:pPr>
        <w:spacing w:line="480" w:lineRule="exact"/>
        <w:ind w:firstLine="420" w:firstLineChars="200"/>
        <w:rPr>
          <w:color w:val="auto"/>
          <w:szCs w:val="21"/>
          <w:highlight w:val="none"/>
        </w:rPr>
      </w:pPr>
      <w:bookmarkStart w:id="351" w:name="_Toc486950517"/>
      <w:bookmarkStart w:id="352" w:name="_Toc373478360"/>
      <w:bookmarkStart w:id="353" w:name="_Toc389065279"/>
      <w:bookmarkStart w:id="354" w:name="_Toc351203636"/>
      <w:bookmarkStart w:id="355" w:name="_Toc373227713"/>
      <w:r>
        <w:rPr>
          <w:rFonts w:hint="eastAsia"/>
          <w:color w:val="auto"/>
          <w:szCs w:val="21"/>
          <w:highlight w:val="none"/>
        </w:rPr>
        <w:t>3.7.1签订合同前向发包人缴纳成交金额的2%的履约保证金。</w:t>
      </w:r>
    </w:p>
    <w:p w14:paraId="4F2D66BD">
      <w:pPr>
        <w:spacing w:line="480" w:lineRule="exact"/>
        <w:ind w:firstLine="420" w:firstLineChars="200"/>
        <w:rPr>
          <w:rFonts w:hAnsi="宋体"/>
          <w:color w:val="auto"/>
          <w:kern w:val="0"/>
          <w:szCs w:val="21"/>
          <w:highlight w:val="none"/>
        </w:rPr>
      </w:pPr>
      <w:r>
        <w:rPr>
          <w:rFonts w:hint="eastAsia" w:hAnsi="宋体"/>
          <w:color w:val="auto"/>
          <w:kern w:val="0"/>
          <w:szCs w:val="21"/>
          <w:highlight w:val="none"/>
        </w:rPr>
        <w:t>3.7.2履约保证金提交方式：银行转账、支票、汇票、本票或者金融、担保机构出具的保函等非现金方式。</w:t>
      </w:r>
    </w:p>
    <w:p w14:paraId="1BCB303D">
      <w:pPr>
        <w:spacing w:line="480" w:lineRule="exact"/>
        <w:ind w:firstLine="420" w:firstLineChars="200"/>
        <w:rPr>
          <w:rFonts w:hAnsi="宋体"/>
          <w:color w:val="auto"/>
          <w:kern w:val="0"/>
          <w:szCs w:val="21"/>
          <w:highlight w:val="none"/>
        </w:rPr>
      </w:pPr>
      <w:r>
        <w:rPr>
          <w:rFonts w:hint="eastAsia" w:hAnsi="宋体"/>
          <w:color w:val="auto"/>
          <w:kern w:val="0"/>
          <w:szCs w:val="21"/>
          <w:highlight w:val="none"/>
        </w:rPr>
        <w:t>3.7.3履约保证金退付方式、时间及条件： 服务期满后由成交供应商向履约保证金收取单位提供《广西壮族自治区政府采购项目合同验收书》（详见桂财采〔2015〕22号），保证金收取单位在收到合格材料后</w:t>
      </w:r>
      <w:r>
        <w:rPr>
          <w:rFonts w:hint="eastAsia" w:hAnsi="宋体"/>
          <w:color w:val="auto"/>
          <w:kern w:val="0"/>
          <w:szCs w:val="21"/>
          <w:highlight w:val="none"/>
          <w:lang w:val="en-US" w:eastAsia="zh-CN"/>
        </w:rPr>
        <w:t>5</w:t>
      </w:r>
      <w:r>
        <w:rPr>
          <w:rFonts w:hint="eastAsia" w:hAnsi="宋体"/>
          <w:color w:val="auto"/>
          <w:kern w:val="0"/>
          <w:szCs w:val="21"/>
          <w:highlight w:val="none"/>
        </w:rPr>
        <w:t>个工作日内办理退还手续（不计利息）。</w:t>
      </w:r>
    </w:p>
    <w:p w14:paraId="5D0643E3">
      <w:pPr>
        <w:spacing w:line="480" w:lineRule="exact"/>
        <w:rPr>
          <w:color w:val="auto"/>
          <w:szCs w:val="21"/>
          <w:highlight w:val="none"/>
        </w:rPr>
      </w:pPr>
      <w:r>
        <w:rPr>
          <w:color w:val="auto"/>
          <w:szCs w:val="21"/>
          <w:highlight w:val="none"/>
        </w:rPr>
        <w:t>4</w:t>
      </w:r>
      <w:bookmarkStart w:id="356" w:name="_Toc296891202"/>
      <w:bookmarkStart w:id="357" w:name="_Toc292559366"/>
      <w:bookmarkStart w:id="358" w:name="_Toc296890990"/>
      <w:bookmarkStart w:id="359" w:name="_Toc296347161"/>
      <w:bookmarkStart w:id="360" w:name="_Toc297120462"/>
      <w:bookmarkStart w:id="361" w:name="_Toc296944501"/>
      <w:bookmarkStart w:id="362" w:name="_Toc296503162"/>
      <w:bookmarkStart w:id="363" w:name="_Toc297048348"/>
      <w:bookmarkStart w:id="364" w:name="_Toc296346663"/>
      <w:bookmarkStart w:id="365" w:name="_Toc267251413"/>
      <w:bookmarkStart w:id="366" w:name="_Toc292559871"/>
      <w:r>
        <w:rPr>
          <w:color w:val="auto"/>
          <w:szCs w:val="21"/>
          <w:highlight w:val="none"/>
        </w:rPr>
        <w:t xml:space="preserve">. </w:t>
      </w:r>
      <w:r>
        <w:rPr>
          <w:rFonts w:hAnsi="宋体"/>
          <w:color w:val="auto"/>
          <w:szCs w:val="21"/>
          <w:highlight w:val="none"/>
        </w:rPr>
        <w:t>监</w:t>
      </w:r>
      <w:bookmarkEnd w:id="356"/>
      <w:bookmarkEnd w:id="357"/>
      <w:bookmarkEnd w:id="358"/>
      <w:bookmarkEnd w:id="359"/>
      <w:bookmarkEnd w:id="360"/>
      <w:bookmarkEnd w:id="361"/>
      <w:bookmarkEnd w:id="362"/>
      <w:bookmarkEnd w:id="363"/>
      <w:bookmarkEnd w:id="364"/>
      <w:bookmarkEnd w:id="365"/>
      <w:bookmarkEnd w:id="366"/>
      <w:r>
        <w:rPr>
          <w:rFonts w:hAnsi="宋体"/>
          <w:color w:val="auto"/>
          <w:szCs w:val="21"/>
          <w:highlight w:val="none"/>
        </w:rPr>
        <w:t>理人</w:t>
      </w:r>
      <w:bookmarkEnd w:id="351"/>
      <w:bookmarkEnd w:id="352"/>
      <w:bookmarkEnd w:id="353"/>
      <w:bookmarkEnd w:id="354"/>
      <w:bookmarkEnd w:id="355"/>
    </w:p>
    <w:p w14:paraId="5467505A">
      <w:pPr>
        <w:spacing w:line="480" w:lineRule="exact"/>
        <w:rPr>
          <w:color w:val="auto"/>
          <w:szCs w:val="21"/>
          <w:highlight w:val="none"/>
        </w:rPr>
      </w:pPr>
      <w:bookmarkStart w:id="367" w:name="_Toc373478361"/>
      <w:bookmarkStart w:id="368" w:name="_Toc373227714"/>
      <w:bookmarkStart w:id="369" w:name="_Toc486950518"/>
      <w:bookmarkStart w:id="370" w:name="_Toc389065280"/>
      <w:r>
        <w:rPr>
          <w:color w:val="auto"/>
          <w:szCs w:val="21"/>
          <w:highlight w:val="none"/>
        </w:rPr>
        <w:t>4.1</w:t>
      </w:r>
      <w:r>
        <w:rPr>
          <w:rFonts w:hint="eastAsia"/>
          <w:color w:val="auto"/>
          <w:szCs w:val="21"/>
          <w:highlight w:val="none"/>
        </w:rPr>
        <w:t xml:space="preserve"> </w:t>
      </w:r>
      <w:r>
        <w:rPr>
          <w:color w:val="auto"/>
          <w:szCs w:val="21"/>
          <w:highlight w:val="none"/>
        </w:rPr>
        <w:t>监理人的一般规定</w:t>
      </w:r>
      <w:bookmarkEnd w:id="367"/>
      <w:bookmarkEnd w:id="368"/>
      <w:bookmarkEnd w:id="369"/>
      <w:bookmarkEnd w:id="370"/>
    </w:p>
    <w:p w14:paraId="1A827453">
      <w:pPr>
        <w:spacing w:line="480" w:lineRule="exact"/>
        <w:ind w:firstLine="420" w:firstLineChars="200"/>
        <w:rPr>
          <w:rFonts w:ascii="宋体" w:hAnsi="宋体" w:cs="仿宋"/>
          <w:color w:val="auto"/>
          <w:highlight w:val="none"/>
        </w:rPr>
      </w:pPr>
      <w:bookmarkStart w:id="371" w:name="_Toc486950519"/>
      <w:bookmarkStart w:id="372" w:name="_Toc373478362"/>
      <w:bookmarkStart w:id="373" w:name="_Toc373227715"/>
      <w:bookmarkStart w:id="374" w:name="_Toc389065281"/>
      <w:r>
        <w:rPr>
          <w:rFonts w:hint="eastAsia" w:ascii="宋体" w:hAnsi="宋体" w:cs="仿宋"/>
          <w:color w:val="auto"/>
          <w:highlight w:val="none"/>
        </w:rPr>
        <w:t>关于监理人的监理内容：</w:t>
      </w:r>
      <w:r>
        <w:rPr>
          <w:rFonts w:hint="eastAsia" w:ascii="宋体" w:hAnsi="宋体" w:cs="仿宋"/>
          <w:color w:val="auto"/>
          <w:highlight w:val="none"/>
          <w:u w:val="single"/>
        </w:rPr>
        <w:t>见监理合同。</w:t>
      </w:r>
    </w:p>
    <w:p w14:paraId="19B54FA6">
      <w:pPr>
        <w:spacing w:line="480" w:lineRule="exact"/>
        <w:ind w:firstLine="420" w:firstLineChars="200"/>
        <w:jc w:val="left"/>
        <w:rPr>
          <w:rFonts w:ascii="宋体" w:hAnsi="宋体" w:cs="仿宋"/>
          <w:strike/>
          <w:color w:val="auto"/>
          <w:highlight w:val="none"/>
        </w:rPr>
      </w:pPr>
      <w:r>
        <w:rPr>
          <w:rFonts w:hint="eastAsia" w:ascii="宋体" w:hAnsi="宋体" w:cs="仿宋"/>
          <w:color w:val="auto"/>
          <w:highlight w:val="none"/>
        </w:rPr>
        <w:t>关于监理人的监理权限：</w:t>
      </w:r>
      <w:r>
        <w:rPr>
          <w:rFonts w:hint="eastAsia" w:ascii="宋体" w:hAnsi="宋体" w:cs="仿宋"/>
          <w:color w:val="auto"/>
          <w:highlight w:val="none"/>
          <w:u w:val="single"/>
        </w:rPr>
        <w:t>监理人受发包人委托，享有合同约定的权力，具体按发包人和监理人签订的监理合同执行；其中工程款拨付、各项工程变更洽商的确认及重大质量、进度、安全问题的处理权等需要取得发包人批准才能行使。</w:t>
      </w:r>
    </w:p>
    <w:p w14:paraId="5BBD4F52">
      <w:pPr>
        <w:spacing w:line="480" w:lineRule="exact"/>
        <w:ind w:firstLine="420"/>
        <w:rPr>
          <w:rFonts w:ascii="宋体" w:hAnsi="宋体" w:cs="仿宋"/>
          <w:color w:val="auto"/>
          <w:highlight w:val="none"/>
          <w:u w:val="single"/>
        </w:rPr>
      </w:pPr>
      <w:r>
        <w:rPr>
          <w:rFonts w:hint="eastAsia" w:ascii="宋体" w:hAnsi="宋体" w:cs="仿宋"/>
          <w:color w:val="auto"/>
          <w:highlight w:val="none"/>
        </w:rPr>
        <w:t>关于监理人在施工现场的办公场所、生活场所的提供和费用承担的约定：</w:t>
      </w:r>
      <w:r>
        <w:rPr>
          <w:rFonts w:hint="eastAsia" w:ascii="宋体" w:hAnsi="宋体" w:cs="仿宋"/>
          <w:color w:val="auto"/>
          <w:highlight w:val="none"/>
          <w:u w:val="single"/>
        </w:rPr>
        <w:t>水电费由各承包单位共同承担 。</w:t>
      </w:r>
    </w:p>
    <w:p w14:paraId="0898E997">
      <w:pPr>
        <w:spacing w:line="480" w:lineRule="exact"/>
        <w:rPr>
          <w:color w:val="auto"/>
          <w:szCs w:val="21"/>
          <w:highlight w:val="none"/>
        </w:rPr>
      </w:pPr>
      <w:r>
        <w:rPr>
          <w:color w:val="auto"/>
          <w:szCs w:val="21"/>
          <w:highlight w:val="none"/>
        </w:rPr>
        <w:t xml:space="preserve">4.2 </w:t>
      </w:r>
      <w:r>
        <w:rPr>
          <w:rFonts w:hAnsi="宋体"/>
          <w:color w:val="auto"/>
          <w:szCs w:val="21"/>
          <w:highlight w:val="none"/>
        </w:rPr>
        <w:t>监理人员</w:t>
      </w:r>
      <w:bookmarkEnd w:id="371"/>
      <w:bookmarkEnd w:id="372"/>
      <w:bookmarkEnd w:id="373"/>
      <w:bookmarkEnd w:id="374"/>
    </w:p>
    <w:p w14:paraId="6D45EF70">
      <w:pPr>
        <w:spacing w:line="480" w:lineRule="exact"/>
        <w:ind w:firstLine="420" w:firstLineChars="200"/>
        <w:rPr>
          <w:color w:val="auto"/>
          <w:szCs w:val="21"/>
          <w:highlight w:val="none"/>
        </w:rPr>
      </w:pPr>
      <w:r>
        <w:rPr>
          <w:rFonts w:hAnsi="宋体"/>
          <w:color w:val="auto"/>
          <w:szCs w:val="21"/>
          <w:highlight w:val="none"/>
        </w:rPr>
        <w:t>总监理工程师：</w:t>
      </w:r>
    </w:p>
    <w:p w14:paraId="2EFF94A0">
      <w:pPr>
        <w:spacing w:line="480" w:lineRule="exact"/>
        <w:ind w:firstLine="420" w:firstLineChars="200"/>
        <w:rPr>
          <w:color w:val="auto"/>
          <w:szCs w:val="21"/>
          <w:highlight w:val="none"/>
        </w:rPr>
      </w:pPr>
      <w:r>
        <w:rPr>
          <w:rFonts w:hAnsi="宋体"/>
          <w:color w:val="auto"/>
          <w:szCs w:val="21"/>
          <w:highlight w:val="none"/>
        </w:rPr>
        <w:t>姓</w:t>
      </w:r>
      <w:r>
        <w:rPr>
          <w:color w:val="auto"/>
          <w:szCs w:val="21"/>
          <w:highlight w:val="none"/>
        </w:rPr>
        <w:t xml:space="preserve">    </w:t>
      </w:r>
      <w:r>
        <w:rPr>
          <w:rFonts w:hAnsi="宋体"/>
          <w:color w:val="auto"/>
          <w:szCs w:val="21"/>
          <w:highlight w:val="none"/>
        </w:rPr>
        <w:t>名：</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1DF57832">
      <w:pPr>
        <w:spacing w:line="480" w:lineRule="exact"/>
        <w:ind w:firstLine="420" w:firstLineChars="200"/>
        <w:rPr>
          <w:color w:val="auto"/>
          <w:szCs w:val="21"/>
          <w:highlight w:val="none"/>
        </w:rPr>
      </w:pPr>
      <w:r>
        <w:rPr>
          <w:rFonts w:hAnsi="宋体"/>
          <w:color w:val="auto"/>
          <w:szCs w:val="21"/>
          <w:highlight w:val="none"/>
        </w:rPr>
        <w:t>职</w:t>
      </w:r>
      <w:r>
        <w:rPr>
          <w:color w:val="auto"/>
          <w:szCs w:val="21"/>
          <w:highlight w:val="none"/>
        </w:rPr>
        <w:t xml:space="preserve">    </w:t>
      </w:r>
      <w:r>
        <w:rPr>
          <w:rFonts w:hAnsi="宋体"/>
          <w:color w:val="auto"/>
          <w:szCs w:val="21"/>
          <w:highlight w:val="none"/>
        </w:rPr>
        <w:t>务：</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6D10E73C">
      <w:pPr>
        <w:spacing w:line="480" w:lineRule="exact"/>
        <w:ind w:firstLine="420" w:firstLineChars="200"/>
        <w:rPr>
          <w:rFonts w:hAnsi="宋体"/>
          <w:color w:val="auto"/>
          <w:szCs w:val="21"/>
          <w:highlight w:val="none"/>
        </w:rPr>
      </w:pPr>
      <w:r>
        <w:rPr>
          <w:rFonts w:hAnsi="宋体"/>
          <w:color w:val="auto"/>
          <w:szCs w:val="21"/>
          <w:highlight w:val="none"/>
        </w:rPr>
        <w:t>监理工程师执业资格证书号：</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3C83D72B">
      <w:pPr>
        <w:spacing w:line="480" w:lineRule="exact"/>
        <w:ind w:firstLine="420" w:firstLineChars="200"/>
        <w:rPr>
          <w:color w:val="auto"/>
          <w:szCs w:val="21"/>
          <w:highlight w:val="none"/>
        </w:rPr>
      </w:pPr>
      <w:r>
        <w:rPr>
          <w:rFonts w:hAnsi="宋体"/>
          <w:color w:val="auto"/>
          <w:szCs w:val="21"/>
          <w:highlight w:val="none"/>
        </w:rPr>
        <w:t>联系电话：</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28E25587">
      <w:pPr>
        <w:spacing w:line="480" w:lineRule="exact"/>
        <w:ind w:firstLine="420" w:firstLineChars="200"/>
        <w:rPr>
          <w:color w:val="auto"/>
          <w:szCs w:val="21"/>
          <w:highlight w:val="none"/>
        </w:rPr>
      </w:pPr>
      <w:r>
        <w:rPr>
          <w:rFonts w:hAnsi="宋体"/>
          <w:color w:val="auto"/>
          <w:szCs w:val="21"/>
          <w:highlight w:val="none"/>
        </w:rPr>
        <w:t>电子信箱：</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0DF7EBC5">
      <w:pPr>
        <w:spacing w:line="480" w:lineRule="exact"/>
        <w:ind w:firstLine="420" w:firstLineChars="200"/>
        <w:rPr>
          <w:color w:val="auto"/>
          <w:szCs w:val="21"/>
          <w:highlight w:val="none"/>
        </w:rPr>
      </w:pPr>
      <w:r>
        <w:rPr>
          <w:rFonts w:hAnsi="宋体"/>
          <w:color w:val="auto"/>
          <w:szCs w:val="21"/>
          <w:highlight w:val="none"/>
        </w:rPr>
        <w:t>通信地址：</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7B1CA23B">
      <w:pPr>
        <w:spacing w:line="480" w:lineRule="exact"/>
        <w:ind w:firstLine="420" w:firstLineChars="200"/>
        <w:rPr>
          <w:color w:val="auto"/>
          <w:szCs w:val="21"/>
          <w:highlight w:val="none"/>
        </w:rPr>
      </w:pPr>
      <w:r>
        <w:rPr>
          <w:rFonts w:hAnsi="宋体"/>
          <w:color w:val="auto"/>
          <w:szCs w:val="21"/>
          <w:highlight w:val="none"/>
        </w:rPr>
        <w:t>关于监理人的其他约定：</w:t>
      </w:r>
      <w:r>
        <w:rPr>
          <w:rFonts w:hAnsi="宋体"/>
          <w:color w:val="auto"/>
          <w:szCs w:val="21"/>
          <w:highlight w:val="none"/>
          <w:u w:val="single"/>
        </w:rPr>
        <w:t></w:t>
      </w:r>
      <w:r>
        <w:rPr>
          <w:rFonts w:hint="eastAsia" w:hAnsi="宋体"/>
          <w:color w:val="auto"/>
          <w:szCs w:val="21"/>
          <w:highlight w:val="none"/>
          <w:u w:val="single"/>
        </w:rPr>
        <w:t>见监理合同</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color w:val="auto"/>
          <w:szCs w:val="21"/>
          <w:highlight w:val="none"/>
          <w:u w:val="single"/>
        </w:rPr>
        <w:t xml:space="preserve"> </w:t>
      </w:r>
      <w:r>
        <w:rPr>
          <w:rFonts w:hAnsi="宋体"/>
          <w:color w:val="auto"/>
          <w:szCs w:val="21"/>
          <w:highlight w:val="none"/>
          <w:u w:val="single"/>
        </w:rPr>
        <w:t></w:t>
      </w:r>
      <w:r>
        <w:rPr>
          <w:rFonts w:hAnsi="宋体"/>
          <w:color w:val="auto"/>
          <w:szCs w:val="21"/>
          <w:highlight w:val="none"/>
        </w:rPr>
        <w:t>。</w:t>
      </w:r>
    </w:p>
    <w:p w14:paraId="14889E15">
      <w:pPr>
        <w:spacing w:line="480" w:lineRule="exact"/>
        <w:rPr>
          <w:color w:val="auto"/>
          <w:szCs w:val="21"/>
          <w:highlight w:val="none"/>
        </w:rPr>
      </w:pPr>
      <w:bookmarkStart w:id="375" w:name="_Toc389065282"/>
      <w:bookmarkStart w:id="376" w:name="_Toc373227716"/>
      <w:bookmarkStart w:id="377" w:name="_Toc486950520"/>
      <w:bookmarkStart w:id="378" w:name="_Toc373478363"/>
      <w:r>
        <w:rPr>
          <w:color w:val="auto"/>
          <w:szCs w:val="21"/>
          <w:highlight w:val="none"/>
        </w:rPr>
        <w:t xml:space="preserve">4.4 </w:t>
      </w:r>
      <w:r>
        <w:rPr>
          <w:rFonts w:hAnsi="宋体"/>
          <w:color w:val="auto"/>
          <w:szCs w:val="21"/>
          <w:highlight w:val="none"/>
        </w:rPr>
        <w:t>商定或确定</w:t>
      </w:r>
      <w:bookmarkEnd w:id="375"/>
      <w:bookmarkEnd w:id="376"/>
      <w:bookmarkEnd w:id="377"/>
      <w:bookmarkEnd w:id="378"/>
    </w:p>
    <w:p w14:paraId="58254DCA">
      <w:pPr>
        <w:spacing w:line="480" w:lineRule="exact"/>
        <w:ind w:firstLine="420" w:firstLineChars="200"/>
        <w:rPr>
          <w:color w:val="auto"/>
          <w:szCs w:val="21"/>
          <w:highlight w:val="none"/>
        </w:rPr>
      </w:pPr>
      <w:bookmarkStart w:id="379" w:name="_Toc267251418"/>
      <w:r>
        <w:rPr>
          <w:rFonts w:hAnsi="宋体"/>
          <w:color w:val="auto"/>
          <w:szCs w:val="21"/>
          <w:highlight w:val="none"/>
        </w:rPr>
        <w:t>在发包人和承包人不能通过协商达成一致意见时，发包人授权监理人对以下事项进行确定：</w:t>
      </w:r>
    </w:p>
    <w:p w14:paraId="2A262722">
      <w:pPr>
        <w:autoSpaceDE w:val="0"/>
        <w:autoSpaceDN w:val="0"/>
        <w:adjustRightInd w:val="0"/>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（1）</w:t>
      </w:r>
      <w:r>
        <w:rPr>
          <w:rFonts w:hint="eastAsia" w:ascii="宋体" w:hAnsi="宋体" w:cs="仿宋"/>
          <w:color w:val="auto"/>
          <w:highlight w:val="none"/>
          <w:u w:val="single"/>
        </w:rPr>
        <w:t>按本合同《通用条款》相关条款规定执行</w:t>
      </w:r>
      <w:r>
        <w:rPr>
          <w:rFonts w:hint="eastAsia" w:ascii="宋体" w:hAnsi="宋体" w:cs="仿宋"/>
          <w:color w:val="auto"/>
          <w:highlight w:val="none"/>
        </w:rPr>
        <w:t>；</w:t>
      </w:r>
    </w:p>
    <w:p w14:paraId="14B81AA5">
      <w:pPr>
        <w:autoSpaceDE w:val="0"/>
        <w:autoSpaceDN w:val="0"/>
        <w:adjustRightInd w:val="0"/>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（2）</w:t>
      </w:r>
      <w:r>
        <w:rPr>
          <w:rFonts w:hint="eastAsia" w:ascii="宋体" w:hAnsi="宋体" w:cs="仿宋"/>
          <w:color w:val="auto"/>
          <w:highlight w:val="none"/>
          <w:u w:val="single"/>
        </w:rPr>
        <w:t>按补充协议规定执行</w:t>
      </w:r>
      <w:r>
        <w:rPr>
          <w:rFonts w:hint="eastAsia" w:ascii="宋体" w:hAnsi="宋体" w:cs="仿宋"/>
          <w:color w:val="auto"/>
          <w:highlight w:val="none"/>
        </w:rPr>
        <w:t>；</w:t>
      </w:r>
    </w:p>
    <w:p w14:paraId="75E2F6DE">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3</w:t>
      </w:r>
      <w:r>
        <w:rPr>
          <w:rFonts w:hAnsi="宋体"/>
          <w:color w:val="auto"/>
          <w:kern w:val="0"/>
          <w:szCs w:val="21"/>
          <w:highlight w:val="none"/>
        </w:rPr>
        <w:t>）</w:t>
      </w:r>
      <w:r>
        <w:rPr>
          <w:color w:val="auto"/>
          <w:szCs w:val="21"/>
          <w:highlight w:val="none"/>
          <w:u w:val="single"/>
        </w:rPr>
        <w:t xml:space="preserve">                                   </w:t>
      </w:r>
      <w:r>
        <w:rPr>
          <w:rFonts w:hAnsi="宋体"/>
          <w:color w:val="auto"/>
          <w:szCs w:val="21"/>
          <w:highlight w:val="none"/>
        </w:rPr>
        <w:t>。</w:t>
      </w:r>
    </w:p>
    <w:bookmarkEnd w:id="379"/>
    <w:p w14:paraId="1F259511">
      <w:pPr>
        <w:spacing w:line="480" w:lineRule="exact"/>
        <w:rPr>
          <w:color w:val="auto"/>
          <w:szCs w:val="21"/>
          <w:highlight w:val="none"/>
        </w:rPr>
      </w:pPr>
      <w:bookmarkStart w:id="380" w:name="_Toc351203637"/>
      <w:bookmarkStart w:id="381" w:name="_Toc373478364"/>
      <w:bookmarkStart w:id="382" w:name="_Toc373227717"/>
      <w:bookmarkStart w:id="383" w:name="_Toc389065283"/>
      <w:bookmarkStart w:id="384" w:name="_Toc486950521"/>
      <w:bookmarkStart w:id="385" w:name="_Toc296347162"/>
      <w:bookmarkStart w:id="386" w:name="_Toc296346664"/>
      <w:bookmarkStart w:id="387" w:name="_Toc292559872"/>
      <w:bookmarkStart w:id="388" w:name="_Toc296890991"/>
      <w:bookmarkStart w:id="389" w:name="_Toc296891203"/>
      <w:bookmarkStart w:id="390" w:name="_Toc297120463"/>
      <w:bookmarkStart w:id="391" w:name="_Toc296944502"/>
      <w:bookmarkStart w:id="392" w:name="_Toc297048349"/>
      <w:bookmarkStart w:id="393" w:name="_Toc296503163"/>
      <w:bookmarkStart w:id="394" w:name="_Toc292559367"/>
      <w:r>
        <w:rPr>
          <w:rFonts w:hint="eastAsia"/>
          <w:color w:val="auto"/>
          <w:szCs w:val="21"/>
          <w:highlight w:val="none"/>
        </w:rPr>
        <w:t>5.</w:t>
      </w:r>
      <w:r>
        <w:rPr>
          <w:rFonts w:hAnsi="宋体"/>
          <w:color w:val="auto"/>
          <w:szCs w:val="21"/>
          <w:highlight w:val="none"/>
        </w:rPr>
        <w:t>工程质量</w:t>
      </w:r>
      <w:bookmarkEnd w:id="380"/>
      <w:bookmarkEnd w:id="381"/>
      <w:bookmarkEnd w:id="382"/>
      <w:bookmarkEnd w:id="383"/>
      <w:bookmarkEnd w:id="384"/>
    </w:p>
    <w:p w14:paraId="7FD46EBC">
      <w:pPr>
        <w:spacing w:line="480" w:lineRule="exact"/>
        <w:rPr>
          <w:color w:val="auto"/>
          <w:szCs w:val="21"/>
          <w:highlight w:val="none"/>
        </w:rPr>
      </w:pPr>
      <w:bookmarkStart w:id="395" w:name="_Toc389065284"/>
      <w:bookmarkStart w:id="396" w:name="_Toc486950522"/>
      <w:bookmarkStart w:id="397" w:name="_Toc373478365"/>
      <w:bookmarkStart w:id="398" w:name="_Toc373227718"/>
      <w:r>
        <w:rPr>
          <w:color w:val="auto"/>
          <w:szCs w:val="21"/>
          <w:highlight w:val="none"/>
        </w:rPr>
        <w:t xml:space="preserve">5.1 </w:t>
      </w:r>
      <w:r>
        <w:rPr>
          <w:rFonts w:hAnsi="宋体"/>
          <w:color w:val="auto"/>
          <w:szCs w:val="21"/>
          <w:highlight w:val="none"/>
        </w:rPr>
        <w:t>质量要求</w:t>
      </w:r>
      <w:bookmarkEnd w:id="395"/>
      <w:bookmarkEnd w:id="396"/>
      <w:bookmarkEnd w:id="397"/>
      <w:bookmarkEnd w:id="398"/>
    </w:p>
    <w:p w14:paraId="13A92008">
      <w:pPr>
        <w:spacing w:line="480" w:lineRule="exact"/>
        <w:ind w:firstLine="420" w:firstLineChars="200"/>
        <w:jc w:val="left"/>
        <w:rPr>
          <w:rFonts w:ascii="宋体" w:hAnsi="宋体" w:cs="仿宋"/>
          <w:color w:val="auto"/>
          <w:highlight w:val="none"/>
        </w:rPr>
      </w:pPr>
      <w:bookmarkStart w:id="399" w:name="_Toc351203638"/>
      <w:bookmarkStart w:id="400" w:name="_Toc486950523"/>
      <w:bookmarkStart w:id="401" w:name="_Toc389065285"/>
      <w:bookmarkStart w:id="402" w:name="_Toc373478366"/>
      <w:bookmarkStart w:id="403" w:name="_Toc373227719"/>
      <w:bookmarkStart w:id="404" w:name="_Toc300934949"/>
      <w:bookmarkStart w:id="405" w:name="_Toc312677997"/>
      <w:bookmarkStart w:id="406" w:name="_Toc303539106"/>
      <w:bookmarkStart w:id="407" w:name="_Toc297123496"/>
      <w:bookmarkStart w:id="408" w:name="_Toc318581164"/>
      <w:bookmarkStart w:id="409" w:name="_Toc304295527"/>
      <w:bookmarkStart w:id="410" w:name="_Toc297216155"/>
      <w:r>
        <w:rPr>
          <w:rFonts w:hint="eastAsia" w:ascii="宋体" w:hAnsi="宋体" w:cs="仿宋"/>
          <w:color w:val="auto"/>
          <w:highlight w:val="none"/>
        </w:rPr>
        <w:t>5.1.1 特殊质量标准和要求：</w:t>
      </w:r>
      <w:r>
        <w:rPr>
          <w:rFonts w:hint="eastAsia" w:ascii="宋体" w:hAnsi="宋体" w:cs="仿宋"/>
          <w:color w:val="auto"/>
          <w:highlight w:val="none"/>
          <w:u w:val="single"/>
        </w:rPr>
        <w:t>合格</w:t>
      </w:r>
      <w:r>
        <w:rPr>
          <w:rFonts w:hint="eastAsia" w:ascii="宋体" w:hAnsi="宋体" w:cs="仿宋"/>
          <w:color w:val="auto"/>
          <w:highlight w:val="none"/>
        </w:rPr>
        <w:t>。</w:t>
      </w:r>
    </w:p>
    <w:p w14:paraId="5A3E7E97">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工程质量应符合规范、标准和设计要求，质量不合格者必须按合同的要求进行返工，返修费用由承包人负责，工期不予延长。在保修期内，如承包人未能按合同约定及时处理工程质量问题，发包人有权自行或委托他人处理，所发生的费用（无须经承包人认可，以发包人与第三方签订的合同金额为准）由承包人承担，发包人有权从需支付给承包人的任何款项中直接扣回。</w:t>
      </w:r>
    </w:p>
    <w:p w14:paraId="2A8B3CB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关于工程奖项的约定：</w:t>
      </w:r>
      <w:r>
        <w:rPr>
          <w:rFonts w:hint="eastAsia" w:ascii="宋体" w:hAnsi="宋体" w:cs="仿宋"/>
          <w:color w:val="auto"/>
          <w:highlight w:val="none"/>
          <w:u w:val="single"/>
        </w:rPr>
        <w:t>另行约定</w:t>
      </w:r>
      <w:r>
        <w:rPr>
          <w:rFonts w:hint="eastAsia" w:ascii="宋体" w:hAnsi="宋体" w:cs="仿宋"/>
          <w:color w:val="auto"/>
          <w:highlight w:val="none"/>
        </w:rPr>
        <w:t>。</w:t>
      </w:r>
    </w:p>
    <w:p w14:paraId="3AA5653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5.1.2 因发包人原因造成工程质量达到合同约定标准的，就此导致工期延误的，承包人不承担责任，发包人按实际天数给予工期顺延 。</w:t>
      </w:r>
    </w:p>
    <w:p w14:paraId="7627D66C">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5.1.4 承包人进场后，及时提供有关工程方面的技术资料，如材料出厂合格证、试验报告等的原件，服从发包人对材料质量的监督管理。施工前，必须执行样板先行制度，按要求做好施工工艺样板，经发包人验收合格通过后方可进行大面积施工，否则，不允许大面积施工，已施工的发包人有权不予认可。</w:t>
      </w:r>
    </w:p>
    <w:p w14:paraId="7159F454">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5.1.5 承包人必须健全质量、安全检查制度，在现场设专职质量和安全检查员，编制详细的质量及安全控制体系计划及方案并报发包人，按设计施工图、设计变更通知等和国家规范、标准做好自检工作。</w:t>
      </w:r>
    </w:p>
    <w:p w14:paraId="22FF278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5.1.6 承包人必须按照监理、发包人的要求，提交技术资料，进行质量检查，办理验收手续。</w:t>
      </w:r>
    </w:p>
    <w:p w14:paraId="319C97B3">
      <w:pPr>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5.3 隐蔽工程检查</w:t>
      </w:r>
    </w:p>
    <w:p w14:paraId="5F747B34">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5.3.2承包人提前通知监理人隐蔽工程检查的期限的约定：</w:t>
      </w:r>
      <w:r>
        <w:rPr>
          <w:rFonts w:hint="eastAsia" w:ascii="宋体" w:hAnsi="宋体" w:cs="仿宋"/>
          <w:bCs/>
          <w:color w:val="auto"/>
          <w:highlight w:val="none"/>
        </w:rPr>
        <w:t>工程隐蔽或中间验收前48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2A7572E">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监理人不能按时进行检查时，应提前</w:t>
      </w:r>
      <w:r>
        <w:rPr>
          <w:rFonts w:hint="eastAsia" w:ascii="宋体" w:hAnsi="宋体" w:cs="仿宋"/>
          <w:color w:val="auto"/>
          <w:highlight w:val="none"/>
          <w:u w:val="single"/>
        </w:rPr>
        <w:t>24</w:t>
      </w:r>
      <w:r>
        <w:rPr>
          <w:rFonts w:hint="eastAsia" w:ascii="宋体" w:hAnsi="宋体" w:cs="仿宋"/>
          <w:color w:val="auto"/>
          <w:highlight w:val="none"/>
        </w:rPr>
        <w:t>小时提交书面延期要求。</w:t>
      </w:r>
    </w:p>
    <w:p w14:paraId="38C838A8">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关于延期最长不得超过：</w:t>
      </w:r>
      <w:r>
        <w:rPr>
          <w:rFonts w:hint="eastAsia" w:ascii="宋体" w:hAnsi="宋体" w:cs="仿宋"/>
          <w:color w:val="auto"/>
          <w:highlight w:val="none"/>
          <w:u w:val="single"/>
        </w:rPr>
        <w:t>48</w:t>
      </w:r>
      <w:r>
        <w:rPr>
          <w:rFonts w:hint="eastAsia" w:ascii="宋体" w:hAnsi="宋体" w:cs="仿宋"/>
          <w:color w:val="auto"/>
          <w:highlight w:val="none"/>
        </w:rPr>
        <w:t>小时。</w:t>
      </w:r>
    </w:p>
    <w:p w14:paraId="5CFF6D7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w:t>
      </w:r>
      <w:r>
        <w:rPr>
          <w:rFonts w:ascii="宋体" w:hAnsi="宋体" w:cs="仿宋"/>
          <w:color w:val="auto"/>
          <w:highlight w:val="none"/>
        </w:rPr>
        <w:t xml:space="preserve">.4 </w:t>
      </w:r>
      <w:r>
        <w:rPr>
          <w:rFonts w:hint="eastAsia" w:ascii="宋体" w:hAnsi="宋体" w:cs="仿宋"/>
          <w:color w:val="auto"/>
          <w:highlight w:val="none"/>
        </w:rPr>
        <w:t>承包人应当加强施工过程质量控制，并形成完整、可追溯的施工质量管理资料，隐蔽部位施工根据《广西壮族自治区档案局关于印发&lt;建设项目影像文件采集指南&gt;的通知》要求保留影像资料。对施工中出现的质量问题或者验收不合格的工程，应当负责返工处理；对在保修范围和保修期限内发生质量问题的工程，应当履行保修义务。</w:t>
      </w:r>
      <w:r>
        <w:rPr>
          <w:rFonts w:hint="eastAsia" w:ascii="宋体" w:hAnsi="宋体" w:cs="仿宋"/>
          <w:color w:val="auto"/>
          <w:highlight w:val="none"/>
        </w:rPr>
        <w:br w:type="textWrapping"/>
      </w:r>
      <w:r>
        <w:rPr>
          <w:rFonts w:hint="eastAsia" w:ascii="宋体" w:hAnsi="宋体" w:cs="仿宋"/>
          <w:color w:val="auto"/>
          <w:highlight w:val="none"/>
        </w:rPr>
        <w:t xml:space="preserve">    经总监、业主现场代表审核后每日隐蔽工程发生的影像资料、数据材料和工程量，形成资料上传建设管理系统，随时可进行质量、进度、隐蔽工程量的审核。</w:t>
      </w:r>
    </w:p>
    <w:p w14:paraId="743260AA">
      <w:pPr>
        <w:spacing w:line="480" w:lineRule="exact"/>
        <w:rPr>
          <w:color w:val="auto"/>
          <w:szCs w:val="21"/>
          <w:highlight w:val="none"/>
        </w:rPr>
      </w:pPr>
      <w:r>
        <w:rPr>
          <w:color w:val="auto"/>
          <w:szCs w:val="21"/>
          <w:highlight w:val="none"/>
        </w:rPr>
        <w:t>6. 安全文明施工与环境保护</w:t>
      </w:r>
      <w:bookmarkEnd w:id="399"/>
      <w:bookmarkEnd w:id="400"/>
      <w:bookmarkEnd w:id="401"/>
      <w:bookmarkEnd w:id="402"/>
      <w:bookmarkEnd w:id="403"/>
    </w:p>
    <w:p w14:paraId="4BB35F94">
      <w:pPr>
        <w:spacing w:line="480" w:lineRule="exact"/>
        <w:rPr>
          <w:color w:val="auto"/>
          <w:szCs w:val="21"/>
          <w:highlight w:val="none"/>
        </w:rPr>
      </w:pPr>
      <w:bookmarkStart w:id="411" w:name="_Toc389065286"/>
      <w:bookmarkStart w:id="412" w:name="_Toc486950524"/>
      <w:bookmarkStart w:id="413" w:name="_Toc373478367"/>
      <w:bookmarkStart w:id="414" w:name="_Toc373227720"/>
      <w:r>
        <w:rPr>
          <w:color w:val="auto"/>
          <w:szCs w:val="21"/>
          <w:highlight w:val="none"/>
        </w:rPr>
        <w:t>6.1</w:t>
      </w:r>
      <w:r>
        <w:rPr>
          <w:rFonts w:hint="eastAsia"/>
          <w:color w:val="auto"/>
          <w:szCs w:val="21"/>
          <w:highlight w:val="none"/>
        </w:rPr>
        <w:t xml:space="preserve"> </w:t>
      </w:r>
      <w:r>
        <w:rPr>
          <w:color w:val="auto"/>
          <w:szCs w:val="21"/>
          <w:highlight w:val="none"/>
        </w:rPr>
        <w:t>安全文明施工</w:t>
      </w:r>
      <w:bookmarkEnd w:id="411"/>
      <w:bookmarkEnd w:id="412"/>
      <w:bookmarkEnd w:id="413"/>
      <w:bookmarkEnd w:id="414"/>
    </w:p>
    <w:bookmarkEnd w:id="404"/>
    <w:bookmarkEnd w:id="405"/>
    <w:bookmarkEnd w:id="406"/>
    <w:bookmarkEnd w:id="407"/>
    <w:bookmarkEnd w:id="408"/>
    <w:bookmarkEnd w:id="409"/>
    <w:bookmarkEnd w:id="410"/>
    <w:p w14:paraId="3B669A7D">
      <w:pPr>
        <w:spacing w:line="480" w:lineRule="exact"/>
        <w:ind w:firstLine="420" w:firstLineChars="200"/>
        <w:jc w:val="left"/>
        <w:outlineLvl w:val="0"/>
        <w:rPr>
          <w:rFonts w:ascii="宋体" w:hAnsi="宋体" w:cs="仿宋"/>
          <w:color w:val="auto"/>
          <w:highlight w:val="none"/>
        </w:rPr>
      </w:pPr>
      <w:bookmarkStart w:id="415" w:name="_Toc373478369"/>
      <w:bookmarkStart w:id="416" w:name="_Toc389065288"/>
      <w:bookmarkStart w:id="417" w:name="_Toc351203639"/>
      <w:bookmarkStart w:id="418" w:name="_Toc486950525"/>
      <w:bookmarkStart w:id="419" w:name="_Toc373227722"/>
      <w:r>
        <w:rPr>
          <w:rFonts w:hint="eastAsia" w:ascii="宋体" w:hAnsi="宋体" w:cs="仿宋"/>
          <w:color w:val="auto"/>
          <w:highlight w:val="none"/>
        </w:rPr>
        <w:t>6.1.1 项目安全生产的达标目标及相应事项的约定：</w:t>
      </w:r>
      <w:r>
        <w:rPr>
          <w:rFonts w:hint="eastAsia" w:ascii="宋体" w:hAnsi="宋体" w:cs="仿宋"/>
          <w:color w:val="auto"/>
          <w:highlight w:val="none"/>
          <w:u w:val="single"/>
        </w:rPr>
        <w:t>要求达到《建筑施工安全检查标准》标准</w:t>
      </w:r>
      <w:r>
        <w:rPr>
          <w:rFonts w:hint="eastAsia" w:ascii="宋体" w:hAnsi="宋体" w:cs="仿宋"/>
          <w:color w:val="auto"/>
          <w:highlight w:val="none"/>
        </w:rPr>
        <w:t>。</w:t>
      </w:r>
    </w:p>
    <w:p w14:paraId="6A41929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关于安全文明施工奖项的约定：</w:t>
      </w:r>
      <w:r>
        <w:rPr>
          <w:rFonts w:hint="eastAsia" w:ascii="宋体" w:hAnsi="宋体" w:cs="仿宋"/>
          <w:color w:val="auto"/>
          <w:highlight w:val="none"/>
          <w:u w:val="single"/>
        </w:rPr>
        <w:t>无</w:t>
      </w:r>
      <w:r>
        <w:rPr>
          <w:rFonts w:hint="eastAsia" w:ascii="宋体" w:hAnsi="宋体" w:cs="仿宋"/>
          <w:color w:val="auto"/>
          <w:highlight w:val="none"/>
        </w:rPr>
        <w:t>。</w:t>
      </w:r>
    </w:p>
    <w:p w14:paraId="70A08064">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6.1.4 关于治安保卫的特别约定：</w:t>
      </w:r>
      <w:r>
        <w:rPr>
          <w:rFonts w:hint="eastAsia" w:ascii="宋体" w:hAnsi="宋体" w:cs="仿宋"/>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586A739D">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从承包人进场直至其将工程移交给发包人管理，期间现场内所发生的一切使工程本身及现场内外的相邻工程、材料、人员等遭受损失或伤亡的各类事故，全部责任和因此发生的修复与赔偿费用由承包人独自承担。其他人对前述事故的发生负有责任的，承包人可在修复工程或对受损方进行赔偿后，依法向责任人追偿。</w:t>
      </w:r>
    </w:p>
    <w:p w14:paraId="06E22E79">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在施工准备、施工及维修的全过程中，承包人应：</w:t>
      </w:r>
    </w:p>
    <w:p w14:paraId="2E1D82AB">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①全面负责现场所有人员的安全，并使现场（只要这些现场已由其控制）和工程（只要这些工程尚未移交发包人）保持良好的秩序，以避免对人身造成危害。</w:t>
      </w:r>
    </w:p>
    <w:p w14:paraId="3D2AA221">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②为保护工程或为公众及其他人员的安全和方便，在需要的时间和地点，或根据发包人、工程师及政府部门的要求，自费提供并维修所有的照明、护栏、围墙、警示标志和守卫设施。</w:t>
      </w:r>
    </w:p>
    <w:p w14:paraId="279A94D2">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③采取一切合理措施，保护现场和现场以外的环境，以避免因施工而引起的污染、噪音或其它原因造成对公众或公众财产的伤害或干扰。</w:t>
      </w:r>
    </w:p>
    <w:p w14:paraId="704C050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关于编制施工场地治安管理计划的约定：</w:t>
      </w:r>
      <w:r>
        <w:rPr>
          <w:rFonts w:hint="eastAsia" w:ascii="宋体" w:hAnsi="宋体" w:cs="仿宋"/>
          <w:color w:val="auto"/>
          <w:highlight w:val="none"/>
          <w:u w:val="single"/>
        </w:rPr>
        <w:t>承包人开工前三天提供施工场地治安管理计划</w:t>
      </w:r>
      <w:r>
        <w:rPr>
          <w:rFonts w:hint="eastAsia" w:ascii="宋体" w:hAnsi="宋体" w:cs="仿宋"/>
          <w:color w:val="auto"/>
          <w:highlight w:val="none"/>
        </w:rPr>
        <w:t>。</w:t>
      </w:r>
    </w:p>
    <w:p w14:paraId="2F6A5F26">
      <w:pPr>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6.1.5 文明施工</w:t>
      </w:r>
    </w:p>
    <w:p w14:paraId="1ED0FADD">
      <w:pPr>
        <w:spacing w:line="480" w:lineRule="exact"/>
        <w:ind w:firstLine="420" w:firstLineChars="200"/>
        <w:jc w:val="left"/>
        <w:rPr>
          <w:rFonts w:ascii="宋体" w:hAnsi="宋体" w:cs="仿宋"/>
          <w:b/>
          <w:color w:val="auto"/>
          <w:highlight w:val="none"/>
          <w:u w:val="single"/>
        </w:rPr>
      </w:pPr>
      <w:r>
        <w:rPr>
          <w:rFonts w:hint="eastAsia" w:ascii="宋体" w:hAnsi="宋体" w:cs="仿宋"/>
          <w:color w:val="auto"/>
          <w:highlight w:val="none"/>
        </w:rPr>
        <w:t>（1）合同当事人对文明施工的要求：</w:t>
      </w:r>
      <w:r>
        <w:rPr>
          <w:rFonts w:hint="eastAsia" w:ascii="宋体" w:hAnsi="宋体" w:cs="仿宋"/>
          <w:b/>
          <w:color w:val="auto"/>
          <w:highlight w:val="none"/>
          <w:u w:val="single"/>
        </w:rPr>
        <w:t>安全防护、文明施工设施须按南宁市城乡建委《南宁市建设工程质量安全管理标准化图集》（强制性行业标准，2015年版）要求及《南宁市城乡建设委员会关于印发“美丽南宁·整洁畅通有序大行动”活动工地乱象整治工作方案的通知》（南建质安[2013]28号）有关标准及制度执行。</w:t>
      </w:r>
    </w:p>
    <w:p w14:paraId="5234C3C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（2</w:t>
      </w:r>
      <w:r>
        <w:rPr>
          <w:rFonts w:ascii="宋体" w:hAnsi="宋体" w:cs="仿宋"/>
          <w:color w:val="auto"/>
          <w:highlight w:val="none"/>
        </w:rPr>
        <w:t>）</w:t>
      </w:r>
      <w:r>
        <w:rPr>
          <w:rFonts w:hint="eastAsia" w:ascii="宋体" w:hAnsi="宋体" w:cs="仿宋"/>
          <w:color w:val="auto"/>
          <w:highlight w:val="none"/>
        </w:rPr>
        <w:t>承包人必须维修、拆除施工必需的生活及生产用的临时建筑物、构筑物和其他临时设施（水、电、管线等），包括临时宿舍、文化福利及公用事业房屋、洗车台、仓库、办公室、加工厂等，并承担因此发生的费用。同时承包人必须做好建筑施工现场文明卫生，由此引起的文明卫生责任与费用均由承包人承担。另承包人必须作好施工场地周边的安全防护，包括但不限于搭设安全通道、挂安全封闭网、搭设因景观开放需要安全防护棚等，费用由承包人承担，若发生安全事故由承包人负责。</w:t>
      </w:r>
    </w:p>
    <w:p w14:paraId="4D46AA4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3）工地安全文明施工要求符合国家、广西及南宁市现行相关的管理规定以及安全管理部门的验收要求，做好建设工程安全防护、文明施工措施工作，由此发生的一切费用由承包人承担，承包人应做到工完场清，并承担因自身原因违反有关规定造成的损失和罚款，同时发包人将根据违反规定的情况要求承包人承担1000~5000元的违约责任。</w:t>
      </w:r>
    </w:p>
    <w:p w14:paraId="2AFFB74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4）承包人必须按项目所在地的有关管理规定对安全防护、文明施工措施费实行专款专用，在财务管理中应以工程项目为单位，单独列出安全防护、文明施工措施项目费用收入和支出清单备查。同时遵守工程建设安全生产有关管理规定，严格按照安全标准组织施工，并随时接受行业安全检查人员依法实施的监督检查，采取必要的安全防护措施，消除事故隐患。因承包人原因造成的工程安全事故，其责任和因此发生的费用由承包人承担， 同时发包人将根据违反规定的情况要求承包人承担1000~5000元的违约责任。</w:t>
      </w:r>
    </w:p>
    <w:p w14:paraId="2F278CFE">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承包人负责对专业施工单位和分包项目承担总包管理责任，同时对本工程安全防护、文明施工措施及其费用的使用负总责。应当按项目所在地有关安全生产的管理规定及合同约定及时向承包人自行分包单位支付安全防护、文明施工措施费用。如承包人不按本办法和合同约定支付费用，造成分包单位不能及时落实健全防护措施导致发生事故的，由承包人负责任。</w:t>
      </w:r>
    </w:p>
    <w:p w14:paraId="1B58B07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（6）做好施工场地周围地下管线和邻近建筑物、构筑物（含文物保护建筑）、古树名木的保护工作。</w:t>
      </w:r>
    </w:p>
    <w:p w14:paraId="34765D9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承包人在进行施工总平面布置时，生活及生产用的临时建筑物、构筑物、机械设备（包括基础）和其他临时设施（水、电、管线等）等，均不得影响场外工程的正常施工，对有影响的部分，必须在场外工程开工前三日内全部迁移并清理现场至满足施工条件。否则，根据拖延时间等现场实际情况处以1000～5000元/天的违约金。如果承包人拒绝迁移并清理现场至满足施工条件（发包人发出书面通知24小时内未安排迁移、清理工作），发包人则有权另行安排其他施工单位进行迁移并清理现场，承包人不得拒绝，且由此产生的一切费用（该费用无需经承包人确认，以发包人与第三方确认的为准）均由承包人承担。由此产生的工期延误不予顺延。</w:t>
      </w:r>
    </w:p>
    <w:p w14:paraId="3BF0F83E">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（8）如本工程需要修筑围墙的，则项目红线范围内的围墙费用已包含在合同总价中（如开工前发包人已代承包人完成围墙修筑的，承包人同意发包人在拨付的进度款中扣除相关费用）。</w:t>
      </w:r>
    </w:p>
    <w:p w14:paraId="2670379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6.1.6 关于安全文明施工费支付比例和支付期限的约定：</w:t>
      </w:r>
    </w:p>
    <w:p w14:paraId="3A1095BC">
      <w:pPr>
        <w:autoSpaceDE w:val="0"/>
        <w:autoSpaceDN w:val="0"/>
        <w:adjustRightInd w:val="0"/>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rPr>
        <w:t>（1）</w:t>
      </w:r>
      <w:r>
        <w:rPr>
          <w:rFonts w:hint="eastAsia" w:ascii="宋体" w:hAnsi="宋体" w:cs="仿宋"/>
          <w:color w:val="auto"/>
          <w:kern w:val="0"/>
          <w:highlight w:val="none"/>
          <w:u w:val="single"/>
        </w:rPr>
        <w:t>本合同价款已包含安全防护、文明施工措施费      元，使用要求：专款专用。具体按桂建质（2015）16号文《广西壮族自治区建设工程安全文明施工费使用管理细则》、</w:t>
      </w:r>
      <w:r>
        <w:rPr>
          <w:rFonts w:ascii="宋体" w:hAnsi="宋体" w:cs="仿宋"/>
          <w:color w:val="auto"/>
          <w:kern w:val="0"/>
          <w:highlight w:val="none"/>
          <w:u w:val="single"/>
        </w:rPr>
        <w:t>《广西壮族自治区建筑工程安全生产管理办法》及《南宁市建设工程施工现场管理若干规定》的规定</w:t>
      </w:r>
      <w:r>
        <w:rPr>
          <w:rFonts w:hint="eastAsia" w:ascii="宋体" w:hAnsi="宋体" w:cs="仿宋"/>
          <w:color w:val="auto"/>
          <w:kern w:val="0"/>
          <w:highlight w:val="none"/>
          <w:u w:val="single"/>
        </w:rPr>
        <w:t>执行</w:t>
      </w:r>
      <w:r>
        <w:rPr>
          <w:rFonts w:hint="eastAsia" w:ascii="宋体" w:hAnsi="宋体" w:cs="仿宋"/>
          <w:color w:val="auto"/>
          <w:kern w:val="0"/>
          <w:highlight w:val="none"/>
        </w:rPr>
        <w:t>。</w:t>
      </w:r>
    </w:p>
    <w:p w14:paraId="294D21E5">
      <w:pPr>
        <w:autoSpaceDE w:val="0"/>
        <w:autoSpaceDN w:val="0"/>
        <w:adjustRightInd w:val="0"/>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2）使用要求：专款专用。按照《广西壮族自治区建筑工程安全生产管理办法》及《南宁市建设工程施工现场管理若干规定》的规定，由施工单位将安全文明施工费和扬尘污染防治费用的使用情况定期报告建设单位和监理单位，确保专款专用。</w:t>
      </w:r>
    </w:p>
    <w:p w14:paraId="0F1A0471">
      <w:pPr>
        <w:spacing w:line="480" w:lineRule="exact"/>
        <w:outlineLvl w:val="2"/>
        <w:rPr>
          <w:rFonts w:ascii="宋体" w:hAnsi="宋体" w:cs="仿宋"/>
          <w:b/>
          <w:bCs/>
          <w:color w:val="auto"/>
          <w:szCs w:val="32"/>
          <w:highlight w:val="none"/>
        </w:rPr>
      </w:pPr>
      <w:bookmarkStart w:id="420" w:name="_Toc373478368"/>
      <w:bookmarkStart w:id="421" w:name="_Toc403483755"/>
      <w:bookmarkStart w:id="422" w:name="_Toc434602160"/>
      <w:bookmarkStart w:id="423" w:name="_Toc373227721"/>
      <w:bookmarkStart w:id="424" w:name="_Toc434601320"/>
      <w:bookmarkStart w:id="425" w:name="_Toc389065287"/>
      <w:r>
        <w:rPr>
          <w:rFonts w:hint="eastAsia" w:ascii="宋体" w:hAnsi="宋体" w:cs="仿宋"/>
          <w:b/>
          <w:bCs/>
          <w:color w:val="auto"/>
          <w:szCs w:val="32"/>
          <w:highlight w:val="none"/>
        </w:rPr>
        <w:t>6.3环境保护</w:t>
      </w:r>
      <w:bookmarkEnd w:id="420"/>
      <w:bookmarkEnd w:id="421"/>
      <w:bookmarkEnd w:id="422"/>
      <w:bookmarkEnd w:id="423"/>
      <w:bookmarkEnd w:id="424"/>
      <w:bookmarkEnd w:id="425"/>
    </w:p>
    <w:p w14:paraId="74292A01">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因施工需要，经发包人批准，由承包人办理有关施工场地交通、环卫和施工噪音管理等手续，费用由承包人负责。</w:t>
      </w:r>
    </w:p>
    <w:p w14:paraId="6A3D6916">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经过城市道路的施工车辆，必须按交警、城管、运输等部门相关规定执行。由于施工车辆造成的道路、环境等污染，其责任和费用均由承包人承担。</w:t>
      </w:r>
    </w:p>
    <w:p w14:paraId="50F57397">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施工产生的建筑垃圾，必须做到每日工完场清；建筑垃圾不得直接从建筑内向外倾倒，必须集中运输至发包人指定的地点堆放（场地由承包人自行安排，但不得影响本工程所有参建单位的正常施工，也不得造成火灾等安全隐患）；规定堆放建筑垃圾的场地，必须至少每周清理外运一次，费用由承包人承担。否则，根据现场实际情况处以500～5000元/次</w:t>
      </w:r>
      <w:r>
        <w:rPr>
          <w:rFonts w:ascii="宋体" w:hAnsi="宋体" w:cs="Calibri"/>
          <w:color w:val="auto"/>
          <w:highlight w:val="none"/>
          <w:u w:val="single"/>
        </w:rPr>
        <w:t>•</w:t>
      </w:r>
      <w:r>
        <w:rPr>
          <w:rFonts w:hint="eastAsia" w:ascii="宋体" w:hAnsi="宋体" w:cs="仿宋"/>
          <w:color w:val="auto"/>
          <w:highlight w:val="none"/>
          <w:u w:val="single"/>
        </w:rPr>
        <w:t>天的违约金。如果承包人拒绝上述工作（发包人发出书面通知24小时内未安排清理工作），发包人则有权另行安排其他施工单位进行清理，承包人不得拒绝，且由此产生的一切费用（该费用无需经承包人确认，以发包人与第三方确认的为准）均由承包人承担。</w:t>
      </w:r>
    </w:p>
    <w:p w14:paraId="736058B2">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在承包人将工程移交给发包人之前，因安全事故、操作疏忽、人为破坏等原因，可能使工程遭受损失的一切风险由承包人独自承担，当损失实际发生时，承包人应负责对工程进行修复或重建并承担全部费用。除不可抗力原因造成的损失外，因修复或重建工程而延误工期的，承包人应向发包人承担工期延误的违约责任。如承包人有证据证明事故系有其他方过错所致的，可在事后向相关责任方追偿；如非由发包人原因而导致发包人被承担相关责任损失的，则均由承包人承担，发包人并可以向承包人追偿</w:t>
      </w:r>
      <w:r>
        <w:rPr>
          <w:rFonts w:hint="eastAsia" w:ascii="宋体" w:hAnsi="宋体"/>
          <w:color w:val="auto"/>
          <w:highlight w:val="none"/>
        </w:rPr>
        <w:t>。</w:t>
      </w:r>
    </w:p>
    <w:bookmarkEnd w:id="385"/>
    <w:bookmarkEnd w:id="386"/>
    <w:bookmarkEnd w:id="387"/>
    <w:bookmarkEnd w:id="388"/>
    <w:bookmarkEnd w:id="389"/>
    <w:bookmarkEnd w:id="390"/>
    <w:bookmarkEnd w:id="391"/>
    <w:bookmarkEnd w:id="392"/>
    <w:bookmarkEnd w:id="393"/>
    <w:bookmarkEnd w:id="394"/>
    <w:bookmarkEnd w:id="415"/>
    <w:bookmarkEnd w:id="416"/>
    <w:bookmarkEnd w:id="417"/>
    <w:bookmarkEnd w:id="418"/>
    <w:bookmarkEnd w:id="419"/>
    <w:p w14:paraId="523793A2">
      <w:pPr>
        <w:spacing w:line="480" w:lineRule="exact"/>
        <w:outlineLvl w:val="1"/>
        <w:rPr>
          <w:rFonts w:ascii="宋体" w:hAnsi="宋体" w:cs="仿宋"/>
          <w:b/>
          <w:bCs/>
          <w:color w:val="auto"/>
          <w:szCs w:val="32"/>
          <w:highlight w:val="none"/>
        </w:rPr>
      </w:pPr>
      <w:bookmarkStart w:id="426" w:name="_Toc434601321"/>
      <w:bookmarkStart w:id="427" w:name="_Toc403483756"/>
      <w:bookmarkStart w:id="428" w:name="_Toc434602161"/>
      <w:bookmarkStart w:id="429" w:name="_Toc373227750"/>
      <w:bookmarkStart w:id="430" w:name="_Toc373478397"/>
      <w:bookmarkStart w:id="431" w:name="_Toc486950553"/>
      <w:bookmarkStart w:id="432" w:name="_Toc389065315"/>
      <w:bookmarkStart w:id="433" w:name="_Toc297048393"/>
      <w:bookmarkStart w:id="434" w:name="_Toc296346708"/>
      <w:bookmarkStart w:id="435" w:name="_Toc297216213"/>
      <w:bookmarkStart w:id="436" w:name="_Toc296503207"/>
      <w:bookmarkStart w:id="437" w:name="_Toc304295581"/>
      <w:bookmarkStart w:id="438" w:name="_Toc300935004"/>
      <w:bookmarkStart w:id="439" w:name="_Toc296891035"/>
      <w:bookmarkStart w:id="440" w:name="_Toc296347206"/>
      <w:bookmarkStart w:id="441" w:name="_Toc292559412"/>
      <w:bookmarkStart w:id="442" w:name="_Toc297120507"/>
      <w:bookmarkStart w:id="443" w:name="_Toc292559917"/>
      <w:bookmarkStart w:id="444" w:name="_Toc296891247"/>
      <w:bookmarkStart w:id="445" w:name="_Toc297123554"/>
      <w:bookmarkStart w:id="446" w:name="_Toc296944546"/>
      <w:bookmarkStart w:id="447" w:name="_Toc312678042"/>
      <w:bookmarkStart w:id="448" w:name="_Toc303539161"/>
      <w:bookmarkStart w:id="449" w:name="_Toc267251442"/>
      <w:r>
        <w:rPr>
          <w:rFonts w:hint="eastAsia" w:ascii="宋体" w:hAnsi="宋体" w:cs="仿宋"/>
          <w:b/>
          <w:bCs/>
          <w:color w:val="auto"/>
          <w:szCs w:val="32"/>
          <w:highlight w:val="none"/>
        </w:rPr>
        <w:t>7. 工期和进度</w:t>
      </w:r>
      <w:bookmarkEnd w:id="426"/>
      <w:bookmarkEnd w:id="427"/>
      <w:bookmarkEnd w:id="428"/>
    </w:p>
    <w:p w14:paraId="39278824">
      <w:pPr>
        <w:spacing w:line="480" w:lineRule="exact"/>
        <w:outlineLvl w:val="2"/>
        <w:rPr>
          <w:rFonts w:ascii="宋体" w:hAnsi="宋体" w:cs="仿宋"/>
          <w:b/>
          <w:bCs/>
          <w:color w:val="auto"/>
          <w:szCs w:val="32"/>
          <w:highlight w:val="none"/>
        </w:rPr>
      </w:pPr>
      <w:bookmarkStart w:id="450" w:name="_Toc403483757"/>
      <w:bookmarkStart w:id="451" w:name="_Toc434601322"/>
      <w:bookmarkStart w:id="452" w:name="_Toc373478370"/>
      <w:bookmarkStart w:id="453" w:name="_Toc389065289"/>
      <w:bookmarkStart w:id="454" w:name="_Toc434602162"/>
      <w:bookmarkStart w:id="455" w:name="_Toc373227723"/>
      <w:r>
        <w:rPr>
          <w:rFonts w:hint="eastAsia" w:ascii="宋体" w:hAnsi="宋体" w:cs="仿宋"/>
          <w:b/>
          <w:bCs/>
          <w:color w:val="auto"/>
          <w:szCs w:val="32"/>
          <w:highlight w:val="none"/>
        </w:rPr>
        <w:t>7.1 施工组织设计</w:t>
      </w:r>
      <w:bookmarkEnd w:id="450"/>
      <w:bookmarkEnd w:id="451"/>
      <w:bookmarkEnd w:id="452"/>
      <w:bookmarkEnd w:id="453"/>
      <w:bookmarkEnd w:id="454"/>
      <w:bookmarkEnd w:id="455"/>
    </w:p>
    <w:p w14:paraId="3C9EA232">
      <w:pPr>
        <w:autoSpaceDE w:val="0"/>
        <w:autoSpaceDN w:val="0"/>
        <w:adjustRightInd w:val="0"/>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7.1.1 合</w:t>
      </w:r>
      <w:r>
        <w:rPr>
          <w:rFonts w:hint="eastAsia" w:ascii="宋体" w:hAnsi="宋体" w:cs="仿宋"/>
          <w:color w:val="auto"/>
          <w:kern w:val="0"/>
          <w:highlight w:val="none"/>
        </w:rPr>
        <w:t>同当事人约定的施工组织设计应包括的其他内容：</w:t>
      </w:r>
      <w:r>
        <w:rPr>
          <w:rFonts w:hint="eastAsia" w:ascii="宋体" w:hAnsi="宋体" w:cs="仿宋"/>
          <w:color w:val="auto"/>
          <w:highlight w:val="none"/>
          <w:u w:val="single"/>
        </w:rPr>
        <w:t>按本合同《通用条款》相关条款规定执行</w:t>
      </w:r>
      <w:r>
        <w:rPr>
          <w:rFonts w:hint="eastAsia" w:ascii="宋体" w:hAnsi="宋体" w:cs="仿宋"/>
          <w:color w:val="auto"/>
          <w:highlight w:val="none"/>
        </w:rPr>
        <w:t>。除通用条款7.1.1条约定的内容外，还应包括①施工方法与相应的技术组织措施；②有关劳力，施工机具，建筑安装材料，施工用水、电、动力及运输、仓储设施等暂设工程的需要量及其供应与解决办法，全部设备、材料、成品、半成品等需求供应进场计划，人员安排、质保体系、安保体系、安全文明施工措施、施工机械设备配置情况，以及施工现场优化布置等内容。</w:t>
      </w:r>
    </w:p>
    <w:p w14:paraId="2CC13F31">
      <w:pPr>
        <w:autoSpaceDE w:val="0"/>
        <w:autoSpaceDN w:val="0"/>
        <w:adjustRightInd w:val="0"/>
        <w:spacing w:line="480" w:lineRule="exact"/>
        <w:ind w:firstLine="420" w:firstLineChars="200"/>
        <w:jc w:val="left"/>
        <w:rPr>
          <w:rFonts w:ascii="宋体" w:hAnsi="宋体" w:cs="仿宋"/>
          <w:color w:val="auto"/>
          <w:kern w:val="0"/>
          <w:highlight w:val="none"/>
        </w:rPr>
      </w:pPr>
      <w:r>
        <w:rPr>
          <w:rFonts w:hint="eastAsia" w:ascii="宋体" w:hAnsi="宋体" w:cs="仿宋"/>
          <w:color w:val="auto"/>
          <w:highlight w:val="none"/>
        </w:rPr>
        <w:t xml:space="preserve">7.1.2 </w:t>
      </w:r>
      <w:r>
        <w:rPr>
          <w:rFonts w:hint="eastAsia" w:ascii="宋体" w:hAnsi="宋体" w:cs="仿宋"/>
          <w:color w:val="auto"/>
          <w:kern w:val="0"/>
          <w:highlight w:val="none"/>
        </w:rPr>
        <w:t>施工组织设计的提交和修改</w:t>
      </w:r>
    </w:p>
    <w:p w14:paraId="0CA20B47">
      <w:pPr>
        <w:autoSpaceDE w:val="0"/>
        <w:autoSpaceDN w:val="0"/>
        <w:adjustRightInd w:val="0"/>
        <w:spacing w:line="480" w:lineRule="exact"/>
        <w:ind w:firstLine="420" w:firstLineChars="200"/>
        <w:jc w:val="left"/>
        <w:rPr>
          <w:rFonts w:ascii="宋体" w:hAnsi="宋体" w:cs="仿宋"/>
          <w:color w:val="auto"/>
          <w:highlight w:val="none"/>
          <w:u w:val="single"/>
        </w:rPr>
      </w:pPr>
      <w:r>
        <w:rPr>
          <w:rFonts w:hint="eastAsia" w:ascii="宋体" w:hAnsi="宋体" w:cs="仿宋"/>
          <w:color w:val="auto"/>
          <w:kern w:val="0"/>
          <w:highlight w:val="none"/>
        </w:rPr>
        <w:t>承包人提交详细施工组织设计的期限的约定：</w:t>
      </w:r>
      <w:r>
        <w:rPr>
          <w:rFonts w:hint="eastAsia" w:ascii="宋体" w:hAnsi="宋体" w:cs="仿宋"/>
          <w:color w:val="auto"/>
          <w:highlight w:val="none"/>
          <w:u w:val="single"/>
        </w:rPr>
        <w:t>承包人在图纸会审和设计交底后，七天内提供施工组织设计（施工方案）和工程进度计划</w:t>
      </w:r>
      <w:r>
        <w:rPr>
          <w:rFonts w:hint="eastAsia" w:ascii="宋体" w:hAnsi="宋体" w:cs="仿宋"/>
          <w:color w:val="auto"/>
          <w:highlight w:val="none"/>
        </w:rPr>
        <w:t>。</w:t>
      </w:r>
    </w:p>
    <w:p w14:paraId="3F97596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发包人和监理人在收到详细的施工组织设计后确认或提出修改意见的期限：</w:t>
      </w:r>
      <w:r>
        <w:rPr>
          <w:rFonts w:hint="eastAsia" w:ascii="宋体" w:hAnsi="宋体" w:cs="仿宋"/>
          <w:color w:val="auto"/>
          <w:highlight w:val="none"/>
          <w:u w:val="single"/>
        </w:rPr>
        <w:t>从收到承包人提供的施工组织设计（施工方案）及工程进度计划之日起十天内予以确认，如有重大异议须在收到上述资料十天内以书面形式送达承包人。经发包人审核通过的施工组织计划具有约束力，承包人应予执行；监理、发包人对施工组织设计和进度计划的任何确认、调整和修改意见不免除和减轻承包人的工期责任。</w:t>
      </w:r>
    </w:p>
    <w:p w14:paraId="2C4E214F">
      <w:pPr>
        <w:spacing w:line="480" w:lineRule="exact"/>
        <w:outlineLvl w:val="2"/>
        <w:rPr>
          <w:rFonts w:ascii="宋体" w:hAnsi="宋体" w:cs="仿宋"/>
          <w:b/>
          <w:bCs/>
          <w:color w:val="auto"/>
          <w:szCs w:val="32"/>
          <w:highlight w:val="none"/>
        </w:rPr>
      </w:pPr>
      <w:bookmarkStart w:id="456" w:name="_Toc373478371"/>
      <w:bookmarkStart w:id="457" w:name="_Toc373227724"/>
      <w:bookmarkStart w:id="458" w:name="_Toc403483758"/>
      <w:bookmarkStart w:id="459" w:name="_Toc434602163"/>
      <w:bookmarkStart w:id="460" w:name="_Toc434601323"/>
      <w:bookmarkStart w:id="461" w:name="_Toc389065290"/>
      <w:r>
        <w:rPr>
          <w:rFonts w:hint="eastAsia" w:ascii="宋体" w:hAnsi="宋体" w:cs="仿宋"/>
          <w:b/>
          <w:bCs/>
          <w:color w:val="auto"/>
          <w:szCs w:val="32"/>
          <w:highlight w:val="none"/>
        </w:rPr>
        <w:t>7</w:t>
      </w:r>
      <w:bookmarkStart w:id="462" w:name="_Toc312678005"/>
      <w:bookmarkStart w:id="463" w:name="_Toc300934966"/>
      <w:bookmarkStart w:id="464" w:name="_Toc304295541"/>
      <w:bookmarkStart w:id="465" w:name="_Toc303539123"/>
      <w:bookmarkStart w:id="466" w:name="_Toc297123514"/>
      <w:bookmarkStart w:id="467" w:name="_Toc312677479"/>
      <w:bookmarkStart w:id="468" w:name="_Toc297216173"/>
      <w:r>
        <w:rPr>
          <w:rFonts w:hint="eastAsia" w:ascii="宋体" w:hAnsi="宋体" w:cs="仿宋"/>
          <w:b/>
          <w:bCs/>
          <w:color w:val="auto"/>
          <w:szCs w:val="32"/>
          <w:highlight w:val="none"/>
        </w:rPr>
        <w:t>.2 施工进度计划</w:t>
      </w:r>
      <w:bookmarkEnd w:id="456"/>
      <w:bookmarkEnd w:id="457"/>
      <w:bookmarkEnd w:id="458"/>
      <w:bookmarkEnd w:id="459"/>
      <w:bookmarkEnd w:id="460"/>
      <w:bookmarkEnd w:id="461"/>
    </w:p>
    <w:p w14:paraId="4C60997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7.2.2 施工进度计划的修订</w:t>
      </w:r>
    </w:p>
    <w:p w14:paraId="30EBFB7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发包人和监理人在收到修订的施工进度计划后确认或提出修改意见的期限：</w:t>
      </w:r>
      <w:r>
        <w:rPr>
          <w:rFonts w:hint="eastAsia" w:ascii="宋体" w:hAnsi="宋体" w:cs="仿宋"/>
          <w:color w:val="auto"/>
          <w:highlight w:val="none"/>
          <w:u w:val="single"/>
        </w:rPr>
        <w:t>从收到承包人提供的施工组织设计（施工方案）及工程进度计划之日起十天内予以确认，如有重大异议必须在收到上述资料十天内以书面形式送达承包人</w:t>
      </w:r>
      <w:r>
        <w:rPr>
          <w:rFonts w:hint="eastAsia" w:ascii="宋体" w:hAnsi="宋体" w:cs="仿宋"/>
          <w:color w:val="auto"/>
          <w:highlight w:val="none"/>
        </w:rPr>
        <w:t>。</w:t>
      </w:r>
    </w:p>
    <w:p w14:paraId="681AD58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每月施工进度计划必须在每月20日前提交；每周施工进度计划必须在工程例会召开前一天提交；承包人按发包人要求，提供必要的专项施工方案，并在计划施工前15天内提交。如承包人未按上述要求的时间内提交的，每延迟一天，发包人有权要求承包人分别按5000元、2000元、2000元、1000元作为违约金。</w:t>
      </w:r>
    </w:p>
    <w:p w14:paraId="687E78F4">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所报的施工组织设计应包含详细、完整的施工总进度计划及符合行业相关规定的施工方案。进度计划应包括发包人直接发包的各专业工程进退场时间、预埋时间、竣工时间、各分项工程的开始和完工、验收时间等。此施工总进度计划一经发包人和监理人确认后，承包人应在每月的20日，向发包人和监理人提交最新的、经过修改的、动态的施工总进度计划（无论是否已发生变更），并由其审核确认，但对于发包人明确不得延误的阶段性施工目标不得擅自更改（合同已明确规定需延期或非承包人原因影响的除外）。如工程发生较大调整或发包人和监理人明确要求需要提交时，承包人应在接到通知5日内按发包人和监理人的要求，将最新的施工总进度计划予以提交。</w:t>
      </w:r>
    </w:p>
    <w:p w14:paraId="56F30B78">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应按照经监理人及发包人批准的施工组织设计中提供的施工进度计划按时完成工程进度。发包人每月考核一次，如承包人在考核期内未能完成当月工程进度，则每逾期一天，应向发包人支付违约金人民币1000元（该罚款与总工期延期罚款不冲突），并在当月进度款中抵扣；若承包人通过加快施工进度，使上月延误的工期在次月得到弥补（即承包人在次月顺利完成上月及当月的全部施工进度），则发包人应将上月收取的违约金全部返还。</w:t>
      </w:r>
    </w:p>
    <w:p w14:paraId="450BEAD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当工程进度滞后，发包人发现承包人投入的劳务人员及设备与进度计划不符时，每少1人，按100元/日·人次进行处罚，设备每少1台，按500元/日进行处罚。或者，发包人有权另行委托第三方进场施工，承包人应无条件予以配合，包括移交工作面、资料等，由此产生的费用（无需经承包人认可，以发包人与第三人之间确认为准）发包人可以应付给承包人的工程款直接抵扣，第三人逾期完工，仍不免除承包人逾期的违约责任</w:t>
      </w:r>
    </w:p>
    <w:p w14:paraId="753CF153">
      <w:pPr>
        <w:spacing w:line="480" w:lineRule="exact"/>
        <w:outlineLvl w:val="2"/>
        <w:rPr>
          <w:rFonts w:ascii="宋体" w:hAnsi="宋体" w:cs="仿宋"/>
          <w:b/>
          <w:bCs/>
          <w:color w:val="auto"/>
          <w:szCs w:val="32"/>
          <w:highlight w:val="none"/>
        </w:rPr>
      </w:pPr>
      <w:bookmarkStart w:id="469" w:name="_Toc373478372"/>
      <w:bookmarkStart w:id="470" w:name="_Toc403483759"/>
      <w:bookmarkStart w:id="471" w:name="_Toc434602164"/>
      <w:bookmarkStart w:id="472" w:name="_Toc373227725"/>
      <w:bookmarkStart w:id="473" w:name="_Toc434601324"/>
      <w:bookmarkStart w:id="474" w:name="_Toc389065291"/>
      <w:r>
        <w:rPr>
          <w:rFonts w:hint="eastAsia" w:ascii="宋体" w:hAnsi="宋体" w:cs="仿宋"/>
          <w:b/>
          <w:bCs/>
          <w:color w:val="auto"/>
          <w:szCs w:val="32"/>
          <w:highlight w:val="none"/>
        </w:rPr>
        <w:t>7.3 开工</w:t>
      </w:r>
      <w:bookmarkEnd w:id="469"/>
      <w:bookmarkEnd w:id="470"/>
      <w:bookmarkEnd w:id="471"/>
      <w:bookmarkEnd w:id="472"/>
      <w:bookmarkEnd w:id="473"/>
      <w:bookmarkEnd w:id="474"/>
    </w:p>
    <w:p w14:paraId="3E02F85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7.3.1 开工准备</w:t>
      </w:r>
    </w:p>
    <w:p w14:paraId="12FDC666">
      <w:pPr>
        <w:spacing w:line="480" w:lineRule="exact"/>
        <w:ind w:firstLine="426"/>
        <w:jc w:val="left"/>
        <w:rPr>
          <w:rFonts w:ascii="宋体" w:hAnsi="宋体" w:cs="仿宋"/>
          <w:color w:val="auto"/>
          <w:highlight w:val="none"/>
          <w:u w:val="single"/>
        </w:rPr>
      </w:pPr>
      <w:r>
        <w:rPr>
          <w:rFonts w:hint="eastAsia" w:ascii="宋体" w:hAnsi="宋体" w:cs="仿宋"/>
          <w:color w:val="auto"/>
          <w:highlight w:val="none"/>
        </w:rPr>
        <w:t>关于承包人提交</w:t>
      </w:r>
      <w:r>
        <w:rPr>
          <w:rFonts w:hint="eastAsia" w:ascii="宋体" w:hAnsi="宋体" w:cs="仿宋"/>
          <w:color w:val="auto"/>
          <w:kern w:val="0"/>
          <w:highlight w:val="none"/>
        </w:rPr>
        <w:t>工程开工报审表的期限：</w:t>
      </w:r>
      <w:r>
        <w:rPr>
          <w:rFonts w:hint="eastAsia" w:ascii="宋体" w:hAnsi="宋体" w:cs="仿宋"/>
          <w:color w:val="auto"/>
          <w:highlight w:val="none"/>
          <w:u w:val="single"/>
        </w:rPr>
        <w:t>合同签订后14天内</w:t>
      </w:r>
      <w:r>
        <w:rPr>
          <w:rFonts w:hint="eastAsia" w:ascii="宋体" w:hAnsi="宋体" w:cs="仿宋"/>
          <w:color w:val="auto"/>
          <w:highlight w:val="none"/>
        </w:rPr>
        <w:t>。</w:t>
      </w:r>
    </w:p>
    <w:p w14:paraId="2CB0F1A6">
      <w:pPr>
        <w:spacing w:line="480" w:lineRule="exact"/>
        <w:ind w:firstLine="426"/>
        <w:jc w:val="left"/>
        <w:rPr>
          <w:rFonts w:ascii="宋体" w:hAnsi="宋体" w:cs="仿宋"/>
          <w:color w:val="auto"/>
          <w:highlight w:val="none"/>
          <w:u w:val="single"/>
        </w:rPr>
      </w:pPr>
      <w:r>
        <w:rPr>
          <w:rFonts w:hint="eastAsia" w:ascii="宋体" w:hAnsi="宋体" w:cs="仿宋"/>
          <w:color w:val="auto"/>
          <w:highlight w:val="none"/>
        </w:rPr>
        <w:t>关于发包人应完成的其他开工准备工作及期限：</w:t>
      </w:r>
      <w:r>
        <w:rPr>
          <w:rFonts w:hint="eastAsia" w:ascii="宋体" w:hAnsi="宋体" w:cs="仿宋"/>
          <w:color w:val="auto"/>
          <w:highlight w:val="none"/>
          <w:u w:val="single"/>
        </w:rPr>
        <w:t>按本合同《通用条款》相关规定执行</w:t>
      </w:r>
      <w:r>
        <w:rPr>
          <w:rFonts w:hint="eastAsia" w:ascii="宋体" w:hAnsi="宋体" w:cs="仿宋"/>
          <w:color w:val="auto"/>
          <w:highlight w:val="none"/>
        </w:rPr>
        <w:t>。</w:t>
      </w:r>
    </w:p>
    <w:p w14:paraId="1B3348CB">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关于承包人应完成的其他开工准备工作及期限：</w:t>
      </w:r>
      <w:r>
        <w:rPr>
          <w:rFonts w:hint="eastAsia" w:ascii="宋体" w:hAnsi="宋体" w:cs="仿宋"/>
          <w:color w:val="auto"/>
          <w:highlight w:val="none"/>
          <w:u w:val="single"/>
        </w:rPr>
        <w:t>按本合同《通用条款》相关规定执行</w:t>
      </w:r>
      <w:r>
        <w:rPr>
          <w:rFonts w:hint="eastAsia" w:ascii="宋体" w:hAnsi="宋体" w:cs="仿宋"/>
          <w:color w:val="auto"/>
          <w:highlight w:val="none"/>
        </w:rPr>
        <w:t>。</w:t>
      </w:r>
    </w:p>
    <w:p w14:paraId="197C654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7.3.2开工通知</w:t>
      </w:r>
    </w:p>
    <w:p w14:paraId="5445D38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应当按照开工通知要求的时间进场施工，承包人不得以手续以及其他各种理由拒绝或怠于施工，否则承担由此产生的责任损失；如因发包人应办理的开工手续等原因导致承包人被政府处罚的，则责任由发包人承担。</w:t>
      </w:r>
    </w:p>
    <w:p w14:paraId="15D06BC9">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因发包人原因造成监理人未能在计划开工日期之日起 180 天内发出开工通知的，在此后有证据证明与施工有关的人材机大幅上涨的情况下，承包人有权提出价格调整要求，或者解除合同，如承包人在逾期180天后的15日内，未书面通知解除合同的，则视为承包人愿意继续履行合同而放弃解除合同的权利。</w:t>
      </w:r>
    </w:p>
    <w:p w14:paraId="77C3C90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如承包人解除合同时尚未进场的，则发包人不承担赔偿责任；如已经进场的，则按实际进场的人员、机械等据实结算赔偿，发包人不承担场地外其他其他人员、机械、材料等赔偿，也不承担因合同解除所产生的承包人对第三方的责任和损失赔偿。</w:t>
      </w:r>
    </w:p>
    <w:bookmarkEnd w:id="462"/>
    <w:bookmarkEnd w:id="463"/>
    <w:bookmarkEnd w:id="464"/>
    <w:bookmarkEnd w:id="465"/>
    <w:bookmarkEnd w:id="466"/>
    <w:bookmarkEnd w:id="467"/>
    <w:bookmarkEnd w:id="468"/>
    <w:p w14:paraId="2D03BE34">
      <w:pPr>
        <w:spacing w:line="480" w:lineRule="exact"/>
        <w:outlineLvl w:val="2"/>
        <w:rPr>
          <w:rFonts w:ascii="宋体" w:hAnsi="宋体" w:cs="仿宋"/>
          <w:b/>
          <w:bCs/>
          <w:color w:val="auto"/>
          <w:szCs w:val="32"/>
          <w:highlight w:val="none"/>
        </w:rPr>
      </w:pPr>
      <w:bookmarkStart w:id="475" w:name="_Toc434602165"/>
      <w:bookmarkStart w:id="476" w:name="_Toc373478373"/>
      <w:bookmarkStart w:id="477" w:name="_Toc389065292"/>
      <w:bookmarkStart w:id="478" w:name="_Toc373227726"/>
      <w:bookmarkStart w:id="479" w:name="_Toc403483760"/>
      <w:bookmarkStart w:id="480" w:name="_Toc434601325"/>
      <w:r>
        <w:rPr>
          <w:rFonts w:hint="eastAsia" w:ascii="宋体" w:hAnsi="宋体" w:cs="仿宋"/>
          <w:b/>
          <w:bCs/>
          <w:color w:val="auto"/>
          <w:szCs w:val="32"/>
          <w:highlight w:val="none"/>
        </w:rPr>
        <w:t>7.4 测量放线</w:t>
      </w:r>
      <w:bookmarkEnd w:id="475"/>
      <w:bookmarkEnd w:id="476"/>
      <w:bookmarkEnd w:id="477"/>
      <w:bookmarkEnd w:id="478"/>
      <w:bookmarkEnd w:id="479"/>
      <w:bookmarkEnd w:id="480"/>
    </w:p>
    <w:p w14:paraId="03A48E43">
      <w:pPr>
        <w:spacing w:line="480" w:lineRule="exact"/>
        <w:jc w:val="left"/>
        <w:rPr>
          <w:rFonts w:ascii="宋体" w:hAnsi="宋体" w:cs="仿宋"/>
          <w:color w:val="auto"/>
          <w:highlight w:val="none"/>
          <w:u w:val="single"/>
        </w:rPr>
      </w:pPr>
      <w:r>
        <w:rPr>
          <w:rFonts w:hint="eastAsia" w:ascii="宋体" w:hAnsi="宋体" w:cs="仿宋"/>
          <w:color w:val="auto"/>
          <w:highlight w:val="none"/>
        </w:rPr>
        <w:t>7.4.1发包人通过监理人向承包人提供测量基准点、基准线和水准点及其书面资料的期限：</w:t>
      </w:r>
      <w:r>
        <w:rPr>
          <w:rFonts w:hint="eastAsia" w:ascii="宋体" w:hAnsi="宋体" w:cs="仿宋"/>
          <w:color w:val="auto"/>
          <w:highlight w:val="none"/>
          <w:u w:val="single"/>
        </w:rPr>
        <w:t>合同签订后10天内</w:t>
      </w:r>
      <w:r>
        <w:rPr>
          <w:rFonts w:hint="eastAsia" w:ascii="宋体" w:hAnsi="宋体" w:cs="仿宋"/>
          <w:color w:val="auto"/>
          <w:highlight w:val="none"/>
        </w:rPr>
        <w:t>。</w:t>
      </w:r>
    </w:p>
    <w:p w14:paraId="5AF24ABF">
      <w:pPr>
        <w:spacing w:line="480" w:lineRule="exact"/>
        <w:outlineLvl w:val="2"/>
        <w:rPr>
          <w:rFonts w:ascii="宋体" w:hAnsi="宋体" w:cs="仿宋"/>
          <w:b/>
          <w:bCs/>
          <w:color w:val="auto"/>
          <w:szCs w:val="32"/>
          <w:highlight w:val="none"/>
        </w:rPr>
      </w:pPr>
      <w:bookmarkStart w:id="481" w:name="_Toc434602166"/>
      <w:bookmarkStart w:id="482" w:name="_Toc434601326"/>
      <w:bookmarkStart w:id="483" w:name="_Toc373227727"/>
      <w:bookmarkStart w:id="484" w:name="_Toc389065293"/>
      <w:bookmarkStart w:id="485" w:name="_Toc403483761"/>
      <w:bookmarkStart w:id="486" w:name="_Toc373478374"/>
      <w:r>
        <w:rPr>
          <w:rFonts w:hint="eastAsia" w:ascii="宋体" w:hAnsi="宋体" w:cs="仿宋"/>
          <w:b/>
          <w:bCs/>
          <w:color w:val="auto"/>
          <w:szCs w:val="32"/>
          <w:highlight w:val="none"/>
        </w:rPr>
        <w:t>7</w:t>
      </w:r>
      <w:bookmarkStart w:id="487" w:name="_Toc297216175"/>
      <w:bookmarkStart w:id="488" w:name="_Toc312678010"/>
      <w:bookmarkStart w:id="489" w:name="_Toc300934968"/>
      <w:bookmarkStart w:id="490" w:name="_Toc297123516"/>
      <w:bookmarkStart w:id="491" w:name="_Toc312677484"/>
      <w:bookmarkStart w:id="492" w:name="_Toc303539125"/>
      <w:bookmarkStart w:id="493" w:name="_Toc304295546"/>
      <w:r>
        <w:rPr>
          <w:rFonts w:hint="eastAsia" w:ascii="宋体" w:hAnsi="宋体" w:cs="仿宋"/>
          <w:b/>
          <w:bCs/>
          <w:color w:val="auto"/>
          <w:szCs w:val="32"/>
          <w:highlight w:val="none"/>
        </w:rPr>
        <w:t>.5 工期延误</w:t>
      </w:r>
      <w:bookmarkEnd w:id="481"/>
      <w:bookmarkEnd w:id="482"/>
      <w:bookmarkEnd w:id="483"/>
      <w:bookmarkEnd w:id="484"/>
      <w:bookmarkEnd w:id="485"/>
      <w:bookmarkEnd w:id="486"/>
    </w:p>
    <w:bookmarkEnd w:id="487"/>
    <w:bookmarkEnd w:id="488"/>
    <w:bookmarkEnd w:id="489"/>
    <w:bookmarkEnd w:id="490"/>
    <w:bookmarkEnd w:id="491"/>
    <w:bookmarkEnd w:id="492"/>
    <w:bookmarkEnd w:id="493"/>
    <w:p w14:paraId="1C2A7A4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7.5.1 因发包人原因导致工期延误</w:t>
      </w:r>
    </w:p>
    <w:p w14:paraId="24A09C34">
      <w:pPr>
        <w:adjustRightInd w:val="0"/>
        <w:snapToGrid w:val="0"/>
        <w:spacing w:line="480" w:lineRule="exact"/>
        <w:ind w:firstLine="382" w:firstLineChars="182"/>
        <w:rPr>
          <w:rFonts w:ascii="宋体" w:hAnsi="宋体" w:cs="仿宋"/>
          <w:color w:val="auto"/>
          <w:szCs w:val="22"/>
          <w:highlight w:val="none"/>
          <w:u w:val="single"/>
        </w:rPr>
      </w:pPr>
      <w:r>
        <w:rPr>
          <w:rFonts w:hint="eastAsia" w:ascii="宋体" w:hAnsi="宋体" w:cs="仿宋"/>
          <w:color w:val="auto"/>
          <w:highlight w:val="none"/>
        </w:rPr>
        <w:t>（7）因发包人原因导致工期延误的其他情形：</w:t>
      </w:r>
      <w:r>
        <w:rPr>
          <w:rFonts w:hint="eastAsia" w:ascii="宋体" w:hAnsi="宋体" w:cs="仿宋"/>
          <w:color w:val="auto"/>
          <w:szCs w:val="22"/>
          <w:highlight w:val="none"/>
          <w:u w:val="single"/>
        </w:rPr>
        <w:t>① 发包人未能按专用条款的约定提供图纸及开工条件；</w:t>
      </w:r>
    </w:p>
    <w:p w14:paraId="40953E26">
      <w:pPr>
        <w:adjustRightInd w:val="0"/>
        <w:snapToGrid w:val="0"/>
        <w:spacing w:line="480" w:lineRule="exact"/>
        <w:ind w:firstLine="380" w:firstLineChars="181"/>
        <w:rPr>
          <w:rFonts w:ascii="宋体" w:hAnsi="宋体" w:cs="仿宋"/>
          <w:color w:val="auto"/>
          <w:szCs w:val="22"/>
          <w:highlight w:val="none"/>
          <w:u w:val="single"/>
        </w:rPr>
      </w:pPr>
      <w:r>
        <w:rPr>
          <w:rFonts w:hint="eastAsia" w:ascii="宋体" w:hAnsi="宋体" w:cs="仿宋"/>
          <w:color w:val="auto"/>
          <w:szCs w:val="22"/>
          <w:highlight w:val="none"/>
          <w:u w:val="single"/>
        </w:rPr>
        <w:t>② 发包人未能按本合同约定日期支付工程预付款、进度款，致使施工不能正常进行；</w:t>
      </w:r>
    </w:p>
    <w:p w14:paraId="387E07AE">
      <w:pPr>
        <w:adjustRightInd w:val="0"/>
        <w:snapToGrid w:val="0"/>
        <w:spacing w:line="480" w:lineRule="exact"/>
        <w:ind w:firstLine="380" w:firstLineChars="181"/>
        <w:rPr>
          <w:rFonts w:ascii="宋体" w:hAnsi="宋体" w:cs="仿宋"/>
          <w:color w:val="auto"/>
          <w:szCs w:val="22"/>
          <w:highlight w:val="none"/>
          <w:u w:val="single"/>
        </w:rPr>
      </w:pPr>
      <w:r>
        <w:rPr>
          <w:rFonts w:hint="eastAsia" w:ascii="宋体" w:hAnsi="宋体" w:cs="仿宋"/>
          <w:color w:val="auto"/>
          <w:szCs w:val="22"/>
          <w:highlight w:val="none"/>
          <w:u w:val="single"/>
        </w:rPr>
        <w:t>③ 工程师未按合同约定提供所需指令、批准等，致使施工不能正常进行；</w:t>
      </w:r>
    </w:p>
    <w:p w14:paraId="55F969D0">
      <w:pPr>
        <w:adjustRightInd w:val="0"/>
        <w:snapToGrid w:val="0"/>
        <w:spacing w:line="480" w:lineRule="exact"/>
        <w:ind w:firstLine="380" w:firstLineChars="181"/>
        <w:rPr>
          <w:rFonts w:ascii="宋体" w:hAnsi="宋体" w:cs="仿宋"/>
          <w:color w:val="auto"/>
          <w:szCs w:val="22"/>
          <w:highlight w:val="none"/>
          <w:u w:val="single"/>
        </w:rPr>
      </w:pPr>
      <w:r>
        <w:rPr>
          <w:rFonts w:hint="eastAsia" w:ascii="宋体" w:hAnsi="宋体" w:cs="仿宋"/>
          <w:color w:val="auto"/>
          <w:szCs w:val="22"/>
          <w:highlight w:val="none"/>
          <w:u w:val="single"/>
        </w:rPr>
        <w:t>④ 设计变更和工程量增加。</w:t>
      </w:r>
    </w:p>
    <w:p w14:paraId="5C5D34F7">
      <w:pPr>
        <w:adjustRightInd w:val="0"/>
        <w:snapToGrid w:val="0"/>
        <w:spacing w:line="480" w:lineRule="exact"/>
        <w:ind w:firstLine="380" w:firstLineChars="181"/>
        <w:rPr>
          <w:rFonts w:ascii="宋体" w:hAnsi="宋体" w:cs="仿宋"/>
          <w:color w:val="auto"/>
          <w:szCs w:val="22"/>
          <w:highlight w:val="none"/>
          <w:u w:val="single"/>
        </w:rPr>
      </w:pPr>
      <w:r>
        <w:rPr>
          <w:rFonts w:hint="eastAsia" w:ascii="宋体" w:hAnsi="宋体" w:cs="仿宋"/>
          <w:color w:val="auto"/>
          <w:szCs w:val="22"/>
          <w:highlight w:val="none"/>
          <w:u w:val="single"/>
        </w:rPr>
        <w:t>当发生以上情形，承包人在发生后5日内，就延误工期的原因及顺延的天数以书面形式向发包人、监理提出报告，并且应附上相关合法有效的证明资料（否则发包人、监理有权不予受理该申请）。监理及发包人收到后应在10日内进行审核。承包人得按经发包人和监理审核的结果顺延工期。承包人在上述情形发生后5日内未向发包人和监理提出签证申请的，视为承包人放弃该项权利。上述工期顺延的情况，发包人不承担窝工、停工、机械进出场、台班费等在内的其它责任。</w:t>
      </w:r>
    </w:p>
    <w:p w14:paraId="7EC5D0D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w:t>
      </w:r>
      <w:bookmarkStart w:id="494" w:name="_Toc312677486"/>
      <w:bookmarkStart w:id="495" w:name="_Toc318581169"/>
      <w:bookmarkStart w:id="496" w:name="_Toc312678012"/>
      <w:bookmarkStart w:id="497" w:name="_Toc297216177"/>
      <w:bookmarkStart w:id="498" w:name="_Toc300934970"/>
      <w:bookmarkStart w:id="499" w:name="_Toc304295548"/>
      <w:bookmarkStart w:id="500" w:name="_Toc303539127"/>
      <w:bookmarkStart w:id="501" w:name="_Toc297123518"/>
      <w:r>
        <w:rPr>
          <w:rFonts w:hint="eastAsia" w:ascii="宋体" w:hAnsi="宋体" w:cs="仿宋"/>
          <w:color w:val="auto"/>
          <w:highlight w:val="none"/>
        </w:rPr>
        <w:t>.5.2 因承包人原因导致工期延误</w:t>
      </w:r>
    </w:p>
    <w:bookmarkEnd w:id="494"/>
    <w:bookmarkEnd w:id="495"/>
    <w:bookmarkEnd w:id="496"/>
    <w:p w14:paraId="05EA3555">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双方约定经监理工程师确认，工期相应顺延的情况：</w:t>
      </w:r>
      <w:r>
        <w:rPr>
          <w:rFonts w:hint="eastAsia" w:ascii="宋体" w:hAnsi="宋体" w:cs="仿宋"/>
          <w:color w:val="auto"/>
          <w:szCs w:val="22"/>
          <w:highlight w:val="none"/>
          <w:u w:val="single"/>
        </w:rPr>
        <w:t>由于以下原因之一造成竣工日期推迟的延误，工期顺延</w:t>
      </w:r>
      <w:r>
        <w:rPr>
          <w:rFonts w:hint="eastAsia" w:ascii="宋体" w:hAnsi="宋体" w:cs="仿宋"/>
          <w:color w:val="auto"/>
          <w:highlight w:val="none"/>
        </w:rPr>
        <w:t>：</w:t>
      </w:r>
    </w:p>
    <w:p w14:paraId="050CB45B">
      <w:pPr>
        <w:spacing w:line="480" w:lineRule="exact"/>
        <w:ind w:firstLine="420" w:firstLineChars="200"/>
        <w:rPr>
          <w:rFonts w:ascii="宋体" w:hAnsi="宋体" w:cs="仿宋"/>
          <w:color w:val="auto"/>
          <w:szCs w:val="22"/>
          <w:highlight w:val="none"/>
          <w:u w:val="single"/>
        </w:rPr>
      </w:pPr>
      <w:r>
        <w:rPr>
          <w:rFonts w:hint="eastAsia" w:ascii="宋体" w:hAnsi="宋体" w:cs="仿宋"/>
          <w:color w:val="auto"/>
          <w:szCs w:val="22"/>
          <w:highlight w:val="none"/>
          <w:u w:val="single"/>
        </w:rPr>
        <w:t>⑴ 在施工过程中遇到地勘报告未明确的地下障碍物、淤泥、流沙、溶洞、岩石的。</w:t>
      </w:r>
    </w:p>
    <w:p w14:paraId="536FBC8E">
      <w:pPr>
        <w:spacing w:line="480" w:lineRule="exact"/>
        <w:ind w:firstLine="420" w:firstLineChars="200"/>
        <w:rPr>
          <w:rFonts w:ascii="宋体" w:hAnsi="宋体" w:cs="仿宋"/>
          <w:color w:val="auto"/>
          <w:szCs w:val="22"/>
          <w:highlight w:val="none"/>
          <w:u w:val="single"/>
        </w:rPr>
      </w:pPr>
      <w:r>
        <w:rPr>
          <w:rFonts w:hint="eastAsia" w:ascii="宋体" w:hAnsi="宋体" w:cs="仿宋"/>
          <w:color w:val="auto"/>
          <w:szCs w:val="22"/>
          <w:highlight w:val="none"/>
          <w:u w:val="single"/>
        </w:rPr>
        <w:t>⑵政府指令性要求停工的（重要会议）。</w:t>
      </w:r>
    </w:p>
    <w:p w14:paraId="00A187F4">
      <w:pPr>
        <w:spacing w:line="480" w:lineRule="exact"/>
        <w:ind w:firstLine="420" w:firstLineChars="200"/>
        <w:rPr>
          <w:rFonts w:ascii="宋体" w:hAnsi="宋体" w:cs="仿宋"/>
          <w:color w:val="auto"/>
          <w:szCs w:val="22"/>
          <w:highlight w:val="none"/>
          <w:u w:val="single"/>
        </w:rPr>
      </w:pPr>
      <w:r>
        <w:rPr>
          <w:rFonts w:hint="eastAsia" w:ascii="宋体" w:hAnsi="宋体" w:cs="仿宋"/>
          <w:color w:val="auto"/>
          <w:szCs w:val="22"/>
          <w:highlight w:val="none"/>
          <w:u w:val="single"/>
        </w:rPr>
        <w:t>⑶非承包人的责任造成的工期延误并经发包人工程师同意或承包人有证据证明的可顺延工期的其他情况。</w:t>
      </w:r>
    </w:p>
    <w:p w14:paraId="4FE9527D">
      <w:pPr>
        <w:spacing w:line="480" w:lineRule="exact"/>
        <w:ind w:firstLine="420" w:firstLineChars="200"/>
        <w:rPr>
          <w:rFonts w:ascii="宋体" w:hAnsi="宋体" w:cs="仿宋"/>
          <w:color w:val="auto"/>
          <w:szCs w:val="22"/>
          <w:highlight w:val="none"/>
          <w:u w:val="single"/>
        </w:rPr>
      </w:pPr>
      <w:r>
        <w:rPr>
          <w:rFonts w:hint="eastAsia" w:ascii="宋体" w:hAnsi="宋体" w:cs="仿宋"/>
          <w:color w:val="auto"/>
          <w:szCs w:val="22"/>
          <w:highlight w:val="none"/>
          <w:u w:val="single"/>
        </w:rPr>
        <w:t>⑷其余按本合同《通用条款》规定执行。</w:t>
      </w:r>
    </w:p>
    <w:p w14:paraId="450E5DC0">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因</w:t>
      </w:r>
      <w:bookmarkStart w:id="502" w:name="_Toc318581170"/>
      <w:bookmarkStart w:id="503" w:name="_Toc312677487"/>
      <w:bookmarkStart w:id="504" w:name="_Toc312678013"/>
      <w:r>
        <w:rPr>
          <w:rFonts w:hint="eastAsia" w:ascii="宋体" w:hAnsi="宋体" w:cs="仿宋"/>
          <w:color w:val="auto"/>
          <w:highlight w:val="none"/>
        </w:rPr>
        <w:t>承包人原因造成工期延误，逾期竣工违约金的计算方法为：</w:t>
      </w:r>
      <w:r>
        <w:rPr>
          <w:rFonts w:hint="eastAsia" w:ascii="宋体" w:hAnsi="宋体" w:cs="仿宋"/>
          <w:color w:val="auto"/>
          <w:highlight w:val="none"/>
          <w:u w:val="single"/>
        </w:rPr>
        <w:t>因承包人原因造成工期延误，逾期竣工违约金的计算方法为：每延误一天，按签约合同价的万  分之四(选择项)处罚，罚款直接从结算款中扣除。误期时间从  规定竣工日期起直到实际竣工日期的天数(扣除发包人批准顺延  的工期)。因承包人原因造成工期延误，逾期竣工违约金的上限： 签约合同价扣除发包人材料价款、暂估专业工程、暂列金额后的百分之三。</w:t>
      </w:r>
    </w:p>
    <w:bookmarkEnd w:id="497"/>
    <w:bookmarkEnd w:id="498"/>
    <w:bookmarkEnd w:id="499"/>
    <w:bookmarkEnd w:id="500"/>
    <w:bookmarkEnd w:id="501"/>
    <w:bookmarkEnd w:id="502"/>
    <w:bookmarkEnd w:id="503"/>
    <w:bookmarkEnd w:id="504"/>
    <w:p w14:paraId="532F79F9">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因承包人原因造成工期延误，逾</w:t>
      </w:r>
      <w:bookmarkStart w:id="505" w:name="_Toc312678014"/>
      <w:bookmarkStart w:id="506" w:name="_Toc318581171"/>
      <w:r>
        <w:rPr>
          <w:rFonts w:hint="eastAsia" w:ascii="宋体" w:hAnsi="宋体" w:cs="仿宋"/>
          <w:color w:val="auto"/>
          <w:highlight w:val="none"/>
        </w:rPr>
        <w:t>期竣工违约金的上限：</w:t>
      </w:r>
      <w:r>
        <w:rPr>
          <w:rFonts w:hint="eastAsia" w:ascii="宋体" w:hAnsi="宋体" w:cs="仿宋"/>
          <w:color w:val="auto"/>
          <w:highlight w:val="none"/>
          <w:u w:val="single"/>
        </w:rPr>
        <w:t>合同价扣除建安劳保费、发包人材料价款、暂估专业工程、暂列金额后的5%</w:t>
      </w:r>
      <w:r>
        <w:rPr>
          <w:rFonts w:hint="eastAsia" w:ascii="宋体" w:hAnsi="宋体" w:cs="仿宋"/>
          <w:color w:val="auto"/>
          <w:highlight w:val="none"/>
        </w:rPr>
        <w:t>。上述工期顺延的情况，发包人不承担窝工、停工、机械进出场、台班费等在内的其它责任。</w:t>
      </w:r>
    </w:p>
    <w:bookmarkEnd w:id="505"/>
    <w:bookmarkEnd w:id="506"/>
    <w:p w14:paraId="5F671C86">
      <w:pPr>
        <w:spacing w:line="480" w:lineRule="exact"/>
        <w:outlineLvl w:val="2"/>
        <w:rPr>
          <w:rFonts w:ascii="宋体" w:hAnsi="宋体" w:cs="仿宋"/>
          <w:b/>
          <w:bCs/>
          <w:color w:val="auto"/>
          <w:szCs w:val="32"/>
          <w:highlight w:val="none"/>
        </w:rPr>
      </w:pPr>
      <w:bookmarkStart w:id="507" w:name="_Toc434601327"/>
      <w:bookmarkStart w:id="508" w:name="_Toc373227728"/>
      <w:bookmarkStart w:id="509" w:name="_Toc373478375"/>
      <w:bookmarkStart w:id="510" w:name="_Toc389065294"/>
      <w:bookmarkStart w:id="511" w:name="_Toc434602167"/>
      <w:bookmarkStart w:id="512" w:name="_Toc403483762"/>
      <w:r>
        <w:rPr>
          <w:rFonts w:hint="eastAsia" w:ascii="宋体" w:hAnsi="宋体" w:cs="仿宋"/>
          <w:b/>
          <w:bCs/>
          <w:color w:val="auto"/>
          <w:szCs w:val="32"/>
          <w:highlight w:val="none"/>
        </w:rPr>
        <w:t>7</w:t>
      </w:r>
      <w:bookmarkStart w:id="513" w:name="_Toc304295549"/>
      <w:bookmarkStart w:id="514" w:name="_Toc297216178"/>
      <w:bookmarkStart w:id="515" w:name="_Toc297123519"/>
      <w:bookmarkStart w:id="516" w:name="_Toc312678015"/>
      <w:bookmarkStart w:id="517" w:name="_Toc300934971"/>
      <w:bookmarkStart w:id="518" w:name="_Toc303539128"/>
      <w:r>
        <w:rPr>
          <w:rFonts w:hint="eastAsia" w:ascii="宋体" w:hAnsi="宋体" w:cs="仿宋"/>
          <w:b/>
          <w:bCs/>
          <w:color w:val="auto"/>
          <w:szCs w:val="32"/>
          <w:highlight w:val="none"/>
        </w:rPr>
        <w:t>.6 不</w:t>
      </w:r>
      <w:bookmarkEnd w:id="513"/>
      <w:bookmarkEnd w:id="514"/>
      <w:bookmarkEnd w:id="515"/>
      <w:bookmarkEnd w:id="516"/>
      <w:bookmarkEnd w:id="517"/>
      <w:bookmarkEnd w:id="518"/>
      <w:r>
        <w:rPr>
          <w:rFonts w:hint="eastAsia" w:ascii="宋体" w:hAnsi="宋体" w:cs="仿宋"/>
          <w:b/>
          <w:bCs/>
          <w:color w:val="auto"/>
          <w:szCs w:val="32"/>
          <w:highlight w:val="none"/>
        </w:rPr>
        <w:t>利物质条件</w:t>
      </w:r>
      <w:bookmarkEnd w:id="507"/>
      <w:bookmarkEnd w:id="508"/>
      <w:bookmarkEnd w:id="509"/>
      <w:bookmarkEnd w:id="510"/>
      <w:bookmarkEnd w:id="511"/>
      <w:bookmarkEnd w:id="512"/>
    </w:p>
    <w:p w14:paraId="11BE1D12">
      <w:pPr>
        <w:spacing w:line="480" w:lineRule="exact"/>
        <w:ind w:firstLine="420" w:firstLineChars="200"/>
        <w:jc w:val="left"/>
        <w:rPr>
          <w:rFonts w:ascii="宋体" w:hAnsi="宋体" w:cs="仿宋"/>
          <w:color w:val="auto"/>
          <w:highlight w:val="none"/>
          <w:u w:val="single"/>
        </w:rPr>
      </w:pPr>
      <w:bookmarkStart w:id="519" w:name="_Toc312678016"/>
      <w:bookmarkStart w:id="520" w:name="_Toc303539129"/>
      <w:bookmarkStart w:id="521" w:name="_Toc297216179"/>
      <w:bookmarkStart w:id="522" w:name="_Toc304295550"/>
      <w:bookmarkStart w:id="523" w:name="_Toc300934972"/>
      <w:bookmarkStart w:id="524" w:name="_Toc297123520"/>
      <w:bookmarkStart w:id="525" w:name="_Toc318581172"/>
      <w:r>
        <w:rPr>
          <w:rFonts w:hint="eastAsia" w:ascii="宋体" w:hAnsi="宋体" w:cs="仿宋"/>
          <w:color w:val="auto"/>
          <w:highlight w:val="none"/>
        </w:rPr>
        <w:t>不利物质条件的其他情形和有关约定：</w:t>
      </w:r>
      <w:r>
        <w:rPr>
          <w:rFonts w:hint="eastAsia" w:ascii="宋体" w:hAnsi="宋体" w:cs="仿宋"/>
          <w:color w:val="auto"/>
          <w:highlight w:val="none"/>
          <w:u w:val="single"/>
        </w:rPr>
        <w:t>按本合同《通用条款》相关规定执行</w:t>
      </w:r>
      <w:r>
        <w:rPr>
          <w:rFonts w:hint="eastAsia" w:ascii="宋体" w:hAnsi="宋体" w:cs="仿宋"/>
          <w:color w:val="auto"/>
          <w:highlight w:val="none"/>
        </w:rPr>
        <w:t>。</w:t>
      </w:r>
    </w:p>
    <w:bookmarkEnd w:id="519"/>
    <w:bookmarkEnd w:id="520"/>
    <w:bookmarkEnd w:id="521"/>
    <w:bookmarkEnd w:id="522"/>
    <w:bookmarkEnd w:id="523"/>
    <w:bookmarkEnd w:id="524"/>
    <w:bookmarkEnd w:id="525"/>
    <w:p w14:paraId="456DED97">
      <w:pPr>
        <w:spacing w:line="480" w:lineRule="exact"/>
        <w:outlineLvl w:val="2"/>
        <w:rPr>
          <w:rFonts w:ascii="宋体" w:hAnsi="宋体" w:cs="仿宋"/>
          <w:b/>
          <w:bCs/>
          <w:color w:val="auto"/>
          <w:szCs w:val="32"/>
          <w:highlight w:val="none"/>
        </w:rPr>
      </w:pPr>
      <w:bookmarkStart w:id="526" w:name="_Toc389065295"/>
      <w:bookmarkStart w:id="527" w:name="_Toc434602168"/>
      <w:bookmarkStart w:id="528" w:name="_Toc373227729"/>
      <w:bookmarkStart w:id="529" w:name="_Toc434601328"/>
      <w:bookmarkStart w:id="530" w:name="_Toc403483763"/>
      <w:bookmarkStart w:id="531" w:name="_Toc373478376"/>
      <w:r>
        <w:rPr>
          <w:rFonts w:hint="eastAsia" w:ascii="宋体" w:hAnsi="宋体" w:cs="仿宋"/>
          <w:b/>
          <w:bCs/>
          <w:color w:val="auto"/>
          <w:szCs w:val="32"/>
          <w:highlight w:val="none"/>
        </w:rPr>
        <w:t>7</w:t>
      </w:r>
      <w:bookmarkStart w:id="532" w:name="_Toc312678017"/>
      <w:bookmarkStart w:id="533" w:name="_Toc297216180"/>
      <w:bookmarkStart w:id="534" w:name="_Toc300934973"/>
      <w:bookmarkStart w:id="535" w:name="_Toc297123521"/>
      <w:bookmarkStart w:id="536" w:name="_Toc304295551"/>
      <w:bookmarkStart w:id="537" w:name="_Toc303539130"/>
      <w:r>
        <w:rPr>
          <w:rFonts w:hint="eastAsia" w:ascii="宋体" w:hAnsi="宋体" w:cs="仿宋"/>
          <w:b/>
          <w:bCs/>
          <w:color w:val="auto"/>
          <w:szCs w:val="32"/>
          <w:highlight w:val="none"/>
        </w:rPr>
        <w:t>.7异常恶劣的气候条件</w:t>
      </w:r>
      <w:bookmarkEnd w:id="526"/>
      <w:bookmarkEnd w:id="527"/>
      <w:bookmarkEnd w:id="528"/>
      <w:bookmarkEnd w:id="529"/>
      <w:bookmarkEnd w:id="530"/>
      <w:bookmarkEnd w:id="531"/>
    </w:p>
    <w:bookmarkEnd w:id="532"/>
    <w:bookmarkEnd w:id="533"/>
    <w:bookmarkEnd w:id="534"/>
    <w:bookmarkEnd w:id="535"/>
    <w:bookmarkEnd w:id="536"/>
    <w:bookmarkEnd w:id="537"/>
    <w:p w14:paraId="2540A09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发包人和承包人同意以下情形视为异常恶劣的气候条件：</w:t>
      </w:r>
    </w:p>
    <w:p w14:paraId="3B5D4F18">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（1）</w:t>
      </w:r>
      <w:r>
        <w:rPr>
          <w:rFonts w:hint="eastAsia" w:ascii="宋体" w:hAnsi="宋体" w:cs="仿宋"/>
          <w:color w:val="auto"/>
          <w:szCs w:val="22"/>
          <w:highlight w:val="none"/>
          <w:u w:val="single"/>
        </w:rPr>
        <w:t>四级以上的地震</w:t>
      </w:r>
      <w:r>
        <w:rPr>
          <w:rFonts w:hint="eastAsia" w:ascii="宋体" w:hAnsi="宋体" w:cs="仿宋"/>
          <w:color w:val="auto"/>
          <w:szCs w:val="22"/>
          <w:highlight w:val="none"/>
        </w:rPr>
        <w:t>；</w:t>
      </w:r>
    </w:p>
    <w:p w14:paraId="05B012D4">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（2）</w:t>
      </w:r>
      <w:r>
        <w:rPr>
          <w:rFonts w:hint="eastAsia" w:ascii="宋体" w:hAnsi="宋体" w:cs="仿宋"/>
          <w:color w:val="auto"/>
          <w:szCs w:val="22"/>
          <w:highlight w:val="none"/>
          <w:u w:val="single"/>
        </w:rPr>
        <w:t>七级以上持续一天的大风；</w:t>
      </w:r>
    </w:p>
    <w:p w14:paraId="4ECF10F4">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（3）</w:t>
      </w:r>
      <w:r>
        <w:rPr>
          <w:rFonts w:hint="eastAsia" w:ascii="宋体" w:hAnsi="宋体" w:cs="仿宋"/>
          <w:color w:val="auto"/>
          <w:szCs w:val="22"/>
          <w:highlight w:val="none"/>
          <w:u w:val="single"/>
        </w:rPr>
        <w:t>60-100mm以上持续一天的大雨；</w:t>
      </w:r>
    </w:p>
    <w:p w14:paraId="78CA347B">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（4）</w:t>
      </w:r>
      <w:r>
        <w:rPr>
          <w:rFonts w:hint="eastAsia" w:ascii="宋体" w:hAnsi="宋体" w:cs="仿宋"/>
          <w:color w:val="auto"/>
          <w:szCs w:val="22"/>
          <w:highlight w:val="none"/>
          <w:u w:val="single"/>
        </w:rPr>
        <w:t>二年以上未发生过，持续两天的38℃以上高温天气；</w:t>
      </w:r>
    </w:p>
    <w:p w14:paraId="004C5CB5">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（5）</w:t>
      </w:r>
      <w:r>
        <w:rPr>
          <w:rFonts w:hint="eastAsia" w:ascii="宋体" w:hAnsi="宋体" w:cs="仿宋"/>
          <w:color w:val="auto"/>
          <w:szCs w:val="22"/>
          <w:highlight w:val="none"/>
          <w:u w:val="single"/>
        </w:rPr>
        <w:t>二年以上未发生过，持续两天的0℃以下严寒天气；</w:t>
      </w:r>
    </w:p>
    <w:p w14:paraId="0C8D2F59">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（6）</w:t>
      </w:r>
      <w:r>
        <w:rPr>
          <w:rFonts w:hint="eastAsia" w:ascii="宋体" w:hAnsi="宋体" w:cs="仿宋"/>
          <w:color w:val="auto"/>
          <w:szCs w:val="22"/>
          <w:highlight w:val="none"/>
          <w:u w:val="single"/>
        </w:rPr>
        <w:t>一年以上未发生过的洪水。对上述几种形式，应以造成灾害和影响施工并以政府相关部门的规定为准；</w:t>
      </w:r>
    </w:p>
    <w:p w14:paraId="1F5E2787">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（7）</w:t>
      </w:r>
      <w:r>
        <w:rPr>
          <w:rFonts w:hint="eastAsia" w:ascii="宋体" w:hAnsi="宋体" w:cs="仿宋"/>
          <w:color w:val="auto"/>
          <w:highlight w:val="none"/>
          <w:u w:val="single"/>
        </w:rPr>
        <w:t>其余按本合同《通用条款》规定执行</w:t>
      </w:r>
    </w:p>
    <w:p w14:paraId="7A1F1EC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7.8.6暂停施工持续84天以上不复工的，且不属于第7.8.2项〔承包人原因引起的暂停施工〕及第17条〔不可抗力〕约定的情形，并影响到整个工程以及合同目的实现的，在有证据证明此时的人材机确系大幅上涨的（涨幅至少达15%），承包人有权提出价格调整要求，或者解除合同。解除合同的，按照第16.1.3项〔因发包人违约解除合同〕执行。如承包人在持续84不复工后天的15日内，未书面通知解除合同的，则视为承包人愿意继续履行合同而放弃解除合同的权利；对期间造成的费用增加，应经发包人、监理、承包人共同就实际增加的费用核定，并以此为依据，由发包人和承包人协商，发包人承担直接而合理的费用增加，除此之外不再承担其他责任损失。如承包人愿意继续履行合同的，在复工后，承包人不得以上述补偿未达成一致为由而拒绝进场施工或怠工，否则应按本合同承担违约责任。</w:t>
      </w:r>
    </w:p>
    <w:p w14:paraId="16EBAFF7">
      <w:pPr>
        <w:spacing w:line="480" w:lineRule="exact"/>
        <w:outlineLvl w:val="2"/>
        <w:rPr>
          <w:rFonts w:ascii="宋体" w:hAnsi="宋体" w:cs="仿宋"/>
          <w:b/>
          <w:bCs/>
          <w:color w:val="auto"/>
          <w:szCs w:val="32"/>
          <w:highlight w:val="none"/>
        </w:rPr>
      </w:pPr>
      <w:bookmarkStart w:id="538" w:name="_Toc434602169"/>
      <w:bookmarkStart w:id="539" w:name="_Toc373478377"/>
      <w:bookmarkStart w:id="540" w:name="_Toc373227730"/>
      <w:bookmarkStart w:id="541" w:name="_Toc434601329"/>
      <w:bookmarkStart w:id="542" w:name="_Toc403483764"/>
      <w:bookmarkStart w:id="543" w:name="_Toc389065296"/>
      <w:r>
        <w:rPr>
          <w:rFonts w:hint="eastAsia" w:ascii="宋体" w:hAnsi="宋体" w:cs="仿宋"/>
          <w:b/>
          <w:bCs/>
          <w:color w:val="auto"/>
          <w:szCs w:val="32"/>
          <w:highlight w:val="none"/>
        </w:rPr>
        <w:t>7.9 提前竣工</w:t>
      </w:r>
      <w:bookmarkEnd w:id="538"/>
      <w:bookmarkEnd w:id="539"/>
      <w:bookmarkEnd w:id="540"/>
      <w:bookmarkEnd w:id="541"/>
      <w:bookmarkEnd w:id="542"/>
      <w:bookmarkEnd w:id="543"/>
    </w:p>
    <w:p w14:paraId="6ACA4A8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7.9.1提前竣工（赶工）增加费的计算方法：</w:t>
      </w:r>
      <w:r>
        <w:rPr>
          <w:rFonts w:hint="eastAsia" w:ascii="宋体" w:hAnsi="宋体" w:cs="仿宋"/>
          <w:color w:val="auto"/>
          <w:highlight w:val="none"/>
          <w:u w:val="single"/>
        </w:rPr>
        <w:t xml:space="preserve">无 </w:t>
      </w:r>
      <w:r>
        <w:rPr>
          <w:rFonts w:hint="eastAsia" w:ascii="宋体" w:hAnsi="宋体" w:cs="仿宋"/>
          <w:color w:val="auto"/>
          <w:highlight w:val="none"/>
        </w:rPr>
        <w:t>。</w:t>
      </w:r>
      <w:bookmarkStart w:id="544" w:name="_Toc373227731"/>
      <w:bookmarkStart w:id="545" w:name="_Toc403483765"/>
      <w:bookmarkStart w:id="546" w:name="_Toc434601330"/>
      <w:bookmarkStart w:id="547" w:name="_Toc389065297"/>
      <w:bookmarkStart w:id="548" w:name="_Toc373478378"/>
      <w:bookmarkStart w:id="549" w:name="_Toc351203640"/>
      <w:bookmarkStart w:id="550" w:name="_Toc434602170"/>
    </w:p>
    <w:p w14:paraId="6D992468">
      <w:pPr>
        <w:spacing w:line="480" w:lineRule="exact"/>
        <w:ind w:firstLine="422" w:firstLineChars="200"/>
        <w:jc w:val="left"/>
        <w:rPr>
          <w:rFonts w:ascii="宋体" w:hAnsi="宋体" w:cs="仿宋"/>
          <w:b/>
          <w:bCs/>
          <w:color w:val="auto"/>
          <w:szCs w:val="32"/>
          <w:highlight w:val="none"/>
        </w:rPr>
      </w:pPr>
      <w:r>
        <w:rPr>
          <w:rFonts w:hint="eastAsia" w:ascii="宋体" w:hAnsi="宋体" w:cs="仿宋"/>
          <w:b/>
          <w:bCs/>
          <w:color w:val="auto"/>
          <w:szCs w:val="32"/>
          <w:highlight w:val="none"/>
        </w:rPr>
        <w:t>8. 材料与设备</w:t>
      </w:r>
      <w:bookmarkEnd w:id="544"/>
      <w:bookmarkEnd w:id="545"/>
      <w:bookmarkEnd w:id="546"/>
      <w:bookmarkEnd w:id="547"/>
      <w:bookmarkEnd w:id="548"/>
      <w:bookmarkEnd w:id="549"/>
      <w:bookmarkEnd w:id="550"/>
      <w:bookmarkStart w:id="551" w:name="_Toc373227732"/>
      <w:bookmarkStart w:id="552" w:name="_Toc434602171"/>
      <w:bookmarkStart w:id="553" w:name="_Toc373478379"/>
      <w:bookmarkStart w:id="554" w:name="_Toc403483766"/>
      <w:bookmarkStart w:id="555" w:name="_Toc434601331"/>
      <w:bookmarkStart w:id="556" w:name="_Toc389065298"/>
    </w:p>
    <w:p w14:paraId="27169934">
      <w:pPr>
        <w:spacing w:line="480" w:lineRule="exact"/>
        <w:ind w:firstLine="422" w:firstLineChars="200"/>
        <w:jc w:val="left"/>
        <w:rPr>
          <w:rFonts w:ascii="宋体" w:hAnsi="宋体" w:cs="仿宋"/>
          <w:b/>
          <w:bCs/>
          <w:color w:val="auto"/>
          <w:szCs w:val="32"/>
          <w:highlight w:val="none"/>
        </w:rPr>
      </w:pPr>
      <w:r>
        <w:rPr>
          <w:rFonts w:hint="eastAsia" w:ascii="宋体" w:hAnsi="宋体" w:cs="仿宋"/>
          <w:b/>
          <w:bCs/>
          <w:color w:val="auto"/>
          <w:szCs w:val="32"/>
          <w:highlight w:val="none"/>
        </w:rPr>
        <w:t>8.1 承包人采购材料与工程设备</w:t>
      </w:r>
      <w:bookmarkEnd w:id="551"/>
      <w:bookmarkEnd w:id="552"/>
      <w:bookmarkEnd w:id="553"/>
      <w:bookmarkEnd w:id="554"/>
      <w:bookmarkEnd w:id="555"/>
      <w:bookmarkEnd w:id="556"/>
    </w:p>
    <w:p w14:paraId="29001744">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1）对发包人在招标时有“参照或相当于”约定的材料，承包人在施工过程中必须按类似于或优于所约定品牌、厂家和等级进行采购。当发包人与承包人对招标文件所约定的材料有争议时，发包人有权要求承包人按招标文件有“参照或相当于”标明材料品牌的材料进行采购，并在结算时按投标单价支付。</w:t>
      </w:r>
    </w:p>
    <w:p w14:paraId="03894819">
      <w:pPr>
        <w:autoSpaceDE w:val="0"/>
        <w:autoSpaceDN w:val="0"/>
        <w:adjustRightInd w:val="0"/>
        <w:spacing w:line="480" w:lineRule="exact"/>
        <w:ind w:firstLine="420" w:firstLineChars="200"/>
        <w:jc w:val="left"/>
        <w:rPr>
          <w:rFonts w:ascii="宋体" w:hAnsi="宋体" w:cs="仿宋"/>
          <w:b/>
          <w:color w:val="auto"/>
          <w:szCs w:val="22"/>
          <w:highlight w:val="none"/>
        </w:rPr>
      </w:pPr>
      <w:r>
        <w:rPr>
          <w:rFonts w:hint="eastAsia" w:ascii="宋体" w:hAnsi="宋体" w:cs="仿宋"/>
          <w:color w:val="auto"/>
          <w:szCs w:val="22"/>
          <w:highlight w:val="none"/>
        </w:rPr>
        <w:t>（2）</w:t>
      </w:r>
      <w:r>
        <w:rPr>
          <w:rFonts w:hint="eastAsia" w:ascii="宋体" w:hAnsi="宋体" w:cs="仿宋"/>
          <w:color w:val="auto"/>
          <w:kern w:val="0"/>
          <w:szCs w:val="22"/>
          <w:highlight w:val="none"/>
        </w:rPr>
        <w:t>除已标价工程量清单《发包人提供主要材料和工程设备一览表》（表-21）中明确的材料、工程设备外，由承包人负责材料和工程设备的采购、运输和保管。《</w:t>
      </w:r>
      <w:r>
        <w:rPr>
          <w:rFonts w:hint="eastAsia" w:ascii="宋体" w:hAnsi="宋体" w:cs="仿宋"/>
          <w:color w:val="auto"/>
          <w:szCs w:val="22"/>
          <w:highlight w:val="none"/>
        </w:rPr>
        <w:t>承包人提供主要材料和工程设备一览表》</w:t>
      </w:r>
      <w:r>
        <w:rPr>
          <w:rFonts w:hint="eastAsia" w:ascii="宋体" w:hAnsi="宋体" w:cs="仿宋"/>
          <w:color w:val="auto"/>
          <w:kern w:val="0"/>
          <w:szCs w:val="22"/>
          <w:highlight w:val="none"/>
        </w:rPr>
        <w:t>（表-22）见已标价工程量清单。</w:t>
      </w:r>
      <w:r>
        <w:rPr>
          <w:rFonts w:hint="eastAsia" w:ascii="宋体" w:hAnsi="宋体" w:cs="仿宋"/>
          <w:b/>
          <w:color w:val="auto"/>
          <w:szCs w:val="22"/>
          <w:highlight w:val="none"/>
        </w:rPr>
        <w:t>对工程使用的重要建设工程材料，承包人应按《南宁市建设工程材料使用管理办法》相关规定，从南宁市建设行政主管部门公布的建设工程材料备案目录中选用。</w:t>
      </w:r>
    </w:p>
    <w:p w14:paraId="449FA9FE">
      <w:pPr>
        <w:autoSpaceDE w:val="0"/>
        <w:autoSpaceDN w:val="0"/>
        <w:adjustRightInd w:val="0"/>
        <w:spacing w:line="480" w:lineRule="exact"/>
        <w:ind w:firstLine="420" w:firstLineChars="200"/>
        <w:jc w:val="left"/>
        <w:rPr>
          <w:rFonts w:ascii="宋体" w:hAnsi="宋体" w:cs="仿宋"/>
          <w:color w:val="auto"/>
          <w:kern w:val="0"/>
          <w:szCs w:val="22"/>
          <w:highlight w:val="none"/>
        </w:rPr>
      </w:pPr>
      <w:r>
        <w:rPr>
          <w:rFonts w:hint="eastAsia" w:ascii="宋体" w:hAnsi="宋体" w:cs="仿宋"/>
          <w:color w:val="auto"/>
          <w:kern w:val="0"/>
          <w:szCs w:val="22"/>
          <w:highlight w:val="none"/>
        </w:rPr>
        <w:t>（3）对发包人在招标时，没有明确约定参照或相当于某个品牌、档次的 材料和设备，或双方对材料和设备选择有争议的，发包人有权要 求承包人按不低于招标控制价相同细目的材料或设备价格进行采购。</w:t>
      </w:r>
    </w:p>
    <w:p w14:paraId="3C4956FB">
      <w:pPr>
        <w:spacing w:line="480" w:lineRule="exact"/>
        <w:outlineLvl w:val="2"/>
        <w:rPr>
          <w:rFonts w:ascii="宋体" w:hAnsi="宋体" w:cs="仿宋"/>
          <w:b/>
          <w:bCs/>
          <w:color w:val="auto"/>
          <w:szCs w:val="32"/>
          <w:highlight w:val="none"/>
        </w:rPr>
      </w:pPr>
      <w:bookmarkStart w:id="557" w:name="_Toc389065299"/>
      <w:bookmarkStart w:id="558" w:name="_Toc434602172"/>
      <w:bookmarkStart w:id="559" w:name="_Toc373227733"/>
      <w:bookmarkStart w:id="560" w:name="_Toc434601332"/>
      <w:bookmarkStart w:id="561" w:name="_Toc403483767"/>
      <w:bookmarkStart w:id="562" w:name="_Toc373478380"/>
      <w:r>
        <w:rPr>
          <w:rFonts w:hint="eastAsia" w:ascii="宋体" w:hAnsi="宋体" w:cs="仿宋"/>
          <w:b/>
          <w:bCs/>
          <w:color w:val="auto"/>
          <w:szCs w:val="32"/>
          <w:highlight w:val="none"/>
        </w:rPr>
        <w:t>8</w:t>
      </w:r>
      <w:bookmarkStart w:id="563" w:name="_Toc312677493"/>
      <w:bookmarkStart w:id="564" w:name="_Toc296503167"/>
      <w:bookmarkStart w:id="565" w:name="_Toc303539136"/>
      <w:bookmarkStart w:id="566" w:name="_Toc297120467"/>
      <w:bookmarkStart w:id="567" w:name="_Toc292559877"/>
      <w:bookmarkStart w:id="568" w:name="_Toc297048353"/>
      <w:bookmarkStart w:id="569" w:name="_Toc304295556"/>
      <w:bookmarkStart w:id="570" w:name="_Toc296891207"/>
      <w:bookmarkStart w:id="571" w:name="_Toc280868654"/>
      <w:bookmarkStart w:id="572" w:name="_Toc297216186"/>
      <w:bookmarkStart w:id="573" w:name="_Toc296890995"/>
      <w:bookmarkStart w:id="574" w:name="_Toc312678019"/>
      <w:bookmarkStart w:id="575" w:name="_Toc296346668"/>
      <w:bookmarkStart w:id="576" w:name="_Toc296944506"/>
      <w:bookmarkStart w:id="577" w:name="_Toc292559372"/>
      <w:bookmarkStart w:id="578" w:name="_Toc297123527"/>
      <w:bookmarkStart w:id="579" w:name="_Toc300934979"/>
      <w:bookmarkStart w:id="580" w:name="_Toc296347166"/>
      <w:bookmarkStart w:id="581" w:name="_Toc267251424"/>
      <w:bookmarkStart w:id="582" w:name="_Toc280868656"/>
      <w:bookmarkStart w:id="583" w:name="_Toc280868655"/>
      <w:r>
        <w:rPr>
          <w:rFonts w:hint="eastAsia" w:ascii="宋体" w:hAnsi="宋体" w:cs="仿宋"/>
          <w:b/>
          <w:bCs/>
          <w:color w:val="auto"/>
          <w:szCs w:val="32"/>
          <w:highlight w:val="none"/>
        </w:rPr>
        <w:t>.2 材料与工程设备的保管与使用</w:t>
      </w:r>
      <w:bookmarkEnd w:id="557"/>
      <w:bookmarkEnd w:id="558"/>
      <w:bookmarkEnd w:id="559"/>
      <w:bookmarkEnd w:id="560"/>
      <w:bookmarkEnd w:id="561"/>
      <w:bookmarkEnd w:id="562"/>
    </w:p>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14:paraId="649AAFA0">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8</w:t>
      </w:r>
      <w:bookmarkStart w:id="584" w:name="_Toc292559373"/>
      <w:bookmarkStart w:id="585" w:name="_Toc292559878"/>
      <w:bookmarkStart w:id="586" w:name="_Toc312678020"/>
      <w:bookmarkStart w:id="587" w:name="_Toc296346669"/>
      <w:bookmarkStart w:id="588" w:name="_Toc296891208"/>
      <w:bookmarkStart w:id="589" w:name="_Toc296503168"/>
      <w:bookmarkStart w:id="590" w:name="_Toc297120468"/>
      <w:bookmarkStart w:id="591" w:name="_Toc296347167"/>
      <w:bookmarkStart w:id="592" w:name="_Toc304295557"/>
      <w:bookmarkStart w:id="593" w:name="_Toc297216187"/>
      <w:bookmarkStart w:id="594" w:name="_Toc303539137"/>
      <w:bookmarkStart w:id="595" w:name="_Toc297048354"/>
      <w:bookmarkStart w:id="596" w:name="_Toc297123528"/>
      <w:bookmarkStart w:id="597" w:name="_Toc318581173"/>
      <w:bookmarkStart w:id="598" w:name="_Toc296890996"/>
      <w:bookmarkStart w:id="599" w:name="_Toc296944507"/>
      <w:bookmarkStart w:id="600" w:name="_Toc312677494"/>
      <w:bookmarkStart w:id="601" w:name="_Toc300934980"/>
      <w:r>
        <w:rPr>
          <w:rFonts w:hint="eastAsia" w:ascii="宋体" w:hAnsi="宋体" w:cs="仿宋"/>
          <w:color w:val="auto"/>
          <w:highlight w:val="none"/>
        </w:rPr>
        <w:t>.4.1发包人供应的材料设备的保管费用的承担：</w:t>
      </w:r>
      <w:r>
        <w:rPr>
          <w:rFonts w:hint="eastAsia" w:ascii="宋体" w:hAnsi="宋体" w:cs="仿宋"/>
          <w:color w:val="auto"/>
          <w:highlight w:val="none"/>
          <w:u w:val="single"/>
        </w:rPr>
        <w:t>按本合同《通用条款》相关规定执行</w:t>
      </w:r>
      <w:r>
        <w:rPr>
          <w:rFonts w:hint="eastAsia" w:ascii="宋体" w:hAnsi="宋体" w:cs="仿宋"/>
          <w:color w:val="auto"/>
          <w:highlight w:val="none"/>
        </w:rPr>
        <w:t>。</w:t>
      </w:r>
    </w:p>
    <w:bookmarkEnd w:id="584"/>
    <w:bookmarkEnd w:id="585"/>
    <w:p w14:paraId="1D50822A">
      <w:pPr>
        <w:spacing w:line="480" w:lineRule="exact"/>
        <w:outlineLvl w:val="2"/>
        <w:rPr>
          <w:rFonts w:ascii="宋体" w:hAnsi="宋体" w:cs="仿宋"/>
          <w:b/>
          <w:bCs/>
          <w:color w:val="auto"/>
          <w:szCs w:val="32"/>
          <w:highlight w:val="none"/>
        </w:rPr>
      </w:pPr>
      <w:bookmarkStart w:id="602" w:name="_Toc389065300"/>
      <w:bookmarkStart w:id="603" w:name="_Toc373227734"/>
      <w:bookmarkStart w:id="604" w:name="_Toc403483768"/>
      <w:bookmarkStart w:id="605" w:name="_Toc373478381"/>
      <w:bookmarkStart w:id="606" w:name="_Toc434601333"/>
      <w:bookmarkStart w:id="607" w:name="_Toc434602173"/>
      <w:r>
        <w:rPr>
          <w:rFonts w:hint="eastAsia" w:ascii="宋体" w:hAnsi="宋体" w:cs="仿宋"/>
          <w:b/>
          <w:bCs/>
          <w:color w:val="auto"/>
          <w:szCs w:val="32"/>
          <w:highlight w:val="none"/>
        </w:rPr>
        <w:t>8.3 样品</w:t>
      </w:r>
      <w:bookmarkEnd w:id="602"/>
      <w:bookmarkEnd w:id="603"/>
      <w:bookmarkEnd w:id="604"/>
      <w:bookmarkEnd w:id="605"/>
      <w:bookmarkEnd w:id="606"/>
      <w:bookmarkEnd w:id="607"/>
    </w:p>
    <w:p w14:paraId="349E5475">
      <w:pPr>
        <w:autoSpaceDE w:val="0"/>
        <w:autoSpaceDN w:val="0"/>
        <w:adjustRightInd w:val="0"/>
        <w:spacing w:line="480" w:lineRule="exact"/>
        <w:ind w:firstLine="420" w:firstLineChars="200"/>
        <w:jc w:val="left"/>
        <w:outlineLvl w:val="0"/>
        <w:rPr>
          <w:rFonts w:ascii="宋体" w:hAnsi="宋体" w:cs="仿宋"/>
          <w:color w:val="auto"/>
          <w:kern w:val="0"/>
          <w:highlight w:val="none"/>
        </w:rPr>
      </w:pPr>
      <w:r>
        <w:rPr>
          <w:rFonts w:hint="eastAsia" w:ascii="宋体" w:hAnsi="宋体" w:cs="仿宋"/>
          <w:color w:val="auto"/>
          <w:kern w:val="0"/>
          <w:highlight w:val="none"/>
        </w:rPr>
        <w:t>8.6.1样品的报送与封存</w:t>
      </w:r>
    </w:p>
    <w:p w14:paraId="2FC3E5FD">
      <w:pPr>
        <w:spacing w:line="480" w:lineRule="exact"/>
        <w:ind w:firstLine="420" w:firstLineChars="200"/>
        <w:outlineLvl w:val="2"/>
        <w:rPr>
          <w:rFonts w:ascii="宋体" w:hAnsi="宋体" w:cs="仿宋"/>
          <w:color w:val="auto"/>
          <w:highlight w:val="none"/>
        </w:rPr>
      </w:pPr>
      <w:bookmarkStart w:id="608" w:name="_Toc434602174"/>
      <w:bookmarkStart w:id="609" w:name="_Toc403483769"/>
      <w:bookmarkStart w:id="610" w:name="_Toc373227735"/>
      <w:bookmarkStart w:id="611" w:name="_Toc373478382"/>
      <w:bookmarkStart w:id="612" w:name="_Toc389065301"/>
      <w:bookmarkStart w:id="613" w:name="_Toc434601334"/>
      <w:r>
        <w:rPr>
          <w:rFonts w:ascii="宋体" w:hAnsi="宋体" w:cs="仿宋"/>
          <w:color w:val="auto"/>
          <w:highlight w:val="none"/>
        </w:rPr>
        <w:t>需要承包人 报送样品的材料或工程设备，样品的种类、名称、规格、数量要 求：主要材料涉及品种、款式、颜色等方面内容的，承包人应提 交拟选用合格的材料样品送发包人选定。选定的样品应封存于现 场，承包人应在现场为保存样品提供适当和固定的场所并保持适 当和良好的储存环境条件，特别是主要装饰、安装工程材料样品 至少封存到竣工结算审定完成后(根据工程设计实施情况，包括 但不限于地面、天面、内外墙面装饰材料，防水材料，门窗，电线电缆，桥架，给排水管等材料)。</w:t>
      </w:r>
    </w:p>
    <w:p w14:paraId="57FAF007">
      <w:pPr>
        <w:spacing w:line="480" w:lineRule="exact"/>
        <w:outlineLvl w:val="2"/>
        <w:rPr>
          <w:rFonts w:ascii="宋体" w:hAnsi="宋体" w:cs="仿宋"/>
          <w:b/>
          <w:bCs/>
          <w:color w:val="auto"/>
          <w:szCs w:val="32"/>
          <w:highlight w:val="none"/>
        </w:rPr>
      </w:pPr>
      <w:r>
        <w:rPr>
          <w:rFonts w:hint="eastAsia" w:ascii="宋体" w:hAnsi="宋体" w:cs="仿宋"/>
          <w:b/>
          <w:bCs/>
          <w:color w:val="auto"/>
          <w:szCs w:val="32"/>
          <w:highlight w:val="none"/>
        </w:rPr>
        <w:t>8.4 施工设备和临时设施</w:t>
      </w:r>
      <w:bookmarkEnd w:id="608"/>
      <w:bookmarkEnd w:id="609"/>
      <w:bookmarkEnd w:id="610"/>
      <w:bookmarkEnd w:id="611"/>
      <w:bookmarkEnd w:id="612"/>
      <w:bookmarkEnd w:id="613"/>
    </w:p>
    <w:p w14:paraId="50D7224B">
      <w:pPr>
        <w:autoSpaceDE w:val="0"/>
        <w:autoSpaceDN w:val="0"/>
        <w:adjustRightInd w:val="0"/>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8.4.1 承包人提供的施工设备和临时设施</w:t>
      </w:r>
    </w:p>
    <w:p w14:paraId="684B8AB5">
      <w:pPr>
        <w:autoSpaceDE w:val="0"/>
        <w:autoSpaceDN w:val="0"/>
        <w:adjustRightInd w:val="0"/>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35153E70">
      <w:pPr>
        <w:autoSpaceDE w:val="0"/>
        <w:autoSpaceDN w:val="0"/>
        <w:adjustRightInd w:val="0"/>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关于修建临时设施费用承担的约定：</w:t>
      </w:r>
    </w:p>
    <w:p w14:paraId="0B090BC2">
      <w:pPr>
        <w:autoSpaceDE w:val="0"/>
        <w:autoSpaceDN w:val="0"/>
        <w:adjustRightInd w:val="0"/>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7514C65F">
      <w:pPr>
        <w:autoSpaceDE w:val="0"/>
        <w:autoSpaceDN w:val="0"/>
        <w:adjustRightInd w:val="0"/>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②承包人负责合同实施期间其合同段内临时交通道路（含场内外连接公共交通道路）和交通设施的修建、维修、养护和交通管理工作，并承担一切费用。</w:t>
      </w:r>
    </w:p>
    <w:p w14:paraId="390B33DB">
      <w:pPr>
        <w:autoSpaceDE w:val="0"/>
        <w:autoSpaceDN w:val="0"/>
        <w:adjustRightInd w:val="0"/>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DD13072">
      <w:pPr>
        <w:autoSpaceDE w:val="0"/>
        <w:autoSpaceDN w:val="0"/>
        <w:adjustRightInd w:val="0"/>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8.4.2 发包人提供的施工设备和临时设施</w:t>
      </w:r>
    </w:p>
    <w:p w14:paraId="5D3C8816">
      <w:pPr>
        <w:autoSpaceDE w:val="0"/>
        <w:autoSpaceDN w:val="0"/>
        <w:adjustRightInd w:val="0"/>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发包人提供的施工设备和临时设施：</w:t>
      </w:r>
      <w:r>
        <w:rPr>
          <w:rFonts w:hint="eastAsia" w:ascii="宋体" w:hAnsi="宋体" w:cs="仿宋"/>
          <w:color w:val="auto"/>
          <w:highlight w:val="none"/>
          <w:u w:val="single"/>
        </w:rPr>
        <w:t>无。</w:t>
      </w:r>
    </w:p>
    <w:p w14:paraId="763DABCD">
      <w:pPr>
        <w:autoSpaceDE w:val="0"/>
        <w:autoSpaceDN w:val="0"/>
        <w:adjustRightInd w:val="0"/>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发包人提供的施工设备和临时设施的运行、维护、拆除、清运费用的承担人：</w:t>
      </w:r>
      <w:r>
        <w:rPr>
          <w:rFonts w:hint="eastAsia" w:ascii="宋体" w:hAnsi="宋体" w:cs="仿宋"/>
          <w:color w:val="auto"/>
          <w:highlight w:val="none"/>
          <w:u w:val="single"/>
        </w:rPr>
        <w:t>无</w:t>
      </w:r>
      <w:r>
        <w:rPr>
          <w:rFonts w:hint="eastAsia" w:ascii="宋体" w:hAnsi="宋体" w:cs="仿宋"/>
          <w:color w:val="auto"/>
          <w:highlight w:val="none"/>
        </w:rPr>
        <w:t>。</w:t>
      </w:r>
    </w:p>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14:paraId="36F4C252">
      <w:pPr>
        <w:spacing w:line="480" w:lineRule="exact"/>
        <w:outlineLvl w:val="1"/>
        <w:rPr>
          <w:rFonts w:ascii="宋体" w:hAnsi="宋体" w:cs="仿宋"/>
          <w:b/>
          <w:bCs/>
          <w:color w:val="auto"/>
          <w:szCs w:val="32"/>
          <w:highlight w:val="none"/>
        </w:rPr>
      </w:pPr>
      <w:bookmarkStart w:id="614" w:name="_Toc403483770"/>
      <w:bookmarkStart w:id="615" w:name="_Toc373227736"/>
      <w:bookmarkStart w:id="616" w:name="_Toc351203641"/>
      <w:bookmarkStart w:id="617" w:name="_Toc434601335"/>
      <w:bookmarkStart w:id="618" w:name="_Toc389065302"/>
      <w:bookmarkStart w:id="619" w:name="_Toc434602175"/>
      <w:bookmarkStart w:id="620" w:name="_Toc373478383"/>
      <w:r>
        <w:rPr>
          <w:rFonts w:hint="eastAsia" w:ascii="宋体" w:hAnsi="宋体" w:cs="仿宋"/>
          <w:b/>
          <w:bCs/>
          <w:color w:val="auto"/>
          <w:szCs w:val="32"/>
          <w:highlight w:val="none"/>
        </w:rPr>
        <w:t>9</w:t>
      </w:r>
      <w:bookmarkEnd w:id="581"/>
      <w:bookmarkEnd w:id="582"/>
      <w:bookmarkEnd w:id="583"/>
      <w:bookmarkStart w:id="621" w:name="_Toc312678021"/>
      <w:bookmarkStart w:id="622" w:name="_Toc303539139"/>
      <w:bookmarkStart w:id="623" w:name="_Toc297123533"/>
      <w:bookmarkStart w:id="624" w:name="_Toc312677495"/>
      <w:bookmarkStart w:id="625" w:name="_Toc297216192"/>
      <w:bookmarkStart w:id="626" w:name="_Toc304295559"/>
      <w:bookmarkStart w:id="627" w:name="_Toc300934982"/>
      <w:bookmarkStart w:id="628" w:name="_Toc267251427"/>
      <w:bookmarkStart w:id="629" w:name="_Toc296503173"/>
      <w:bookmarkStart w:id="630" w:name="_Toc292559378"/>
      <w:bookmarkStart w:id="631" w:name="_Toc296944512"/>
      <w:bookmarkStart w:id="632" w:name="_Toc292559883"/>
      <w:bookmarkStart w:id="633" w:name="_Toc296347172"/>
      <w:bookmarkStart w:id="634" w:name="_Toc297048359"/>
      <w:bookmarkStart w:id="635" w:name="_Toc296891213"/>
      <w:bookmarkStart w:id="636" w:name="_Toc296891001"/>
      <w:bookmarkStart w:id="637" w:name="_Toc267251428"/>
      <w:bookmarkStart w:id="638" w:name="_Toc297120473"/>
      <w:bookmarkStart w:id="639" w:name="_Toc296346674"/>
      <w:r>
        <w:rPr>
          <w:rFonts w:hint="eastAsia" w:ascii="宋体" w:hAnsi="宋体" w:cs="仿宋"/>
          <w:b/>
          <w:bCs/>
          <w:color w:val="auto"/>
          <w:szCs w:val="32"/>
          <w:highlight w:val="none"/>
        </w:rPr>
        <w:t>. 试验与检验</w:t>
      </w:r>
      <w:bookmarkEnd w:id="614"/>
      <w:bookmarkEnd w:id="615"/>
      <w:bookmarkEnd w:id="616"/>
      <w:bookmarkEnd w:id="617"/>
      <w:bookmarkEnd w:id="618"/>
      <w:bookmarkEnd w:id="619"/>
      <w:bookmarkEnd w:id="620"/>
    </w:p>
    <w:bookmarkEnd w:id="621"/>
    <w:bookmarkEnd w:id="622"/>
    <w:bookmarkEnd w:id="623"/>
    <w:bookmarkEnd w:id="624"/>
    <w:bookmarkEnd w:id="625"/>
    <w:bookmarkEnd w:id="626"/>
    <w:bookmarkEnd w:id="627"/>
    <w:p w14:paraId="66CF9E86">
      <w:pPr>
        <w:spacing w:line="480" w:lineRule="exact"/>
        <w:outlineLvl w:val="2"/>
        <w:rPr>
          <w:rFonts w:ascii="宋体" w:hAnsi="宋体" w:cs="仿宋"/>
          <w:b/>
          <w:bCs/>
          <w:color w:val="auto"/>
          <w:szCs w:val="32"/>
          <w:highlight w:val="none"/>
        </w:rPr>
      </w:pPr>
      <w:bookmarkStart w:id="640" w:name="_Toc389065303"/>
      <w:bookmarkStart w:id="641" w:name="_Toc434601336"/>
      <w:bookmarkStart w:id="642" w:name="_Toc373227737"/>
      <w:bookmarkStart w:id="643" w:name="_Toc403483771"/>
      <w:bookmarkStart w:id="644" w:name="_Toc373478384"/>
      <w:bookmarkStart w:id="645" w:name="_Toc434602176"/>
      <w:r>
        <w:rPr>
          <w:rFonts w:hint="eastAsia" w:ascii="宋体" w:hAnsi="宋体" w:cs="仿宋"/>
          <w:b/>
          <w:bCs/>
          <w:color w:val="auto"/>
          <w:szCs w:val="32"/>
          <w:highlight w:val="none"/>
        </w:rPr>
        <w:t>9</w:t>
      </w:r>
      <w:bookmarkStart w:id="646" w:name="_Toc297123534"/>
      <w:bookmarkStart w:id="647" w:name="_Toc312677496"/>
      <w:bookmarkStart w:id="648" w:name="_Toc297216193"/>
      <w:bookmarkStart w:id="649" w:name="_Toc312678022"/>
      <w:bookmarkStart w:id="650" w:name="_Toc304295560"/>
      <w:bookmarkStart w:id="651" w:name="_Toc303539140"/>
      <w:bookmarkStart w:id="652" w:name="_Toc300934983"/>
      <w:r>
        <w:rPr>
          <w:rFonts w:hint="eastAsia" w:ascii="宋体" w:hAnsi="宋体" w:cs="仿宋"/>
          <w:b/>
          <w:bCs/>
          <w:color w:val="auto"/>
          <w:szCs w:val="32"/>
          <w:highlight w:val="none"/>
        </w:rPr>
        <w:t>.1试验设备与试验人员</w:t>
      </w:r>
      <w:bookmarkEnd w:id="640"/>
      <w:bookmarkEnd w:id="641"/>
      <w:bookmarkEnd w:id="642"/>
      <w:bookmarkEnd w:id="643"/>
      <w:bookmarkEnd w:id="644"/>
      <w:bookmarkEnd w:id="645"/>
    </w:p>
    <w:bookmarkEnd w:id="646"/>
    <w:bookmarkEnd w:id="647"/>
    <w:bookmarkEnd w:id="648"/>
    <w:bookmarkEnd w:id="649"/>
    <w:bookmarkEnd w:id="650"/>
    <w:bookmarkEnd w:id="651"/>
    <w:bookmarkEnd w:id="652"/>
    <w:p w14:paraId="4601799C">
      <w:pPr>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9</w:t>
      </w:r>
      <w:bookmarkStart w:id="653" w:name="_Toc304295561"/>
      <w:bookmarkStart w:id="654" w:name="_Toc312678023"/>
      <w:bookmarkStart w:id="655" w:name="_Toc312677497"/>
      <w:bookmarkStart w:id="656" w:name="_Toc297216194"/>
      <w:bookmarkStart w:id="657" w:name="_Toc300934984"/>
      <w:bookmarkStart w:id="658" w:name="_Toc297123535"/>
      <w:bookmarkStart w:id="659" w:name="_Toc303539141"/>
      <w:bookmarkStart w:id="660" w:name="_Toc318581174"/>
      <w:r>
        <w:rPr>
          <w:rFonts w:hint="eastAsia" w:ascii="宋体" w:hAnsi="宋体" w:cs="仿宋"/>
          <w:color w:val="auto"/>
          <w:highlight w:val="none"/>
        </w:rPr>
        <w:t>.1.2 试验设备</w:t>
      </w:r>
    </w:p>
    <w:p w14:paraId="41A323F9">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施工现场需要配置的试验场所：</w:t>
      </w:r>
      <w:bookmarkEnd w:id="653"/>
      <w:bookmarkEnd w:id="654"/>
      <w:bookmarkEnd w:id="655"/>
      <w:bookmarkEnd w:id="656"/>
      <w:bookmarkEnd w:id="657"/>
      <w:bookmarkEnd w:id="658"/>
      <w:bookmarkEnd w:id="659"/>
      <w:bookmarkStart w:id="661" w:name="_Toc303539142"/>
      <w:bookmarkStart w:id="662" w:name="_Toc297216195"/>
      <w:bookmarkStart w:id="663" w:name="_Toc300934985"/>
      <w:bookmarkStart w:id="664" w:name="_Toc312677498"/>
      <w:bookmarkStart w:id="665" w:name="_Toc297123536"/>
      <w:bookmarkStart w:id="666" w:name="_Toc304295562"/>
      <w:bookmarkStart w:id="667" w:name="_Toc312678024"/>
      <w:r>
        <w:rPr>
          <w:rFonts w:hint="eastAsia" w:ascii="宋体" w:hAnsi="宋体" w:cs="仿宋"/>
          <w:color w:val="auto"/>
          <w:highlight w:val="none"/>
          <w:u w:val="single"/>
        </w:rPr>
        <w:t>按有关规定执行，其余均按本合同《通用条款》相关规定执行</w:t>
      </w:r>
      <w:r>
        <w:rPr>
          <w:rFonts w:hint="eastAsia" w:ascii="宋体" w:hAnsi="宋体" w:cs="仿宋"/>
          <w:color w:val="auto"/>
          <w:highlight w:val="none"/>
        </w:rPr>
        <w:t>。</w:t>
      </w:r>
    </w:p>
    <w:p w14:paraId="2AA7DA2E">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施工现场需要配备的试验设备：</w:t>
      </w:r>
      <w:r>
        <w:rPr>
          <w:rFonts w:hint="eastAsia" w:ascii="宋体" w:hAnsi="宋体" w:cs="仿宋"/>
          <w:color w:val="auto"/>
          <w:highlight w:val="none"/>
          <w:u w:val="single"/>
        </w:rPr>
        <w:t>按有关规定执行，其余均按本合同《通用条款》相关规定执行</w:t>
      </w:r>
      <w:r>
        <w:rPr>
          <w:rFonts w:hint="eastAsia" w:ascii="宋体" w:hAnsi="宋体" w:cs="仿宋"/>
          <w:color w:val="auto"/>
          <w:highlight w:val="none"/>
        </w:rPr>
        <w:t>。</w:t>
      </w:r>
    </w:p>
    <w:p w14:paraId="0469DE92">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施工现场需要具备的其他试验条件：</w:t>
      </w:r>
      <w:bookmarkStart w:id="668" w:name="_Toc389065304"/>
      <w:bookmarkStart w:id="669" w:name="_Toc373227738"/>
      <w:bookmarkStart w:id="670" w:name="_Toc373478385"/>
      <w:bookmarkStart w:id="671" w:name="_Toc403483772"/>
      <w:r>
        <w:rPr>
          <w:rFonts w:hint="eastAsia" w:ascii="宋体" w:hAnsi="宋体" w:cs="仿宋"/>
          <w:color w:val="auto"/>
          <w:highlight w:val="none"/>
          <w:u w:val="single"/>
        </w:rPr>
        <w:t>按有关规定执行，其余均按本合同《通用条款》相关规定执行</w:t>
      </w:r>
      <w:r>
        <w:rPr>
          <w:rFonts w:hint="eastAsia" w:ascii="宋体" w:hAnsi="宋体" w:cs="仿宋"/>
          <w:color w:val="auto"/>
          <w:highlight w:val="none"/>
        </w:rPr>
        <w:t>。</w:t>
      </w:r>
    </w:p>
    <w:p w14:paraId="6C8C41EE">
      <w:pPr>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9.4 现场工艺试验</w:t>
      </w:r>
      <w:bookmarkEnd w:id="668"/>
      <w:bookmarkEnd w:id="669"/>
      <w:bookmarkEnd w:id="670"/>
      <w:bookmarkEnd w:id="671"/>
    </w:p>
    <w:p w14:paraId="5BCA3ED2">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现场工艺试验的有关约定：</w:t>
      </w:r>
      <w:r>
        <w:rPr>
          <w:rFonts w:hint="eastAsia" w:ascii="宋体" w:hAnsi="宋体" w:cs="仿宋"/>
          <w:color w:val="auto"/>
          <w:highlight w:val="none"/>
          <w:u w:val="single"/>
        </w:rPr>
        <w:t>按有关规定执行，其余均按本合同《通用条款》相关规定执行</w:t>
      </w:r>
      <w:r>
        <w:rPr>
          <w:rFonts w:hint="eastAsia" w:ascii="宋体" w:hAnsi="宋体" w:cs="仿宋"/>
          <w:color w:val="auto"/>
          <w:highlight w:val="none"/>
        </w:rPr>
        <w:t>。</w:t>
      </w:r>
    </w:p>
    <w:p w14:paraId="78D8E5C3">
      <w:pPr>
        <w:spacing w:line="480" w:lineRule="exact"/>
        <w:outlineLvl w:val="2"/>
        <w:rPr>
          <w:rFonts w:ascii="宋体" w:hAnsi="宋体" w:cs="仿宋"/>
          <w:color w:val="auto"/>
          <w:highlight w:val="none"/>
        </w:rPr>
      </w:pPr>
      <w:bookmarkStart w:id="672" w:name="_Toc403483773"/>
      <w:bookmarkStart w:id="673" w:name="_Toc434601337"/>
      <w:bookmarkStart w:id="674" w:name="_Toc434602177"/>
      <w:bookmarkStart w:id="675" w:name="OLE_LINK1"/>
      <w:r>
        <w:rPr>
          <w:rFonts w:hint="eastAsia" w:ascii="宋体" w:hAnsi="宋体" w:cs="仿宋"/>
          <w:b/>
          <w:bCs/>
          <w:color w:val="auto"/>
          <w:szCs w:val="32"/>
          <w:highlight w:val="none"/>
        </w:rPr>
        <w:t xml:space="preserve">    </w:t>
      </w:r>
      <w:r>
        <w:rPr>
          <w:rFonts w:hint="eastAsia" w:ascii="宋体" w:hAnsi="宋体" w:cs="仿宋"/>
          <w:color w:val="auto"/>
          <w:highlight w:val="none"/>
        </w:rPr>
        <w:t>9.5 检验费用</w:t>
      </w:r>
      <w:bookmarkEnd w:id="672"/>
      <w:bookmarkEnd w:id="673"/>
      <w:bookmarkEnd w:id="674"/>
    </w:p>
    <w:p w14:paraId="33F36420">
      <w:pPr>
        <w:spacing w:line="480" w:lineRule="exact"/>
        <w:ind w:firstLine="411" w:firstLineChars="196"/>
        <w:rPr>
          <w:rFonts w:ascii="宋体" w:hAnsi="宋体" w:cs="仿宋"/>
          <w:color w:val="auto"/>
          <w:highlight w:val="none"/>
        </w:rPr>
      </w:pPr>
      <w:r>
        <w:rPr>
          <w:rFonts w:hint="eastAsia" w:ascii="宋体" w:hAnsi="宋体" w:cs="仿宋"/>
          <w:color w:val="auto"/>
          <w:highlight w:val="none"/>
        </w:rPr>
        <w:t>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w:t>
      </w:r>
    </w:p>
    <w:p w14:paraId="1B54E3E3">
      <w:pPr>
        <w:spacing w:line="480" w:lineRule="exact"/>
        <w:ind w:firstLine="411" w:firstLineChars="196"/>
        <w:rPr>
          <w:rFonts w:ascii="宋体" w:hAnsi="宋体" w:cs="仿宋"/>
          <w:color w:val="auto"/>
          <w:highlight w:val="none"/>
        </w:rPr>
      </w:pPr>
      <w:r>
        <w:rPr>
          <w:rFonts w:ascii="宋体" w:hAnsi="宋体" w:cs="仿宋"/>
          <w:color w:val="auto"/>
          <w:highlight w:val="none"/>
        </w:rPr>
        <w:t>9.6如法律或规范要求材料（成品、半成品）、设备在安装使用前必须进行检测或性能测试的，承包人应自己承担费用完成对所提供材料（成品、半成品）、设备的全部检测工作，并在使用前将检测结果的正式报告提交给发包人。</w:t>
      </w:r>
    </w:p>
    <w:p w14:paraId="22B74126">
      <w:pPr>
        <w:spacing w:line="480" w:lineRule="exact"/>
        <w:ind w:firstLine="411" w:firstLineChars="196"/>
        <w:rPr>
          <w:rFonts w:ascii="宋体" w:hAnsi="宋体" w:cs="仿宋"/>
          <w:color w:val="auto"/>
          <w:highlight w:val="none"/>
        </w:rPr>
      </w:pPr>
      <w:r>
        <w:rPr>
          <w:rFonts w:ascii="宋体" w:hAnsi="宋体" w:cs="仿宋"/>
          <w:color w:val="auto"/>
          <w:highlight w:val="none"/>
        </w:rPr>
        <w:t>9.7发包人、监理人有权制止承包人在工程施工中使用任何未通过法律、规范或合同要求的检验与测试的材料。</w:t>
      </w:r>
    </w:p>
    <w:p w14:paraId="6B4B25CB">
      <w:pPr>
        <w:spacing w:line="480" w:lineRule="exact"/>
        <w:ind w:firstLine="411" w:firstLineChars="196"/>
        <w:rPr>
          <w:rFonts w:ascii="宋体" w:hAnsi="宋体" w:cs="仿宋"/>
          <w:color w:val="auto"/>
          <w:highlight w:val="none"/>
        </w:rPr>
      </w:pPr>
      <w:r>
        <w:rPr>
          <w:rFonts w:ascii="宋体" w:hAnsi="宋体" w:cs="仿宋"/>
          <w:color w:val="auto"/>
          <w:highlight w:val="none"/>
        </w:rPr>
        <w:t>9.8发包人可以要求承包人进行规范及合同中未要求的但发包人认为必要的检验和测试，以证明材料、设备性能或证实材料、设备满足合同中技术规格、指标和标准的要求。若经检验和测试，证实材料、设备满足合同中约定的技术规格、指标和标准，则所发生的合理成本和费用应增加到合同价中；若经检验和测试，证实材料、设备不符合合同中约定的技术规格、指标和标准，则所发生的全部成本和费用由承包人承担。</w:t>
      </w:r>
    </w:p>
    <w:p w14:paraId="3CF5D887">
      <w:pPr>
        <w:spacing w:line="480" w:lineRule="exact"/>
        <w:ind w:firstLine="411" w:firstLineChars="196"/>
        <w:rPr>
          <w:rFonts w:ascii="宋体" w:hAnsi="宋体" w:cs="仿宋"/>
          <w:color w:val="auto"/>
          <w:highlight w:val="none"/>
        </w:rPr>
      </w:pPr>
      <w:r>
        <w:rPr>
          <w:rFonts w:ascii="宋体" w:hAnsi="宋体" w:cs="仿宋"/>
          <w:color w:val="auto"/>
          <w:highlight w:val="none"/>
        </w:rPr>
        <w:t>9.9材料、设备的合格检验、测试或是检验报告的出具，不免除承包人应承担的合同项下的质量保证义务或其他义务。</w:t>
      </w:r>
    </w:p>
    <w:p w14:paraId="3E808F94">
      <w:pPr>
        <w:spacing w:line="480" w:lineRule="exact"/>
        <w:ind w:firstLine="411" w:firstLineChars="196"/>
        <w:rPr>
          <w:rFonts w:ascii="宋体" w:hAnsi="宋体" w:cs="仿宋"/>
          <w:color w:val="auto"/>
          <w:highlight w:val="none"/>
        </w:rPr>
      </w:pPr>
      <w:r>
        <w:rPr>
          <w:rFonts w:ascii="宋体" w:hAnsi="宋体" w:cs="仿宋"/>
          <w:color w:val="auto"/>
          <w:highlight w:val="none"/>
        </w:rPr>
        <w:t>9.10承包人使用未经检验、或虽经检验但被判定为不合格、或虽经检验并被判定合格但属假冒伪劣材料的，承包人必须向发包人承担违约责任。</w:t>
      </w:r>
    </w:p>
    <w:bookmarkEnd w:id="660"/>
    <w:bookmarkEnd w:id="661"/>
    <w:bookmarkEnd w:id="662"/>
    <w:bookmarkEnd w:id="663"/>
    <w:bookmarkEnd w:id="664"/>
    <w:bookmarkEnd w:id="665"/>
    <w:bookmarkEnd w:id="666"/>
    <w:bookmarkEnd w:id="667"/>
    <w:bookmarkEnd w:id="675"/>
    <w:p w14:paraId="6511071E">
      <w:pPr>
        <w:spacing w:line="480" w:lineRule="exact"/>
        <w:outlineLvl w:val="1"/>
        <w:rPr>
          <w:rFonts w:ascii="宋体" w:hAnsi="宋体" w:cs="仿宋"/>
          <w:b/>
          <w:bCs/>
          <w:color w:val="auto"/>
          <w:szCs w:val="32"/>
          <w:highlight w:val="none"/>
        </w:rPr>
      </w:pPr>
      <w:bookmarkStart w:id="676" w:name="_Toc434602178"/>
      <w:bookmarkStart w:id="677" w:name="_Toc434601338"/>
      <w:bookmarkStart w:id="678" w:name="_Toc389065305"/>
      <w:bookmarkStart w:id="679" w:name="_Toc373227739"/>
      <w:bookmarkStart w:id="680" w:name="_Toc351203642"/>
      <w:bookmarkStart w:id="681" w:name="_Toc403483774"/>
      <w:bookmarkStart w:id="682" w:name="_Toc373478386"/>
      <w:r>
        <w:rPr>
          <w:rFonts w:hint="eastAsia" w:ascii="宋体" w:hAnsi="宋体" w:cs="仿宋"/>
          <w:b/>
          <w:bCs/>
          <w:color w:val="auto"/>
          <w:szCs w:val="32"/>
          <w:highlight w:val="none"/>
        </w:rPr>
        <w:t>1</w:t>
      </w:r>
      <w:bookmarkEnd w:id="628"/>
      <w:bookmarkEnd w:id="629"/>
      <w:bookmarkEnd w:id="630"/>
      <w:bookmarkEnd w:id="631"/>
      <w:bookmarkEnd w:id="632"/>
      <w:bookmarkEnd w:id="633"/>
      <w:bookmarkEnd w:id="634"/>
      <w:bookmarkEnd w:id="635"/>
      <w:bookmarkEnd w:id="636"/>
      <w:bookmarkEnd w:id="637"/>
      <w:bookmarkEnd w:id="638"/>
      <w:bookmarkEnd w:id="639"/>
      <w:bookmarkStart w:id="683" w:name="_Toc292559398"/>
      <w:bookmarkStart w:id="684" w:name="_Toc296346694"/>
      <w:bookmarkStart w:id="685" w:name="_Toc303539146"/>
      <w:bookmarkStart w:id="686" w:name="_Toc297216199"/>
      <w:bookmarkStart w:id="687" w:name="_Toc297048379"/>
      <w:bookmarkStart w:id="688" w:name="_Toc296503193"/>
      <w:bookmarkStart w:id="689" w:name="_Toc297120493"/>
      <w:bookmarkStart w:id="690" w:name="_Toc296944532"/>
      <w:bookmarkStart w:id="691" w:name="_Toc300934989"/>
      <w:bookmarkStart w:id="692" w:name="_Toc296891021"/>
      <w:bookmarkStart w:id="693" w:name="_Toc296891233"/>
      <w:bookmarkStart w:id="694" w:name="_Toc296347192"/>
      <w:bookmarkStart w:id="695" w:name="_Toc292559903"/>
      <w:bookmarkStart w:id="696" w:name="_Toc304295566"/>
      <w:bookmarkStart w:id="697" w:name="_Toc297123540"/>
      <w:bookmarkStart w:id="698" w:name="_Toc312678025"/>
      <w:bookmarkStart w:id="699" w:name="_Toc312677499"/>
      <w:bookmarkStart w:id="700" w:name="_Toc267251435"/>
      <w:bookmarkStart w:id="701" w:name="_Toc267251440"/>
      <w:bookmarkStart w:id="702" w:name="_Toc267251433"/>
      <w:bookmarkStart w:id="703" w:name="_Toc267251437"/>
      <w:bookmarkStart w:id="704" w:name="_Toc267251439"/>
      <w:bookmarkStart w:id="705" w:name="_Toc267251441"/>
      <w:r>
        <w:rPr>
          <w:rFonts w:hint="eastAsia" w:ascii="宋体" w:hAnsi="宋体" w:cs="仿宋"/>
          <w:b/>
          <w:bCs/>
          <w:color w:val="auto"/>
          <w:szCs w:val="32"/>
          <w:highlight w:val="none"/>
        </w:rPr>
        <w:t>0. 变更</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bookmarkEnd w:id="698"/>
    <w:bookmarkEnd w:id="699"/>
    <w:p w14:paraId="594AE862">
      <w:pPr>
        <w:spacing w:line="480" w:lineRule="exact"/>
        <w:outlineLvl w:val="2"/>
        <w:rPr>
          <w:rFonts w:ascii="宋体" w:hAnsi="宋体" w:cs="仿宋"/>
          <w:b/>
          <w:bCs/>
          <w:color w:val="auto"/>
          <w:szCs w:val="32"/>
          <w:highlight w:val="none"/>
        </w:rPr>
      </w:pPr>
      <w:bookmarkStart w:id="706" w:name="_Toc403483775"/>
      <w:bookmarkStart w:id="707" w:name="_Toc373227740"/>
      <w:bookmarkStart w:id="708" w:name="_Toc389065306"/>
      <w:bookmarkStart w:id="709" w:name="_Toc373478387"/>
      <w:bookmarkStart w:id="710" w:name="_Toc434602179"/>
      <w:bookmarkStart w:id="711" w:name="_Toc434601339"/>
      <w:r>
        <w:rPr>
          <w:rFonts w:hint="eastAsia" w:ascii="宋体" w:hAnsi="宋体" w:cs="仿宋"/>
          <w:b/>
          <w:bCs/>
          <w:color w:val="auto"/>
          <w:szCs w:val="32"/>
          <w:highlight w:val="none"/>
        </w:rPr>
        <w:t>1</w:t>
      </w:r>
      <w:bookmarkStart w:id="712" w:name="_Toc303539147"/>
      <w:bookmarkStart w:id="713" w:name="_Toc296944533"/>
      <w:bookmarkStart w:id="714" w:name="_Toc296347193"/>
      <w:bookmarkStart w:id="715" w:name="_Toc312678026"/>
      <w:bookmarkStart w:id="716" w:name="_Toc297123541"/>
      <w:bookmarkStart w:id="717" w:name="_Toc296346695"/>
      <w:bookmarkStart w:id="718" w:name="_Toc297048380"/>
      <w:bookmarkStart w:id="719" w:name="_Toc292559399"/>
      <w:bookmarkStart w:id="720" w:name="_Toc312677500"/>
      <w:bookmarkStart w:id="721" w:name="_Toc300934990"/>
      <w:bookmarkStart w:id="722" w:name="_Toc296503194"/>
      <w:bookmarkStart w:id="723" w:name="_Toc296891022"/>
      <w:bookmarkStart w:id="724" w:name="_Toc296891234"/>
      <w:bookmarkStart w:id="725" w:name="_Toc297120494"/>
      <w:bookmarkStart w:id="726" w:name="_Toc297216200"/>
      <w:bookmarkStart w:id="727" w:name="_Toc304295567"/>
      <w:bookmarkStart w:id="728" w:name="_Toc292559904"/>
      <w:r>
        <w:rPr>
          <w:rFonts w:hint="eastAsia" w:ascii="宋体" w:hAnsi="宋体" w:cs="仿宋"/>
          <w:b/>
          <w:bCs/>
          <w:color w:val="auto"/>
          <w:szCs w:val="32"/>
          <w:highlight w:val="none"/>
        </w:rPr>
        <w:t>0.1变更的范围</w:t>
      </w:r>
      <w:bookmarkEnd w:id="706"/>
      <w:bookmarkEnd w:id="707"/>
      <w:bookmarkEnd w:id="708"/>
      <w:bookmarkEnd w:id="709"/>
      <w:bookmarkEnd w:id="710"/>
      <w:bookmarkEnd w:id="711"/>
    </w:p>
    <w:p w14:paraId="29C1D351">
      <w:pPr>
        <w:spacing w:line="480" w:lineRule="exact"/>
        <w:ind w:firstLine="426"/>
        <w:jc w:val="left"/>
        <w:rPr>
          <w:rFonts w:ascii="宋体" w:hAnsi="宋体" w:cs="仿宋"/>
          <w:color w:val="auto"/>
          <w:highlight w:val="none"/>
        </w:rPr>
      </w:pPr>
      <w:r>
        <w:rPr>
          <w:rFonts w:hint="eastAsia" w:ascii="宋体" w:hAnsi="宋体" w:cs="仿宋"/>
          <w:color w:val="auto"/>
          <w:highlight w:val="none"/>
        </w:rPr>
        <w:t>（1）关于变更的范围的约定：</w:t>
      </w:r>
      <w:r>
        <w:rPr>
          <w:rFonts w:hint="eastAsia" w:ascii="宋体" w:hAnsi="宋体" w:cs="仿宋"/>
          <w:color w:val="auto"/>
          <w:highlight w:val="none"/>
          <w:u w:val="single"/>
        </w:rPr>
        <w:t>按本合同《通用条款》相关规定执行，工程变更部分不能超合同价的10%</w:t>
      </w:r>
      <w:r>
        <w:rPr>
          <w:rFonts w:hint="eastAsia" w:ascii="宋体" w:hAnsi="宋体" w:cs="仿宋"/>
          <w:color w:val="auto"/>
          <w:highlight w:val="none"/>
        </w:rPr>
        <w:t>。</w:t>
      </w:r>
    </w:p>
    <w:p w14:paraId="0BD48A7E">
      <w:pPr>
        <w:spacing w:line="480" w:lineRule="exact"/>
        <w:ind w:firstLine="426"/>
        <w:jc w:val="left"/>
        <w:rPr>
          <w:rFonts w:ascii="宋体" w:hAnsi="宋体" w:cs="仿宋"/>
          <w:color w:val="auto"/>
          <w:highlight w:val="none"/>
        </w:rPr>
      </w:pPr>
      <w:r>
        <w:rPr>
          <w:rFonts w:hint="eastAsia" w:ascii="宋体" w:hAnsi="宋体" w:cs="仿宋"/>
          <w:color w:val="auto"/>
          <w:highlight w:val="none"/>
        </w:rPr>
        <w:t>（2）施工期间，凡发生工程业务联系单（非设计原因）、技术核定单等，必须由发包人工地代表、总监理工程师、承包人项目经理共同办理书面签证手续，否则视为无效。</w:t>
      </w:r>
    </w:p>
    <w:p w14:paraId="73D1C2DC">
      <w:pPr>
        <w:spacing w:line="480" w:lineRule="exact"/>
        <w:ind w:firstLine="426"/>
        <w:jc w:val="left"/>
        <w:rPr>
          <w:rFonts w:ascii="宋体" w:hAnsi="宋体" w:cs="仿宋"/>
          <w:color w:val="auto"/>
          <w:highlight w:val="none"/>
        </w:rPr>
      </w:pPr>
      <w:r>
        <w:rPr>
          <w:rFonts w:hint="eastAsia" w:ascii="宋体" w:hAnsi="宋体" w:cs="仿宋"/>
          <w:color w:val="auto"/>
          <w:highlight w:val="none"/>
        </w:rPr>
        <w:t>（3）设计变更以发包人或设计院发出并经发包人确认的变更通知为有效文件，承包人应及时按发包人所发的设计变更施工，经监理单位及发包人检查，每查出承包人不按设计变更施工一次的，承包人向发包人支付贰万元的违约金，同时仍必须按设计变更施工，因不按设计变更施工所发生的修改返工费用由承包人承担，不能列入工程结算内容。</w:t>
      </w:r>
    </w:p>
    <w:p w14:paraId="512D6FE0">
      <w:pPr>
        <w:spacing w:line="480" w:lineRule="exact"/>
        <w:ind w:firstLine="426"/>
        <w:jc w:val="left"/>
        <w:rPr>
          <w:rFonts w:ascii="宋体" w:hAnsi="宋体" w:cs="仿宋"/>
          <w:color w:val="auto"/>
          <w:highlight w:val="none"/>
        </w:rPr>
      </w:pPr>
      <w:r>
        <w:rPr>
          <w:rFonts w:hint="eastAsia" w:ascii="宋体" w:hAnsi="宋体" w:cs="仿宋"/>
          <w:color w:val="auto"/>
          <w:highlight w:val="none"/>
        </w:rPr>
        <w:t>（4）发包人有权以书面形式或口头形式发出紧急性变更指令，责令承包人立即执行此项变更。承包人接到此类指令后应立即执行，若承包人拒绝执行发包人指令，每次按合同价款的贰万元向发包人支付违约金，该违约金在当期工程进度款中扣除：因此造成发包人损失的，还应赔偿发包人。</w:t>
      </w:r>
    </w:p>
    <w:p w14:paraId="5729CB40">
      <w:pPr>
        <w:spacing w:line="480" w:lineRule="exact"/>
        <w:ind w:firstLine="426"/>
        <w:jc w:val="left"/>
        <w:rPr>
          <w:rFonts w:ascii="宋体" w:hAnsi="宋体" w:cs="仿宋"/>
          <w:color w:val="auto"/>
          <w:highlight w:val="none"/>
        </w:rPr>
      </w:pPr>
      <w:r>
        <w:rPr>
          <w:rFonts w:hint="eastAsia" w:ascii="宋体" w:hAnsi="宋体" w:cs="仿宋"/>
          <w:color w:val="auto"/>
          <w:highlight w:val="none"/>
        </w:rPr>
        <w:t xml:space="preserve">①承包人在紧急性变更执行完毕后的14日内，应向发包人提交实施此项变更的工作内容，以及设备、材料、人力、机具等资源的实际消耗的费用。如果因执行此项变更造成竣工日期延误，应说明理由并提交进度计划。 </w:t>
      </w:r>
    </w:p>
    <w:p w14:paraId="79673F25">
      <w:pPr>
        <w:spacing w:line="480" w:lineRule="exact"/>
        <w:ind w:firstLine="426"/>
        <w:jc w:val="left"/>
        <w:rPr>
          <w:rFonts w:ascii="宋体" w:hAnsi="宋体" w:cs="仿宋"/>
          <w:color w:val="auto"/>
          <w:highlight w:val="none"/>
        </w:rPr>
      </w:pPr>
      <w:r>
        <w:rPr>
          <w:rFonts w:hint="eastAsia" w:ascii="宋体" w:hAnsi="宋体" w:cs="仿宋"/>
          <w:color w:val="auto"/>
          <w:highlight w:val="none"/>
        </w:rPr>
        <w:t>②承包人未能在规定日期内提交实际消耗的费用或（和）延长竣工日期的书面资料，视为该项变更不涉及合同价格调整和竣工日期延长，发包人不再承担此项变更的任何责任。</w:t>
      </w:r>
    </w:p>
    <w:p w14:paraId="08EE7A09">
      <w:pPr>
        <w:spacing w:line="480" w:lineRule="exact"/>
        <w:ind w:firstLine="426"/>
        <w:jc w:val="left"/>
        <w:rPr>
          <w:rFonts w:ascii="宋体" w:hAnsi="宋体" w:cs="仿宋"/>
          <w:color w:val="auto"/>
          <w:highlight w:val="none"/>
        </w:rPr>
      </w:pPr>
      <w:r>
        <w:rPr>
          <w:rFonts w:hint="eastAsia" w:ascii="宋体" w:hAnsi="宋体" w:cs="仿宋"/>
          <w:color w:val="auto"/>
          <w:highlight w:val="none"/>
        </w:rPr>
        <w:t>③发包人在接到承包人提交的书面资料后的28天内，应以书面通知承包人被批准的合理费用或（和）给予的竣工日期的合理延长。</w:t>
      </w:r>
    </w:p>
    <w:p w14:paraId="3FCC6E08">
      <w:pPr>
        <w:spacing w:line="480" w:lineRule="exact"/>
        <w:ind w:firstLine="426"/>
        <w:jc w:val="left"/>
        <w:rPr>
          <w:rFonts w:ascii="宋体" w:hAnsi="宋体" w:cs="仿宋"/>
          <w:color w:val="auto"/>
          <w:highlight w:val="none"/>
        </w:rPr>
      </w:pPr>
      <w:r>
        <w:rPr>
          <w:rFonts w:hint="eastAsia" w:ascii="宋体" w:hAnsi="宋体" w:cs="仿宋"/>
          <w:color w:val="auto"/>
          <w:highlight w:val="none"/>
        </w:rPr>
        <w:t>（5）为了便于工程结算，承包人必须在签证事件发生后28日内办理签证，否则视为承包人放弃签证；发包人工地代表在接到报告后28天内对申请签证事件进行确认或提出意见，同时对合理的签证事件办理签证。经发包人代表确认的有效签证资料必须在承包人向发包人提交结算书时同时附送，且该签证资料不得失灭，否则视为承包人放弃签证。</w:t>
      </w:r>
    </w:p>
    <w:p w14:paraId="20A5FCAE">
      <w:pPr>
        <w:spacing w:line="480" w:lineRule="exact"/>
        <w:ind w:firstLine="426"/>
        <w:jc w:val="left"/>
        <w:rPr>
          <w:rFonts w:ascii="宋体" w:hAnsi="宋体" w:cs="仿宋"/>
          <w:color w:val="auto"/>
          <w:highlight w:val="none"/>
        </w:rPr>
      </w:pPr>
      <w:r>
        <w:rPr>
          <w:rFonts w:hint="eastAsia" w:ascii="宋体" w:hAnsi="宋体" w:cs="仿宋"/>
          <w:color w:val="auto"/>
          <w:highlight w:val="none"/>
        </w:rPr>
        <w:t>（5）合同承包范围内事项（含本合同条款没有特别说明，但在图纸中有所规定或为实现合同目的所合理包含的一切内容与项目）、非发包人重大设计变更引起的工程量增加、工程质量整改引起的费用增加、承包人工期延误引起的费用增加、其他承包人违约情况下引起的任何费用增加等均不属于签证范围，发包人亦不办理任何签证；以上引起的费用等由承包人自行承担。</w:t>
      </w:r>
    </w:p>
    <w:p w14:paraId="1ADB5589">
      <w:pPr>
        <w:spacing w:line="480" w:lineRule="exact"/>
        <w:ind w:firstLine="426"/>
        <w:jc w:val="left"/>
        <w:rPr>
          <w:rFonts w:ascii="宋体" w:hAnsi="宋体" w:cs="仿宋"/>
          <w:color w:val="auto"/>
          <w:highlight w:val="none"/>
        </w:rPr>
      </w:pPr>
      <w:r>
        <w:rPr>
          <w:rFonts w:hint="eastAsia" w:ascii="宋体" w:hAnsi="宋体" w:cs="仿宋"/>
          <w:color w:val="auto"/>
          <w:highlight w:val="none"/>
        </w:rPr>
        <w:t>（6）各种工程签证单、来往函、联系单以承包人送交发包人委托的监理单位签收为准，若监理单位变更，需提前3天通知承包人。</w:t>
      </w:r>
    </w:p>
    <w:p w14:paraId="6B6D36B1">
      <w:pPr>
        <w:spacing w:line="480" w:lineRule="exact"/>
        <w:outlineLvl w:val="2"/>
        <w:rPr>
          <w:rFonts w:ascii="宋体" w:hAnsi="宋体" w:cs="仿宋"/>
          <w:b/>
          <w:bCs/>
          <w:color w:val="auto"/>
          <w:szCs w:val="32"/>
          <w:highlight w:val="none"/>
        </w:rPr>
      </w:pPr>
      <w:bookmarkStart w:id="729" w:name="_Toc389065307"/>
      <w:bookmarkStart w:id="730" w:name="_Toc373478388"/>
      <w:bookmarkStart w:id="731" w:name="_Toc434601340"/>
      <w:bookmarkStart w:id="732" w:name="_Toc403483776"/>
      <w:bookmarkStart w:id="733" w:name="_Toc373227741"/>
      <w:bookmarkStart w:id="734" w:name="_Toc434602180"/>
      <w:r>
        <w:rPr>
          <w:rFonts w:hint="eastAsia" w:ascii="宋体" w:hAnsi="宋体" w:cs="仿宋"/>
          <w:b/>
          <w:bCs/>
          <w:color w:val="auto"/>
          <w:szCs w:val="32"/>
          <w:highlight w:val="none"/>
        </w:rPr>
        <w:t>10.3 变更程序</w:t>
      </w:r>
      <w:bookmarkEnd w:id="729"/>
      <w:bookmarkEnd w:id="730"/>
      <w:bookmarkEnd w:id="731"/>
      <w:bookmarkEnd w:id="732"/>
      <w:bookmarkEnd w:id="733"/>
      <w:bookmarkEnd w:id="734"/>
    </w:p>
    <w:p w14:paraId="57D820E8">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⑴工程设计变更和签证工程发生后14日内，由建设单位将有关变更文件、签证单审批件、工程联系单、预算书、现场影像等工程资料，并作为进度款支付、事后抽查和工程结算的主要依据。</w:t>
      </w:r>
    </w:p>
    <w:p w14:paraId="197340D2">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⑵建设单位在实施项目过程中，若发生单价变动，由建设单位、监理单位、与施工单位共同商定并签字确认。</w:t>
      </w:r>
    </w:p>
    <w:p w14:paraId="758A7846">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⑶承包人应当在合同规定的调整情况发生后14天内，将调整原因，金额以书面形式通知发包人，发包人按第⑴、⑵、⑶、⑷条款的要求初步确认调整金额后将其作为追加合同价款，按不高于70%的比例与工程进度款同期支付。</w:t>
      </w:r>
    </w:p>
    <w:p w14:paraId="5C351A47">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⑷当合同规定的调整合同价款的调整情况发生后，承包人未在规定时间内通知发包人，或者未在规定时间内提出调整报告，发包人可以根据有关资料，决定是否调整和调整的金额，并书面通知承包人。</w:t>
      </w:r>
    </w:p>
    <w:p w14:paraId="7C3DF194">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（5）对现场签证资料手续办理问题，由建设单位、监理单位、设计单位、施工单位四方对相关工程量进行签章确认，涉及地基处理及地质处理变更工程量的现场确认需增加勘察单位。</w:t>
      </w:r>
    </w:p>
    <w:p w14:paraId="6F69A829">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（6）承包人所整理的变更签证资料应含有：工程联系单或变更通知、工程签证单、原始测量记录及现场图片。承包人在原始测量记录上签字的人员应具有承包人的委托，否则原始测量记录无效。</w:t>
      </w:r>
    </w:p>
    <w:p w14:paraId="43650E3A">
      <w:pPr>
        <w:spacing w:line="480" w:lineRule="exact"/>
        <w:ind w:firstLine="420" w:firstLineChars="200"/>
        <w:jc w:val="left"/>
        <w:rPr>
          <w:rFonts w:ascii="宋体" w:hAnsi="宋体" w:cs="仿宋"/>
          <w:bCs/>
          <w:color w:val="auto"/>
          <w:highlight w:val="none"/>
        </w:rPr>
      </w:pPr>
      <w:r>
        <w:rPr>
          <w:rFonts w:hint="eastAsia" w:ascii="宋体" w:hAnsi="宋体" w:cs="仿宋"/>
          <w:bCs/>
          <w:color w:val="auto"/>
          <w:highlight w:val="none"/>
        </w:rPr>
        <w:t>（7）工程变更的其他规定：无 。</w:t>
      </w:r>
    </w:p>
    <w:p w14:paraId="16DF9F1D">
      <w:pPr>
        <w:spacing w:line="480" w:lineRule="exact"/>
        <w:outlineLvl w:val="2"/>
        <w:rPr>
          <w:rFonts w:ascii="宋体" w:hAnsi="宋体" w:cs="仿宋"/>
          <w:b/>
          <w:bCs/>
          <w:color w:val="auto"/>
          <w:szCs w:val="32"/>
          <w:highlight w:val="none"/>
        </w:rPr>
      </w:pPr>
      <w:bookmarkStart w:id="735" w:name="_Toc403483777"/>
      <w:bookmarkStart w:id="736" w:name="_Toc373227742"/>
      <w:bookmarkStart w:id="737" w:name="_Toc389065308"/>
      <w:bookmarkStart w:id="738" w:name="_Toc434601341"/>
      <w:bookmarkStart w:id="739" w:name="_Toc434602181"/>
      <w:bookmarkStart w:id="740" w:name="_Toc373478389"/>
      <w:r>
        <w:rPr>
          <w:rFonts w:hint="eastAsia" w:ascii="宋体" w:hAnsi="宋体" w:cs="仿宋"/>
          <w:b/>
          <w:bCs/>
          <w:color w:val="auto"/>
          <w:szCs w:val="32"/>
          <w:highlight w:val="none"/>
        </w:rPr>
        <w:t>10.4 变更估价</w:t>
      </w:r>
      <w:bookmarkEnd w:id="735"/>
      <w:bookmarkEnd w:id="736"/>
      <w:bookmarkEnd w:id="737"/>
      <w:bookmarkEnd w:id="738"/>
      <w:bookmarkEnd w:id="739"/>
      <w:bookmarkEnd w:id="740"/>
    </w:p>
    <w:p w14:paraId="1BE7DF6C">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10.4.1 变更估价原则</w:t>
      </w:r>
    </w:p>
    <w:p w14:paraId="2972FB71">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 xml:space="preserve">关于变更估价的约定： </w:t>
      </w:r>
      <w:r>
        <w:rPr>
          <w:rFonts w:hint="eastAsia" w:ascii="宋体" w:hAnsi="宋体" w:cs="仿宋"/>
          <w:bCs/>
          <w:color w:val="auto"/>
          <w:highlight w:val="none"/>
          <w:u w:val="single"/>
        </w:rPr>
        <w:t>按第12.1款执行。</w:t>
      </w:r>
    </w:p>
    <w:p w14:paraId="3B24E349">
      <w:pPr>
        <w:spacing w:line="480" w:lineRule="exact"/>
        <w:outlineLvl w:val="2"/>
        <w:rPr>
          <w:rFonts w:ascii="宋体" w:hAnsi="宋体" w:cs="仿宋"/>
          <w:b/>
          <w:bCs/>
          <w:color w:val="auto"/>
          <w:szCs w:val="32"/>
          <w:highlight w:val="none"/>
        </w:rPr>
      </w:pPr>
      <w:bookmarkStart w:id="741" w:name="_Toc434601342"/>
      <w:bookmarkStart w:id="742" w:name="_Toc403483778"/>
      <w:bookmarkStart w:id="743" w:name="_Toc389065309"/>
      <w:bookmarkStart w:id="744" w:name="_Toc373227743"/>
      <w:bookmarkStart w:id="745" w:name="_Toc373478390"/>
      <w:bookmarkStart w:id="746" w:name="_Toc434602182"/>
      <w:r>
        <w:rPr>
          <w:rFonts w:hint="eastAsia" w:ascii="宋体" w:hAnsi="宋体" w:cs="仿宋"/>
          <w:b/>
          <w:bCs/>
          <w:color w:val="auto"/>
          <w:szCs w:val="32"/>
          <w:highlight w:val="none"/>
        </w:rPr>
        <w:t>1</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Start w:id="747" w:name="_Toc300934993"/>
      <w:bookmarkStart w:id="748" w:name="_Toc297048383"/>
      <w:bookmarkStart w:id="749" w:name="_Toc303539150"/>
      <w:bookmarkStart w:id="750" w:name="_Toc292559907"/>
      <w:bookmarkStart w:id="751" w:name="_Toc297123544"/>
      <w:bookmarkStart w:id="752" w:name="_Toc292559402"/>
      <w:bookmarkStart w:id="753" w:name="_Toc297216203"/>
      <w:bookmarkStart w:id="754" w:name="_Toc296891025"/>
      <w:bookmarkStart w:id="755" w:name="_Toc296944536"/>
      <w:bookmarkStart w:id="756" w:name="_Toc296347196"/>
      <w:bookmarkStart w:id="757" w:name="_Toc297120497"/>
      <w:bookmarkStart w:id="758" w:name="_Toc296346698"/>
      <w:bookmarkStart w:id="759" w:name="_Toc296891237"/>
      <w:bookmarkStart w:id="760" w:name="_Toc296503197"/>
      <w:bookmarkStart w:id="761" w:name="_Toc312677503"/>
      <w:bookmarkStart w:id="762" w:name="_Toc312678029"/>
      <w:bookmarkStart w:id="763" w:name="_Toc304295570"/>
      <w:r>
        <w:rPr>
          <w:rFonts w:hint="eastAsia" w:ascii="宋体" w:hAnsi="宋体" w:cs="仿宋"/>
          <w:b/>
          <w:bCs/>
          <w:color w:val="auto"/>
          <w:szCs w:val="32"/>
          <w:highlight w:val="none"/>
        </w:rPr>
        <w:t>0.5承</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Start w:id="764" w:name="_Toc292559913"/>
      <w:bookmarkStart w:id="765" w:name="_Toc297123545"/>
      <w:bookmarkStart w:id="766" w:name="_Toc297120503"/>
      <w:bookmarkStart w:id="767" w:name="_Toc296346704"/>
      <w:bookmarkStart w:id="768" w:name="_Toc296347202"/>
      <w:bookmarkStart w:id="769" w:name="_Toc292559408"/>
      <w:bookmarkStart w:id="770" w:name="_Toc303539151"/>
      <w:bookmarkStart w:id="771" w:name="_Toc296891243"/>
      <w:bookmarkStart w:id="772" w:name="_Toc296891031"/>
      <w:bookmarkStart w:id="773" w:name="_Toc296944542"/>
      <w:bookmarkStart w:id="774" w:name="_Toc297048389"/>
      <w:bookmarkStart w:id="775" w:name="_Toc300934994"/>
      <w:bookmarkStart w:id="776" w:name="_Toc297216204"/>
      <w:bookmarkStart w:id="777" w:name="_Toc296503203"/>
      <w:r>
        <w:rPr>
          <w:rFonts w:hint="eastAsia" w:ascii="宋体" w:hAnsi="宋体" w:cs="仿宋"/>
          <w:b/>
          <w:bCs/>
          <w:color w:val="auto"/>
          <w:szCs w:val="32"/>
          <w:highlight w:val="none"/>
        </w:rPr>
        <w:t>包人的合理化建议</w:t>
      </w:r>
      <w:bookmarkEnd w:id="741"/>
      <w:bookmarkEnd w:id="742"/>
      <w:bookmarkEnd w:id="743"/>
      <w:bookmarkEnd w:id="744"/>
      <w:bookmarkEnd w:id="745"/>
      <w:bookmarkEnd w:id="746"/>
    </w:p>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14:paraId="11303B1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监理人审查承包人合理化建议的期限：</w:t>
      </w:r>
      <w:r>
        <w:rPr>
          <w:rFonts w:hint="eastAsia" w:ascii="宋体" w:hAnsi="宋体" w:cs="仿宋"/>
          <w:color w:val="auto"/>
          <w:highlight w:val="none"/>
          <w:u w:val="single"/>
        </w:rPr>
        <w:t>按本合同《通用条款》相关规定执行</w:t>
      </w:r>
      <w:r>
        <w:rPr>
          <w:rFonts w:hint="eastAsia" w:ascii="宋体" w:hAnsi="宋体" w:cs="仿宋"/>
          <w:color w:val="auto"/>
          <w:highlight w:val="none"/>
        </w:rPr>
        <w:t>。</w:t>
      </w:r>
    </w:p>
    <w:p w14:paraId="0256C2F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发包人审批承包人合理化建议的期限：</w:t>
      </w:r>
      <w:r>
        <w:rPr>
          <w:rFonts w:hint="eastAsia" w:ascii="宋体" w:hAnsi="宋体" w:cs="仿宋"/>
          <w:color w:val="auto"/>
          <w:highlight w:val="none"/>
          <w:u w:val="single"/>
        </w:rPr>
        <w:t>按本合同《通用条款》相关规定执行</w:t>
      </w:r>
      <w:r>
        <w:rPr>
          <w:rFonts w:hint="eastAsia" w:ascii="宋体" w:hAnsi="宋体" w:cs="仿宋"/>
          <w:color w:val="auto"/>
          <w:highlight w:val="none"/>
        </w:rPr>
        <w:t>。</w:t>
      </w:r>
    </w:p>
    <w:p w14:paraId="55820B4B">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承</w:t>
      </w:r>
      <w:bookmarkStart w:id="778" w:name="_Toc297048390"/>
      <w:bookmarkStart w:id="779" w:name="_Toc296891244"/>
      <w:bookmarkStart w:id="780" w:name="_Toc296503204"/>
      <w:bookmarkStart w:id="781" w:name="_Toc296891032"/>
      <w:bookmarkStart w:id="782" w:name="_Toc312678030"/>
      <w:bookmarkStart w:id="783" w:name="_Toc296346705"/>
      <w:bookmarkStart w:id="784" w:name="_Toc296944543"/>
      <w:bookmarkStart w:id="785" w:name="_Toc296347203"/>
      <w:bookmarkStart w:id="786" w:name="_Toc297123546"/>
      <w:bookmarkStart w:id="787" w:name="_Toc292559914"/>
      <w:bookmarkStart w:id="788" w:name="_Toc292559409"/>
      <w:bookmarkStart w:id="789" w:name="_Toc312677504"/>
      <w:bookmarkStart w:id="790" w:name="_Toc300934995"/>
      <w:bookmarkStart w:id="791" w:name="_Toc297216205"/>
      <w:bookmarkStart w:id="792" w:name="_Toc303539152"/>
      <w:bookmarkStart w:id="793" w:name="_Toc318581175"/>
      <w:bookmarkStart w:id="794" w:name="_Toc297120504"/>
      <w:bookmarkStart w:id="795" w:name="_Toc304295571"/>
      <w:r>
        <w:rPr>
          <w:rFonts w:hint="eastAsia" w:ascii="宋体" w:hAnsi="宋体" w:cs="仿宋"/>
          <w:color w:val="auto"/>
          <w:highlight w:val="none"/>
        </w:rPr>
        <w:t>包人提出的合理化建议降低了合同价格或者提高了工程经济效益的奖励的方法和金额为：</w:t>
      </w:r>
      <w:r>
        <w:rPr>
          <w:rFonts w:hint="eastAsia" w:ascii="宋体" w:hAnsi="宋体" w:cs="仿宋"/>
          <w:color w:val="auto"/>
          <w:highlight w:val="none"/>
          <w:u w:val="single"/>
        </w:rPr>
        <w:t>双方另行协商</w:t>
      </w:r>
      <w:r>
        <w:rPr>
          <w:rFonts w:hint="eastAsia" w:ascii="宋体" w:hAnsi="宋体" w:cs="仿宋"/>
          <w:color w:val="auto"/>
          <w:highlight w:val="none"/>
        </w:rPr>
        <w:t>。</w:t>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14:paraId="78F8115D">
      <w:pPr>
        <w:spacing w:line="480" w:lineRule="exact"/>
        <w:outlineLvl w:val="2"/>
        <w:rPr>
          <w:rFonts w:ascii="宋体" w:hAnsi="宋体" w:cs="仿宋"/>
          <w:b/>
          <w:bCs/>
          <w:color w:val="auto"/>
          <w:szCs w:val="32"/>
          <w:highlight w:val="none"/>
        </w:rPr>
      </w:pPr>
      <w:bookmarkStart w:id="796" w:name="_Toc389065310"/>
      <w:bookmarkStart w:id="797" w:name="_Toc373478391"/>
      <w:bookmarkStart w:id="798" w:name="_Toc434602183"/>
      <w:bookmarkStart w:id="799" w:name="_Toc434601343"/>
      <w:bookmarkStart w:id="800" w:name="_Toc403483779"/>
      <w:bookmarkStart w:id="801" w:name="_Toc373227744"/>
      <w:r>
        <w:rPr>
          <w:rFonts w:hint="eastAsia" w:ascii="宋体" w:hAnsi="宋体" w:cs="仿宋"/>
          <w:b/>
          <w:bCs/>
          <w:color w:val="auto"/>
          <w:szCs w:val="32"/>
          <w:highlight w:val="none"/>
        </w:rPr>
        <w:t>1</w:t>
      </w:r>
      <w:bookmarkStart w:id="802" w:name="_Toc300934997"/>
      <w:bookmarkStart w:id="803" w:name="_Toc297120499"/>
      <w:bookmarkStart w:id="804" w:name="_Toc296347198"/>
      <w:bookmarkStart w:id="805" w:name="_Toc303539154"/>
      <w:bookmarkStart w:id="806" w:name="_Toc296346700"/>
      <w:bookmarkStart w:id="807" w:name="_Toc296503199"/>
      <w:bookmarkStart w:id="808" w:name="_Toc297216207"/>
      <w:bookmarkStart w:id="809" w:name="_Toc292559909"/>
      <w:bookmarkStart w:id="810" w:name="_Toc296891027"/>
      <w:bookmarkStart w:id="811" w:name="_Toc296891239"/>
      <w:bookmarkStart w:id="812" w:name="_Toc297048385"/>
      <w:bookmarkStart w:id="813" w:name="_Toc312678033"/>
      <w:bookmarkStart w:id="814" w:name="_Toc304295574"/>
      <w:bookmarkStart w:id="815" w:name="_Toc297123548"/>
      <w:bookmarkStart w:id="816" w:name="_Toc292559404"/>
      <w:bookmarkStart w:id="817" w:name="_Toc312677507"/>
      <w:bookmarkStart w:id="818" w:name="_Toc296944538"/>
      <w:r>
        <w:rPr>
          <w:rFonts w:hint="eastAsia" w:ascii="宋体" w:hAnsi="宋体" w:cs="仿宋"/>
          <w:b/>
          <w:bCs/>
          <w:color w:val="auto"/>
          <w:szCs w:val="32"/>
          <w:highlight w:val="none"/>
        </w:rPr>
        <w:t>0.7 暂估价</w:t>
      </w:r>
      <w:bookmarkEnd w:id="796"/>
      <w:bookmarkEnd w:id="797"/>
      <w:bookmarkEnd w:id="798"/>
      <w:bookmarkEnd w:id="799"/>
      <w:bookmarkEnd w:id="800"/>
      <w:bookmarkEnd w:id="801"/>
    </w:p>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14:paraId="5FBF1AD0">
      <w:pPr>
        <w:spacing w:line="480" w:lineRule="exact"/>
        <w:ind w:firstLine="420" w:firstLineChars="200"/>
        <w:jc w:val="left"/>
        <w:rPr>
          <w:rFonts w:ascii="宋体" w:hAnsi="宋体" w:cs="仿宋"/>
          <w:color w:val="auto"/>
          <w:highlight w:val="none"/>
        </w:rPr>
      </w:pPr>
      <w:r>
        <w:rPr>
          <w:rFonts w:hint="eastAsia" w:ascii="宋体" w:hAnsi="宋体" w:cs="仿宋"/>
          <w:color w:val="auto"/>
          <w:kern w:val="0"/>
          <w:highlight w:val="none"/>
        </w:rPr>
        <w:t>暂</w:t>
      </w:r>
      <w:bookmarkStart w:id="819" w:name="_Toc318581176"/>
      <w:bookmarkStart w:id="820" w:name="_Toc312677508"/>
      <w:bookmarkStart w:id="821" w:name="_Toc312678034"/>
      <w:r>
        <w:rPr>
          <w:rFonts w:hint="eastAsia" w:ascii="宋体" w:hAnsi="宋体" w:cs="仿宋"/>
          <w:color w:val="auto"/>
          <w:kern w:val="0"/>
          <w:highlight w:val="none"/>
        </w:rPr>
        <w:t>估价材料和工程设备的明细详见已标价工程量清单《</w:t>
      </w:r>
      <w:r>
        <w:rPr>
          <w:rFonts w:hint="eastAsia" w:ascii="宋体" w:hAnsi="宋体" w:cs="仿宋"/>
          <w:color w:val="auto"/>
          <w:highlight w:val="none"/>
        </w:rPr>
        <w:t>材料（工程设备）暂估价格及调整表》</w:t>
      </w:r>
      <w:r>
        <w:rPr>
          <w:rFonts w:hint="eastAsia" w:ascii="宋体" w:hAnsi="宋体" w:cs="仿宋"/>
          <w:color w:val="auto"/>
          <w:kern w:val="0"/>
          <w:highlight w:val="none"/>
        </w:rPr>
        <w:t>（表12-2）和《</w:t>
      </w:r>
      <w:r>
        <w:rPr>
          <w:rFonts w:hint="eastAsia" w:ascii="宋体" w:hAnsi="宋体" w:cs="仿宋"/>
          <w:color w:val="auto"/>
          <w:highlight w:val="none"/>
        </w:rPr>
        <w:t>专业工程暂估价表》（</w:t>
      </w:r>
      <w:r>
        <w:rPr>
          <w:rFonts w:hint="eastAsia" w:ascii="宋体" w:hAnsi="宋体" w:cs="仿宋"/>
          <w:color w:val="auto"/>
          <w:kern w:val="0"/>
          <w:highlight w:val="none"/>
        </w:rPr>
        <w:t>表12-3）。</w:t>
      </w:r>
    </w:p>
    <w:bookmarkEnd w:id="819"/>
    <w:bookmarkEnd w:id="820"/>
    <w:bookmarkEnd w:id="821"/>
    <w:p w14:paraId="41748B7C">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w:t>
      </w:r>
      <w:bookmarkStart w:id="822" w:name="_Toc312678035"/>
      <w:bookmarkStart w:id="823" w:name="_Toc312677509"/>
      <w:bookmarkStart w:id="824" w:name="_Toc318581177"/>
      <w:r>
        <w:rPr>
          <w:rFonts w:hint="eastAsia" w:ascii="宋体" w:hAnsi="宋体" w:cs="仿宋"/>
          <w:color w:val="auto"/>
          <w:highlight w:val="none"/>
        </w:rPr>
        <w:t>0.7.1 依法必须招标的暂估价项目</w:t>
      </w:r>
    </w:p>
    <w:bookmarkEnd w:id="822"/>
    <w:bookmarkEnd w:id="823"/>
    <w:bookmarkEnd w:id="824"/>
    <w:p w14:paraId="2F17D96F">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对于依法必须招标的暂估价项目的确认和批准采取第</w:t>
      </w:r>
      <w:r>
        <w:rPr>
          <w:rFonts w:hint="eastAsia" w:ascii="宋体" w:hAnsi="宋体" w:cs="仿宋"/>
          <w:b/>
          <w:color w:val="auto"/>
          <w:highlight w:val="none"/>
          <w:u w:val="single"/>
        </w:rPr>
        <w:t>1</w:t>
      </w:r>
      <w:r>
        <w:rPr>
          <w:rFonts w:hint="eastAsia" w:ascii="宋体" w:hAnsi="宋体" w:cs="仿宋"/>
          <w:color w:val="auto"/>
          <w:highlight w:val="none"/>
        </w:rPr>
        <w:t>种方式确定。</w:t>
      </w:r>
    </w:p>
    <w:p w14:paraId="40FD327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10.7.2 不属于依法必须招标的暂估价项目</w:t>
      </w:r>
    </w:p>
    <w:p w14:paraId="4C84FEF4">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对于不属于依法必须招标的暂估价项目的确认和批准采取第</w:t>
      </w:r>
      <w:r>
        <w:rPr>
          <w:rFonts w:hint="eastAsia" w:ascii="宋体" w:hAnsi="宋体" w:cs="仿宋"/>
          <w:b/>
          <w:color w:val="auto"/>
          <w:highlight w:val="none"/>
          <w:u w:val="single"/>
        </w:rPr>
        <w:t>2</w:t>
      </w:r>
      <w:r>
        <w:rPr>
          <w:rFonts w:hint="eastAsia" w:ascii="宋体" w:hAnsi="宋体" w:cs="仿宋"/>
          <w:color w:val="auto"/>
          <w:highlight w:val="none"/>
        </w:rPr>
        <w:t>种方式确定。</w:t>
      </w:r>
    </w:p>
    <w:p w14:paraId="2535B1AE">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highlight w:val="none"/>
        </w:rPr>
        <w:t>第3种方式：</w:t>
      </w:r>
      <w:r>
        <w:rPr>
          <w:rFonts w:hint="eastAsia" w:ascii="宋体" w:hAnsi="宋体" w:cs="仿宋"/>
          <w:color w:val="auto"/>
          <w:kern w:val="0"/>
          <w:highlight w:val="none"/>
        </w:rPr>
        <w:t>承包人直接实施的暂估价项目</w:t>
      </w:r>
    </w:p>
    <w:p w14:paraId="17EE2E4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承包人直接实施的暂估价项目的约定：</w:t>
      </w:r>
      <w:r>
        <w:rPr>
          <w:rFonts w:hint="eastAsia" w:ascii="宋体" w:hAnsi="宋体" w:cs="仿宋"/>
          <w:color w:val="auto"/>
          <w:highlight w:val="none"/>
          <w:u w:val="single"/>
        </w:rPr>
        <w:t>无</w:t>
      </w:r>
      <w:r>
        <w:rPr>
          <w:rFonts w:hint="eastAsia" w:ascii="宋体" w:hAnsi="宋体" w:cs="仿宋"/>
          <w:color w:val="auto"/>
          <w:highlight w:val="none"/>
        </w:rPr>
        <w:t>。</w:t>
      </w:r>
    </w:p>
    <w:p w14:paraId="27728AB3">
      <w:pPr>
        <w:spacing w:line="480" w:lineRule="exact"/>
        <w:outlineLvl w:val="2"/>
        <w:rPr>
          <w:rFonts w:ascii="宋体" w:hAnsi="宋体" w:cs="仿宋"/>
          <w:b/>
          <w:bCs/>
          <w:color w:val="auto"/>
          <w:szCs w:val="32"/>
          <w:highlight w:val="none"/>
        </w:rPr>
      </w:pPr>
      <w:bookmarkStart w:id="825" w:name="_Toc373478392"/>
      <w:bookmarkStart w:id="826" w:name="_Toc403483780"/>
      <w:bookmarkStart w:id="827" w:name="_Toc434601344"/>
      <w:bookmarkStart w:id="828" w:name="_Toc389065311"/>
      <w:bookmarkStart w:id="829" w:name="_Toc434602184"/>
      <w:bookmarkStart w:id="830" w:name="_Toc373227745"/>
      <w:r>
        <w:rPr>
          <w:rFonts w:hint="eastAsia" w:ascii="宋体" w:hAnsi="宋体" w:cs="仿宋"/>
          <w:b/>
          <w:bCs/>
          <w:color w:val="auto"/>
          <w:szCs w:val="32"/>
          <w:highlight w:val="none"/>
        </w:rPr>
        <w:t>10.8 暂列金额</w:t>
      </w:r>
      <w:bookmarkEnd w:id="825"/>
      <w:bookmarkEnd w:id="826"/>
      <w:bookmarkEnd w:id="827"/>
      <w:bookmarkEnd w:id="828"/>
      <w:bookmarkEnd w:id="829"/>
      <w:bookmarkEnd w:id="830"/>
    </w:p>
    <w:p w14:paraId="703FC93E">
      <w:pPr>
        <w:autoSpaceDE w:val="0"/>
        <w:autoSpaceDN w:val="0"/>
        <w:adjustRightInd w:val="0"/>
        <w:spacing w:line="480" w:lineRule="exact"/>
        <w:ind w:firstLine="420" w:firstLineChars="200"/>
        <w:jc w:val="left"/>
        <w:rPr>
          <w:rFonts w:ascii="宋体" w:hAnsi="宋体" w:cs="仿宋"/>
          <w:color w:val="auto"/>
          <w:highlight w:val="none"/>
          <w:u w:val="single"/>
        </w:rPr>
      </w:pPr>
      <w:r>
        <w:rPr>
          <w:rFonts w:hint="eastAsia" w:ascii="宋体" w:hAnsi="宋体" w:cs="仿宋"/>
          <w:color w:val="auto"/>
          <w:kern w:val="0"/>
          <w:highlight w:val="none"/>
        </w:rPr>
        <w:t>合同当事人关于暂列金额使用的约定：</w:t>
      </w:r>
      <w:r>
        <w:rPr>
          <w:rFonts w:hint="eastAsia" w:ascii="宋体" w:hAnsi="宋体" w:cs="仿宋"/>
          <w:color w:val="auto"/>
          <w:szCs w:val="22"/>
          <w:highlight w:val="none"/>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具有建设行政主管部门颁发资质的造价咨询机构审定后，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w:t>
      </w:r>
      <w:r>
        <w:rPr>
          <w:rFonts w:hint="eastAsia" w:ascii="宋体" w:hAnsi="宋体" w:cs="仿宋"/>
          <w:color w:val="auto"/>
          <w:kern w:val="0"/>
          <w:highlight w:val="none"/>
          <w:u w:val="single"/>
        </w:rPr>
        <w:t>。</w:t>
      </w:r>
    </w:p>
    <w:p w14:paraId="5A185605">
      <w:pPr>
        <w:spacing w:line="480" w:lineRule="exact"/>
        <w:outlineLvl w:val="1"/>
        <w:rPr>
          <w:rFonts w:ascii="宋体" w:hAnsi="宋体" w:cs="仿宋"/>
          <w:b/>
          <w:bCs/>
          <w:color w:val="auto"/>
          <w:szCs w:val="32"/>
          <w:highlight w:val="none"/>
        </w:rPr>
      </w:pPr>
      <w:bookmarkStart w:id="831" w:name="_Toc351203643"/>
      <w:bookmarkStart w:id="832" w:name="_Toc434602185"/>
      <w:bookmarkStart w:id="833" w:name="_Toc403483781"/>
      <w:bookmarkStart w:id="834" w:name="_Toc434601345"/>
      <w:bookmarkStart w:id="835" w:name="_Toc389065312"/>
      <w:bookmarkStart w:id="836" w:name="_Toc373478393"/>
      <w:bookmarkStart w:id="837" w:name="_Toc373227746"/>
      <w:r>
        <w:rPr>
          <w:rFonts w:hint="eastAsia" w:ascii="宋体" w:hAnsi="宋体" w:cs="仿宋"/>
          <w:b/>
          <w:bCs/>
          <w:color w:val="auto"/>
          <w:szCs w:val="32"/>
          <w:highlight w:val="none"/>
        </w:rPr>
        <w:t>11. 价格调整</w:t>
      </w:r>
      <w:bookmarkEnd w:id="831"/>
      <w:bookmarkEnd w:id="832"/>
      <w:bookmarkEnd w:id="833"/>
      <w:bookmarkEnd w:id="834"/>
      <w:bookmarkEnd w:id="835"/>
      <w:bookmarkEnd w:id="836"/>
      <w:bookmarkEnd w:id="837"/>
    </w:p>
    <w:p w14:paraId="72A8D973">
      <w:pPr>
        <w:spacing w:line="480" w:lineRule="exact"/>
        <w:outlineLvl w:val="2"/>
        <w:rPr>
          <w:rFonts w:ascii="宋体" w:hAnsi="宋体" w:cs="仿宋"/>
          <w:b/>
          <w:bCs/>
          <w:color w:val="auto"/>
          <w:szCs w:val="32"/>
          <w:highlight w:val="none"/>
        </w:rPr>
      </w:pPr>
      <w:bookmarkStart w:id="838" w:name="_Toc389065313"/>
      <w:bookmarkStart w:id="839" w:name="_Toc403483782"/>
      <w:bookmarkStart w:id="840" w:name="_Toc434601346"/>
      <w:bookmarkStart w:id="841" w:name="_Toc373478394"/>
      <w:bookmarkStart w:id="842" w:name="_Toc434602186"/>
      <w:bookmarkStart w:id="843" w:name="_Toc373227747"/>
      <w:bookmarkStart w:id="844" w:name="_Toc296944540"/>
      <w:bookmarkStart w:id="845" w:name="_Toc292559406"/>
      <w:bookmarkStart w:id="846" w:name="_Toc296891029"/>
      <w:bookmarkStart w:id="847" w:name="_Toc292559911"/>
      <w:bookmarkStart w:id="848" w:name="_Toc297048387"/>
      <w:bookmarkStart w:id="849" w:name="_Toc303539157"/>
      <w:bookmarkStart w:id="850" w:name="_Toc297120501"/>
      <w:bookmarkStart w:id="851" w:name="_Toc312678039"/>
      <w:bookmarkStart w:id="852" w:name="_Toc304295577"/>
      <w:bookmarkStart w:id="853" w:name="_Toc297123550"/>
      <w:bookmarkStart w:id="854" w:name="_Toc296503201"/>
      <w:bookmarkStart w:id="855" w:name="_Toc296347200"/>
      <w:bookmarkStart w:id="856" w:name="_Toc296891241"/>
      <w:bookmarkStart w:id="857" w:name="_Toc297216209"/>
      <w:bookmarkStart w:id="858" w:name="_Toc296346702"/>
      <w:bookmarkStart w:id="859" w:name="_Toc300935000"/>
      <w:r>
        <w:rPr>
          <w:rFonts w:hint="eastAsia" w:ascii="宋体" w:hAnsi="宋体" w:cs="仿宋"/>
          <w:b/>
          <w:bCs/>
          <w:color w:val="auto"/>
          <w:szCs w:val="32"/>
          <w:highlight w:val="none"/>
        </w:rPr>
        <w:t>11.1 市场价格波动引起的调整</w:t>
      </w:r>
      <w:bookmarkEnd w:id="838"/>
      <w:bookmarkEnd w:id="839"/>
      <w:bookmarkEnd w:id="840"/>
      <w:bookmarkEnd w:id="841"/>
      <w:bookmarkEnd w:id="842"/>
      <w:bookmarkEnd w:id="843"/>
    </w:p>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14:paraId="52AB1699">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kern w:val="0"/>
          <w:highlight w:val="none"/>
        </w:rPr>
        <w:t>市场价格波动是否调整合同价格的约定：</w:t>
      </w:r>
      <w:r>
        <w:rPr>
          <w:rFonts w:hint="eastAsia" w:ascii="宋体" w:hAnsi="宋体" w:cs="仿宋"/>
          <w:color w:val="auto"/>
          <w:szCs w:val="22"/>
          <w:highlight w:val="none"/>
          <w:u w:val="single"/>
        </w:rPr>
        <w:t>市场价格波动超过双方约定的范围，调整合同价格</w:t>
      </w:r>
      <w:r>
        <w:rPr>
          <w:rFonts w:hint="eastAsia" w:ascii="宋体" w:hAnsi="宋体" w:cs="仿宋"/>
          <w:color w:val="auto"/>
          <w:highlight w:val="none"/>
          <w:u w:val="single"/>
        </w:rPr>
        <w:t>。但在工程施工过程中合同价格不予调整，结算时才予以调整。如果是未经发包人同意的变更，引起合同价款增加的，结算时也不予调整。</w:t>
      </w:r>
    </w:p>
    <w:p w14:paraId="088ED54F">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因市场价格波动调整合同价格，采用以下第</w:t>
      </w:r>
      <w:r>
        <w:rPr>
          <w:rFonts w:hint="eastAsia" w:ascii="宋体" w:hAnsi="宋体" w:cs="仿宋"/>
          <w:b/>
          <w:color w:val="auto"/>
          <w:highlight w:val="none"/>
          <w:u w:val="single"/>
        </w:rPr>
        <w:t>2</w:t>
      </w:r>
      <w:r>
        <w:rPr>
          <w:rFonts w:hint="eastAsia" w:ascii="宋体" w:hAnsi="宋体" w:cs="仿宋"/>
          <w:color w:val="auto"/>
          <w:highlight w:val="none"/>
        </w:rPr>
        <w:t>种方式对合同价格进行调整：</w:t>
      </w:r>
    </w:p>
    <w:p w14:paraId="6A99F67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第1种方式：采用价格指数进行价格调整。</w:t>
      </w:r>
    </w:p>
    <w:p w14:paraId="2F91FB7E">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关于各可调因子、定值和变值权重，以及基本价格指数及其来源的约定：</w:t>
      </w:r>
      <w:r>
        <w:rPr>
          <w:rFonts w:hint="eastAsia" w:ascii="宋体" w:hAnsi="宋体" w:cs="仿宋"/>
          <w:color w:val="auto"/>
          <w:highlight w:val="none"/>
          <w:u w:val="single"/>
        </w:rPr>
        <w:t>无</w:t>
      </w:r>
      <w:r>
        <w:rPr>
          <w:rFonts w:hint="eastAsia" w:ascii="宋体" w:hAnsi="宋体" w:cs="仿宋"/>
          <w:color w:val="auto"/>
          <w:highlight w:val="none"/>
        </w:rPr>
        <w:t xml:space="preserve">；  </w:t>
      </w:r>
    </w:p>
    <w:p w14:paraId="0E69E1B3">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第2种方式：采用造价信息进行价格调整。</w:t>
      </w:r>
    </w:p>
    <w:p w14:paraId="0F044A1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（1）允许调整的主要材料（设备）、基期价格、风险系数、投标报价：</w:t>
      </w:r>
      <w:r>
        <w:rPr>
          <w:rFonts w:hint="eastAsia" w:ascii="宋体" w:hAnsi="宋体" w:cs="仿宋"/>
          <w:color w:val="auto"/>
          <w:highlight w:val="none"/>
          <w:u w:val="single"/>
        </w:rPr>
        <w:t>钢筋、商品砼、水泥、砂、砌块、电缆。</w:t>
      </w:r>
    </w:p>
    <w:p w14:paraId="329B7228">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（2）主要材料确认价：</w:t>
      </w:r>
    </w:p>
    <w:p w14:paraId="1077308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按施工期间《</w:t>
      </w:r>
      <w:r>
        <w:rPr>
          <w:rFonts w:hint="eastAsia" w:ascii="宋体" w:hAnsi="宋体" w:cs="仿宋"/>
          <w:color w:val="auto"/>
          <w:highlight w:val="none"/>
          <w:u w:val="single"/>
        </w:rPr>
        <w:t>南宁</w:t>
      </w:r>
      <w:r>
        <w:rPr>
          <w:rFonts w:hint="eastAsia" w:ascii="宋体" w:hAnsi="宋体" w:cs="仿宋"/>
          <w:color w:val="auto"/>
          <w:highlight w:val="none"/>
        </w:rPr>
        <w:t>市建设工程造价信息》加权平均计算，信息价没有的按通用条款规定确定。但如系承包人未能按约定进度施工，则如果价格上涨的，原合同单价不予调整；合同价格下降的，则按低价执行。</w:t>
      </w:r>
    </w:p>
    <w:p w14:paraId="478DE6F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 xml:space="preserve">（3）价差计算方法： </w:t>
      </w:r>
    </w:p>
    <w:p w14:paraId="29E25A7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①《承包人提供主要材料和设备一览表》中载明的材料投标报价低于基准价格的：合同履行期间材料和设备单价涨幅以基准价格为基础超过</w:t>
      </w:r>
      <w:r>
        <w:rPr>
          <w:rFonts w:hint="eastAsia" w:ascii="宋体" w:hAnsi="宋体" w:cs="仿宋"/>
          <w:b/>
          <w:color w:val="auto"/>
          <w:highlight w:val="none"/>
          <w:u w:val="single"/>
        </w:rPr>
        <w:t>5%</w:t>
      </w:r>
      <w:r>
        <w:rPr>
          <w:rFonts w:hint="eastAsia" w:ascii="宋体" w:hAnsi="宋体" w:cs="仿宋"/>
          <w:color w:val="auto"/>
          <w:highlight w:val="none"/>
        </w:rPr>
        <w:t>时，或材料和设备单价跌幅以投标报价为基础超过</w:t>
      </w:r>
      <w:r>
        <w:rPr>
          <w:rFonts w:hint="eastAsia" w:ascii="宋体" w:hAnsi="宋体" w:cs="仿宋"/>
          <w:b/>
          <w:color w:val="auto"/>
          <w:highlight w:val="none"/>
          <w:u w:val="single"/>
        </w:rPr>
        <w:t>5%</w:t>
      </w:r>
      <w:r>
        <w:rPr>
          <w:rFonts w:hint="eastAsia" w:ascii="宋体" w:hAnsi="宋体" w:cs="仿宋"/>
          <w:color w:val="auto"/>
          <w:highlight w:val="none"/>
        </w:rPr>
        <w:t>时，其超过部分据实调整。</w:t>
      </w:r>
    </w:p>
    <w:p w14:paraId="6BB62F3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②承包人在《承包人提供主要材料和设备一览表》中载明的材料投标报价高于基准价格的：专用合同条款合同履行期间材料和设备单价跌幅以基准价格为基础超过</w:t>
      </w:r>
      <w:r>
        <w:rPr>
          <w:rFonts w:hint="eastAsia" w:ascii="宋体" w:hAnsi="宋体" w:cs="仿宋"/>
          <w:b/>
          <w:color w:val="auto"/>
          <w:highlight w:val="none"/>
          <w:u w:val="single"/>
        </w:rPr>
        <w:t>5%</w:t>
      </w:r>
      <w:r>
        <w:rPr>
          <w:rFonts w:hint="eastAsia" w:ascii="宋体" w:hAnsi="宋体" w:cs="仿宋"/>
          <w:color w:val="auto"/>
          <w:highlight w:val="none"/>
        </w:rPr>
        <w:t>时，材料和设备单价涨幅以投标报价为基础超过</w:t>
      </w:r>
      <w:r>
        <w:rPr>
          <w:rFonts w:hint="eastAsia" w:ascii="宋体" w:hAnsi="宋体" w:cs="仿宋"/>
          <w:b/>
          <w:color w:val="auto"/>
          <w:highlight w:val="none"/>
          <w:u w:val="single"/>
        </w:rPr>
        <w:t>5%</w:t>
      </w:r>
      <w:r>
        <w:rPr>
          <w:rFonts w:hint="eastAsia" w:ascii="宋体" w:hAnsi="宋体" w:cs="仿宋"/>
          <w:color w:val="auto"/>
          <w:highlight w:val="none"/>
        </w:rPr>
        <w:t>时，其超过部分据实调整。</w:t>
      </w:r>
    </w:p>
    <w:p w14:paraId="473D7D6F">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③承包人在《承包人提供主要材料和设备一览表》中载明的材料和设备单价等于基准单价的：合同履行期间材料和设备单价涨跌幅以基准单价为基础超过</w:t>
      </w:r>
      <w:r>
        <w:rPr>
          <w:rFonts w:hint="eastAsia" w:ascii="宋体" w:hAnsi="宋体" w:cs="仿宋"/>
          <w:b/>
          <w:color w:val="auto"/>
          <w:highlight w:val="none"/>
          <w:u w:val="single"/>
        </w:rPr>
        <w:t>±5%</w:t>
      </w:r>
      <w:r>
        <w:rPr>
          <w:rFonts w:hint="eastAsia" w:ascii="宋体" w:hAnsi="宋体" w:cs="仿宋"/>
          <w:color w:val="auto"/>
          <w:highlight w:val="none"/>
        </w:rPr>
        <w:t>时，其超过部分据实调整。</w:t>
      </w:r>
    </w:p>
    <w:p w14:paraId="1D01F74C">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④基准价格的约定：基准价格按照招标文件约定的材料信息价，无信息价的参考招标控制价的材料设备价格。</w:t>
      </w:r>
    </w:p>
    <w:p w14:paraId="6F78EEA1">
      <w:pPr>
        <w:spacing w:line="480" w:lineRule="exact"/>
        <w:ind w:firstLine="645"/>
        <w:jc w:val="left"/>
        <w:rPr>
          <w:rFonts w:ascii="宋体" w:hAnsi="宋体" w:cs="仿宋"/>
          <w:color w:val="auto"/>
          <w:highlight w:val="none"/>
        </w:rPr>
      </w:pPr>
      <w:r>
        <w:rPr>
          <w:rFonts w:hint="eastAsia" w:ascii="宋体" w:hAnsi="宋体" w:cs="仿宋"/>
          <w:color w:val="auto"/>
          <w:highlight w:val="none"/>
        </w:rPr>
        <w:t>第3种方式：</w:t>
      </w:r>
      <w:r>
        <w:rPr>
          <w:rFonts w:hint="eastAsia" w:ascii="宋体" w:hAnsi="宋体" w:cs="仿宋"/>
          <w:color w:val="auto"/>
          <w:highlight w:val="none"/>
          <w:u w:val="single"/>
        </w:rPr>
        <w:t>无</w:t>
      </w:r>
      <w:r>
        <w:rPr>
          <w:rFonts w:hint="eastAsia" w:ascii="宋体" w:hAnsi="宋体" w:cs="仿宋"/>
          <w:color w:val="auto"/>
          <w:highlight w:val="none"/>
        </w:rPr>
        <w:t>。</w:t>
      </w:r>
    </w:p>
    <w:bookmarkEnd w:id="700"/>
    <w:bookmarkEnd w:id="701"/>
    <w:bookmarkEnd w:id="702"/>
    <w:bookmarkEnd w:id="703"/>
    <w:bookmarkEnd w:id="704"/>
    <w:bookmarkEnd w:id="705"/>
    <w:p w14:paraId="0D679665">
      <w:pPr>
        <w:spacing w:line="480" w:lineRule="exact"/>
        <w:outlineLvl w:val="1"/>
        <w:rPr>
          <w:rFonts w:ascii="宋体" w:hAnsi="宋体" w:cs="仿宋"/>
          <w:b/>
          <w:bCs/>
          <w:color w:val="auto"/>
          <w:szCs w:val="32"/>
          <w:highlight w:val="none"/>
        </w:rPr>
      </w:pPr>
      <w:bookmarkStart w:id="860" w:name="_Toc296944544"/>
      <w:bookmarkStart w:id="861" w:name="_Toc296891245"/>
      <w:bookmarkStart w:id="862" w:name="_Toc292559410"/>
      <w:bookmarkStart w:id="863" w:name="_Toc296891033"/>
      <w:bookmarkStart w:id="864" w:name="_Toc297120505"/>
      <w:bookmarkStart w:id="865" w:name="_Toc292559915"/>
      <w:bookmarkStart w:id="866" w:name="_Toc296503205"/>
      <w:bookmarkStart w:id="867" w:name="_Toc297048391"/>
      <w:bookmarkStart w:id="868" w:name="_Toc296346706"/>
      <w:bookmarkStart w:id="869" w:name="_Toc296347204"/>
      <w:bookmarkStart w:id="870" w:name="_Toc373478395"/>
      <w:bookmarkStart w:id="871" w:name="_Toc434601347"/>
      <w:bookmarkStart w:id="872" w:name="_Toc373227748"/>
      <w:bookmarkStart w:id="873" w:name="_Toc434602187"/>
      <w:bookmarkStart w:id="874" w:name="_Toc351203644"/>
      <w:bookmarkStart w:id="875" w:name="_Toc403483783"/>
      <w:bookmarkStart w:id="876" w:name="_Toc297123552"/>
      <w:bookmarkStart w:id="877" w:name="_Toc303539159"/>
      <w:bookmarkStart w:id="878" w:name="_Toc312678040"/>
      <w:bookmarkStart w:id="879" w:name="_Toc297216211"/>
      <w:bookmarkStart w:id="880" w:name="_Toc300935002"/>
      <w:bookmarkStart w:id="881" w:name="_Toc304295579"/>
      <w:r>
        <w:rPr>
          <w:rFonts w:hint="eastAsia" w:ascii="宋体" w:hAnsi="宋体" w:cs="仿宋"/>
          <w:b/>
          <w:bCs/>
          <w:color w:val="auto"/>
          <w:szCs w:val="32"/>
          <w:highlight w:val="none"/>
        </w:rPr>
        <w:t xml:space="preserve">12. </w:t>
      </w:r>
      <w:bookmarkEnd w:id="860"/>
      <w:bookmarkEnd w:id="861"/>
      <w:bookmarkEnd w:id="862"/>
      <w:bookmarkEnd w:id="863"/>
      <w:bookmarkEnd w:id="864"/>
      <w:bookmarkEnd w:id="865"/>
      <w:bookmarkEnd w:id="866"/>
      <w:bookmarkEnd w:id="867"/>
      <w:bookmarkEnd w:id="868"/>
      <w:bookmarkEnd w:id="869"/>
      <w:r>
        <w:rPr>
          <w:rFonts w:hint="eastAsia" w:ascii="宋体" w:hAnsi="宋体" w:cs="仿宋"/>
          <w:b/>
          <w:bCs/>
          <w:color w:val="auto"/>
          <w:szCs w:val="32"/>
          <w:highlight w:val="none"/>
        </w:rPr>
        <w:t>合同价格、计量与支付</w:t>
      </w:r>
      <w:bookmarkEnd w:id="870"/>
      <w:bookmarkEnd w:id="871"/>
      <w:bookmarkEnd w:id="872"/>
      <w:bookmarkEnd w:id="873"/>
      <w:bookmarkEnd w:id="874"/>
      <w:bookmarkEnd w:id="875"/>
    </w:p>
    <w:bookmarkEnd w:id="876"/>
    <w:bookmarkEnd w:id="877"/>
    <w:bookmarkEnd w:id="878"/>
    <w:bookmarkEnd w:id="879"/>
    <w:bookmarkEnd w:id="880"/>
    <w:bookmarkEnd w:id="881"/>
    <w:p w14:paraId="5A015690">
      <w:pPr>
        <w:spacing w:line="480" w:lineRule="exact"/>
        <w:outlineLvl w:val="2"/>
        <w:rPr>
          <w:rFonts w:ascii="宋体" w:hAnsi="宋体" w:cs="仿宋"/>
          <w:b/>
          <w:bCs/>
          <w:color w:val="auto"/>
          <w:szCs w:val="32"/>
          <w:highlight w:val="none"/>
        </w:rPr>
      </w:pPr>
      <w:bookmarkStart w:id="882" w:name="_Toc292559411"/>
      <w:bookmarkStart w:id="883" w:name="_Toc267251461"/>
      <w:bookmarkStart w:id="884" w:name="_Toc292559916"/>
      <w:bookmarkStart w:id="885" w:name="_Toc296891034"/>
      <w:bookmarkStart w:id="886" w:name="_Toc296346707"/>
      <w:bookmarkStart w:id="887" w:name="_Toc297120506"/>
      <w:bookmarkStart w:id="888" w:name="_Toc296891246"/>
      <w:bookmarkStart w:id="889" w:name="_Toc296944545"/>
      <w:bookmarkStart w:id="890" w:name="_Toc296503206"/>
      <w:bookmarkStart w:id="891" w:name="_Toc296347205"/>
      <w:bookmarkStart w:id="892" w:name="_Toc297048392"/>
      <w:bookmarkStart w:id="893" w:name="_Toc403483784"/>
      <w:bookmarkStart w:id="894" w:name="_Toc373227749"/>
      <w:bookmarkStart w:id="895" w:name="_Toc373478396"/>
      <w:bookmarkStart w:id="896" w:name="_Toc434602188"/>
      <w:bookmarkStart w:id="897" w:name="_Toc389065314"/>
      <w:bookmarkStart w:id="898" w:name="_Toc434601348"/>
      <w:bookmarkStart w:id="899" w:name="_Toc297216212"/>
      <w:bookmarkStart w:id="900" w:name="_Toc297123553"/>
      <w:bookmarkStart w:id="901" w:name="_Toc304295580"/>
      <w:bookmarkStart w:id="902" w:name="_Toc312678041"/>
      <w:bookmarkStart w:id="903" w:name="_Toc300935003"/>
      <w:bookmarkStart w:id="904" w:name="_Toc303539160"/>
      <w:r>
        <w:rPr>
          <w:rFonts w:hint="eastAsia" w:ascii="宋体" w:hAnsi="宋体" w:cs="仿宋"/>
          <w:b/>
          <w:bCs/>
          <w:color w:val="auto"/>
          <w:szCs w:val="32"/>
          <w:highlight w:val="none"/>
        </w:rPr>
        <w:t>12.1 合</w:t>
      </w:r>
      <w:bookmarkEnd w:id="882"/>
      <w:bookmarkEnd w:id="883"/>
      <w:bookmarkEnd w:id="884"/>
      <w:r>
        <w:rPr>
          <w:rFonts w:hint="eastAsia" w:ascii="宋体" w:hAnsi="宋体" w:cs="仿宋"/>
          <w:b/>
          <w:bCs/>
          <w:color w:val="auto"/>
          <w:szCs w:val="32"/>
          <w:highlight w:val="none"/>
        </w:rPr>
        <w:t>同价</w:t>
      </w:r>
      <w:bookmarkEnd w:id="885"/>
      <w:bookmarkEnd w:id="886"/>
      <w:bookmarkEnd w:id="887"/>
      <w:bookmarkEnd w:id="888"/>
      <w:bookmarkEnd w:id="889"/>
      <w:bookmarkEnd w:id="890"/>
      <w:bookmarkEnd w:id="891"/>
      <w:bookmarkEnd w:id="892"/>
      <w:r>
        <w:rPr>
          <w:rFonts w:hint="eastAsia" w:ascii="宋体" w:hAnsi="宋体" w:cs="仿宋"/>
          <w:b/>
          <w:bCs/>
          <w:color w:val="auto"/>
          <w:szCs w:val="32"/>
          <w:highlight w:val="none"/>
        </w:rPr>
        <w:t>格形式</w:t>
      </w:r>
      <w:bookmarkEnd w:id="893"/>
      <w:bookmarkEnd w:id="894"/>
      <w:bookmarkEnd w:id="895"/>
      <w:bookmarkEnd w:id="896"/>
      <w:bookmarkEnd w:id="897"/>
      <w:bookmarkEnd w:id="898"/>
    </w:p>
    <w:bookmarkEnd w:id="899"/>
    <w:bookmarkEnd w:id="900"/>
    <w:bookmarkEnd w:id="901"/>
    <w:bookmarkEnd w:id="902"/>
    <w:bookmarkEnd w:id="903"/>
    <w:bookmarkEnd w:id="904"/>
    <w:p w14:paraId="0062C329">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（1）单价合同。</w:t>
      </w:r>
    </w:p>
    <w:p w14:paraId="67E59E2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本合同价款采用综合单价合同方式时，工程量按建设单位、监理单位、施工单位三方确认的与实际相符的竣工图结算。如发现竣工图与实际不符，按不利于施工单位的原则结算。</w:t>
      </w:r>
    </w:p>
    <w:p w14:paraId="6EF07EED">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综合单价包含的风险范围：</w:t>
      </w:r>
      <w:r>
        <w:rPr>
          <w:rFonts w:hint="eastAsia" w:ascii="宋体" w:hAnsi="宋体" w:cs="仿宋"/>
          <w:color w:val="auto"/>
          <w:highlight w:val="none"/>
          <w:u w:val="single"/>
        </w:rPr>
        <w:t>除工程变更、项目特征不符、工程量清单缺项、本合同专用条款11.1中约定的材料设备价格风险和政策性调整以外的其他风险。</w:t>
      </w:r>
    </w:p>
    <w:p w14:paraId="1B424D0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u w:val="single"/>
        </w:rPr>
        <w:t>风险费用的计算方法：单价采用固定综合单价，风险费用已综合考虑在单价中。</w:t>
      </w:r>
    </w:p>
    <w:p w14:paraId="5990B910">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风险范围以外合同价款的调整方法：</w:t>
      </w:r>
    </w:p>
    <w:p w14:paraId="20188045">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①本合同实施期间因工程变更、项目特征不符、工程量清单缺项引起工程项目、工程量变化的，其工程量按实际发生并监理工程师及发包人确认，变更合同价款按下列方法进行：工程量清单中有相同细目的按投标人投标时的中标单价进行结算，工程量清单中有类似细目的参考类似中标单价结算；工程量清单中没有适用或类似于变更工程的价格，则有定额的套定额计算，执行本招标文件工程计价参考依据，并乘以下浮系数（中标价/经审定的工程招标控制价）结算，其中材料价格有信息价的按施工期间当期按当期《南宁工程造价信息》信息价的平均价计取，无信息价的由发包人、监理单位及承包人根据市场价格协商议定；新增项目无定额可套的，由发包人、监理单位及承包人根据市场协商确定；新增结算单价=综合单价×（中标价/经审定的工程招标控制价）。</w:t>
      </w:r>
    </w:p>
    <w:p w14:paraId="66FD884B">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②工程量偏差调整方法：如果承包人实际完成工程量与招标工程量偏差较大时，其超过部分据实调整。</w:t>
      </w:r>
    </w:p>
    <w:p w14:paraId="27628C0D">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③材料设备价格风险的调整方法：按本合同专用条款11.1第2种方式调整，调整部分仅计差额及相应税金。其余材料、设备不予调整。</w:t>
      </w:r>
    </w:p>
    <w:p w14:paraId="0AA38A4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④措施项目费调整原则按《（GB50500-2013）建设工程工程量清单清单计价规范-广西壮族自治区实施细则》第9.3.2款执行。</w:t>
      </w:r>
    </w:p>
    <w:p w14:paraId="3EFD223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⑤本项目招标控制价执行2013《广西壮族自治区建筑装饰装修工程消耗量定额》、2015年《广西壮族自治区安装工程消耗量定额》、2014年《广西壮族自治区市政消耗量定额》、2013年《广西壮族自治区园林工程消耗量定额》及其配套费用定额。结算时不因国家和自治区政策性费用标准及消耗量定额进行调整。</w:t>
      </w:r>
    </w:p>
    <w:p w14:paraId="10171A1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⑥无约定的参照我区现行《建设工程工程量清单计价规范》相关规定执行。</w:t>
      </w:r>
    </w:p>
    <w:p w14:paraId="6151747E">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本工程最终结算以发包方委托的第三方审计机构审定为准。</w:t>
      </w:r>
    </w:p>
    <w:p w14:paraId="0CEEFB3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（2）总价合同。</w:t>
      </w:r>
    </w:p>
    <w:p w14:paraId="47272C1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总价包含的风险范围：</w:t>
      </w:r>
      <w:r>
        <w:rPr>
          <w:rFonts w:hint="eastAsia" w:ascii="宋体" w:hAnsi="宋体" w:cs="仿宋"/>
          <w:color w:val="auto"/>
          <w:highlight w:val="none"/>
          <w:u w:val="single"/>
        </w:rPr>
        <w:t>无</w:t>
      </w:r>
      <w:r>
        <w:rPr>
          <w:rFonts w:hint="eastAsia" w:ascii="宋体" w:hAnsi="宋体" w:cs="仿宋"/>
          <w:color w:val="auto"/>
          <w:highlight w:val="none"/>
        </w:rPr>
        <w:t>。</w:t>
      </w:r>
    </w:p>
    <w:p w14:paraId="44D43FE8">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rPr>
        <w:t>风险范围以外合同价格的调整方法：</w:t>
      </w:r>
      <w:r>
        <w:rPr>
          <w:rFonts w:hint="eastAsia" w:ascii="宋体" w:hAnsi="宋体" w:cs="仿宋"/>
          <w:color w:val="auto"/>
          <w:highlight w:val="none"/>
          <w:u w:val="single"/>
        </w:rPr>
        <w:t xml:space="preserve"> 无 。</w:t>
      </w:r>
    </w:p>
    <w:p w14:paraId="1DA48C49">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（3）其他价格方式：</w:t>
      </w:r>
      <w:r>
        <w:rPr>
          <w:rFonts w:hint="eastAsia" w:ascii="宋体" w:hAnsi="宋体" w:cs="仿宋"/>
          <w:color w:val="auto"/>
          <w:highlight w:val="none"/>
          <w:u w:val="single"/>
        </w:rPr>
        <w:t>无</w:t>
      </w:r>
      <w:r>
        <w:rPr>
          <w:rFonts w:hint="eastAsia" w:ascii="宋体" w:hAnsi="宋体" w:cs="仿宋"/>
          <w:color w:val="auto"/>
          <w:highlight w:val="none"/>
        </w:rPr>
        <w:t>。</w:t>
      </w:r>
    </w:p>
    <w:p w14:paraId="4CA6A0AA">
      <w:pPr>
        <w:spacing w:line="480" w:lineRule="exact"/>
        <w:rPr>
          <w:color w:val="auto"/>
          <w:szCs w:val="21"/>
          <w:highlight w:val="none"/>
        </w:rPr>
      </w:pPr>
      <w:r>
        <w:rPr>
          <w:color w:val="auto"/>
          <w:szCs w:val="21"/>
          <w:highlight w:val="none"/>
        </w:rPr>
        <w:t xml:space="preserve">12.2 </w:t>
      </w:r>
      <w:r>
        <w:rPr>
          <w:rFonts w:hAnsi="宋体"/>
          <w:color w:val="auto"/>
          <w:szCs w:val="21"/>
          <w:highlight w:val="none"/>
        </w:rPr>
        <w:t>预付款</w:t>
      </w:r>
      <w:bookmarkEnd w:id="429"/>
      <w:bookmarkEnd w:id="430"/>
      <w:bookmarkEnd w:id="431"/>
      <w:bookmarkEnd w:id="432"/>
    </w:p>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14:paraId="2F6E72EC">
      <w:pPr>
        <w:spacing w:line="480" w:lineRule="exact"/>
        <w:ind w:firstLine="420" w:firstLineChars="200"/>
        <w:jc w:val="left"/>
        <w:rPr>
          <w:rFonts w:ascii="宋体" w:hAnsi="宋体" w:cs="仿宋"/>
          <w:b/>
          <w:color w:val="auto"/>
          <w:highlight w:val="none"/>
          <w:u w:val="single"/>
        </w:rPr>
      </w:pPr>
      <w:r>
        <w:rPr>
          <w:rFonts w:hint="eastAsia" w:ascii="宋体" w:hAnsi="宋体" w:cs="仿宋"/>
          <w:color w:val="auto"/>
          <w:highlight w:val="none"/>
        </w:rPr>
        <w:t>预付款支付比例或金额：</w:t>
      </w:r>
      <w:r>
        <w:rPr>
          <w:rFonts w:hint="eastAsia" w:ascii="宋体" w:hAnsi="宋体" w:cs="仿宋"/>
          <w:b/>
          <w:bCs/>
          <w:color w:val="auto"/>
          <w:highlight w:val="none"/>
        </w:rPr>
        <w:t>在</w:t>
      </w:r>
      <w:r>
        <w:rPr>
          <w:rFonts w:hint="eastAsia" w:ascii="宋体" w:hAnsi="宋体" w:cs="仿宋"/>
          <w:b/>
          <w:bCs/>
          <w:color w:val="auto"/>
          <w:highlight w:val="none"/>
          <w:u w:val="single"/>
        </w:rPr>
        <w:t>承包人</w:t>
      </w:r>
      <w:r>
        <w:rPr>
          <w:rFonts w:hint="eastAsia" w:ascii="宋体" w:hAnsi="宋体" w:cs="仿宋"/>
          <w:b/>
          <w:color w:val="auto"/>
          <w:highlight w:val="none"/>
          <w:u w:val="single"/>
        </w:rPr>
        <w:t>按合同约定进场后20天内发包人向承包人支付合同总价30%作为预付款，该预付款系合同价款扣除暂估专业工程、暂列金额后的30%。</w:t>
      </w:r>
    </w:p>
    <w:p w14:paraId="3B3BA76B">
      <w:pPr>
        <w:spacing w:line="480" w:lineRule="exact"/>
        <w:ind w:firstLine="422" w:firstLineChars="200"/>
        <w:jc w:val="left"/>
        <w:rPr>
          <w:rFonts w:ascii="宋体" w:hAnsi="宋体" w:cs="仿宋"/>
          <w:b/>
          <w:color w:val="auto"/>
          <w:highlight w:val="none"/>
          <w:u w:val="single"/>
        </w:rPr>
      </w:pPr>
      <w:r>
        <w:rPr>
          <w:rFonts w:hint="eastAsia" w:ascii="宋体" w:hAnsi="宋体" w:cs="仿宋"/>
          <w:b/>
          <w:color w:val="auto"/>
          <w:highlight w:val="none"/>
          <w:u w:val="single"/>
        </w:rPr>
        <w:t>第1次支付进度款时，先扣除预付款。</w:t>
      </w:r>
    </w:p>
    <w:p w14:paraId="7A928BFC">
      <w:pPr>
        <w:spacing w:line="480" w:lineRule="exact"/>
        <w:outlineLvl w:val="2"/>
        <w:rPr>
          <w:rFonts w:ascii="宋体" w:hAnsi="宋体" w:cs="仿宋"/>
          <w:b/>
          <w:bCs/>
          <w:color w:val="auto"/>
          <w:szCs w:val="32"/>
          <w:highlight w:val="none"/>
        </w:rPr>
      </w:pPr>
      <w:bookmarkStart w:id="905" w:name="_Toc434602190"/>
      <w:bookmarkStart w:id="906" w:name="_Toc403483786"/>
      <w:bookmarkStart w:id="907" w:name="_Toc389065316"/>
      <w:bookmarkStart w:id="908" w:name="_Toc434601350"/>
      <w:bookmarkStart w:id="909" w:name="_Toc373227751"/>
      <w:bookmarkStart w:id="910" w:name="_Toc373478398"/>
      <w:r>
        <w:rPr>
          <w:rFonts w:hint="eastAsia" w:ascii="宋体" w:hAnsi="宋体" w:cs="仿宋"/>
          <w:b/>
          <w:bCs/>
          <w:color w:val="auto"/>
          <w:szCs w:val="32"/>
          <w:highlight w:val="none"/>
        </w:rPr>
        <w:t>12.3 计量</w:t>
      </w:r>
      <w:bookmarkEnd w:id="905"/>
      <w:bookmarkEnd w:id="906"/>
      <w:bookmarkEnd w:id="907"/>
      <w:bookmarkEnd w:id="908"/>
      <w:bookmarkEnd w:id="909"/>
      <w:bookmarkEnd w:id="910"/>
    </w:p>
    <w:p w14:paraId="631133C3">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12.3.1 计量原则</w:t>
      </w:r>
    </w:p>
    <w:p w14:paraId="25FBAB5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工程量计算规则：按工程施工图、竣工图和说明、结合经发包人审批同意的施工组织设计方案（须发包人签证确认）、图纸会审记录、设计变更、隐蔽验收记录及签证，工程的计量均以国家标准《建设工程工程量清单计价规范》（GB50500－2013）和《建设工程工程量清单计价规范（GB50500-2013）广西壮族自治区实施细则》计算的净值为准。</w:t>
      </w:r>
    </w:p>
    <w:p w14:paraId="42E9DB5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如果承包人实际完成工程量超过招标工程量15%以上的且该单项造价超过合同总价1%以上的，则该部分分部分项工程实际完成工程量与招标工程量偏差超过15%以上部分的综合单价按以下方法计算：有定额的套定额计算，执行本招标文件工程计价参考依据，并乘以下浮系数（中标价/经审定的工程招标控制价）结算，其中，材料价格有信息价的按施工期间当期按当期《南宁工程造价信息》信息价的平均值计取，无信息价的由发包人、监理单位及承包人根据市场价格协商议定。</w:t>
      </w:r>
    </w:p>
    <w:p w14:paraId="20914AB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措施项目费调整原则按《（GB50500-2013）建设工程工程量清单计价规范-广西壮族自治区实施细则》第9.3.2款执行</w:t>
      </w:r>
    </w:p>
    <w:p w14:paraId="00EB1BD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国家和自治区、南宁市政策性调整有关费用标准的，按文件规定执行。</w:t>
      </w:r>
    </w:p>
    <w:p w14:paraId="569852D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12.3.2 计量周期</w:t>
      </w:r>
    </w:p>
    <w:p w14:paraId="2CAEB103">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关于计量周期的约定：</w:t>
      </w:r>
      <w:r>
        <w:rPr>
          <w:rFonts w:hint="eastAsia" w:ascii="宋体" w:hAnsi="宋体" w:cs="仿宋"/>
          <w:color w:val="auto"/>
          <w:highlight w:val="none"/>
          <w:u w:val="single"/>
        </w:rPr>
        <w:t>无</w:t>
      </w:r>
      <w:r>
        <w:rPr>
          <w:rFonts w:hint="eastAsia" w:ascii="宋体" w:hAnsi="宋体" w:cs="仿宋"/>
          <w:color w:val="auto"/>
          <w:highlight w:val="none"/>
        </w:rPr>
        <w:t>。</w:t>
      </w:r>
    </w:p>
    <w:p w14:paraId="44C99A2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12.3.3 单价合同的计量</w:t>
      </w:r>
    </w:p>
    <w:p w14:paraId="052BB0C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关于单价合同计量的约定：</w:t>
      </w:r>
    </w:p>
    <w:p w14:paraId="78285C69">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（1） 工程量清单所列的工程量，不能作为承包人按合同履行其责任依据，实际施工中发生的工程量增加或减少并不影响承包人履行合同的责任，工程结算以完成的实际工程量为准。</w:t>
      </w:r>
    </w:p>
    <w:p w14:paraId="3F6E1DDB">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E7C422E">
      <w:pPr>
        <w:spacing w:line="480" w:lineRule="exact"/>
        <w:ind w:firstLine="441" w:firstLineChars="210"/>
        <w:rPr>
          <w:rFonts w:ascii="宋体" w:hAnsi="宋体" w:cs="仿宋"/>
          <w:color w:val="auto"/>
          <w:highlight w:val="none"/>
        </w:rPr>
      </w:pPr>
      <w:r>
        <w:rPr>
          <w:rFonts w:hint="eastAsia" w:ascii="宋体" w:hAnsi="宋体" w:cs="仿宋"/>
          <w:color w:val="auto"/>
          <w:highlight w:val="none"/>
        </w:rPr>
        <w:t>（</w:t>
      </w:r>
      <w:r>
        <w:rPr>
          <w:rFonts w:ascii="宋体" w:hAnsi="宋体" w:cs="仿宋"/>
          <w:color w:val="auto"/>
          <w:highlight w:val="none"/>
        </w:rPr>
        <w:t>3</w:t>
      </w:r>
      <w:r>
        <w:rPr>
          <w:rFonts w:hint="eastAsia" w:ascii="宋体" w:hAnsi="宋体" w:cs="仿宋"/>
          <w:color w:val="auto"/>
          <w:highlight w:val="none"/>
        </w:rPr>
        <w:t>）工程进度款支付计算基数为扣除建安劳保费、暂列金额、各分包项目工程款（如有）及安全文明施工费后的当次工程进度价款。</w:t>
      </w:r>
    </w:p>
    <w:p w14:paraId="0003E6EF">
      <w:pPr>
        <w:spacing w:line="480" w:lineRule="exact"/>
        <w:ind w:firstLine="441" w:firstLineChars="210"/>
        <w:rPr>
          <w:rFonts w:ascii="宋体" w:hAnsi="宋体" w:cs="仿宋"/>
          <w:color w:val="auto"/>
          <w:highlight w:val="none"/>
        </w:rPr>
      </w:pPr>
      <w:r>
        <w:rPr>
          <w:rFonts w:ascii="宋体" w:hAnsi="宋体" w:cs="仿宋"/>
          <w:color w:val="auto"/>
          <w:highlight w:val="none"/>
        </w:rPr>
        <w:t>监理人未在收到承包人提交的工程量报表后的7天内完成审核的，承包人报送的工程量报告中的工程量</w:t>
      </w:r>
      <w:r>
        <w:rPr>
          <w:rFonts w:hint="eastAsia" w:ascii="宋体" w:hAnsi="宋体" w:cs="仿宋"/>
          <w:color w:val="auto"/>
          <w:highlight w:val="none"/>
        </w:rPr>
        <w:t>不</w:t>
      </w:r>
      <w:r>
        <w:rPr>
          <w:rFonts w:ascii="宋体" w:hAnsi="宋体" w:cs="仿宋"/>
          <w:color w:val="auto"/>
          <w:highlight w:val="none"/>
        </w:rPr>
        <w:t>视为承包人实际完成的工程量。</w:t>
      </w:r>
    </w:p>
    <w:p w14:paraId="30BF1AFE">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12.3.4 总价合同的计量</w:t>
      </w:r>
    </w:p>
    <w:p w14:paraId="2E7B56A5">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highlight w:val="none"/>
        </w:rPr>
        <w:t>关于总价合同计量的约定：除工程变更外，原图纸范围内的工程量不得按实计量。进度款按支付分解表支付，按通用条款第</w:t>
      </w:r>
      <w:r>
        <w:rPr>
          <w:rFonts w:hint="eastAsia" w:ascii="宋体" w:hAnsi="宋体" w:cs="仿宋"/>
          <w:color w:val="auto"/>
          <w:kern w:val="0"/>
          <w:highlight w:val="none"/>
        </w:rPr>
        <w:t>12.3.4</w:t>
      </w:r>
      <w:r>
        <w:rPr>
          <w:rFonts w:hint="eastAsia" w:ascii="宋体" w:hAnsi="宋体" w:cs="仿宋"/>
          <w:color w:val="auto"/>
          <w:highlight w:val="none"/>
        </w:rPr>
        <w:t>项</w:t>
      </w:r>
      <w:r>
        <w:rPr>
          <w:rFonts w:hint="eastAsia" w:ascii="宋体" w:hAnsi="宋体" w:cs="仿宋"/>
          <w:color w:val="auto"/>
          <w:kern w:val="0"/>
          <w:highlight w:val="none"/>
        </w:rPr>
        <w:t>〔总价合同的计量〕</w:t>
      </w:r>
      <w:r>
        <w:rPr>
          <w:rFonts w:hint="eastAsia" w:ascii="宋体" w:hAnsi="宋体" w:cs="仿宋"/>
          <w:color w:val="auto"/>
          <w:highlight w:val="none"/>
        </w:rPr>
        <w:t>约定进行计量，但</w:t>
      </w:r>
      <w:r>
        <w:rPr>
          <w:rFonts w:hint="eastAsia" w:ascii="宋体" w:hAnsi="宋体" w:cs="仿宋"/>
          <w:color w:val="auto"/>
          <w:kern w:val="0"/>
          <w:highlight w:val="none"/>
        </w:rPr>
        <w:t>合同价款按照支付分解表进行支付。</w:t>
      </w:r>
    </w:p>
    <w:p w14:paraId="4CB7CD79">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highlight w:val="none"/>
        </w:rPr>
        <w:t>监理人未在收到承包人提交的工程量报表后的7天内完成复核的，承包人提交的工程量报告中的工程量不视为承包人实际完成的工程量。</w:t>
      </w:r>
    </w:p>
    <w:p w14:paraId="42526EC4">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12.3.6 其他价格形式合同的计量</w:t>
      </w:r>
    </w:p>
    <w:p w14:paraId="6F70223A">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其他价格形式的计量方式和程序：</w:t>
      </w:r>
      <w:r>
        <w:rPr>
          <w:rFonts w:hint="eastAsia" w:ascii="宋体" w:hAnsi="宋体" w:cs="仿宋"/>
          <w:color w:val="auto"/>
          <w:highlight w:val="none"/>
          <w:u w:val="single"/>
        </w:rPr>
        <w:t>征得工程师确认，按签证或竣工结算最终由发包人审核为准。</w:t>
      </w:r>
    </w:p>
    <w:p w14:paraId="3BDE00C9">
      <w:pPr>
        <w:spacing w:line="480" w:lineRule="exact"/>
        <w:outlineLvl w:val="2"/>
        <w:rPr>
          <w:rFonts w:ascii="宋体" w:hAnsi="宋体" w:cs="仿宋"/>
          <w:b/>
          <w:bCs/>
          <w:color w:val="auto"/>
          <w:szCs w:val="32"/>
          <w:highlight w:val="none"/>
        </w:rPr>
      </w:pPr>
      <w:bookmarkStart w:id="911" w:name="_Toc403483787"/>
      <w:bookmarkStart w:id="912" w:name="_Toc434602191"/>
      <w:bookmarkStart w:id="913" w:name="_Toc389065317"/>
      <w:bookmarkStart w:id="914" w:name="_Toc373478399"/>
      <w:bookmarkStart w:id="915" w:name="_Toc434601351"/>
      <w:bookmarkStart w:id="916" w:name="_Toc373227752"/>
      <w:r>
        <w:rPr>
          <w:rFonts w:hint="eastAsia" w:ascii="宋体" w:hAnsi="宋体" w:cs="仿宋"/>
          <w:b/>
          <w:bCs/>
          <w:color w:val="auto"/>
          <w:szCs w:val="32"/>
          <w:highlight w:val="none"/>
        </w:rPr>
        <w:t>12.4 工程进度款支付</w:t>
      </w:r>
      <w:bookmarkEnd w:id="911"/>
      <w:bookmarkEnd w:id="912"/>
      <w:bookmarkEnd w:id="913"/>
      <w:bookmarkEnd w:id="914"/>
      <w:bookmarkEnd w:id="915"/>
      <w:bookmarkEnd w:id="916"/>
    </w:p>
    <w:p w14:paraId="4ED0E048">
      <w:pPr>
        <w:spacing w:line="480" w:lineRule="exact"/>
        <w:ind w:firstLine="420" w:firstLineChars="200"/>
        <w:jc w:val="left"/>
        <w:rPr>
          <w:rFonts w:ascii="宋体" w:hAnsi="宋体" w:cs="仿宋"/>
          <w:color w:val="auto"/>
          <w:highlight w:val="none"/>
        </w:rPr>
      </w:pPr>
      <w:bookmarkStart w:id="917" w:name="_Toc296891039"/>
      <w:bookmarkStart w:id="918" w:name="_Toc297048397"/>
      <w:bookmarkStart w:id="919" w:name="_Toc297123556"/>
      <w:bookmarkStart w:id="920" w:name="_Toc300935006"/>
      <w:bookmarkStart w:id="921" w:name="_Toc297216215"/>
      <w:bookmarkStart w:id="922" w:name="_Toc296347210"/>
      <w:bookmarkStart w:id="923" w:name="_Toc296891251"/>
      <w:bookmarkStart w:id="924" w:name="_Toc292559921"/>
      <w:bookmarkStart w:id="925" w:name="_Toc296346712"/>
      <w:bookmarkStart w:id="926" w:name="_Toc303539163"/>
      <w:bookmarkStart w:id="927" w:name="_Toc296944550"/>
      <w:bookmarkStart w:id="928" w:name="_Toc296503211"/>
      <w:bookmarkStart w:id="929" w:name="_Toc292559416"/>
      <w:bookmarkStart w:id="930" w:name="_Toc297120511"/>
      <w:r>
        <w:rPr>
          <w:rFonts w:hint="eastAsia" w:ascii="宋体" w:hAnsi="宋体" w:cs="仿宋"/>
          <w:color w:val="auto"/>
          <w:highlight w:val="none"/>
        </w:rPr>
        <w:t>12.4.1 付款周期</w:t>
      </w:r>
    </w:p>
    <w:p w14:paraId="3E390C03">
      <w:pPr>
        <w:spacing w:line="480" w:lineRule="exact"/>
        <w:ind w:firstLine="443" w:firstLineChars="210"/>
        <w:rPr>
          <w:rFonts w:ascii="宋体" w:hAnsi="宋体" w:cs="仿宋"/>
          <w:b/>
          <w:color w:val="auto"/>
          <w:highlight w:val="none"/>
        </w:rPr>
      </w:pPr>
      <w:r>
        <w:rPr>
          <w:rFonts w:hint="eastAsia" w:ascii="宋体" w:hAnsi="宋体" w:cs="仿宋"/>
          <w:b/>
          <w:color w:val="auto"/>
          <w:highlight w:val="none"/>
        </w:rPr>
        <w:t>双方约定：工程款原则上按月支付，合同内进度款支付限额为已完成工程量的80%，工程变更部分进度款支付限额为已完成工程量的70%，每次拨付工程进度款时承包人应提前开具本次所拨付款项的建筑发票，否则采购单位不予拨付该次工程款；工程结算经有关部门审定，承包人向发包人缴纳结算金额3%的工程质保金并开具经审定结算金额的全额建筑发票后，采购单位支付至结算总价的100%（含已支付的），工程质量保修金待工程质量保修期满后返还（无息）。</w:t>
      </w:r>
    </w:p>
    <w:p w14:paraId="2D8EB179">
      <w:pPr>
        <w:spacing w:line="480" w:lineRule="exact"/>
        <w:ind w:firstLine="441" w:firstLineChars="210"/>
        <w:rPr>
          <w:rFonts w:ascii="宋体" w:hAnsi="宋体" w:cs="仿宋"/>
          <w:color w:val="auto"/>
          <w:highlight w:val="none"/>
          <w:u w:val="single"/>
        </w:rPr>
      </w:pPr>
      <w:r>
        <w:rPr>
          <w:rFonts w:hint="eastAsia" w:ascii="宋体" w:hAnsi="宋体" w:cs="仿宋"/>
          <w:color w:val="auto"/>
          <w:highlight w:val="none"/>
          <w:u w:val="single"/>
        </w:rPr>
        <w:t>以上付款节点是否完成均必须经发包人、发包人委托的第三方审计、监理审核确认；每次完成工程量的提交、核对与支付：承包人每次完成到付款节点后向监理人提交完成量清单、报表、完整的预算书，监理人收到后在15天进行审核并在审核完毕后报送发包人以及发包人委托第三方审计单位，发包人和审计单位收到后根据付款节点在15天内核对完毕。对于承包人超出施工图纸范围或因承包人原因造成返工的工程量，发包人不予计量计算。监理人、发包人逾期完成审查审批的，均不得视为对承包人报送量价的默认，也不视为已同意签发进度款支付证书，但监理人与发包人均应及时审核承包人报送的资料文件。</w:t>
      </w:r>
    </w:p>
    <w:p w14:paraId="563B3563">
      <w:pPr>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12.4.2 进度付款申请单的编制</w:t>
      </w:r>
    </w:p>
    <w:p w14:paraId="387C0D47">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关于进度付款申请单编制的约定：</w:t>
      </w:r>
      <w:r>
        <w:rPr>
          <w:rFonts w:hint="eastAsia" w:ascii="宋体" w:hAnsi="宋体" w:cs="仿宋"/>
          <w:color w:val="auto"/>
          <w:highlight w:val="none"/>
          <w:u w:val="single"/>
        </w:rPr>
        <w:t>按通用条款执行</w:t>
      </w:r>
      <w:r>
        <w:rPr>
          <w:rFonts w:hint="eastAsia" w:ascii="宋体" w:hAnsi="宋体" w:cs="仿宋"/>
          <w:color w:val="auto"/>
          <w:highlight w:val="none"/>
        </w:rPr>
        <w:t>。</w:t>
      </w:r>
    </w:p>
    <w:p w14:paraId="0A162F5E">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Pr>
          <w:rFonts w:hint="eastAsia" w:ascii="宋体" w:hAnsi="宋体" w:cs="仿宋"/>
          <w:color w:val="auto"/>
          <w:highlight w:val="none"/>
        </w:rPr>
        <w:t>2.4.3 进度付款申请单的提交</w:t>
      </w:r>
    </w:p>
    <w:p w14:paraId="1023E31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（1）单价合同进度付款申请单提交的约定：</w:t>
      </w:r>
      <w:r>
        <w:rPr>
          <w:rFonts w:hint="eastAsia" w:ascii="宋体" w:hAnsi="宋体" w:cs="仿宋"/>
          <w:color w:val="auto"/>
          <w:highlight w:val="none"/>
          <w:u w:val="single"/>
        </w:rPr>
        <w:t>按通用条款执行</w:t>
      </w:r>
      <w:r>
        <w:rPr>
          <w:rFonts w:hint="eastAsia" w:ascii="宋体" w:hAnsi="宋体" w:cs="仿宋"/>
          <w:color w:val="auto"/>
          <w:highlight w:val="none"/>
        </w:rPr>
        <w:t>。</w:t>
      </w:r>
    </w:p>
    <w:p w14:paraId="4BCAECA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（2）总价合同进度付款申请单提交的约定：</w:t>
      </w:r>
      <w:r>
        <w:rPr>
          <w:rFonts w:hint="eastAsia" w:ascii="宋体" w:hAnsi="宋体" w:cs="仿宋"/>
          <w:color w:val="auto"/>
          <w:highlight w:val="none"/>
          <w:u w:val="single"/>
        </w:rPr>
        <w:t>无</w:t>
      </w:r>
      <w:r>
        <w:rPr>
          <w:rFonts w:hint="eastAsia" w:ascii="宋体" w:hAnsi="宋体" w:cs="仿宋"/>
          <w:color w:val="auto"/>
          <w:highlight w:val="none"/>
        </w:rPr>
        <w:t>。</w:t>
      </w:r>
    </w:p>
    <w:p w14:paraId="42E67919">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（3）其他价格形式合同进度付款申请单提交的约定：</w:t>
      </w:r>
      <w:r>
        <w:rPr>
          <w:rFonts w:hint="eastAsia" w:ascii="宋体" w:hAnsi="宋体" w:cs="仿宋"/>
          <w:color w:val="auto"/>
          <w:highlight w:val="none"/>
          <w:u w:val="single"/>
        </w:rPr>
        <w:t>按本合同《专用条款》第12.4条款相关规定执行</w:t>
      </w:r>
      <w:r>
        <w:rPr>
          <w:rFonts w:hint="eastAsia" w:ascii="宋体" w:hAnsi="宋体" w:cs="仿宋"/>
          <w:color w:val="auto"/>
          <w:highlight w:val="none"/>
        </w:rPr>
        <w:t>。</w:t>
      </w:r>
    </w:p>
    <w:p w14:paraId="1EC07C2A">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12.4.4 进度款审核和支付</w:t>
      </w:r>
    </w:p>
    <w:p w14:paraId="5968270E">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（1）监理人审查并报送发包人的期限：</w:t>
      </w:r>
      <w:r>
        <w:rPr>
          <w:rFonts w:hint="eastAsia" w:ascii="宋体" w:hAnsi="宋体" w:cs="仿宋"/>
          <w:color w:val="auto"/>
          <w:highlight w:val="none"/>
          <w:u w:val="single"/>
        </w:rPr>
        <w:t>按本合同《专用条款》第10.4条款相关规定执行</w:t>
      </w:r>
      <w:r>
        <w:rPr>
          <w:rFonts w:hint="eastAsia" w:ascii="宋体" w:hAnsi="宋体" w:cs="仿宋"/>
          <w:color w:val="auto"/>
          <w:highlight w:val="none"/>
        </w:rPr>
        <w:t>。</w:t>
      </w:r>
    </w:p>
    <w:p w14:paraId="0BAF2F16">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发包人完成审批并签发进度款支付证书的期限：</w:t>
      </w:r>
      <w:r>
        <w:rPr>
          <w:rFonts w:hint="eastAsia" w:ascii="宋体" w:hAnsi="宋体" w:cs="仿宋"/>
          <w:color w:val="auto"/>
          <w:highlight w:val="none"/>
          <w:u w:val="single"/>
        </w:rPr>
        <w:t>按本合同《专用条款》第12.4条款相关规定执行</w:t>
      </w:r>
      <w:r>
        <w:rPr>
          <w:rFonts w:hint="eastAsia" w:ascii="宋体" w:hAnsi="宋体" w:cs="仿宋"/>
          <w:color w:val="auto"/>
          <w:highlight w:val="none"/>
        </w:rPr>
        <w:t>。</w:t>
      </w:r>
    </w:p>
    <w:p w14:paraId="5AAE2127">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（2）发包人支付进度款的期限：</w:t>
      </w:r>
      <w:r>
        <w:rPr>
          <w:rFonts w:hint="eastAsia" w:ascii="宋体" w:hAnsi="宋体" w:cs="仿宋"/>
          <w:color w:val="auto"/>
          <w:highlight w:val="none"/>
          <w:u w:val="single"/>
        </w:rPr>
        <w:t>按本合同《专用条款》第12.4条款相关规定执行</w:t>
      </w:r>
      <w:r>
        <w:rPr>
          <w:rFonts w:hint="eastAsia" w:ascii="宋体" w:hAnsi="宋体" w:cs="仿宋"/>
          <w:color w:val="auto"/>
          <w:highlight w:val="none"/>
        </w:rPr>
        <w:t>。</w:t>
      </w:r>
    </w:p>
    <w:p w14:paraId="653ABDEA">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发包人逾期支付进度款的违约金的计算方式：</w:t>
      </w:r>
      <w:r>
        <w:rPr>
          <w:rFonts w:hint="eastAsia" w:ascii="宋体" w:hAnsi="宋体" w:cs="仿宋"/>
          <w:color w:val="auto"/>
          <w:kern w:val="0"/>
          <w:highlight w:val="none"/>
          <w:u w:val="single"/>
        </w:rPr>
        <w:t>承包人与发包人签订延期付款协议</w:t>
      </w:r>
      <w:r>
        <w:rPr>
          <w:rFonts w:hint="eastAsia" w:ascii="宋体" w:hAnsi="宋体" w:cs="仿宋"/>
          <w:color w:val="auto"/>
          <w:kern w:val="0"/>
          <w:highlight w:val="none"/>
        </w:rPr>
        <w:t>。</w:t>
      </w:r>
    </w:p>
    <w:p w14:paraId="1994B7AA">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进度款支付方式：</w:t>
      </w:r>
      <w:r>
        <w:rPr>
          <w:rFonts w:hint="eastAsia" w:ascii="宋体" w:hAnsi="宋体" w:cs="仿宋"/>
          <w:color w:val="auto"/>
          <w:highlight w:val="none"/>
          <w:u w:val="single"/>
        </w:rPr>
        <w:t>银行转账</w:t>
      </w:r>
      <w:r>
        <w:rPr>
          <w:rFonts w:hint="eastAsia" w:ascii="宋体" w:hAnsi="宋体" w:cs="仿宋"/>
          <w:color w:val="auto"/>
          <w:highlight w:val="none"/>
        </w:rPr>
        <w:t>。</w:t>
      </w:r>
    </w:p>
    <w:p w14:paraId="7956BFAF">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（3）承包人申请付款时的施工进度或质量不符合合同约定，或安全文明施工情况不符合有关规范及合同约定的，则发包人有权拒付该笔工程款，且承包人不得因此停止或延迟合同义务的履行。</w:t>
      </w:r>
    </w:p>
    <w:p w14:paraId="10048EFE">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4）承包人提出付款请求时，应填写发包人规定的工程进度款（结算款）申请表格，附带相关进度和质量的资料交由监理、发包人审查，并按照发包人的付款审核程序报批。承包人向发包人所提交的复印件均须经监理、发包人核验，与原件一致的方为有效，否则无效。发包人对承包人提交的有关资料有权进行核查，承包人须无条件配合。承包人不配合的，视为承包人提交的有关资料为虚假资料，须向发包人承担违约责任。</w:t>
      </w:r>
    </w:p>
    <w:p w14:paraId="19EE67D7">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（5）所有工程款以银行转账方式转至合同约定的承包人账户上。发包人每次付款前，承包人需先行提供当次申请支付金额等额合法有效的税务发票给发包人，否则，发包人有权拒付该笔款项。</w:t>
      </w:r>
    </w:p>
    <w:p w14:paraId="6A12541B">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（6）</w:t>
      </w:r>
      <w:r>
        <w:rPr>
          <w:rFonts w:ascii="宋体" w:hAnsi="宋体" w:cs="仿宋"/>
          <w:color w:val="auto"/>
          <w:highlight w:val="none"/>
        </w:rPr>
        <w:t>发包人逾期未完成</w:t>
      </w:r>
      <w:r>
        <w:rPr>
          <w:rFonts w:hint="eastAsia" w:ascii="宋体" w:hAnsi="宋体" w:cs="仿宋"/>
          <w:color w:val="auto"/>
          <w:highlight w:val="none"/>
        </w:rPr>
        <w:t>审批</w:t>
      </w:r>
      <w:r>
        <w:rPr>
          <w:rFonts w:ascii="宋体" w:hAnsi="宋体" w:cs="仿宋"/>
          <w:color w:val="auto"/>
          <w:highlight w:val="none"/>
        </w:rPr>
        <w:t>且未提出异议的，</w:t>
      </w:r>
      <w:r>
        <w:rPr>
          <w:rFonts w:hint="eastAsia" w:ascii="宋体" w:hAnsi="宋体" w:cs="仿宋"/>
          <w:color w:val="auto"/>
          <w:highlight w:val="none"/>
        </w:rPr>
        <w:t>不</w:t>
      </w:r>
      <w:r>
        <w:rPr>
          <w:rFonts w:ascii="宋体" w:hAnsi="宋体" w:cs="仿宋"/>
          <w:color w:val="auto"/>
          <w:highlight w:val="none"/>
        </w:rPr>
        <w:t>视为已签发进度款支付证书</w:t>
      </w:r>
      <w:r>
        <w:rPr>
          <w:rFonts w:hint="eastAsia" w:ascii="宋体" w:hAnsi="宋体" w:cs="仿宋"/>
          <w:color w:val="auto"/>
          <w:highlight w:val="none"/>
        </w:rPr>
        <w:t>。</w:t>
      </w:r>
    </w:p>
    <w:p w14:paraId="5C318811">
      <w:pPr>
        <w:spacing w:line="480" w:lineRule="exact"/>
        <w:ind w:firstLine="525" w:firstLineChars="250"/>
        <w:jc w:val="left"/>
        <w:rPr>
          <w:rFonts w:ascii="宋体" w:hAnsi="宋体" w:cs="仿宋"/>
          <w:color w:val="auto"/>
          <w:highlight w:val="none"/>
        </w:rPr>
      </w:pPr>
      <w:r>
        <w:rPr>
          <w:rFonts w:hint="eastAsia" w:ascii="宋体" w:hAnsi="宋体" w:cs="仿宋"/>
          <w:color w:val="auto"/>
          <w:highlight w:val="none"/>
        </w:rPr>
        <w:t>12.4.6 支付分解表的编制</w:t>
      </w:r>
    </w:p>
    <w:p w14:paraId="733DE278">
      <w:pPr>
        <w:spacing w:line="480" w:lineRule="exact"/>
        <w:ind w:firstLine="525" w:firstLineChars="250"/>
        <w:jc w:val="left"/>
        <w:rPr>
          <w:rFonts w:ascii="宋体" w:hAnsi="宋体" w:cs="仿宋"/>
          <w:color w:val="auto"/>
          <w:highlight w:val="none"/>
          <w:u w:val="single"/>
        </w:rPr>
      </w:pPr>
      <w:r>
        <w:rPr>
          <w:rFonts w:hint="eastAsia" w:ascii="宋体" w:hAnsi="宋体" w:cs="仿宋"/>
          <w:color w:val="auto"/>
          <w:highlight w:val="none"/>
        </w:rPr>
        <w:t>2. 总价合同支付分解表的编制与审批：</w:t>
      </w:r>
      <w:r>
        <w:rPr>
          <w:rFonts w:hint="eastAsia" w:ascii="宋体" w:hAnsi="宋体" w:cs="仿宋"/>
          <w:color w:val="auto"/>
          <w:highlight w:val="none"/>
          <w:u w:val="single"/>
        </w:rPr>
        <w:t xml:space="preserve">无 </w:t>
      </w:r>
      <w:r>
        <w:rPr>
          <w:rFonts w:hint="eastAsia" w:ascii="宋体" w:hAnsi="宋体" w:cs="仿宋"/>
          <w:color w:val="auto"/>
          <w:highlight w:val="none"/>
        </w:rPr>
        <w:t>。</w:t>
      </w:r>
    </w:p>
    <w:p w14:paraId="2825FDD2">
      <w:pPr>
        <w:spacing w:line="480" w:lineRule="exact"/>
        <w:ind w:firstLine="525" w:firstLineChars="250"/>
        <w:jc w:val="left"/>
        <w:rPr>
          <w:rFonts w:ascii="宋体" w:hAnsi="宋体" w:cs="仿宋"/>
          <w:color w:val="auto"/>
          <w:highlight w:val="none"/>
          <w:u w:val="single"/>
        </w:rPr>
      </w:pPr>
      <w:r>
        <w:rPr>
          <w:rFonts w:hint="eastAsia" w:ascii="宋体" w:hAnsi="宋体" w:cs="仿宋"/>
          <w:color w:val="auto"/>
          <w:highlight w:val="none"/>
        </w:rPr>
        <w:t>3. 单价合同的总价项目支付分解表的编制与审批：总价项目不采用支付分解表的方式计算，而按《建设工程工程量清单计价规范（GB50500-2013）广西壮族自治区实施细则》的规定执行。</w:t>
      </w:r>
    </w:p>
    <w:bookmarkEnd w:id="449"/>
    <w:p w14:paraId="54872E3D">
      <w:pPr>
        <w:spacing w:line="480" w:lineRule="exact"/>
        <w:rPr>
          <w:color w:val="auto"/>
          <w:szCs w:val="21"/>
          <w:highlight w:val="none"/>
        </w:rPr>
      </w:pPr>
      <w:bookmarkStart w:id="931" w:name="_Toc373478400"/>
      <w:bookmarkStart w:id="932" w:name="_Toc389065318"/>
      <w:bookmarkStart w:id="933" w:name="_Toc373227753"/>
      <w:bookmarkStart w:id="934" w:name="_Toc486950556"/>
      <w:bookmarkStart w:id="935" w:name="_Toc351203645"/>
      <w:bookmarkStart w:id="936" w:name="_Toc296944558"/>
      <w:bookmarkStart w:id="937" w:name="_Toc296891047"/>
      <w:bookmarkStart w:id="938" w:name="_Toc296891259"/>
      <w:bookmarkStart w:id="939" w:name="_Toc297216223"/>
      <w:bookmarkStart w:id="940" w:name="_Toc304295593"/>
      <w:bookmarkStart w:id="941" w:name="_Toc296503219"/>
      <w:bookmarkStart w:id="942" w:name="_Toc312678053"/>
      <w:bookmarkStart w:id="943" w:name="_Toc296346720"/>
      <w:bookmarkStart w:id="944" w:name="_Toc297048405"/>
      <w:bookmarkStart w:id="945" w:name="_Toc292559929"/>
      <w:bookmarkStart w:id="946" w:name="_Toc303539172"/>
      <w:bookmarkStart w:id="947" w:name="_Toc297120519"/>
      <w:bookmarkStart w:id="948" w:name="_Toc292559424"/>
      <w:bookmarkStart w:id="949" w:name="_Toc296347218"/>
      <w:bookmarkStart w:id="950" w:name="_Toc300935015"/>
      <w:bookmarkStart w:id="951" w:name="_Toc297123564"/>
      <w:r>
        <w:rPr>
          <w:color w:val="auto"/>
          <w:szCs w:val="21"/>
          <w:highlight w:val="none"/>
        </w:rPr>
        <w:t>13. 验收和工程试车</w:t>
      </w:r>
      <w:bookmarkEnd w:id="931"/>
      <w:bookmarkEnd w:id="932"/>
      <w:bookmarkEnd w:id="933"/>
      <w:bookmarkEnd w:id="934"/>
      <w:bookmarkEnd w:id="935"/>
    </w:p>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14:paraId="6105C8E7">
      <w:pPr>
        <w:spacing w:line="480" w:lineRule="exact"/>
        <w:rPr>
          <w:color w:val="auto"/>
          <w:szCs w:val="21"/>
          <w:highlight w:val="none"/>
        </w:rPr>
      </w:pPr>
      <w:bookmarkStart w:id="952" w:name="_Toc389065319"/>
      <w:bookmarkStart w:id="953" w:name="_Toc373227754"/>
      <w:bookmarkStart w:id="954" w:name="_Toc373478401"/>
      <w:bookmarkStart w:id="955" w:name="_Toc486950557"/>
      <w:r>
        <w:rPr>
          <w:color w:val="auto"/>
          <w:szCs w:val="21"/>
          <w:highlight w:val="none"/>
        </w:rPr>
        <w:t>13.1 分部分项工程验收</w:t>
      </w:r>
      <w:bookmarkEnd w:id="952"/>
      <w:bookmarkEnd w:id="953"/>
      <w:bookmarkEnd w:id="954"/>
      <w:bookmarkEnd w:id="955"/>
    </w:p>
    <w:p w14:paraId="35F93197">
      <w:pPr>
        <w:spacing w:line="480" w:lineRule="exact"/>
        <w:ind w:firstLine="420" w:firstLineChars="200"/>
        <w:jc w:val="left"/>
        <w:outlineLvl w:val="0"/>
        <w:rPr>
          <w:rFonts w:ascii="宋体" w:hAnsi="宋体" w:cs="仿宋"/>
          <w:color w:val="auto"/>
          <w:highlight w:val="none"/>
        </w:rPr>
      </w:pPr>
      <w:bookmarkStart w:id="956" w:name="_Toc389065325"/>
      <w:bookmarkStart w:id="957" w:name="_Toc486950563"/>
      <w:bookmarkStart w:id="958" w:name="_Toc373227760"/>
      <w:bookmarkStart w:id="959" w:name="_Toc373478407"/>
      <w:bookmarkStart w:id="960" w:name="_Toc267251476"/>
      <w:bookmarkStart w:id="961" w:name="_Toc267251475"/>
      <w:bookmarkStart w:id="962" w:name="_Toc267251471"/>
      <w:bookmarkStart w:id="963" w:name="_Toc267251473"/>
      <w:bookmarkStart w:id="964" w:name="_Toc267251474"/>
      <w:bookmarkStart w:id="965" w:name="_Toc280868709"/>
      <w:bookmarkStart w:id="966" w:name="_Toc267251472"/>
      <w:bookmarkStart w:id="967" w:name="_Toc267251470"/>
      <w:r>
        <w:rPr>
          <w:rFonts w:hint="eastAsia" w:ascii="宋体" w:hAnsi="宋体" w:cs="仿宋"/>
          <w:color w:val="auto"/>
          <w:highlight w:val="none"/>
        </w:rPr>
        <w:t>13.1.2监理人不能按时进行验收时，应提前</w:t>
      </w:r>
      <w:r>
        <w:rPr>
          <w:rFonts w:hint="eastAsia" w:ascii="宋体" w:hAnsi="宋体" w:cs="仿宋"/>
          <w:color w:val="auto"/>
          <w:highlight w:val="none"/>
          <w:u w:val="single"/>
        </w:rPr>
        <w:t xml:space="preserve"> 24</w:t>
      </w:r>
      <w:r>
        <w:rPr>
          <w:rFonts w:hint="eastAsia" w:ascii="宋体" w:hAnsi="宋体" w:cs="仿宋"/>
          <w:color w:val="auto"/>
          <w:highlight w:val="none"/>
        </w:rPr>
        <w:t>小时提交书面延期要求。</w:t>
      </w:r>
    </w:p>
    <w:p w14:paraId="33F0485F">
      <w:pPr>
        <w:spacing w:line="480" w:lineRule="exact"/>
        <w:ind w:firstLine="420" w:firstLineChars="200"/>
        <w:jc w:val="left"/>
        <w:rPr>
          <w:rFonts w:ascii="宋体" w:hAnsi="宋体" w:cs="仿宋"/>
          <w:b/>
          <w:color w:val="auto"/>
          <w:highlight w:val="none"/>
        </w:rPr>
      </w:pPr>
      <w:r>
        <w:rPr>
          <w:rFonts w:hint="eastAsia" w:ascii="宋体" w:hAnsi="宋体" w:cs="仿宋"/>
          <w:color w:val="auto"/>
          <w:highlight w:val="none"/>
        </w:rPr>
        <w:t>关于延期最长不得超过：</w:t>
      </w:r>
      <w:r>
        <w:rPr>
          <w:rFonts w:hint="eastAsia" w:ascii="宋体" w:hAnsi="宋体" w:cs="仿宋"/>
          <w:color w:val="auto"/>
          <w:highlight w:val="none"/>
          <w:u w:val="single"/>
        </w:rPr>
        <w:t>48</w:t>
      </w:r>
      <w:r>
        <w:rPr>
          <w:rFonts w:hint="eastAsia" w:ascii="宋体" w:hAnsi="宋体" w:cs="仿宋"/>
          <w:color w:val="auto"/>
          <w:highlight w:val="none"/>
        </w:rPr>
        <w:t>小时。</w:t>
      </w:r>
    </w:p>
    <w:p w14:paraId="2415282D">
      <w:pPr>
        <w:spacing w:line="480" w:lineRule="exact"/>
        <w:outlineLvl w:val="2"/>
        <w:rPr>
          <w:rFonts w:ascii="宋体" w:hAnsi="宋体" w:cs="仿宋"/>
          <w:b/>
          <w:bCs/>
          <w:color w:val="auto"/>
          <w:szCs w:val="32"/>
          <w:highlight w:val="none"/>
        </w:rPr>
      </w:pPr>
      <w:bookmarkStart w:id="968" w:name="_Toc434602194"/>
      <w:bookmarkStart w:id="969" w:name="_Toc389065320"/>
      <w:bookmarkStart w:id="970" w:name="_Toc403483790"/>
      <w:bookmarkStart w:id="971" w:name="_Toc434601354"/>
      <w:bookmarkStart w:id="972" w:name="_Toc373478402"/>
      <w:bookmarkStart w:id="973" w:name="_Toc373227755"/>
      <w:bookmarkStart w:id="974" w:name="_Toc300935016"/>
      <w:bookmarkStart w:id="975" w:name="_Toc296346724"/>
      <w:bookmarkStart w:id="976" w:name="_Toc296891051"/>
      <w:bookmarkStart w:id="977" w:name="_Toc296347222"/>
      <w:bookmarkStart w:id="978" w:name="_Toc292559428"/>
      <w:bookmarkStart w:id="979" w:name="_Toc296503223"/>
      <w:bookmarkStart w:id="980" w:name="_Toc297123565"/>
      <w:bookmarkStart w:id="981" w:name="_Toc304295596"/>
      <w:bookmarkStart w:id="982" w:name="_Toc297048409"/>
      <w:bookmarkStart w:id="983" w:name="_Toc296944562"/>
      <w:bookmarkStart w:id="984" w:name="_Toc292559933"/>
      <w:bookmarkStart w:id="985" w:name="_Toc297216224"/>
      <w:bookmarkStart w:id="986" w:name="_Toc296891263"/>
      <w:bookmarkStart w:id="987" w:name="_Toc303539173"/>
      <w:bookmarkStart w:id="988" w:name="_Toc297120523"/>
      <w:bookmarkStart w:id="989" w:name="_Toc312678056"/>
      <w:r>
        <w:rPr>
          <w:rFonts w:hint="eastAsia" w:ascii="宋体" w:hAnsi="宋体" w:cs="仿宋"/>
          <w:b/>
          <w:bCs/>
          <w:color w:val="auto"/>
          <w:szCs w:val="32"/>
          <w:highlight w:val="none"/>
        </w:rPr>
        <w:t>13.2 竣工验收</w:t>
      </w:r>
      <w:bookmarkEnd w:id="968"/>
      <w:bookmarkEnd w:id="969"/>
      <w:bookmarkEnd w:id="970"/>
      <w:bookmarkEnd w:id="971"/>
      <w:bookmarkEnd w:id="972"/>
      <w:bookmarkEnd w:id="973"/>
    </w:p>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14:paraId="5AB2FAA5">
      <w:pPr>
        <w:spacing w:line="480" w:lineRule="exact"/>
        <w:ind w:firstLine="420" w:firstLineChars="200"/>
        <w:jc w:val="left"/>
        <w:rPr>
          <w:rFonts w:ascii="宋体" w:hAnsi="宋体" w:cs="仿宋"/>
          <w:color w:val="auto"/>
          <w:highlight w:val="none"/>
        </w:rPr>
      </w:pPr>
      <w:bookmarkStart w:id="990" w:name="_Toc280868704"/>
      <w:bookmarkStart w:id="991" w:name="_Toc280868705"/>
      <w:bookmarkStart w:id="992" w:name="_Toc280868706"/>
      <w:bookmarkStart w:id="993" w:name="_Toc280868707"/>
      <w:bookmarkStart w:id="994" w:name="_Toc280868708"/>
      <w:r>
        <w:rPr>
          <w:rFonts w:hint="eastAsia" w:ascii="宋体" w:hAnsi="宋体" w:cs="仿宋"/>
          <w:color w:val="auto"/>
          <w:highlight w:val="none"/>
        </w:rPr>
        <w:t>13.2.1竣工验收条件</w:t>
      </w:r>
    </w:p>
    <w:p w14:paraId="1F4683E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除《通用合同条款》13.2.1外，还必须达到下列规定：</w:t>
      </w:r>
    </w:p>
    <w:p w14:paraId="6F3F075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（1）整体质量达到《通用合同条款》第5条，《专用合同条款》第5条等本合同有关工程质量约定的要求；</w:t>
      </w:r>
    </w:p>
    <w:p w14:paraId="600966F3">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（2）工程资料符合国家现行验收规范要求；</w:t>
      </w:r>
    </w:p>
    <w:p w14:paraId="63BF6A1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（3）全部完成合同任务；</w:t>
      </w:r>
    </w:p>
    <w:p w14:paraId="4155F13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（4）严格使用了设计施工图、本合同以及设计师、发包人确认样板等规定的材料。</w:t>
      </w:r>
    </w:p>
    <w:p w14:paraId="1912897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注：按照《南宁市建设工程质量和安全生产管理办法》（以下简称“办法”）规定，本协议承包人除按约定达到竣工验收条件后，还必须符合前述办法的规定，并且按照办法按照南宁市的规定（以上办法第五章）达到最终的竣工验收方视为完成本协议约定的竣工验收。</w:t>
      </w:r>
    </w:p>
    <w:p w14:paraId="772F8711">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13.2.1.1承包人负责整理和提交的竣工验收资料应当符合工程所在地建设行政主管部门和（或）城市建设档案管理机构有关施工资料的要求，具体内容包括：</w:t>
      </w:r>
      <w:r>
        <w:rPr>
          <w:rFonts w:hint="eastAsia" w:ascii="宋体" w:hAnsi="宋体" w:cs="仿宋"/>
          <w:color w:val="auto"/>
          <w:highlight w:val="none"/>
          <w:u w:val="single"/>
        </w:rPr>
        <w:t>施工整套存档资料</w:t>
      </w:r>
      <w:r>
        <w:rPr>
          <w:rFonts w:hint="eastAsia" w:ascii="宋体" w:hAnsi="宋体" w:cs="仿宋"/>
          <w:color w:val="auto"/>
          <w:highlight w:val="none"/>
        </w:rPr>
        <w:t>。</w:t>
      </w:r>
    </w:p>
    <w:p w14:paraId="755DA144">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竣工验收资料的份数：四套</w:t>
      </w:r>
      <w:r>
        <w:rPr>
          <w:rFonts w:hint="eastAsia" w:ascii="宋体" w:hAnsi="宋体" w:cs="仿宋"/>
          <w:color w:val="auto"/>
          <w:highlight w:val="none"/>
          <w:u w:val="single"/>
        </w:rPr>
        <w:t xml:space="preserve"> </w:t>
      </w:r>
      <w:r>
        <w:rPr>
          <w:rFonts w:hint="eastAsia" w:ascii="宋体" w:hAnsi="宋体" w:cs="仿宋"/>
          <w:color w:val="auto"/>
          <w:highlight w:val="none"/>
        </w:rPr>
        <w:t>。</w:t>
      </w:r>
    </w:p>
    <w:p w14:paraId="2400A4EB">
      <w:pPr>
        <w:spacing w:line="480" w:lineRule="exact"/>
        <w:ind w:firstLine="420" w:firstLineChars="200"/>
        <w:jc w:val="left"/>
        <w:rPr>
          <w:rFonts w:ascii="宋体" w:hAnsi="宋体" w:cs="仿宋"/>
          <w:color w:val="auto"/>
          <w:highlight w:val="none"/>
        </w:rPr>
      </w:pPr>
      <w:r>
        <w:rPr>
          <w:rFonts w:hint="eastAsia" w:ascii="宋体" w:hAnsi="宋体" w:cs="仿宋"/>
          <w:bCs/>
          <w:color w:val="auto"/>
          <w:highlight w:val="none"/>
        </w:rPr>
        <w:t>承包人提供竣工图的约定：</w:t>
      </w:r>
      <w:r>
        <w:rPr>
          <w:rFonts w:hint="eastAsia" w:ascii="宋体" w:hAnsi="宋体" w:cs="仿宋"/>
          <w:bCs/>
          <w:color w:val="auto"/>
          <w:highlight w:val="none"/>
          <w:u w:val="single"/>
        </w:rPr>
        <w:t>竣工验收正式通过后5天（工程造价在500万元以下含500万元）、10天（工程造价在500万元至1000万元之间含1000万元）、15天（工程造价在1000万元以上），提供竣工图的数量分别为4套、6套、8套。</w:t>
      </w:r>
    </w:p>
    <w:p w14:paraId="47C37E8C">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13.2.2竣工验收程序</w:t>
      </w:r>
    </w:p>
    <w:bookmarkEnd w:id="990"/>
    <w:p w14:paraId="31DA9D06">
      <w:pPr>
        <w:spacing w:line="480" w:lineRule="exact"/>
        <w:ind w:firstLine="420" w:firstLineChars="200"/>
        <w:jc w:val="left"/>
        <w:rPr>
          <w:rFonts w:ascii="宋体" w:hAnsi="宋体" w:cs="仿宋"/>
          <w:color w:val="auto"/>
          <w:highlight w:val="none"/>
        </w:rPr>
      </w:pPr>
      <w:r>
        <w:rPr>
          <w:rFonts w:hint="eastAsia" w:ascii="宋体" w:hAnsi="宋体" w:cs="仿宋"/>
          <w:color w:val="auto"/>
          <w:kern w:val="0"/>
          <w:highlight w:val="none"/>
        </w:rPr>
        <w:t>13.2.2.1关于竣工验收程序的约定：</w:t>
      </w:r>
      <w:r>
        <w:rPr>
          <w:rFonts w:hint="eastAsia" w:ascii="宋体" w:hAnsi="宋体" w:cs="仿宋"/>
          <w:color w:val="auto"/>
          <w:highlight w:val="none"/>
          <w:u w:val="single"/>
        </w:rPr>
        <w:t>按通用条款执行</w:t>
      </w:r>
      <w:r>
        <w:rPr>
          <w:rFonts w:hint="eastAsia" w:ascii="宋体" w:hAnsi="宋体" w:cs="仿宋"/>
          <w:color w:val="auto"/>
          <w:highlight w:val="none"/>
        </w:rPr>
        <w:t>。</w:t>
      </w:r>
    </w:p>
    <w:p w14:paraId="2AC6B2B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13.2.2.2承包人向发包人提交竣工验收申请书时，必须按国家工程竣工验收有关规定，向发包人提供一式六份符合国家、双方盖章确认的初审结算资料，同时承包人必须提交公司盖章确认的发包人已付工程款总额和工程款的支付是否符合合同条款约定的说明意见书及工程结算审查进度说明书，另提交如下支付农民工资的有效凭证（包括但不限于如下资料，具体以当地政府出具的提交工程资料明细单为准），劳动部门出具的农民工工资支付情况的公示结果承包人必须在工程竣工验收后三个月内提交发包人：</w:t>
      </w:r>
    </w:p>
    <w:p w14:paraId="23C1FD08">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① 出具的农民工工资支付证明；</w:t>
      </w:r>
    </w:p>
    <w:p w14:paraId="6414CF6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② 农民工工资投诉的处理结果（存在投诉时提供）。</w:t>
      </w:r>
    </w:p>
    <w:p w14:paraId="0D64B447">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13.2.2.3因承包人原因使工程竣工验收不能通过的，承包人应按要求整改直至合格为止，且承担相应费用。工程竣工验收质量达不到合格，承包人还必须承担因工程不能按时投入使用造成发包人相应的一切损失。</w:t>
      </w:r>
    </w:p>
    <w:p w14:paraId="6B64BAD1">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13.2.2.4发包人组织竣工验收前承包人须完成的工作：</w:t>
      </w:r>
    </w:p>
    <w:p w14:paraId="125FD884">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① 拆除施工场内所有临时设施、清除场内建筑垃圾（包括楼宇室内外及周边环境清洁卫生）。承包人未完成此项工作的，发包人有权拒绝接受交付。由此耽误的时间由承包人承担逾期交付的违约责任。</w:t>
      </w:r>
    </w:p>
    <w:p w14:paraId="02020BB6">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② 施工人员、材料及设备退场。</w:t>
      </w:r>
    </w:p>
    <w:p w14:paraId="2387EABC">
      <w:pPr>
        <w:spacing w:line="480" w:lineRule="exact"/>
        <w:ind w:firstLine="315" w:firstLineChars="150"/>
        <w:jc w:val="left"/>
        <w:rPr>
          <w:rFonts w:ascii="宋体" w:hAnsi="宋体" w:cs="仿宋"/>
          <w:color w:val="auto"/>
          <w:highlight w:val="none"/>
        </w:rPr>
      </w:pPr>
      <w:r>
        <w:rPr>
          <w:rFonts w:hint="eastAsia" w:ascii="宋体" w:hAnsi="宋体" w:cs="仿宋"/>
          <w:color w:val="auto"/>
          <w:highlight w:val="none"/>
        </w:rPr>
        <w:t>13.2.2.5承包人须在工程竣工验收通过后7天内完成以下工作，否则视为承包人逾期交付使用，违约责任按本合同约定执行：</w:t>
      </w:r>
    </w:p>
    <w:p w14:paraId="3044E8D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① 向发包人移交全部工程。</w:t>
      </w:r>
    </w:p>
    <w:p w14:paraId="5EA48572">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② 当工程验收合格后承包人须在三天内盖章确认“建设工程质量竣工验收意见书”。</w:t>
      </w:r>
    </w:p>
    <w:p w14:paraId="68A0595A">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13.2.2.6发包人不按照本项约定组织竣工验收、颁发工程接收证书的违约金的计算方法：</w:t>
      </w:r>
      <w:r>
        <w:rPr>
          <w:rFonts w:hint="eastAsia" w:ascii="宋体" w:hAnsi="宋体" w:cs="仿宋"/>
          <w:color w:val="auto"/>
          <w:highlight w:val="none"/>
          <w:u w:val="single"/>
        </w:rPr>
        <w:t xml:space="preserve">/ </w:t>
      </w:r>
      <w:r>
        <w:rPr>
          <w:rFonts w:hint="eastAsia" w:ascii="宋体" w:hAnsi="宋体" w:cs="仿宋"/>
          <w:color w:val="auto"/>
          <w:highlight w:val="none"/>
        </w:rPr>
        <w:t>。</w:t>
      </w:r>
    </w:p>
    <w:p w14:paraId="6A90C3F5">
      <w:pPr>
        <w:spacing w:line="480" w:lineRule="exact"/>
        <w:ind w:firstLine="420" w:firstLineChars="200"/>
        <w:jc w:val="left"/>
        <w:rPr>
          <w:rFonts w:ascii="宋体" w:hAnsi="宋体" w:cs="仿宋"/>
          <w:b/>
          <w:color w:val="auto"/>
          <w:highlight w:val="none"/>
        </w:rPr>
      </w:pPr>
      <w:r>
        <w:rPr>
          <w:rFonts w:hint="eastAsia" w:ascii="宋体" w:hAnsi="宋体" w:cs="仿宋"/>
          <w:color w:val="auto"/>
          <w:kern w:val="0"/>
          <w:highlight w:val="none"/>
        </w:rPr>
        <w:t>13.2.2.7发包人不按照本项约定组织竣工验收、颁发工程接收证书的违约金的计算方法：</w:t>
      </w:r>
      <w:r>
        <w:rPr>
          <w:rFonts w:hint="eastAsia" w:ascii="宋体" w:hAnsi="宋体" w:cs="仿宋"/>
          <w:color w:val="auto"/>
          <w:kern w:val="0"/>
          <w:highlight w:val="none"/>
          <w:u w:val="single"/>
        </w:rPr>
        <w:t>/</w:t>
      </w:r>
      <w:r>
        <w:rPr>
          <w:rFonts w:hint="eastAsia" w:ascii="宋体" w:hAnsi="宋体" w:cs="仿宋"/>
          <w:b/>
          <w:color w:val="auto"/>
          <w:highlight w:val="none"/>
        </w:rPr>
        <w:t>。</w:t>
      </w:r>
    </w:p>
    <w:bookmarkEnd w:id="991"/>
    <w:p w14:paraId="4EBA8E48">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13.2.3移交、接收全部与部分工程</w:t>
      </w:r>
    </w:p>
    <w:bookmarkEnd w:id="992"/>
    <w:p w14:paraId="65F138CB">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承包人向发包人移交工程的期限：</w:t>
      </w:r>
      <w:r>
        <w:rPr>
          <w:rFonts w:hint="eastAsia" w:ascii="宋体" w:hAnsi="宋体" w:cs="仿宋"/>
          <w:color w:val="auto"/>
          <w:highlight w:val="none"/>
          <w:u w:val="single"/>
        </w:rPr>
        <w:t>按通用条款执行</w:t>
      </w:r>
      <w:r>
        <w:rPr>
          <w:rFonts w:hint="eastAsia" w:ascii="宋体" w:hAnsi="宋体" w:cs="仿宋"/>
          <w:color w:val="auto"/>
          <w:highlight w:val="none"/>
        </w:rPr>
        <w:t>。</w:t>
      </w:r>
    </w:p>
    <w:p w14:paraId="721CBF60">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kern w:val="0"/>
          <w:highlight w:val="none"/>
        </w:rPr>
        <w:t>发包人未按本合同约定接收全部或部分工程的，违约金的计算方法为：</w:t>
      </w:r>
      <w:r>
        <w:rPr>
          <w:rFonts w:hint="eastAsia" w:ascii="宋体" w:hAnsi="宋体" w:cs="仿宋"/>
          <w:color w:val="auto"/>
          <w:kern w:val="0"/>
          <w:highlight w:val="none"/>
          <w:u w:val="single"/>
        </w:rPr>
        <w:t>应向承包人</w:t>
      </w:r>
      <w:r>
        <w:rPr>
          <w:rFonts w:hint="eastAsia" w:ascii="宋体" w:hAnsi="宋体" w:cs="仿宋"/>
          <w:color w:val="auto"/>
          <w:highlight w:val="none"/>
          <w:u w:val="single"/>
        </w:rPr>
        <w:t>每天赔偿金额为合同价款扣除建安劳保费、发包人材料价款、暂估专业工程、暂列金额后的万分之四的违约金，</w:t>
      </w:r>
      <w:r>
        <w:rPr>
          <w:rFonts w:hint="eastAsia" w:ascii="宋体" w:hAnsi="宋体" w:cs="仿宋"/>
          <w:b/>
          <w:color w:val="auto"/>
          <w:highlight w:val="none"/>
          <w:u w:val="single"/>
        </w:rPr>
        <w:t>违约金累计不超过合同价款扣除建安劳保费、发包人材料价款、暂估专业工程、暂列金额后的5%”</w:t>
      </w:r>
      <w:r>
        <w:rPr>
          <w:rFonts w:hint="eastAsia" w:ascii="宋体" w:hAnsi="宋体" w:cs="仿宋"/>
          <w:b/>
          <w:color w:val="auto"/>
          <w:highlight w:val="none"/>
        </w:rPr>
        <w:t>。</w:t>
      </w:r>
    </w:p>
    <w:bookmarkEnd w:id="993"/>
    <w:p w14:paraId="53E6BAD6">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承包人不得以任何理由（包括但不限于工程款的支付、停误工赔偿以及其他理由）留置和拒绝向发包人移交工程，否则承包人未按时移交工程的，违约金的计算方法为：</w:t>
      </w:r>
      <w:r>
        <w:rPr>
          <w:rFonts w:hint="eastAsia" w:ascii="宋体" w:hAnsi="宋体" w:cs="仿宋"/>
          <w:color w:val="auto"/>
          <w:highlight w:val="none"/>
          <w:u w:val="single"/>
        </w:rPr>
        <w:t>应向发包人支付误期赔偿费（每天赔偿金额为合同价款扣除建安劳保费、发包人材料价款、暂估专业工程、暂列金额后的万分之四），最高限额为合同价扣除建安劳保费、发包人材料价款、暂估专业工程、暂列金额后的5%</w:t>
      </w:r>
      <w:r>
        <w:rPr>
          <w:rFonts w:hint="eastAsia" w:ascii="宋体" w:hAnsi="宋体" w:cs="仿宋"/>
          <w:color w:val="auto"/>
          <w:highlight w:val="none"/>
        </w:rPr>
        <w:t>。</w:t>
      </w:r>
    </w:p>
    <w:p w14:paraId="559A9269">
      <w:pPr>
        <w:spacing w:line="480" w:lineRule="exact"/>
        <w:outlineLvl w:val="2"/>
        <w:rPr>
          <w:rFonts w:ascii="宋体" w:hAnsi="宋体" w:cs="仿宋"/>
          <w:b/>
          <w:bCs/>
          <w:color w:val="auto"/>
          <w:szCs w:val="32"/>
          <w:highlight w:val="none"/>
        </w:rPr>
      </w:pPr>
      <w:bookmarkStart w:id="995" w:name="_Toc434601355"/>
      <w:bookmarkStart w:id="996" w:name="_Toc389065321"/>
      <w:bookmarkStart w:id="997" w:name="_Toc434602195"/>
      <w:bookmarkStart w:id="998" w:name="_Toc403483791"/>
      <w:bookmarkStart w:id="999" w:name="_Toc373478403"/>
      <w:bookmarkStart w:id="1000" w:name="_Toc373227756"/>
      <w:r>
        <w:rPr>
          <w:rFonts w:hint="eastAsia" w:ascii="宋体" w:hAnsi="宋体" w:cs="仿宋"/>
          <w:b/>
          <w:bCs/>
          <w:color w:val="auto"/>
          <w:szCs w:val="32"/>
          <w:highlight w:val="none"/>
        </w:rPr>
        <w:t>13.3 工程试车</w:t>
      </w:r>
      <w:bookmarkEnd w:id="995"/>
      <w:bookmarkEnd w:id="996"/>
      <w:bookmarkEnd w:id="997"/>
      <w:bookmarkEnd w:id="998"/>
      <w:bookmarkEnd w:id="999"/>
      <w:bookmarkEnd w:id="1000"/>
    </w:p>
    <w:bookmarkEnd w:id="994"/>
    <w:p w14:paraId="25EFAADA">
      <w:pPr>
        <w:spacing w:line="480" w:lineRule="exact"/>
        <w:ind w:firstLine="420" w:firstLineChars="200"/>
        <w:jc w:val="left"/>
        <w:outlineLvl w:val="0"/>
        <w:rPr>
          <w:rFonts w:ascii="宋体" w:hAnsi="宋体" w:cs="仿宋"/>
          <w:color w:val="auto"/>
          <w:kern w:val="0"/>
          <w:highlight w:val="none"/>
        </w:rPr>
      </w:pPr>
      <w:r>
        <w:rPr>
          <w:rFonts w:hint="eastAsia" w:ascii="宋体" w:hAnsi="宋体" w:cs="仿宋"/>
          <w:color w:val="auto"/>
          <w:kern w:val="0"/>
          <w:highlight w:val="none"/>
        </w:rPr>
        <w:t>13.3.1 试车程序</w:t>
      </w:r>
    </w:p>
    <w:p w14:paraId="767A2577">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kern w:val="0"/>
          <w:highlight w:val="none"/>
        </w:rPr>
        <w:t>工程试车内容：</w:t>
      </w:r>
      <w:r>
        <w:rPr>
          <w:rFonts w:hint="eastAsia" w:ascii="宋体" w:hAnsi="宋体" w:cs="仿宋"/>
          <w:color w:val="auto"/>
          <w:highlight w:val="none"/>
          <w:u w:val="single"/>
        </w:rPr>
        <w:t>无</w:t>
      </w:r>
      <w:r>
        <w:rPr>
          <w:rFonts w:hint="eastAsia" w:ascii="宋体" w:hAnsi="宋体" w:cs="仿宋"/>
          <w:color w:val="auto"/>
          <w:highlight w:val="none"/>
        </w:rPr>
        <w:t>。</w:t>
      </w:r>
    </w:p>
    <w:p w14:paraId="46FC2FE1">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（1）单机无负荷试车费用由承担；</w:t>
      </w:r>
    </w:p>
    <w:p w14:paraId="53C5A912">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（2）无负荷联动试车费用由承担。</w:t>
      </w:r>
    </w:p>
    <w:p w14:paraId="60F40BAD">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13.3.2 投料试车</w:t>
      </w:r>
    </w:p>
    <w:p w14:paraId="0D70DA85">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kern w:val="0"/>
          <w:highlight w:val="none"/>
        </w:rPr>
        <w:t>关于投料试车相关事项的约定：</w:t>
      </w:r>
      <w:r>
        <w:rPr>
          <w:rFonts w:hint="eastAsia" w:ascii="宋体" w:hAnsi="宋体" w:cs="仿宋"/>
          <w:color w:val="auto"/>
          <w:highlight w:val="none"/>
          <w:u w:val="single"/>
        </w:rPr>
        <w:t>无</w:t>
      </w:r>
      <w:r>
        <w:rPr>
          <w:rFonts w:hint="eastAsia" w:ascii="宋体" w:hAnsi="宋体" w:cs="仿宋"/>
          <w:color w:val="auto"/>
          <w:highlight w:val="none"/>
        </w:rPr>
        <w:t>。</w:t>
      </w:r>
    </w:p>
    <w:p w14:paraId="3D7BDEA8">
      <w:pPr>
        <w:spacing w:line="480" w:lineRule="exact"/>
        <w:outlineLvl w:val="2"/>
        <w:rPr>
          <w:rFonts w:ascii="宋体" w:hAnsi="宋体" w:cs="仿宋"/>
          <w:b/>
          <w:bCs/>
          <w:color w:val="auto"/>
          <w:szCs w:val="32"/>
          <w:highlight w:val="none"/>
        </w:rPr>
      </w:pPr>
      <w:bookmarkStart w:id="1001" w:name="_Toc373478404"/>
      <w:bookmarkStart w:id="1002" w:name="_Toc434601356"/>
      <w:bookmarkStart w:id="1003" w:name="_Toc403483792"/>
      <w:bookmarkStart w:id="1004" w:name="_Toc434602196"/>
      <w:bookmarkStart w:id="1005" w:name="_Toc389065322"/>
      <w:bookmarkStart w:id="1006" w:name="_Toc373227757"/>
      <w:r>
        <w:rPr>
          <w:rFonts w:hint="eastAsia" w:ascii="宋体" w:hAnsi="宋体" w:cs="仿宋"/>
          <w:b/>
          <w:bCs/>
          <w:color w:val="auto"/>
          <w:szCs w:val="32"/>
          <w:highlight w:val="none"/>
        </w:rPr>
        <w:t>13.6 竣工退场</w:t>
      </w:r>
      <w:bookmarkEnd w:id="1001"/>
      <w:bookmarkEnd w:id="1002"/>
      <w:bookmarkEnd w:id="1003"/>
      <w:bookmarkEnd w:id="1004"/>
      <w:bookmarkEnd w:id="1005"/>
      <w:bookmarkEnd w:id="1006"/>
    </w:p>
    <w:p w14:paraId="5419B1AA">
      <w:pPr>
        <w:spacing w:line="480" w:lineRule="exact"/>
        <w:ind w:firstLine="420" w:firstLineChars="200"/>
        <w:jc w:val="left"/>
        <w:outlineLvl w:val="0"/>
        <w:rPr>
          <w:rFonts w:ascii="宋体" w:hAnsi="宋体" w:cs="仿宋"/>
          <w:color w:val="auto"/>
          <w:kern w:val="0"/>
          <w:highlight w:val="none"/>
        </w:rPr>
      </w:pPr>
      <w:r>
        <w:rPr>
          <w:rFonts w:hint="eastAsia" w:ascii="宋体" w:hAnsi="宋体" w:cs="仿宋"/>
          <w:color w:val="auto"/>
          <w:kern w:val="0"/>
          <w:highlight w:val="none"/>
        </w:rPr>
        <w:t>13.6.1 竣工退场</w:t>
      </w:r>
    </w:p>
    <w:p w14:paraId="78C1B067">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承包人完成竣工退场的期限：</w:t>
      </w:r>
      <w:r>
        <w:rPr>
          <w:rFonts w:hint="eastAsia" w:ascii="宋体" w:hAnsi="宋体" w:cs="仿宋"/>
          <w:color w:val="auto"/>
          <w:highlight w:val="none"/>
          <w:u w:val="single"/>
        </w:rPr>
        <w:t>竣工验收45日内</w:t>
      </w:r>
      <w:r>
        <w:rPr>
          <w:rFonts w:hint="eastAsia" w:ascii="宋体" w:hAnsi="宋体" w:cs="仿宋"/>
          <w:color w:val="auto"/>
          <w:kern w:val="0"/>
          <w:highlight w:val="none"/>
        </w:rPr>
        <w:t>。</w:t>
      </w:r>
    </w:p>
    <w:p w14:paraId="399963F8">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承包人应在前述时间内或发包人发出退场通知后5日内退场完毕，如承包人未能按时完成清理并退场（含全部人材机的退场）的，需按日向发包人支付签约合同价千分之三的场地占用费，且发包人有权另行聘请第三方进行清理，相关费用（无需经承包人确认，以发包人和第三方确认为准）由承包人承担，发包人有权直接在结算款中扣除。因承包人未按照约定清理垃圾及退场导致发包人损失的由承包人承担。</w:t>
      </w:r>
    </w:p>
    <w:p w14:paraId="4C9CE102">
      <w:pPr>
        <w:spacing w:line="480" w:lineRule="exact"/>
        <w:outlineLvl w:val="1"/>
        <w:rPr>
          <w:rFonts w:ascii="宋体" w:hAnsi="宋体" w:cs="仿宋"/>
          <w:b/>
          <w:bCs/>
          <w:color w:val="auto"/>
          <w:szCs w:val="32"/>
          <w:highlight w:val="none"/>
        </w:rPr>
      </w:pPr>
      <w:bookmarkStart w:id="1007" w:name="_Toc373227758"/>
      <w:bookmarkStart w:id="1008" w:name="_Toc434602197"/>
      <w:bookmarkStart w:id="1009" w:name="_Toc389065323"/>
      <w:bookmarkStart w:id="1010" w:name="_Toc403483793"/>
      <w:bookmarkStart w:id="1011" w:name="_Toc434601357"/>
      <w:bookmarkStart w:id="1012" w:name="_Toc351203646"/>
      <w:bookmarkStart w:id="1013" w:name="_Toc373478405"/>
      <w:r>
        <w:rPr>
          <w:rFonts w:hint="eastAsia" w:ascii="宋体" w:hAnsi="宋体" w:cs="仿宋"/>
          <w:b/>
          <w:bCs/>
          <w:color w:val="auto"/>
          <w:szCs w:val="32"/>
          <w:highlight w:val="none"/>
        </w:rPr>
        <w:t>14. 竣工结算</w:t>
      </w:r>
      <w:bookmarkEnd w:id="1007"/>
      <w:bookmarkEnd w:id="1008"/>
      <w:bookmarkEnd w:id="1009"/>
      <w:bookmarkEnd w:id="1010"/>
      <w:bookmarkEnd w:id="1011"/>
      <w:bookmarkEnd w:id="1012"/>
      <w:bookmarkEnd w:id="1013"/>
    </w:p>
    <w:p w14:paraId="3970E13E">
      <w:pPr>
        <w:spacing w:line="480" w:lineRule="exact"/>
        <w:outlineLvl w:val="2"/>
        <w:rPr>
          <w:rFonts w:ascii="宋体" w:hAnsi="宋体" w:cs="仿宋"/>
          <w:b/>
          <w:bCs/>
          <w:color w:val="auto"/>
          <w:szCs w:val="32"/>
          <w:highlight w:val="none"/>
        </w:rPr>
      </w:pPr>
      <w:bookmarkStart w:id="1014" w:name="_Toc434601358"/>
      <w:bookmarkStart w:id="1015" w:name="_Toc373227759"/>
      <w:bookmarkStart w:id="1016" w:name="_Toc403483794"/>
      <w:bookmarkStart w:id="1017" w:name="_Toc373478406"/>
      <w:bookmarkStart w:id="1018" w:name="_Toc434602198"/>
      <w:bookmarkStart w:id="1019" w:name="_Toc389065324"/>
      <w:r>
        <w:rPr>
          <w:rFonts w:hint="eastAsia" w:ascii="宋体" w:hAnsi="宋体" w:cs="仿宋"/>
          <w:b/>
          <w:bCs/>
          <w:color w:val="auto"/>
          <w:szCs w:val="32"/>
          <w:highlight w:val="none"/>
        </w:rPr>
        <w:t>14.1 竣工付款申请</w:t>
      </w:r>
      <w:bookmarkEnd w:id="1014"/>
      <w:bookmarkEnd w:id="1015"/>
      <w:bookmarkEnd w:id="1016"/>
      <w:bookmarkEnd w:id="1017"/>
      <w:bookmarkEnd w:id="1018"/>
      <w:bookmarkEnd w:id="1019"/>
    </w:p>
    <w:p w14:paraId="3A7DE75B">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承包人提交竣工付款申请单的期限：</w:t>
      </w:r>
      <w:r>
        <w:rPr>
          <w:rFonts w:hint="eastAsia" w:ascii="宋体" w:hAnsi="宋体" w:cs="仿宋"/>
          <w:color w:val="auto"/>
          <w:highlight w:val="none"/>
          <w:u w:val="single"/>
        </w:rPr>
        <w:t>经竣工验收合格15日内</w:t>
      </w:r>
      <w:r>
        <w:rPr>
          <w:rFonts w:hint="eastAsia" w:ascii="宋体" w:hAnsi="宋体" w:cs="仿宋"/>
          <w:color w:val="auto"/>
          <w:highlight w:val="none"/>
        </w:rPr>
        <w:t>。</w:t>
      </w:r>
    </w:p>
    <w:p w14:paraId="0B21741D">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竣工付款申请单应包括的内容：</w:t>
      </w:r>
      <w:r>
        <w:rPr>
          <w:rFonts w:hint="eastAsia" w:ascii="宋体" w:hAnsi="宋体" w:cs="仿宋"/>
          <w:color w:val="auto"/>
          <w:highlight w:val="none"/>
          <w:u w:val="single"/>
        </w:rPr>
        <w:t>竣工合格验收有关材料</w:t>
      </w:r>
      <w:r>
        <w:rPr>
          <w:rFonts w:hint="eastAsia" w:ascii="宋体" w:hAnsi="宋体" w:cs="仿宋"/>
          <w:color w:val="auto"/>
          <w:highlight w:val="none"/>
        </w:rPr>
        <w:t>。除通用条款的内容外，还应包括但不限于：结算项目承包合同及合同报价书；经审查批准的竣工图；招标文件；变更及现场签证累计统计表、审批表、结算表及变更签证的详细资料；工程竣工验收记录表；施工单位上报的竣工结算资料（一式两份）。工程结算必须在承包人向发包人移交全部竣工资料并经发包人确认合格。所有移交给发包人的结算资料，在承包人签字认可其齐全性后发包人才开始进行结算审计工作，该签字同时意味着承包人认可了不再对结算资料进行任何补充。</w:t>
      </w:r>
    </w:p>
    <w:p w14:paraId="1D703F26">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承包人未按合同约定时间要求向发包人提交完整齐全的竣工结算资料，造成工程竣工结算不能正常进行致使不能按合同约定支付工程结算尾款，由承包人自行承担责任。</w:t>
      </w:r>
    </w:p>
    <w:p w14:paraId="76335AA3">
      <w:pPr>
        <w:spacing w:line="480" w:lineRule="exact"/>
        <w:rPr>
          <w:color w:val="auto"/>
          <w:szCs w:val="21"/>
          <w:highlight w:val="none"/>
        </w:rPr>
      </w:pPr>
      <w:r>
        <w:rPr>
          <w:color w:val="auto"/>
          <w:szCs w:val="21"/>
          <w:highlight w:val="none"/>
        </w:rPr>
        <w:t xml:space="preserve">14.2 </w:t>
      </w:r>
      <w:r>
        <w:rPr>
          <w:rFonts w:hAnsi="宋体"/>
          <w:color w:val="auto"/>
          <w:szCs w:val="21"/>
          <w:highlight w:val="none"/>
        </w:rPr>
        <w:t>竣工结算审核</w:t>
      </w:r>
      <w:bookmarkEnd w:id="956"/>
      <w:bookmarkEnd w:id="957"/>
      <w:bookmarkEnd w:id="958"/>
      <w:bookmarkEnd w:id="959"/>
    </w:p>
    <w:p w14:paraId="2B290425">
      <w:pPr>
        <w:spacing w:line="480" w:lineRule="exact"/>
        <w:ind w:firstLine="420" w:firstLineChars="200"/>
        <w:jc w:val="left"/>
        <w:rPr>
          <w:color w:val="auto"/>
          <w:szCs w:val="21"/>
          <w:highlight w:val="none"/>
        </w:rPr>
      </w:pPr>
      <w:r>
        <w:rPr>
          <w:rFonts w:hAnsi="宋体"/>
          <w:color w:val="auto"/>
          <w:szCs w:val="21"/>
          <w:highlight w:val="none"/>
        </w:rPr>
        <w:t>发包人审批竣工付款申请单的期限：</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817"/>
      </w:tblGrid>
      <w:tr w14:paraId="2A05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F90CCB1">
            <w:pPr>
              <w:spacing w:line="480" w:lineRule="exact"/>
              <w:rPr>
                <w:bCs/>
                <w:color w:val="auto"/>
                <w:szCs w:val="21"/>
                <w:highlight w:val="none"/>
              </w:rPr>
            </w:pPr>
          </w:p>
        </w:tc>
        <w:tc>
          <w:tcPr>
            <w:tcW w:w="2466" w:type="dxa"/>
            <w:vAlign w:val="center"/>
          </w:tcPr>
          <w:p w14:paraId="5109868E">
            <w:pPr>
              <w:spacing w:line="480" w:lineRule="exact"/>
              <w:ind w:firstLine="27" w:firstLineChars="13"/>
              <w:jc w:val="center"/>
              <w:rPr>
                <w:bCs/>
                <w:color w:val="auto"/>
                <w:szCs w:val="21"/>
                <w:highlight w:val="none"/>
              </w:rPr>
            </w:pPr>
            <w:r>
              <w:rPr>
                <w:rFonts w:hAnsi="宋体"/>
                <w:bCs/>
                <w:color w:val="auto"/>
                <w:szCs w:val="21"/>
                <w:highlight w:val="none"/>
              </w:rPr>
              <w:t>工程竣工结算报告金额</w:t>
            </w:r>
          </w:p>
        </w:tc>
        <w:tc>
          <w:tcPr>
            <w:tcW w:w="5817" w:type="dxa"/>
            <w:vAlign w:val="center"/>
          </w:tcPr>
          <w:p w14:paraId="757BD0C5">
            <w:pPr>
              <w:spacing w:line="480" w:lineRule="exact"/>
              <w:ind w:firstLine="441" w:firstLineChars="210"/>
              <w:jc w:val="center"/>
              <w:rPr>
                <w:bCs/>
                <w:color w:val="auto"/>
                <w:szCs w:val="21"/>
                <w:highlight w:val="none"/>
              </w:rPr>
            </w:pPr>
            <w:r>
              <w:rPr>
                <w:rFonts w:hAnsi="宋体"/>
                <w:bCs/>
                <w:color w:val="auto"/>
                <w:szCs w:val="21"/>
                <w:highlight w:val="none"/>
              </w:rPr>
              <w:t>发包人审查时间</w:t>
            </w:r>
          </w:p>
        </w:tc>
      </w:tr>
      <w:tr w14:paraId="4D95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074547D">
            <w:pPr>
              <w:spacing w:line="480" w:lineRule="exact"/>
              <w:jc w:val="center"/>
              <w:rPr>
                <w:bCs/>
                <w:color w:val="auto"/>
                <w:szCs w:val="21"/>
                <w:highlight w:val="none"/>
              </w:rPr>
            </w:pPr>
            <w:r>
              <w:rPr>
                <w:bCs/>
                <w:color w:val="auto"/>
                <w:szCs w:val="21"/>
                <w:highlight w:val="none"/>
              </w:rPr>
              <w:t>1</w:t>
            </w:r>
          </w:p>
        </w:tc>
        <w:tc>
          <w:tcPr>
            <w:tcW w:w="2466" w:type="dxa"/>
            <w:vAlign w:val="center"/>
          </w:tcPr>
          <w:p w14:paraId="29DA1461">
            <w:pPr>
              <w:spacing w:line="480" w:lineRule="exact"/>
              <w:ind w:firstLine="27" w:firstLineChars="13"/>
              <w:jc w:val="center"/>
              <w:rPr>
                <w:bCs/>
                <w:color w:val="auto"/>
                <w:szCs w:val="21"/>
                <w:highlight w:val="none"/>
              </w:rPr>
            </w:pPr>
            <w:r>
              <w:rPr>
                <w:bCs/>
                <w:color w:val="auto"/>
                <w:szCs w:val="21"/>
                <w:highlight w:val="none"/>
              </w:rPr>
              <w:t>500</w:t>
            </w:r>
            <w:r>
              <w:rPr>
                <w:rFonts w:hAnsi="宋体"/>
                <w:bCs/>
                <w:color w:val="auto"/>
                <w:szCs w:val="21"/>
                <w:highlight w:val="none"/>
              </w:rPr>
              <w:t>万元以下</w:t>
            </w:r>
          </w:p>
        </w:tc>
        <w:tc>
          <w:tcPr>
            <w:tcW w:w="5817" w:type="dxa"/>
            <w:vAlign w:val="center"/>
          </w:tcPr>
          <w:p w14:paraId="2E4CA654">
            <w:pPr>
              <w:spacing w:line="480" w:lineRule="exact"/>
              <w:ind w:firstLine="441" w:firstLineChars="210"/>
              <w:jc w:val="center"/>
              <w:rPr>
                <w:bCs/>
                <w:color w:val="auto"/>
                <w:szCs w:val="21"/>
                <w:highlight w:val="none"/>
              </w:rPr>
            </w:pPr>
            <w:r>
              <w:rPr>
                <w:rFonts w:hAnsi="宋体"/>
                <w:bCs/>
                <w:color w:val="auto"/>
                <w:szCs w:val="21"/>
                <w:highlight w:val="none"/>
              </w:rPr>
              <w:t>从接到竣工结算报告和完整的竣工结算资料之日起</w:t>
            </w:r>
            <w:r>
              <w:rPr>
                <w:bCs/>
                <w:color w:val="auto"/>
                <w:szCs w:val="21"/>
                <w:highlight w:val="none"/>
              </w:rPr>
              <w:t>20</w:t>
            </w:r>
            <w:r>
              <w:rPr>
                <w:rFonts w:hAnsi="宋体"/>
                <w:bCs/>
                <w:color w:val="auto"/>
                <w:szCs w:val="21"/>
                <w:highlight w:val="none"/>
              </w:rPr>
              <w:t>天</w:t>
            </w:r>
          </w:p>
        </w:tc>
      </w:tr>
      <w:tr w14:paraId="549E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4895CAD">
            <w:pPr>
              <w:spacing w:line="480" w:lineRule="exact"/>
              <w:jc w:val="center"/>
              <w:rPr>
                <w:bCs/>
                <w:color w:val="auto"/>
                <w:szCs w:val="21"/>
                <w:highlight w:val="none"/>
              </w:rPr>
            </w:pPr>
            <w:r>
              <w:rPr>
                <w:bCs/>
                <w:color w:val="auto"/>
                <w:szCs w:val="21"/>
                <w:highlight w:val="none"/>
              </w:rPr>
              <w:t>2</w:t>
            </w:r>
          </w:p>
        </w:tc>
        <w:tc>
          <w:tcPr>
            <w:tcW w:w="2466" w:type="dxa"/>
            <w:vAlign w:val="center"/>
          </w:tcPr>
          <w:p w14:paraId="24B4FCF7">
            <w:pPr>
              <w:spacing w:line="480" w:lineRule="exact"/>
              <w:ind w:firstLine="27" w:firstLineChars="13"/>
              <w:jc w:val="center"/>
              <w:rPr>
                <w:bCs/>
                <w:color w:val="auto"/>
                <w:szCs w:val="21"/>
                <w:highlight w:val="none"/>
              </w:rPr>
            </w:pPr>
            <w:r>
              <w:rPr>
                <w:bCs/>
                <w:color w:val="auto"/>
                <w:szCs w:val="21"/>
                <w:highlight w:val="none"/>
              </w:rPr>
              <w:t>500</w:t>
            </w:r>
            <w:r>
              <w:rPr>
                <w:rFonts w:hAnsi="宋体"/>
                <w:bCs/>
                <w:color w:val="auto"/>
                <w:szCs w:val="21"/>
                <w:highlight w:val="none"/>
              </w:rPr>
              <w:t>万元</w:t>
            </w:r>
            <w:r>
              <w:rPr>
                <w:bCs/>
                <w:color w:val="auto"/>
                <w:szCs w:val="21"/>
                <w:highlight w:val="none"/>
              </w:rPr>
              <w:t>-2000</w:t>
            </w:r>
            <w:r>
              <w:rPr>
                <w:rFonts w:hAnsi="宋体"/>
                <w:bCs/>
                <w:color w:val="auto"/>
                <w:szCs w:val="21"/>
                <w:highlight w:val="none"/>
              </w:rPr>
              <w:t>万元</w:t>
            </w:r>
          </w:p>
        </w:tc>
        <w:tc>
          <w:tcPr>
            <w:tcW w:w="5817" w:type="dxa"/>
            <w:vAlign w:val="center"/>
          </w:tcPr>
          <w:p w14:paraId="4E595856">
            <w:pPr>
              <w:spacing w:line="480" w:lineRule="exact"/>
              <w:ind w:firstLine="441" w:firstLineChars="210"/>
              <w:jc w:val="center"/>
              <w:rPr>
                <w:bCs/>
                <w:color w:val="auto"/>
                <w:szCs w:val="21"/>
                <w:highlight w:val="none"/>
              </w:rPr>
            </w:pPr>
            <w:r>
              <w:rPr>
                <w:rFonts w:hAnsi="宋体"/>
                <w:bCs/>
                <w:color w:val="auto"/>
                <w:szCs w:val="21"/>
                <w:highlight w:val="none"/>
              </w:rPr>
              <w:t>从接到竣工结算报告和完整的竣工结算资料之日起</w:t>
            </w:r>
            <w:r>
              <w:rPr>
                <w:bCs/>
                <w:color w:val="auto"/>
                <w:szCs w:val="21"/>
                <w:highlight w:val="none"/>
              </w:rPr>
              <w:t>30</w:t>
            </w:r>
            <w:r>
              <w:rPr>
                <w:rFonts w:hAnsi="宋体"/>
                <w:bCs/>
                <w:color w:val="auto"/>
                <w:szCs w:val="21"/>
                <w:highlight w:val="none"/>
              </w:rPr>
              <w:t>天</w:t>
            </w:r>
          </w:p>
        </w:tc>
      </w:tr>
      <w:tr w14:paraId="5705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7A417A7">
            <w:pPr>
              <w:spacing w:line="480" w:lineRule="exact"/>
              <w:jc w:val="center"/>
              <w:rPr>
                <w:bCs/>
                <w:color w:val="auto"/>
                <w:szCs w:val="21"/>
                <w:highlight w:val="none"/>
              </w:rPr>
            </w:pPr>
            <w:r>
              <w:rPr>
                <w:bCs/>
                <w:color w:val="auto"/>
                <w:szCs w:val="21"/>
                <w:highlight w:val="none"/>
              </w:rPr>
              <w:t>3</w:t>
            </w:r>
          </w:p>
        </w:tc>
        <w:tc>
          <w:tcPr>
            <w:tcW w:w="2466" w:type="dxa"/>
            <w:vAlign w:val="center"/>
          </w:tcPr>
          <w:p w14:paraId="1D2C4CD1">
            <w:pPr>
              <w:spacing w:line="480" w:lineRule="exact"/>
              <w:ind w:firstLine="27" w:firstLineChars="13"/>
              <w:jc w:val="center"/>
              <w:rPr>
                <w:bCs/>
                <w:color w:val="auto"/>
                <w:szCs w:val="21"/>
                <w:highlight w:val="none"/>
              </w:rPr>
            </w:pPr>
            <w:r>
              <w:rPr>
                <w:bCs/>
                <w:color w:val="auto"/>
                <w:szCs w:val="21"/>
                <w:highlight w:val="none"/>
              </w:rPr>
              <w:t>2000</w:t>
            </w:r>
            <w:r>
              <w:rPr>
                <w:rFonts w:hAnsi="宋体"/>
                <w:bCs/>
                <w:color w:val="auto"/>
                <w:szCs w:val="21"/>
                <w:highlight w:val="none"/>
              </w:rPr>
              <w:t>万元</w:t>
            </w:r>
            <w:r>
              <w:rPr>
                <w:bCs/>
                <w:color w:val="auto"/>
                <w:szCs w:val="21"/>
                <w:highlight w:val="none"/>
              </w:rPr>
              <w:t>-5000</w:t>
            </w:r>
            <w:r>
              <w:rPr>
                <w:rFonts w:hAnsi="宋体"/>
                <w:bCs/>
                <w:color w:val="auto"/>
                <w:szCs w:val="21"/>
                <w:highlight w:val="none"/>
              </w:rPr>
              <w:t>万元</w:t>
            </w:r>
          </w:p>
        </w:tc>
        <w:tc>
          <w:tcPr>
            <w:tcW w:w="5817" w:type="dxa"/>
            <w:vAlign w:val="center"/>
          </w:tcPr>
          <w:p w14:paraId="478BBE06">
            <w:pPr>
              <w:spacing w:line="480" w:lineRule="exact"/>
              <w:ind w:firstLine="441" w:firstLineChars="210"/>
              <w:jc w:val="center"/>
              <w:rPr>
                <w:bCs/>
                <w:color w:val="auto"/>
                <w:szCs w:val="21"/>
                <w:highlight w:val="none"/>
              </w:rPr>
            </w:pPr>
            <w:r>
              <w:rPr>
                <w:rFonts w:hAnsi="宋体"/>
                <w:bCs/>
                <w:color w:val="auto"/>
                <w:szCs w:val="21"/>
                <w:highlight w:val="none"/>
              </w:rPr>
              <w:t>从接到竣工结算报告和完整的竣工结算资料之日起</w:t>
            </w:r>
            <w:r>
              <w:rPr>
                <w:bCs/>
                <w:color w:val="auto"/>
                <w:szCs w:val="21"/>
                <w:highlight w:val="none"/>
              </w:rPr>
              <w:t>45</w:t>
            </w:r>
            <w:r>
              <w:rPr>
                <w:rFonts w:hAnsi="宋体"/>
                <w:bCs/>
                <w:color w:val="auto"/>
                <w:szCs w:val="21"/>
                <w:highlight w:val="none"/>
              </w:rPr>
              <w:t>天</w:t>
            </w:r>
          </w:p>
        </w:tc>
      </w:tr>
      <w:tr w14:paraId="07C1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48A53FB">
            <w:pPr>
              <w:spacing w:line="480" w:lineRule="exact"/>
              <w:jc w:val="center"/>
              <w:rPr>
                <w:bCs/>
                <w:color w:val="auto"/>
                <w:szCs w:val="21"/>
                <w:highlight w:val="none"/>
              </w:rPr>
            </w:pPr>
            <w:r>
              <w:rPr>
                <w:bCs/>
                <w:color w:val="auto"/>
                <w:szCs w:val="21"/>
                <w:highlight w:val="none"/>
              </w:rPr>
              <w:t>4</w:t>
            </w:r>
          </w:p>
        </w:tc>
        <w:tc>
          <w:tcPr>
            <w:tcW w:w="2466" w:type="dxa"/>
            <w:vAlign w:val="center"/>
          </w:tcPr>
          <w:p w14:paraId="19C48812">
            <w:pPr>
              <w:spacing w:line="480" w:lineRule="exact"/>
              <w:ind w:firstLine="27" w:firstLineChars="13"/>
              <w:jc w:val="center"/>
              <w:rPr>
                <w:bCs/>
                <w:color w:val="auto"/>
                <w:szCs w:val="21"/>
                <w:highlight w:val="none"/>
              </w:rPr>
            </w:pPr>
            <w:r>
              <w:rPr>
                <w:bCs/>
                <w:color w:val="auto"/>
                <w:szCs w:val="21"/>
                <w:highlight w:val="none"/>
              </w:rPr>
              <w:t>5000</w:t>
            </w:r>
            <w:r>
              <w:rPr>
                <w:rFonts w:hAnsi="宋体"/>
                <w:bCs/>
                <w:color w:val="auto"/>
                <w:szCs w:val="21"/>
                <w:highlight w:val="none"/>
              </w:rPr>
              <w:t>万元以上</w:t>
            </w:r>
          </w:p>
        </w:tc>
        <w:tc>
          <w:tcPr>
            <w:tcW w:w="5817" w:type="dxa"/>
            <w:vAlign w:val="center"/>
          </w:tcPr>
          <w:p w14:paraId="23A4E3BF">
            <w:pPr>
              <w:spacing w:line="480" w:lineRule="exact"/>
              <w:ind w:firstLine="441" w:firstLineChars="210"/>
              <w:jc w:val="center"/>
              <w:rPr>
                <w:bCs/>
                <w:color w:val="auto"/>
                <w:szCs w:val="21"/>
                <w:highlight w:val="none"/>
              </w:rPr>
            </w:pPr>
            <w:r>
              <w:rPr>
                <w:rFonts w:hAnsi="宋体"/>
                <w:bCs/>
                <w:color w:val="auto"/>
                <w:szCs w:val="21"/>
                <w:highlight w:val="none"/>
              </w:rPr>
              <w:t>从接到竣工结算报告和完整的竣工结算资料之日起</w:t>
            </w:r>
            <w:r>
              <w:rPr>
                <w:bCs/>
                <w:color w:val="auto"/>
                <w:szCs w:val="21"/>
                <w:highlight w:val="none"/>
              </w:rPr>
              <w:t>60</w:t>
            </w:r>
            <w:r>
              <w:rPr>
                <w:rFonts w:hAnsi="宋体"/>
                <w:bCs/>
                <w:color w:val="auto"/>
                <w:szCs w:val="21"/>
                <w:highlight w:val="none"/>
              </w:rPr>
              <w:t>天</w:t>
            </w:r>
          </w:p>
        </w:tc>
      </w:tr>
    </w:tbl>
    <w:p w14:paraId="3313364F">
      <w:pPr>
        <w:spacing w:line="480" w:lineRule="exact"/>
        <w:ind w:firstLine="420" w:firstLineChars="200"/>
        <w:jc w:val="left"/>
        <w:rPr>
          <w:rFonts w:hAnsi="宋体"/>
          <w:color w:val="auto"/>
          <w:szCs w:val="21"/>
          <w:highlight w:val="none"/>
        </w:rPr>
      </w:pPr>
      <w:r>
        <w:rPr>
          <w:rFonts w:hAnsi="宋体"/>
          <w:bCs/>
          <w:color w:val="auto"/>
          <w:szCs w:val="21"/>
          <w:highlight w:val="none"/>
        </w:rPr>
        <w:t>因承包人提供的结算资料不完整而需要补充或承包人不按时对账耽误时间时，审查时间应相应顺延</w:t>
      </w:r>
      <w:r>
        <w:rPr>
          <w:rFonts w:hAnsi="宋体"/>
          <w:color w:val="auto"/>
          <w:szCs w:val="21"/>
          <w:highlight w:val="none"/>
        </w:rPr>
        <w:t>。</w:t>
      </w:r>
    </w:p>
    <w:p w14:paraId="03173C7C">
      <w:pPr>
        <w:spacing w:line="480" w:lineRule="exact"/>
        <w:ind w:firstLine="411" w:firstLineChars="196"/>
        <w:rPr>
          <w:rFonts w:hAnsi="宋体"/>
          <w:bCs/>
          <w:color w:val="auto"/>
          <w:szCs w:val="21"/>
          <w:highlight w:val="none"/>
        </w:rPr>
      </w:pPr>
      <w:r>
        <w:rPr>
          <w:rFonts w:hint="eastAsia" w:hAnsi="宋体"/>
          <w:bCs/>
          <w:color w:val="auto"/>
          <w:szCs w:val="21"/>
          <w:highlight w:val="none"/>
        </w:rPr>
        <w:t>结算审核约定：对符合财政投资评审范围的项目，按财政评审有关文件规定执行，竣工结算以财政评审意见为准。</w:t>
      </w:r>
    </w:p>
    <w:p w14:paraId="2D7814F9">
      <w:pPr>
        <w:spacing w:line="480" w:lineRule="exact"/>
        <w:ind w:firstLine="420" w:firstLineChars="200"/>
        <w:jc w:val="left"/>
        <w:rPr>
          <w:rFonts w:hAnsi="宋体"/>
          <w:bCs/>
          <w:color w:val="auto"/>
          <w:szCs w:val="21"/>
          <w:highlight w:val="none"/>
        </w:rPr>
      </w:pPr>
      <w:r>
        <w:rPr>
          <w:rFonts w:hint="eastAsia" w:hAnsi="宋体"/>
          <w:bCs/>
          <w:color w:val="auto"/>
          <w:szCs w:val="21"/>
          <w:highlight w:val="none"/>
        </w:rPr>
        <w:t>(1)工程竣工验收报告经发包人认可后30天内，承包人应 向发包人递交竣工验收合格资料及完整的结算资料和报告，双方按照本工程合同约定的价格形式及价款调整办法进行工程竣工结算。如承包人逾期递交竣工验收合格资料及完整的结算资料和 报告，每延误一天，按签约合同价的万分之二计算逾期违约金，违 约金直接从结算款中扣除。违约金上限：签约合同价扣除发包人材料价款、暂估专业工程、暂列金额后的百分之二。</w:t>
      </w:r>
    </w:p>
    <w:p w14:paraId="72C96993">
      <w:pPr>
        <w:spacing w:line="480" w:lineRule="exact"/>
        <w:ind w:firstLine="420" w:firstLineChars="200"/>
        <w:jc w:val="left"/>
        <w:rPr>
          <w:rFonts w:hAnsi="宋体"/>
          <w:bCs/>
          <w:color w:val="auto"/>
          <w:szCs w:val="21"/>
          <w:highlight w:val="none"/>
        </w:rPr>
      </w:pPr>
      <w:r>
        <w:rPr>
          <w:rFonts w:hint="eastAsia" w:hAnsi="宋体"/>
          <w:bCs/>
          <w:color w:val="auto"/>
          <w:szCs w:val="21"/>
          <w:highlight w:val="none"/>
        </w:rPr>
        <w:t>(2)承包人所编制的工程竣工资料经发包人审核后，送到 财政部门之日起，承包人所遗漏的与工程造价有关的签证不再作为结算审核依据，按自动放弃处理。</w:t>
      </w:r>
    </w:p>
    <w:p w14:paraId="33E42A6F">
      <w:pPr>
        <w:spacing w:line="480" w:lineRule="exact"/>
        <w:ind w:firstLine="420" w:firstLineChars="200"/>
        <w:jc w:val="left"/>
        <w:rPr>
          <w:rFonts w:hAnsi="宋体"/>
          <w:bCs/>
          <w:color w:val="auto"/>
          <w:szCs w:val="21"/>
          <w:highlight w:val="none"/>
        </w:rPr>
      </w:pPr>
      <w:r>
        <w:rPr>
          <w:rFonts w:hint="eastAsia" w:hAnsi="宋体"/>
          <w:bCs/>
          <w:color w:val="auto"/>
          <w:szCs w:val="21"/>
          <w:highlight w:val="none"/>
        </w:rPr>
        <w:t>(3)如承包人报送的工程结算总价过高，造成该结算审减 率超过6%以上的，则超出6%以上部分的审核费由承包人承担，费用由发包人从承包人工程结算款中扣除。计算公式如下：审减率=(送审造价-审定造价)/送审造价*100%;当审减率大于6%时，承包人应承担的审核费=(净审减额-送审额*6%)*3.5%”。</w:t>
      </w:r>
    </w:p>
    <w:p w14:paraId="533CABE1">
      <w:pPr>
        <w:spacing w:line="480" w:lineRule="exact"/>
        <w:ind w:firstLine="420" w:firstLineChars="200"/>
        <w:jc w:val="left"/>
        <w:rPr>
          <w:rFonts w:hAnsi="宋体"/>
          <w:bCs/>
          <w:color w:val="auto"/>
          <w:szCs w:val="21"/>
          <w:highlight w:val="none"/>
        </w:rPr>
      </w:pPr>
      <w:r>
        <w:rPr>
          <w:rFonts w:hint="eastAsia" w:hAnsi="宋体"/>
          <w:bCs/>
          <w:color w:val="auto"/>
          <w:szCs w:val="21"/>
          <w:highlight w:val="none"/>
        </w:rPr>
        <w:t>(4)承包人必须提供完整、真实的隐蔽工程原始施工、验收记录。如发现施工单位提供的隐蔽工程资料与实际不符时，按不利于施工单位原则结算。</w:t>
      </w:r>
    </w:p>
    <w:p w14:paraId="599AC27C">
      <w:pPr>
        <w:spacing w:line="480" w:lineRule="exact"/>
        <w:ind w:firstLine="420" w:firstLineChars="200"/>
        <w:jc w:val="left"/>
        <w:rPr>
          <w:color w:val="auto"/>
          <w:szCs w:val="21"/>
          <w:highlight w:val="none"/>
        </w:rPr>
      </w:pPr>
      <w:r>
        <w:rPr>
          <w:rFonts w:hAnsi="宋体"/>
          <w:color w:val="auto"/>
          <w:szCs w:val="21"/>
          <w:highlight w:val="none"/>
        </w:rPr>
        <w:t>发包人完成竣工付款的期限：</w:t>
      </w:r>
      <w:r>
        <w:rPr>
          <w:color w:val="auto"/>
          <w:szCs w:val="21"/>
          <w:highlight w:val="none"/>
          <w:u w:val="single"/>
        </w:rPr>
        <w:t xml:space="preserve">                            </w:t>
      </w:r>
      <w:r>
        <w:rPr>
          <w:rFonts w:hAnsi="宋体"/>
          <w:color w:val="auto"/>
          <w:szCs w:val="21"/>
          <w:highlight w:val="none"/>
        </w:rPr>
        <w:t>。</w:t>
      </w:r>
    </w:p>
    <w:p w14:paraId="2123F088">
      <w:pPr>
        <w:spacing w:line="480" w:lineRule="exact"/>
        <w:ind w:firstLine="420" w:firstLineChars="200"/>
        <w:jc w:val="left"/>
        <w:rPr>
          <w:color w:val="auto"/>
          <w:szCs w:val="21"/>
          <w:highlight w:val="none"/>
          <w:u w:val="single"/>
        </w:rPr>
      </w:pPr>
      <w:r>
        <w:rPr>
          <w:rFonts w:hAnsi="宋体"/>
          <w:color w:val="auto"/>
          <w:szCs w:val="21"/>
          <w:highlight w:val="none"/>
        </w:rPr>
        <w:t>关于竣工付款证书异议部分复核的方式和程序：</w:t>
      </w:r>
      <w:r>
        <w:rPr>
          <w:color w:val="auto"/>
          <w:szCs w:val="21"/>
          <w:highlight w:val="none"/>
          <w:u w:val="single"/>
        </w:rPr>
        <w:t xml:space="preserve">            </w:t>
      </w:r>
      <w:r>
        <w:rPr>
          <w:rFonts w:hAnsi="宋体"/>
          <w:color w:val="auto"/>
          <w:szCs w:val="21"/>
          <w:highlight w:val="none"/>
        </w:rPr>
        <w:t>。</w:t>
      </w:r>
    </w:p>
    <w:p w14:paraId="7ACF50F1">
      <w:pPr>
        <w:spacing w:line="480" w:lineRule="exact"/>
        <w:rPr>
          <w:color w:val="auto"/>
          <w:szCs w:val="21"/>
          <w:highlight w:val="none"/>
        </w:rPr>
      </w:pPr>
      <w:bookmarkStart w:id="1020" w:name="_Toc389065326"/>
      <w:bookmarkStart w:id="1021" w:name="_Toc373227761"/>
      <w:bookmarkStart w:id="1022" w:name="_Toc486950564"/>
      <w:bookmarkStart w:id="1023" w:name="_Toc373478408"/>
      <w:r>
        <w:rPr>
          <w:color w:val="auto"/>
          <w:szCs w:val="21"/>
          <w:highlight w:val="none"/>
        </w:rPr>
        <w:t xml:space="preserve">14.4 </w:t>
      </w:r>
      <w:r>
        <w:rPr>
          <w:rFonts w:hAnsi="宋体"/>
          <w:color w:val="auto"/>
          <w:szCs w:val="21"/>
          <w:highlight w:val="none"/>
        </w:rPr>
        <w:t>最终结清</w:t>
      </w:r>
      <w:bookmarkEnd w:id="1020"/>
      <w:bookmarkEnd w:id="1021"/>
      <w:bookmarkEnd w:id="1022"/>
      <w:bookmarkEnd w:id="1023"/>
    </w:p>
    <w:bookmarkEnd w:id="960"/>
    <w:bookmarkEnd w:id="961"/>
    <w:bookmarkEnd w:id="962"/>
    <w:bookmarkEnd w:id="963"/>
    <w:bookmarkEnd w:id="964"/>
    <w:bookmarkEnd w:id="965"/>
    <w:bookmarkEnd w:id="966"/>
    <w:bookmarkEnd w:id="967"/>
    <w:p w14:paraId="7E612EF3">
      <w:pPr>
        <w:spacing w:line="480" w:lineRule="exact"/>
        <w:ind w:firstLine="420" w:firstLineChars="200"/>
        <w:jc w:val="left"/>
        <w:rPr>
          <w:rFonts w:ascii="宋体" w:hAnsi="宋体" w:cs="仿宋"/>
          <w:color w:val="auto"/>
          <w:kern w:val="0"/>
          <w:highlight w:val="none"/>
        </w:rPr>
      </w:pPr>
      <w:bookmarkStart w:id="1024" w:name="_Toc486950565"/>
      <w:bookmarkStart w:id="1025" w:name="_Toc351203647"/>
      <w:bookmarkStart w:id="1026" w:name="_Toc373478409"/>
      <w:bookmarkStart w:id="1027" w:name="_Toc389065327"/>
      <w:bookmarkStart w:id="1028" w:name="_Toc373227762"/>
      <w:bookmarkStart w:id="1029" w:name="_Toc267251483"/>
      <w:bookmarkStart w:id="1030" w:name="_Toc267251484"/>
      <w:bookmarkStart w:id="1031" w:name="_Toc267251482"/>
      <w:bookmarkStart w:id="1032" w:name="_Toc267251485"/>
      <w:bookmarkStart w:id="1033" w:name="_Toc267251489"/>
      <w:bookmarkStart w:id="1034" w:name="_Toc267251488"/>
      <w:bookmarkStart w:id="1035" w:name="_Toc267251490"/>
      <w:bookmarkStart w:id="1036" w:name="_Toc267251486"/>
      <w:bookmarkStart w:id="1037" w:name="_Toc267251496"/>
      <w:bookmarkStart w:id="1038" w:name="_Toc267251498"/>
      <w:bookmarkStart w:id="1039" w:name="_Toc267251493"/>
      <w:bookmarkStart w:id="1040" w:name="_Toc267251501"/>
      <w:bookmarkStart w:id="1041" w:name="_Toc267251502"/>
      <w:bookmarkStart w:id="1042" w:name="_Toc267251495"/>
      <w:bookmarkStart w:id="1043" w:name="_Toc267251494"/>
      <w:bookmarkStart w:id="1044" w:name="_Toc267251503"/>
      <w:bookmarkStart w:id="1045" w:name="_Toc267251499"/>
      <w:bookmarkStart w:id="1046" w:name="_Toc267251497"/>
      <w:bookmarkStart w:id="1047" w:name="_Toc267251491"/>
      <w:bookmarkStart w:id="1048" w:name="_Toc267251492"/>
      <w:bookmarkStart w:id="1049" w:name="_Toc267251504"/>
      <w:bookmarkStart w:id="1050" w:name="_Toc267251506"/>
      <w:bookmarkStart w:id="1051" w:name="_Toc267251507"/>
      <w:bookmarkStart w:id="1052" w:name="_Toc267251508"/>
      <w:bookmarkStart w:id="1053" w:name="_Toc267251513"/>
      <w:bookmarkStart w:id="1054" w:name="_Toc267251515"/>
      <w:bookmarkStart w:id="1055" w:name="_Toc267251514"/>
      <w:bookmarkStart w:id="1056" w:name="_Toc267251511"/>
      <w:bookmarkStart w:id="1057" w:name="_Toc267251510"/>
      <w:bookmarkStart w:id="1058" w:name="_Toc267251509"/>
      <w:r>
        <w:rPr>
          <w:rFonts w:hint="eastAsia" w:ascii="宋体" w:hAnsi="宋体" w:cs="仿宋"/>
          <w:color w:val="auto"/>
          <w:kern w:val="0"/>
          <w:highlight w:val="none"/>
        </w:rPr>
        <w:t>14.4.1 最终结清申请单</w:t>
      </w:r>
    </w:p>
    <w:p w14:paraId="715314CA">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承包人提交最终结清申请单的份数：</w:t>
      </w:r>
      <w:r>
        <w:rPr>
          <w:rFonts w:hint="eastAsia" w:ascii="宋体" w:hAnsi="宋体" w:cs="仿宋"/>
          <w:color w:val="auto"/>
          <w:highlight w:val="none"/>
          <w:u w:val="single"/>
        </w:rPr>
        <w:t>一式三份</w:t>
      </w:r>
      <w:r>
        <w:rPr>
          <w:rFonts w:hint="eastAsia" w:ascii="宋体" w:hAnsi="宋体" w:cs="仿宋"/>
          <w:color w:val="auto"/>
          <w:highlight w:val="none"/>
        </w:rPr>
        <w:t>。</w:t>
      </w:r>
    </w:p>
    <w:p w14:paraId="1B51749C">
      <w:pPr>
        <w:spacing w:line="480" w:lineRule="exact"/>
        <w:ind w:firstLine="420" w:firstLineChars="200"/>
        <w:jc w:val="left"/>
        <w:rPr>
          <w:rFonts w:ascii="宋体" w:hAnsi="宋体" w:cs="仿宋"/>
          <w:color w:val="auto"/>
          <w:highlight w:val="none"/>
        </w:rPr>
      </w:pPr>
      <w:r>
        <w:rPr>
          <w:rFonts w:hint="eastAsia" w:ascii="宋体" w:hAnsi="宋体" w:cs="仿宋"/>
          <w:color w:val="auto"/>
          <w:kern w:val="0"/>
          <w:highlight w:val="none"/>
        </w:rPr>
        <w:t>承包人提交最终结算申请单的期限：</w:t>
      </w:r>
      <w:r>
        <w:rPr>
          <w:rFonts w:hint="eastAsia" w:ascii="宋体" w:hAnsi="宋体" w:cs="仿宋"/>
          <w:color w:val="auto"/>
          <w:highlight w:val="none"/>
          <w:u w:val="single"/>
        </w:rPr>
        <w:t>执行通用条款</w:t>
      </w:r>
      <w:r>
        <w:rPr>
          <w:rFonts w:hint="eastAsia" w:ascii="宋体" w:hAnsi="宋体" w:cs="仿宋"/>
          <w:color w:val="auto"/>
          <w:highlight w:val="none"/>
        </w:rPr>
        <w:t xml:space="preserve">。 </w:t>
      </w:r>
    </w:p>
    <w:p w14:paraId="1EF33574">
      <w:pPr>
        <w:spacing w:line="480" w:lineRule="exact"/>
        <w:ind w:firstLine="420" w:firstLineChars="200"/>
        <w:jc w:val="left"/>
        <w:outlineLvl w:val="0"/>
        <w:rPr>
          <w:rFonts w:ascii="宋体" w:hAnsi="宋体" w:cs="仿宋"/>
          <w:color w:val="auto"/>
          <w:highlight w:val="none"/>
        </w:rPr>
      </w:pPr>
      <w:r>
        <w:rPr>
          <w:rFonts w:hint="eastAsia" w:ascii="宋体" w:hAnsi="宋体" w:cs="仿宋"/>
          <w:color w:val="auto"/>
          <w:highlight w:val="none"/>
        </w:rPr>
        <w:t>14.4.2 最终结清证书和支付</w:t>
      </w:r>
    </w:p>
    <w:p w14:paraId="73566021">
      <w:pPr>
        <w:spacing w:line="480" w:lineRule="exact"/>
        <w:ind w:firstLine="420" w:firstLineChars="200"/>
        <w:jc w:val="left"/>
        <w:rPr>
          <w:rFonts w:ascii="宋体" w:hAnsi="宋体" w:cs="仿宋"/>
          <w:color w:val="auto"/>
          <w:szCs w:val="22"/>
          <w:highlight w:val="none"/>
        </w:rPr>
      </w:pPr>
      <w:r>
        <w:rPr>
          <w:rFonts w:hint="eastAsia" w:ascii="宋体" w:hAnsi="宋体" w:cs="仿宋"/>
          <w:color w:val="auto"/>
          <w:szCs w:val="22"/>
          <w:highlight w:val="none"/>
        </w:rPr>
        <w:t>（1）发包人完成最终结清申请单的审批并颁发最终结清证书的期限：</w:t>
      </w:r>
      <w:r>
        <w:rPr>
          <w:rFonts w:hint="eastAsia" w:ascii="宋体" w:hAnsi="宋体" w:cs="仿宋"/>
          <w:color w:val="auto"/>
          <w:kern w:val="0"/>
          <w:szCs w:val="22"/>
          <w:highlight w:val="none"/>
          <w:u w:val="single"/>
        </w:rPr>
        <w:t>按本合同通用条款相关规定执行。发包人未按前述时间审核完成或答复承包人的或提出修改意见的，不得视为发包人同意承包人所提交的结清申请。</w:t>
      </w:r>
    </w:p>
    <w:p w14:paraId="53B2CCA5">
      <w:pPr>
        <w:spacing w:line="480" w:lineRule="exact"/>
        <w:ind w:firstLine="420" w:firstLineChars="200"/>
        <w:jc w:val="left"/>
        <w:rPr>
          <w:rFonts w:ascii="宋体" w:hAnsi="宋体" w:cs="仿宋"/>
          <w:b/>
          <w:color w:val="auto"/>
          <w:highlight w:val="none"/>
        </w:rPr>
      </w:pPr>
      <w:r>
        <w:rPr>
          <w:rFonts w:hint="eastAsia" w:ascii="宋体" w:hAnsi="宋体" w:cs="仿宋"/>
          <w:color w:val="auto"/>
          <w:highlight w:val="none"/>
        </w:rPr>
        <w:t>（2）发包人完成支付的期限：</w:t>
      </w:r>
      <w:r>
        <w:rPr>
          <w:rFonts w:hint="eastAsia" w:ascii="宋体" w:hAnsi="宋体" w:cs="仿宋"/>
          <w:color w:val="auto"/>
          <w:highlight w:val="none"/>
          <w:u w:val="single"/>
        </w:rPr>
        <w:t>/</w:t>
      </w:r>
      <w:r>
        <w:rPr>
          <w:rFonts w:hint="eastAsia" w:ascii="宋体" w:hAnsi="宋体" w:cs="仿宋"/>
          <w:b/>
          <w:color w:val="auto"/>
          <w:kern w:val="0"/>
          <w:highlight w:val="none"/>
          <w:u w:val="single"/>
        </w:rPr>
        <w:t>。</w:t>
      </w:r>
    </w:p>
    <w:p w14:paraId="0D61BD1F">
      <w:pPr>
        <w:spacing w:line="480" w:lineRule="exact"/>
        <w:rPr>
          <w:color w:val="auto"/>
          <w:szCs w:val="21"/>
          <w:highlight w:val="none"/>
        </w:rPr>
      </w:pPr>
      <w:r>
        <w:rPr>
          <w:color w:val="auto"/>
          <w:szCs w:val="21"/>
          <w:highlight w:val="none"/>
        </w:rPr>
        <w:t>15. 缺陷责任期与保修</w:t>
      </w:r>
      <w:bookmarkEnd w:id="1024"/>
      <w:bookmarkEnd w:id="1025"/>
      <w:bookmarkEnd w:id="1026"/>
      <w:bookmarkEnd w:id="1027"/>
      <w:bookmarkEnd w:id="1028"/>
    </w:p>
    <w:p w14:paraId="79A1064E">
      <w:pPr>
        <w:spacing w:line="480" w:lineRule="exact"/>
        <w:rPr>
          <w:color w:val="auto"/>
          <w:szCs w:val="21"/>
          <w:highlight w:val="none"/>
        </w:rPr>
      </w:pPr>
      <w:bookmarkStart w:id="1059" w:name="_Toc373227763"/>
      <w:bookmarkStart w:id="1060" w:name="_Toc373478410"/>
      <w:bookmarkStart w:id="1061" w:name="_Toc389065328"/>
      <w:bookmarkStart w:id="1062" w:name="_Toc486950566"/>
      <w:r>
        <w:rPr>
          <w:color w:val="auto"/>
          <w:szCs w:val="21"/>
          <w:highlight w:val="none"/>
        </w:rPr>
        <w:t>15.2</w:t>
      </w:r>
      <w:r>
        <w:rPr>
          <w:rFonts w:hint="eastAsia"/>
          <w:color w:val="auto"/>
          <w:szCs w:val="21"/>
          <w:highlight w:val="none"/>
        </w:rPr>
        <w:t xml:space="preserve"> </w:t>
      </w:r>
      <w:r>
        <w:rPr>
          <w:rFonts w:hAnsi="宋体"/>
          <w:color w:val="auto"/>
          <w:szCs w:val="21"/>
          <w:highlight w:val="none"/>
        </w:rPr>
        <w:t>缺陷责任期</w:t>
      </w:r>
      <w:bookmarkEnd w:id="1029"/>
      <w:bookmarkEnd w:id="1059"/>
      <w:bookmarkEnd w:id="1060"/>
      <w:bookmarkEnd w:id="1061"/>
      <w:bookmarkEnd w:id="1062"/>
    </w:p>
    <w:p w14:paraId="317BD972">
      <w:pPr>
        <w:spacing w:line="480" w:lineRule="exact"/>
        <w:ind w:firstLine="420" w:firstLineChars="200"/>
        <w:jc w:val="left"/>
        <w:rPr>
          <w:color w:val="auto"/>
          <w:szCs w:val="21"/>
          <w:highlight w:val="none"/>
          <w:u w:val="single"/>
        </w:rPr>
      </w:pPr>
      <w:r>
        <w:rPr>
          <w:rFonts w:hAnsi="宋体"/>
          <w:color w:val="auto"/>
          <w:szCs w:val="21"/>
          <w:highlight w:val="none"/>
        </w:rPr>
        <w:t>缺陷责任期的具体期限：</w:t>
      </w:r>
      <w:r>
        <w:rPr>
          <w:rFonts w:hint="eastAsia"/>
          <w:color w:val="auto"/>
          <w:szCs w:val="21"/>
          <w:highlight w:val="none"/>
          <w:u w:val="single"/>
        </w:rPr>
        <w:t>24个月</w:t>
      </w:r>
      <w:r>
        <w:rPr>
          <w:rFonts w:hAnsi="宋体"/>
          <w:color w:val="auto"/>
          <w:szCs w:val="21"/>
          <w:highlight w:val="none"/>
        </w:rPr>
        <w:t>。</w:t>
      </w:r>
    </w:p>
    <w:p w14:paraId="7751AEAC">
      <w:pPr>
        <w:spacing w:line="480" w:lineRule="exact"/>
        <w:rPr>
          <w:color w:val="auto"/>
          <w:szCs w:val="21"/>
          <w:highlight w:val="none"/>
        </w:rPr>
      </w:pPr>
      <w:bookmarkStart w:id="1063" w:name="_Toc486950567"/>
      <w:bookmarkStart w:id="1064" w:name="_Toc373478411"/>
      <w:bookmarkStart w:id="1065" w:name="_Toc373227764"/>
      <w:bookmarkStart w:id="1066" w:name="_Toc389065329"/>
      <w:r>
        <w:rPr>
          <w:color w:val="auto"/>
          <w:szCs w:val="21"/>
          <w:highlight w:val="none"/>
        </w:rPr>
        <w:t xml:space="preserve">15.3 </w:t>
      </w:r>
      <w:r>
        <w:rPr>
          <w:rFonts w:hAnsi="宋体"/>
          <w:color w:val="auto"/>
          <w:szCs w:val="21"/>
          <w:highlight w:val="none"/>
        </w:rPr>
        <w:t>质量保证金</w:t>
      </w:r>
      <w:bookmarkEnd w:id="1063"/>
      <w:bookmarkEnd w:id="1064"/>
      <w:bookmarkEnd w:id="1065"/>
      <w:bookmarkEnd w:id="1066"/>
    </w:p>
    <w:p w14:paraId="13A6E889">
      <w:pPr>
        <w:spacing w:line="480" w:lineRule="exact"/>
        <w:ind w:firstLine="420" w:firstLineChars="200"/>
        <w:jc w:val="left"/>
        <w:rPr>
          <w:color w:val="auto"/>
          <w:szCs w:val="21"/>
          <w:highlight w:val="none"/>
        </w:rPr>
      </w:pPr>
      <w:r>
        <w:rPr>
          <w:rFonts w:hAnsi="宋体"/>
          <w:color w:val="auto"/>
          <w:szCs w:val="21"/>
          <w:highlight w:val="none"/>
        </w:rPr>
        <w:t>关于是否扣留质量保证金的约定：</w:t>
      </w:r>
      <w:r>
        <w:rPr>
          <w:color w:val="auto"/>
          <w:szCs w:val="21"/>
          <w:highlight w:val="none"/>
          <w:u w:val="single"/>
        </w:rPr>
        <w:t xml:space="preserve"> </w:t>
      </w:r>
      <w:r>
        <w:rPr>
          <w:rFonts w:hint="eastAsia" w:ascii="宋体" w:hAnsi="宋体" w:cs="仿宋"/>
          <w:color w:val="auto"/>
          <w:highlight w:val="none"/>
          <w:u w:val="single"/>
        </w:rPr>
        <w:t>/。</w:t>
      </w:r>
    </w:p>
    <w:p w14:paraId="0533808D">
      <w:pPr>
        <w:spacing w:line="480" w:lineRule="exact"/>
        <w:ind w:firstLine="420" w:firstLineChars="200"/>
        <w:jc w:val="left"/>
        <w:rPr>
          <w:color w:val="auto"/>
          <w:szCs w:val="21"/>
          <w:highlight w:val="none"/>
        </w:rPr>
      </w:pPr>
      <w:r>
        <w:rPr>
          <w:color w:val="auto"/>
          <w:szCs w:val="21"/>
          <w:highlight w:val="none"/>
        </w:rPr>
        <w:t xml:space="preserve">15.3.1 </w:t>
      </w:r>
      <w:r>
        <w:rPr>
          <w:rFonts w:hAnsi="宋体"/>
          <w:color w:val="auto"/>
          <w:szCs w:val="21"/>
          <w:highlight w:val="none"/>
        </w:rPr>
        <w:t>承包人提供质量保证金的方式</w:t>
      </w:r>
    </w:p>
    <w:p w14:paraId="23D75E37">
      <w:pPr>
        <w:spacing w:line="480" w:lineRule="exact"/>
        <w:ind w:firstLine="420" w:firstLineChars="200"/>
        <w:jc w:val="left"/>
        <w:rPr>
          <w:color w:val="auto"/>
          <w:szCs w:val="21"/>
          <w:highlight w:val="none"/>
        </w:rPr>
      </w:pPr>
      <w:r>
        <w:rPr>
          <w:rFonts w:hAnsi="宋体"/>
          <w:color w:val="auto"/>
          <w:szCs w:val="21"/>
          <w:highlight w:val="none"/>
        </w:rPr>
        <w:t>质量保证金采用以下第</w:t>
      </w:r>
      <w:r>
        <w:rPr>
          <w:color w:val="auto"/>
          <w:szCs w:val="21"/>
          <w:highlight w:val="none"/>
          <w:u w:val="single"/>
        </w:rPr>
        <w:t xml:space="preserve"> </w:t>
      </w:r>
      <w:r>
        <w:rPr>
          <w:rFonts w:hint="eastAsia"/>
          <w:color w:val="auto"/>
          <w:szCs w:val="21"/>
          <w:highlight w:val="none"/>
          <w:u w:val="single"/>
        </w:rPr>
        <w:t>3</w:t>
      </w:r>
      <w:r>
        <w:rPr>
          <w:color w:val="auto"/>
          <w:szCs w:val="21"/>
          <w:highlight w:val="none"/>
          <w:u w:val="single"/>
        </w:rPr>
        <w:t xml:space="preserve">  </w:t>
      </w:r>
      <w:r>
        <w:rPr>
          <w:rFonts w:hAnsi="宋体"/>
          <w:color w:val="auto"/>
          <w:szCs w:val="21"/>
          <w:highlight w:val="none"/>
        </w:rPr>
        <w:t>种方式：</w:t>
      </w:r>
    </w:p>
    <w:p w14:paraId="18463847">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1</w:t>
      </w:r>
      <w:r>
        <w:rPr>
          <w:rFonts w:hAnsi="宋体"/>
          <w:color w:val="auto"/>
          <w:kern w:val="0"/>
          <w:szCs w:val="21"/>
          <w:highlight w:val="none"/>
        </w:rPr>
        <w:t>）质量保证金保函，保证金额为：</w:t>
      </w:r>
      <w:r>
        <w:rPr>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hAnsi="宋体"/>
          <w:color w:val="auto"/>
          <w:kern w:val="0"/>
          <w:szCs w:val="21"/>
          <w:highlight w:val="none"/>
        </w:rPr>
        <w:t>；</w:t>
      </w:r>
    </w:p>
    <w:p w14:paraId="58E9BC88">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2</w:t>
      </w:r>
      <w:r>
        <w:rPr>
          <w:rFonts w:hAnsi="宋体"/>
          <w:color w:val="auto"/>
          <w:kern w:val="0"/>
          <w:szCs w:val="21"/>
          <w:highlight w:val="none"/>
        </w:rPr>
        <w:t>）</w:t>
      </w:r>
      <w:r>
        <w:rPr>
          <w:rFonts w:hAnsi="宋体"/>
          <w:bCs/>
          <w:color w:val="auto"/>
          <w:szCs w:val="21"/>
          <w:highlight w:val="none"/>
        </w:rPr>
        <w:t>发包人按工程价款结算总额的</w:t>
      </w:r>
      <w:r>
        <w:rPr>
          <w:rFonts w:hint="eastAsia" w:hAnsi="宋体"/>
          <w:bCs/>
          <w:color w:val="auto"/>
          <w:szCs w:val="21"/>
          <w:highlight w:val="none"/>
          <w:u w:val="single"/>
        </w:rPr>
        <w:t xml:space="preserve">  /  </w:t>
      </w:r>
      <w:r>
        <w:rPr>
          <w:bCs/>
          <w:color w:val="auto"/>
          <w:szCs w:val="21"/>
          <w:highlight w:val="none"/>
        </w:rPr>
        <w:t>%</w:t>
      </w:r>
      <w:r>
        <w:rPr>
          <w:rFonts w:hint="eastAsia"/>
          <w:bCs/>
          <w:color w:val="auto"/>
          <w:szCs w:val="21"/>
          <w:highlight w:val="none"/>
        </w:rPr>
        <w:t>（3%-5%）</w:t>
      </w:r>
      <w:r>
        <w:rPr>
          <w:rFonts w:hAnsi="宋体"/>
          <w:bCs/>
          <w:color w:val="auto"/>
          <w:szCs w:val="21"/>
          <w:highlight w:val="none"/>
        </w:rPr>
        <w:t>预留工程质量保修金，待</w:t>
      </w:r>
      <w:r>
        <w:rPr>
          <w:rFonts w:hint="eastAsia" w:hAnsi="宋体"/>
          <w:bCs/>
          <w:color w:val="auto"/>
          <w:szCs w:val="21"/>
          <w:highlight w:val="none"/>
        </w:rPr>
        <w:t>缺陷责任期</w:t>
      </w:r>
      <w:r>
        <w:rPr>
          <w:rFonts w:hAnsi="宋体"/>
          <w:bCs/>
          <w:color w:val="auto"/>
          <w:szCs w:val="21"/>
          <w:highlight w:val="none"/>
        </w:rPr>
        <w:t>满后返还</w:t>
      </w:r>
      <w:r>
        <w:rPr>
          <w:rFonts w:hAnsi="宋体"/>
          <w:color w:val="auto"/>
          <w:kern w:val="0"/>
          <w:szCs w:val="21"/>
          <w:highlight w:val="none"/>
        </w:rPr>
        <w:t>；</w:t>
      </w:r>
    </w:p>
    <w:p w14:paraId="19F284DA">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3</w:t>
      </w:r>
      <w:r>
        <w:rPr>
          <w:rFonts w:hAnsi="宋体"/>
          <w:color w:val="auto"/>
          <w:kern w:val="0"/>
          <w:szCs w:val="21"/>
          <w:highlight w:val="none"/>
        </w:rPr>
        <w:t>）其他方式</w:t>
      </w:r>
      <w:r>
        <w:rPr>
          <w:rFonts w:hint="eastAsia"/>
          <w:color w:val="auto"/>
          <w:kern w:val="0"/>
          <w:szCs w:val="21"/>
          <w:highlight w:val="none"/>
        </w:rPr>
        <w:t>：</w:t>
      </w:r>
      <w:r>
        <w:rPr>
          <w:rFonts w:hint="eastAsia" w:hAnsi="宋体"/>
          <w:bCs/>
          <w:color w:val="auto"/>
          <w:szCs w:val="21"/>
          <w:highlight w:val="none"/>
          <w:u w:val="single"/>
        </w:rPr>
        <w:t xml:space="preserve">  承包人向发包人缴纳结算金额3%的质量保证金，工程质量保证金待工程质量保修期满后返还（无息）</w:t>
      </w:r>
      <w:r>
        <w:rPr>
          <w:rFonts w:hAnsi="宋体"/>
          <w:bCs/>
          <w:color w:val="auto"/>
          <w:szCs w:val="21"/>
          <w:highlight w:val="none"/>
        </w:rPr>
        <w:t>。</w:t>
      </w:r>
    </w:p>
    <w:p w14:paraId="07DF51B3">
      <w:pPr>
        <w:spacing w:line="480" w:lineRule="exact"/>
        <w:ind w:firstLine="420" w:firstLineChars="200"/>
        <w:jc w:val="left"/>
        <w:rPr>
          <w:color w:val="auto"/>
          <w:szCs w:val="21"/>
          <w:highlight w:val="none"/>
        </w:rPr>
      </w:pPr>
      <w:r>
        <w:rPr>
          <w:color w:val="auto"/>
          <w:szCs w:val="21"/>
          <w:highlight w:val="none"/>
        </w:rPr>
        <w:t xml:space="preserve">15.3.2 </w:t>
      </w:r>
      <w:r>
        <w:rPr>
          <w:rFonts w:hAnsi="宋体"/>
          <w:color w:val="auto"/>
          <w:szCs w:val="21"/>
          <w:highlight w:val="none"/>
        </w:rPr>
        <w:t>质量保证金的扣留</w:t>
      </w:r>
    </w:p>
    <w:p w14:paraId="1D4E03D7">
      <w:pPr>
        <w:spacing w:line="480" w:lineRule="exact"/>
        <w:ind w:firstLine="420" w:firstLineChars="200"/>
        <w:jc w:val="left"/>
        <w:rPr>
          <w:color w:val="auto"/>
          <w:szCs w:val="21"/>
          <w:highlight w:val="none"/>
        </w:rPr>
      </w:pPr>
      <w:r>
        <w:rPr>
          <w:rFonts w:hAnsi="宋体"/>
          <w:color w:val="auto"/>
          <w:szCs w:val="21"/>
          <w:highlight w:val="none"/>
        </w:rPr>
        <w:t>质量保证金的扣留采取以下第</w:t>
      </w:r>
      <w:r>
        <w:rPr>
          <w:color w:val="auto"/>
          <w:szCs w:val="21"/>
          <w:highlight w:val="none"/>
          <w:u w:val="single"/>
        </w:rPr>
        <w:t xml:space="preserve"> </w:t>
      </w:r>
      <w:r>
        <w:rPr>
          <w:rFonts w:hint="eastAsia"/>
          <w:color w:val="auto"/>
          <w:szCs w:val="21"/>
          <w:highlight w:val="none"/>
          <w:u w:val="single"/>
        </w:rPr>
        <w:t>3</w:t>
      </w:r>
      <w:r>
        <w:rPr>
          <w:color w:val="auto"/>
          <w:szCs w:val="21"/>
          <w:highlight w:val="none"/>
          <w:u w:val="single"/>
        </w:rPr>
        <w:t xml:space="preserve"> </w:t>
      </w:r>
      <w:r>
        <w:rPr>
          <w:rFonts w:hAnsi="宋体"/>
          <w:color w:val="auto"/>
          <w:szCs w:val="21"/>
          <w:highlight w:val="none"/>
        </w:rPr>
        <w:t>种方式：</w:t>
      </w:r>
    </w:p>
    <w:p w14:paraId="54F61157">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1</w:t>
      </w:r>
      <w:r>
        <w:rPr>
          <w:rFonts w:hAnsi="宋体"/>
          <w:color w:val="auto"/>
          <w:kern w:val="0"/>
          <w:szCs w:val="21"/>
          <w:highlight w:val="none"/>
        </w:rPr>
        <w:t>）在支付工程进度款时逐次扣留，在此情形下，质量保证金的计算基数不包括预付款的支付、扣回以及价格调整的金额；</w:t>
      </w:r>
    </w:p>
    <w:p w14:paraId="7F042652">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2</w:t>
      </w:r>
      <w:r>
        <w:rPr>
          <w:rFonts w:hAnsi="宋体"/>
          <w:color w:val="auto"/>
          <w:kern w:val="0"/>
          <w:szCs w:val="21"/>
          <w:highlight w:val="none"/>
        </w:rPr>
        <w:t>）工程竣工结算时一次性扣留质量保证金；</w:t>
      </w:r>
    </w:p>
    <w:p w14:paraId="5D3F1152">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w:t>
      </w:r>
      <w:r>
        <w:rPr>
          <w:color w:val="auto"/>
          <w:kern w:val="0"/>
          <w:szCs w:val="21"/>
          <w:highlight w:val="none"/>
        </w:rPr>
        <w:t>3</w:t>
      </w:r>
      <w:r>
        <w:rPr>
          <w:rFonts w:hAnsi="宋体"/>
          <w:color w:val="auto"/>
          <w:kern w:val="0"/>
          <w:szCs w:val="21"/>
          <w:highlight w:val="none"/>
        </w:rPr>
        <w:t>）其他扣留方式</w:t>
      </w:r>
      <w:r>
        <w:rPr>
          <w:rFonts w:hint="eastAsia"/>
          <w:color w:val="auto"/>
          <w:kern w:val="0"/>
          <w:szCs w:val="21"/>
          <w:highlight w:val="none"/>
        </w:rPr>
        <w:t>：</w:t>
      </w:r>
      <w:r>
        <w:rPr>
          <w:color w:val="auto"/>
          <w:kern w:val="0"/>
          <w:szCs w:val="21"/>
          <w:highlight w:val="none"/>
          <w:u w:val="single"/>
        </w:rPr>
        <w:t xml:space="preserve">               </w:t>
      </w:r>
      <w:r>
        <w:rPr>
          <w:rFonts w:hint="eastAsia"/>
          <w:color w:val="auto"/>
          <w:kern w:val="0"/>
          <w:szCs w:val="21"/>
          <w:highlight w:val="none"/>
          <w:u w:val="single"/>
        </w:rPr>
        <w:t>无</w:t>
      </w:r>
      <w:r>
        <w:rPr>
          <w:color w:val="auto"/>
          <w:kern w:val="0"/>
          <w:szCs w:val="21"/>
          <w:highlight w:val="none"/>
          <w:u w:val="single"/>
        </w:rPr>
        <w:t xml:space="preserve">                    </w:t>
      </w:r>
      <w:r>
        <w:rPr>
          <w:rFonts w:hAnsi="宋体"/>
          <w:color w:val="auto"/>
          <w:kern w:val="0"/>
          <w:szCs w:val="21"/>
          <w:highlight w:val="none"/>
        </w:rPr>
        <w:t>。</w:t>
      </w:r>
    </w:p>
    <w:p w14:paraId="5788689B">
      <w:pPr>
        <w:spacing w:line="480" w:lineRule="exact"/>
        <w:ind w:firstLine="420" w:firstLineChars="200"/>
        <w:jc w:val="left"/>
        <w:rPr>
          <w:rFonts w:hAnsi="宋体"/>
          <w:color w:val="auto"/>
          <w:kern w:val="0"/>
          <w:szCs w:val="21"/>
          <w:highlight w:val="none"/>
        </w:rPr>
      </w:pPr>
      <w:r>
        <w:rPr>
          <w:rFonts w:hAnsi="宋体"/>
          <w:color w:val="auto"/>
          <w:szCs w:val="21"/>
          <w:highlight w:val="none"/>
        </w:rPr>
        <w:t>关于质量保证金的补充约定：</w:t>
      </w:r>
      <w:r>
        <w:rPr>
          <w:color w:val="auto"/>
          <w:kern w:val="0"/>
          <w:szCs w:val="21"/>
          <w:highlight w:val="none"/>
          <w:u w:val="single"/>
        </w:rPr>
        <w:t xml:space="preserve">                            </w:t>
      </w:r>
      <w:r>
        <w:rPr>
          <w:rFonts w:hAnsi="宋体"/>
          <w:color w:val="auto"/>
          <w:kern w:val="0"/>
          <w:szCs w:val="21"/>
          <w:highlight w:val="none"/>
        </w:rPr>
        <w:t>。</w:t>
      </w:r>
    </w:p>
    <w:p w14:paraId="2721D8C7">
      <w:pPr>
        <w:spacing w:line="480" w:lineRule="exact"/>
        <w:ind w:firstLine="420" w:firstLineChars="200"/>
        <w:jc w:val="left"/>
        <w:rPr>
          <w:rFonts w:hAnsi="宋体"/>
          <w:color w:val="auto"/>
          <w:szCs w:val="21"/>
          <w:highlight w:val="none"/>
        </w:rPr>
      </w:pPr>
      <w:r>
        <w:rPr>
          <w:rFonts w:hint="eastAsia" w:hAnsi="宋体"/>
          <w:color w:val="auto"/>
          <w:szCs w:val="21"/>
          <w:highlight w:val="none"/>
        </w:rPr>
        <w:t>质量保修金返还方式：按保修书约定返还。</w:t>
      </w:r>
    </w:p>
    <w:bookmarkEnd w:id="1030"/>
    <w:bookmarkEnd w:id="1031"/>
    <w:p w14:paraId="5886154C">
      <w:pPr>
        <w:spacing w:line="480" w:lineRule="exact"/>
        <w:rPr>
          <w:color w:val="auto"/>
          <w:szCs w:val="21"/>
          <w:highlight w:val="none"/>
        </w:rPr>
      </w:pPr>
      <w:bookmarkStart w:id="1067" w:name="_Toc389065330"/>
      <w:bookmarkStart w:id="1068" w:name="_Toc373478412"/>
      <w:bookmarkStart w:id="1069" w:name="_Toc486950568"/>
      <w:bookmarkStart w:id="1070" w:name="_Toc373227765"/>
      <w:r>
        <w:rPr>
          <w:color w:val="auto"/>
          <w:szCs w:val="21"/>
          <w:highlight w:val="none"/>
        </w:rPr>
        <w:t>15.4</w:t>
      </w:r>
      <w:r>
        <w:rPr>
          <w:rFonts w:hint="eastAsia"/>
          <w:color w:val="auto"/>
          <w:szCs w:val="21"/>
          <w:highlight w:val="none"/>
        </w:rPr>
        <w:t xml:space="preserve"> </w:t>
      </w:r>
      <w:r>
        <w:rPr>
          <w:rFonts w:hAnsi="宋体"/>
          <w:color w:val="auto"/>
          <w:szCs w:val="21"/>
          <w:highlight w:val="none"/>
        </w:rPr>
        <w:t>保修</w:t>
      </w:r>
      <w:bookmarkEnd w:id="1067"/>
      <w:bookmarkEnd w:id="1068"/>
      <w:bookmarkEnd w:id="1069"/>
      <w:bookmarkEnd w:id="1070"/>
    </w:p>
    <w:bookmarkEnd w:id="1032"/>
    <w:p w14:paraId="2AEBD7A2">
      <w:pPr>
        <w:spacing w:line="480" w:lineRule="exact"/>
        <w:ind w:firstLine="409" w:firstLineChars="195"/>
        <w:jc w:val="left"/>
        <w:rPr>
          <w:color w:val="auto"/>
          <w:szCs w:val="21"/>
          <w:highlight w:val="none"/>
        </w:rPr>
      </w:pPr>
      <w:r>
        <w:rPr>
          <w:color w:val="auto"/>
          <w:szCs w:val="21"/>
          <w:highlight w:val="none"/>
        </w:rPr>
        <w:t xml:space="preserve">15.4.1 </w:t>
      </w:r>
      <w:r>
        <w:rPr>
          <w:rFonts w:hAnsi="宋体"/>
          <w:color w:val="auto"/>
          <w:szCs w:val="21"/>
          <w:highlight w:val="none"/>
        </w:rPr>
        <w:t>保修责任</w:t>
      </w:r>
    </w:p>
    <w:bookmarkEnd w:id="1033"/>
    <w:bookmarkEnd w:id="1034"/>
    <w:bookmarkEnd w:id="1035"/>
    <w:bookmarkEnd w:id="1036"/>
    <w:p w14:paraId="34BC1F38">
      <w:pPr>
        <w:spacing w:line="480" w:lineRule="exact"/>
        <w:ind w:firstLine="409" w:firstLineChars="195"/>
        <w:jc w:val="left"/>
        <w:rPr>
          <w:rFonts w:ascii="宋体" w:hAnsi="宋体" w:cs="仿宋"/>
          <w:color w:val="auto"/>
          <w:kern w:val="0"/>
          <w:highlight w:val="none"/>
        </w:rPr>
      </w:pPr>
      <w:bookmarkStart w:id="1071" w:name="_Toc486950569"/>
      <w:bookmarkStart w:id="1072" w:name="_Toc351203648"/>
      <w:bookmarkStart w:id="1073" w:name="_Toc373227766"/>
      <w:bookmarkStart w:id="1074" w:name="_Toc373478413"/>
      <w:bookmarkStart w:id="1075" w:name="_Toc389065331"/>
      <w:bookmarkStart w:id="1076" w:name="_Toc280868717"/>
      <w:bookmarkStart w:id="1077" w:name="_Toc280868718"/>
      <w:r>
        <w:rPr>
          <w:rFonts w:hint="eastAsia" w:ascii="宋体" w:hAnsi="宋体" w:cs="仿宋"/>
          <w:color w:val="auto"/>
          <w:highlight w:val="none"/>
        </w:rPr>
        <w:t>工程保修期为：</w:t>
      </w:r>
      <w:r>
        <w:rPr>
          <w:rFonts w:hint="eastAsia" w:ascii="宋体" w:hAnsi="宋体" w:cs="仿宋"/>
          <w:color w:val="auto"/>
          <w:highlight w:val="none"/>
          <w:u w:val="single"/>
        </w:rPr>
        <w:t>按本合同《专用条款》附件3</w:t>
      </w:r>
      <w:r>
        <w:rPr>
          <w:rFonts w:hint="eastAsia" w:ascii="宋体" w:hAnsi="宋体" w:cs="仿宋"/>
          <w:color w:val="auto"/>
          <w:kern w:val="0"/>
          <w:highlight w:val="none"/>
        </w:rPr>
        <w:t>。</w:t>
      </w:r>
    </w:p>
    <w:p w14:paraId="3006781E">
      <w:pPr>
        <w:spacing w:line="480" w:lineRule="exact"/>
        <w:ind w:firstLine="409" w:firstLineChars="195"/>
        <w:jc w:val="left"/>
        <w:rPr>
          <w:rFonts w:ascii="宋体" w:hAnsi="宋体" w:cs="仿宋"/>
          <w:color w:val="auto"/>
          <w:kern w:val="0"/>
          <w:highlight w:val="none"/>
          <w:u w:val="single"/>
        </w:rPr>
      </w:pPr>
      <w:r>
        <w:rPr>
          <w:rFonts w:hint="eastAsia" w:ascii="宋体" w:hAnsi="宋体" w:cs="仿宋"/>
          <w:color w:val="auto"/>
          <w:highlight w:val="none"/>
        </w:rPr>
        <w:t>工程保修书具体内容见合同附件3。</w:t>
      </w:r>
    </w:p>
    <w:p w14:paraId="033AE966">
      <w:pPr>
        <w:spacing w:line="480" w:lineRule="exact"/>
        <w:ind w:firstLine="409" w:firstLineChars="195"/>
        <w:jc w:val="left"/>
        <w:outlineLvl w:val="0"/>
        <w:rPr>
          <w:rFonts w:ascii="宋体" w:hAnsi="宋体" w:cs="仿宋"/>
          <w:color w:val="auto"/>
          <w:highlight w:val="none"/>
        </w:rPr>
      </w:pPr>
      <w:r>
        <w:rPr>
          <w:rFonts w:hint="eastAsia" w:ascii="宋体" w:hAnsi="宋体" w:cs="仿宋"/>
          <w:color w:val="auto"/>
          <w:highlight w:val="none"/>
        </w:rPr>
        <w:t>15.4.3 修复通知</w:t>
      </w:r>
    </w:p>
    <w:p w14:paraId="0618A103">
      <w:pPr>
        <w:spacing w:line="480" w:lineRule="exact"/>
        <w:ind w:firstLine="409" w:firstLineChars="195"/>
        <w:jc w:val="left"/>
        <w:rPr>
          <w:rFonts w:ascii="宋体" w:hAnsi="宋体" w:cs="仿宋"/>
          <w:color w:val="auto"/>
          <w:kern w:val="0"/>
          <w:highlight w:val="none"/>
          <w:u w:val="single"/>
        </w:rPr>
      </w:pPr>
      <w:r>
        <w:rPr>
          <w:rFonts w:hint="eastAsia" w:ascii="宋体" w:hAnsi="宋体" w:cs="仿宋"/>
          <w:color w:val="auto"/>
          <w:kern w:val="0"/>
          <w:highlight w:val="none"/>
        </w:rPr>
        <w:t>承包人收到保修通知并到达工程现场的合理时间：</w:t>
      </w:r>
      <w:r>
        <w:rPr>
          <w:rFonts w:hint="eastAsia" w:ascii="宋体" w:hAnsi="宋体" w:cs="仿宋"/>
          <w:color w:val="auto"/>
          <w:kern w:val="0"/>
          <w:highlight w:val="none"/>
          <w:u w:val="single"/>
        </w:rPr>
        <w:t>接到维修信息或电话，在2小时内做出答复或派出技术服务人员，2小时内到达现场解决问题。</w:t>
      </w:r>
    </w:p>
    <w:p w14:paraId="79E590FC">
      <w:pPr>
        <w:spacing w:line="480" w:lineRule="exact"/>
        <w:rPr>
          <w:color w:val="auto"/>
          <w:szCs w:val="21"/>
          <w:highlight w:val="none"/>
        </w:rPr>
      </w:pPr>
      <w:r>
        <w:rPr>
          <w:color w:val="auto"/>
          <w:szCs w:val="21"/>
          <w:highlight w:val="none"/>
        </w:rPr>
        <w:t xml:space="preserve">16. </w:t>
      </w:r>
      <w:r>
        <w:rPr>
          <w:rFonts w:hAnsi="宋体"/>
          <w:color w:val="auto"/>
          <w:szCs w:val="21"/>
          <w:highlight w:val="none"/>
        </w:rPr>
        <w:t>违约</w:t>
      </w:r>
      <w:bookmarkEnd w:id="1071"/>
      <w:bookmarkEnd w:id="1072"/>
      <w:bookmarkEnd w:id="1073"/>
      <w:bookmarkEnd w:id="1074"/>
      <w:bookmarkEnd w:id="1075"/>
    </w:p>
    <w:p w14:paraId="76F7FA69">
      <w:pPr>
        <w:spacing w:line="480" w:lineRule="exact"/>
        <w:rPr>
          <w:color w:val="auto"/>
          <w:szCs w:val="21"/>
          <w:highlight w:val="none"/>
        </w:rPr>
      </w:pPr>
      <w:bookmarkStart w:id="1078" w:name="_Toc373478414"/>
      <w:bookmarkStart w:id="1079" w:name="_Toc389065332"/>
      <w:bookmarkStart w:id="1080" w:name="_Toc486950570"/>
      <w:bookmarkStart w:id="1081" w:name="_Toc373227767"/>
      <w:r>
        <w:rPr>
          <w:color w:val="auto"/>
          <w:szCs w:val="21"/>
          <w:highlight w:val="none"/>
        </w:rPr>
        <w:t xml:space="preserve">16.1 </w:t>
      </w:r>
      <w:r>
        <w:rPr>
          <w:rFonts w:hAnsi="宋体"/>
          <w:color w:val="auto"/>
          <w:szCs w:val="21"/>
          <w:highlight w:val="none"/>
        </w:rPr>
        <w:t>发包人违约</w:t>
      </w:r>
      <w:bookmarkEnd w:id="1078"/>
      <w:bookmarkEnd w:id="1079"/>
      <w:bookmarkEnd w:id="1080"/>
      <w:bookmarkEnd w:id="1081"/>
    </w:p>
    <w:p w14:paraId="224E8E33">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16.1.1发包人违约的情形</w:t>
      </w:r>
    </w:p>
    <w:p w14:paraId="3AB1FE57">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发包人违约的其他情形：</w:t>
      </w:r>
      <w:r>
        <w:rPr>
          <w:rFonts w:hint="eastAsia" w:ascii="宋体" w:hAnsi="宋体" w:cs="仿宋"/>
          <w:color w:val="auto"/>
          <w:kern w:val="0"/>
          <w:highlight w:val="none"/>
          <w:u w:val="single"/>
        </w:rPr>
        <w:t>无</w:t>
      </w:r>
      <w:r>
        <w:rPr>
          <w:rFonts w:hint="eastAsia" w:ascii="宋体" w:hAnsi="宋体" w:cs="仿宋"/>
          <w:color w:val="auto"/>
          <w:kern w:val="0"/>
          <w:highlight w:val="none"/>
        </w:rPr>
        <w:t>。</w:t>
      </w:r>
    </w:p>
    <w:p w14:paraId="597711D7">
      <w:pPr>
        <w:spacing w:line="480" w:lineRule="exact"/>
        <w:ind w:firstLine="420" w:firstLineChars="200"/>
        <w:jc w:val="left"/>
        <w:outlineLvl w:val="0"/>
        <w:rPr>
          <w:rFonts w:ascii="宋体" w:hAnsi="宋体" w:cs="仿宋"/>
          <w:color w:val="auto"/>
          <w:kern w:val="0"/>
          <w:highlight w:val="none"/>
        </w:rPr>
      </w:pPr>
      <w:r>
        <w:rPr>
          <w:rFonts w:hint="eastAsia" w:ascii="宋体" w:hAnsi="宋体" w:cs="仿宋"/>
          <w:color w:val="auto"/>
          <w:kern w:val="0"/>
          <w:highlight w:val="none"/>
        </w:rPr>
        <w:t>16.1.2 发包人违约的责任</w:t>
      </w:r>
    </w:p>
    <w:p w14:paraId="47F454D3">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发包人违约责任的承担方式和计算方法：</w:t>
      </w:r>
    </w:p>
    <w:p w14:paraId="0366F5D4">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rPr>
        <w:t>（1）因发包人原因未能在计划开工日期前7天内下达开工通知的违约责任：</w:t>
      </w:r>
      <w:r>
        <w:rPr>
          <w:rFonts w:hint="eastAsia" w:ascii="宋体" w:hAnsi="宋体" w:cs="仿宋"/>
          <w:color w:val="auto"/>
          <w:kern w:val="0"/>
          <w:highlight w:val="none"/>
          <w:u w:val="single"/>
        </w:rPr>
        <w:t>双方另行协商</w:t>
      </w:r>
      <w:r>
        <w:rPr>
          <w:rFonts w:hint="eastAsia" w:ascii="宋体" w:hAnsi="宋体" w:cs="仿宋"/>
          <w:color w:val="auto"/>
          <w:kern w:val="0"/>
          <w:highlight w:val="none"/>
        </w:rPr>
        <w:t>。</w:t>
      </w:r>
    </w:p>
    <w:p w14:paraId="1FF16AF5">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（2）因发包人原因未能按合同约定支付合同价款的违约责任：</w:t>
      </w:r>
      <w:r>
        <w:rPr>
          <w:rFonts w:hint="eastAsia" w:ascii="宋体" w:hAnsi="宋体" w:cs="仿宋"/>
          <w:color w:val="auto"/>
          <w:kern w:val="0"/>
          <w:highlight w:val="none"/>
          <w:u w:val="single"/>
        </w:rPr>
        <w:t>承包人与发包人签订延期付款协议</w:t>
      </w:r>
      <w:r>
        <w:rPr>
          <w:rFonts w:hint="eastAsia" w:ascii="宋体" w:hAnsi="宋体" w:cs="仿宋"/>
          <w:color w:val="auto"/>
          <w:kern w:val="0"/>
          <w:highlight w:val="none"/>
        </w:rPr>
        <w:t>。</w:t>
      </w:r>
    </w:p>
    <w:p w14:paraId="0BA1018A">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（3）发包人违反第10.1款〔变更的范围〕第（2）项约定，自行实施被取消的工作或转由他人实施的违约责任：</w:t>
      </w:r>
      <w:r>
        <w:rPr>
          <w:rFonts w:hint="eastAsia" w:ascii="宋体" w:hAnsi="宋体" w:cs="仿宋"/>
          <w:color w:val="auto"/>
          <w:kern w:val="0"/>
          <w:highlight w:val="none"/>
          <w:u w:val="single"/>
        </w:rPr>
        <w:t>双方另行协商</w:t>
      </w:r>
      <w:r>
        <w:rPr>
          <w:rFonts w:hint="eastAsia" w:ascii="宋体" w:hAnsi="宋体" w:cs="仿宋"/>
          <w:color w:val="auto"/>
          <w:kern w:val="0"/>
          <w:highlight w:val="none"/>
        </w:rPr>
        <w:t>。</w:t>
      </w:r>
    </w:p>
    <w:p w14:paraId="3AC4B804">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cs="仿宋"/>
          <w:color w:val="auto"/>
          <w:kern w:val="0"/>
          <w:highlight w:val="none"/>
          <w:u w:val="single"/>
        </w:rPr>
        <w:t>双方另行协商</w:t>
      </w:r>
      <w:r>
        <w:rPr>
          <w:rFonts w:hint="eastAsia" w:ascii="宋体" w:hAnsi="宋体" w:cs="仿宋"/>
          <w:color w:val="auto"/>
          <w:kern w:val="0"/>
          <w:highlight w:val="none"/>
        </w:rPr>
        <w:t>。</w:t>
      </w:r>
    </w:p>
    <w:p w14:paraId="27D443BA">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rPr>
        <w:t>（5）因发包人违反合同约定造成暂停施工的违约责任：</w:t>
      </w:r>
      <w:r>
        <w:rPr>
          <w:rFonts w:hint="eastAsia" w:ascii="宋体" w:hAnsi="宋体" w:cs="仿宋"/>
          <w:color w:val="auto"/>
          <w:highlight w:val="none"/>
          <w:u w:val="single"/>
        </w:rPr>
        <w:t>无</w:t>
      </w:r>
      <w:r>
        <w:rPr>
          <w:rFonts w:hint="eastAsia" w:ascii="宋体" w:hAnsi="宋体" w:cs="仿宋"/>
          <w:color w:val="auto"/>
          <w:kern w:val="0"/>
          <w:highlight w:val="none"/>
        </w:rPr>
        <w:t>。</w:t>
      </w:r>
    </w:p>
    <w:p w14:paraId="1536FAFC">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（6）发包人无正当理由没有在约定期限内发出复工指示，导致承包人无法复工的违约责任：</w:t>
      </w:r>
      <w:r>
        <w:rPr>
          <w:rFonts w:hint="eastAsia" w:ascii="宋体" w:hAnsi="宋体" w:cs="仿宋"/>
          <w:color w:val="auto"/>
          <w:kern w:val="0"/>
          <w:highlight w:val="none"/>
          <w:u w:val="single"/>
        </w:rPr>
        <w:t>双方另行协商</w:t>
      </w:r>
      <w:r>
        <w:rPr>
          <w:rFonts w:hint="eastAsia" w:ascii="宋体" w:hAnsi="宋体" w:cs="仿宋"/>
          <w:color w:val="auto"/>
          <w:kern w:val="0"/>
          <w:highlight w:val="none"/>
        </w:rPr>
        <w:t>。</w:t>
      </w:r>
    </w:p>
    <w:p w14:paraId="794742CD">
      <w:pPr>
        <w:spacing w:line="480" w:lineRule="exact"/>
        <w:ind w:firstLine="420" w:firstLineChars="200"/>
        <w:jc w:val="left"/>
        <w:rPr>
          <w:rFonts w:ascii="宋体" w:hAnsi="宋体" w:cs="仿宋"/>
          <w:color w:val="auto"/>
          <w:kern w:val="0"/>
          <w:highlight w:val="none"/>
        </w:rPr>
      </w:pPr>
      <w:r>
        <w:rPr>
          <w:rFonts w:hint="eastAsia" w:ascii="宋体" w:hAnsi="宋体" w:cs="仿宋"/>
          <w:color w:val="auto"/>
          <w:kern w:val="0"/>
          <w:highlight w:val="none"/>
        </w:rPr>
        <w:t>（7）其他：</w:t>
      </w:r>
      <w:r>
        <w:rPr>
          <w:rFonts w:hint="eastAsia" w:ascii="宋体" w:hAnsi="宋体" w:cs="仿宋"/>
          <w:color w:val="auto"/>
          <w:kern w:val="0"/>
          <w:highlight w:val="none"/>
          <w:u w:val="single"/>
        </w:rPr>
        <w:t>无</w:t>
      </w:r>
      <w:r>
        <w:rPr>
          <w:rFonts w:hint="eastAsia" w:ascii="宋体" w:hAnsi="宋体" w:cs="仿宋"/>
          <w:color w:val="auto"/>
          <w:kern w:val="0"/>
          <w:highlight w:val="none"/>
        </w:rPr>
        <w:t>。</w:t>
      </w:r>
    </w:p>
    <w:p w14:paraId="3DDAA796">
      <w:pPr>
        <w:spacing w:line="480" w:lineRule="exact"/>
        <w:ind w:firstLine="420" w:firstLineChars="200"/>
        <w:jc w:val="left"/>
        <w:rPr>
          <w:color w:val="auto"/>
          <w:szCs w:val="21"/>
          <w:highlight w:val="none"/>
        </w:rPr>
      </w:pPr>
      <w:r>
        <w:rPr>
          <w:color w:val="auto"/>
          <w:szCs w:val="21"/>
          <w:highlight w:val="none"/>
        </w:rPr>
        <w:t xml:space="preserve">16.1.3 </w:t>
      </w:r>
      <w:r>
        <w:rPr>
          <w:rFonts w:hAnsi="宋体"/>
          <w:color w:val="auto"/>
          <w:szCs w:val="21"/>
          <w:highlight w:val="none"/>
        </w:rPr>
        <w:t>因发包人违约解除合同</w:t>
      </w:r>
    </w:p>
    <w:p w14:paraId="085BFBBD">
      <w:pPr>
        <w:autoSpaceDE w:val="0"/>
        <w:autoSpaceDN w:val="0"/>
        <w:adjustRightInd w:val="0"/>
        <w:spacing w:line="480" w:lineRule="exact"/>
        <w:ind w:firstLine="420" w:firstLineChars="200"/>
        <w:jc w:val="left"/>
        <w:rPr>
          <w:color w:val="auto"/>
          <w:kern w:val="0"/>
          <w:szCs w:val="21"/>
          <w:highlight w:val="none"/>
        </w:rPr>
      </w:pPr>
      <w:r>
        <w:rPr>
          <w:rFonts w:hAnsi="宋体"/>
          <w:color w:val="auto"/>
          <w:kern w:val="0"/>
          <w:szCs w:val="21"/>
          <w:highlight w:val="none"/>
        </w:rPr>
        <w:t>承包人按</w:t>
      </w:r>
      <w:r>
        <w:rPr>
          <w:color w:val="auto"/>
          <w:kern w:val="0"/>
          <w:szCs w:val="21"/>
          <w:highlight w:val="none"/>
        </w:rPr>
        <w:t>16.1.1</w:t>
      </w:r>
      <w:r>
        <w:rPr>
          <w:rFonts w:hAnsi="宋体"/>
          <w:color w:val="auto"/>
          <w:kern w:val="0"/>
          <w:szCs w:val="21"/>
          <w:highlight w:val="none"/>
        </w:rPr>
        <w:t>项〔发包人违约的情形〕约定暂停施工满</w:t>
      </w:r>
      <w:r>
        <w:rPr>
          <w:color w:val="auto"/>
          <w:kern w:val="0"/>
          <w:szCs w:val="21"/>
          <w:highlight w:val="none"/>
          <w:u w:val="single"/>
        </w:rPr>
        <w:t xml:space="preserve">  </w:t>
      </w:r>
      <w:r>
        <w:rPr>
          <w:rFonts w:hint="eastAsia"/>
          <w:color w:val="auto"/>
          <w:kern w:val="0"/>
          <w:szCs w:val="21"/>
          <w:highlight w:val="none"/>
          <w:u w:val="single"/>
        </w:rPr>
        <w:t>60</w:t>
      </w:r>
      <w:r>
        <w:rPr>
          <w:color w:val="auto"/>
          <w:kern w:val="0"/>
          <w:szCs w:val="21"/>
          <w:highlight w:val="none"/>
          <w:u w:val="single"/>
        </w:rPr>
        <w:t xml:space="preserve">  </w:t>
      </w:r>
      <w:r>
        <w:rPr>
          <w:rFonts w:hAnsi="宋体"/>
          <w:color w:val="auto"/>
          <w:kern w:val="0"/>
          <w:szCs w:val="21"/>
          <w:highlight w:val="none"/>
        </w:rPr>
        <w:t>天后发包人仍不纠正其违约行为并致使合同目的不能实现的，承包人有权解除合同。</w:t>
      </w:r>
    </w:p>
    <w:p w14:paraId="4BD537C2">
      <w:pPr>
        <w:spacing w:line="480" w:lineRule="exact"/>
        <w:rPr>
          <w:color w:val="auto"/>
          <w:szCs w:val="21"/>
          <w:highlight w:val="none"/>
        </w:rPr>
      </w:pPr>
      <w:bookmarkStart w:id="1082" w:name="_Toc373478415"/>
      <w:bookmarkStart w:id="1083" w:name="_Toc373227768"/>
      <w:bookmarkStart w:id="1084" w:name="_Toc486950571"/>
      <w:bookmarkStart w:id="1085" w:name="_Toc389065333"/>
      <w:r>
        <w:rPr>
          <w:color w:val="auto"/>
          <w:szCs w:val="21"/>
          <w:highlight w:val="none"/>
        </w:rPr>
        <w:t xml:space="preserve">16.2 </w:t>
      </w:r>
      <w:r>
        <w:rPr>
          <w:rFonts w:hAnsi="宋体"/>
          <w:color w:val="auto"/>
          <w:szCs w:val="21"/>
          <w:highlight w:val="none"/>
        </w:rPr>
        <w:t>承包人违约</w:t>
      </w:r>
      <w:bookmarkEnd w:id="1082"/>
      <w:bookmarkEnd w:id="1083"/>
      <w:bookmarkEnd w:id="1084"/>
      <w:bookmarkEnd w:id="1085"/>
    </w:p>
    <w:p w14:paraId="4DC8ECDC">
      <w:pPr>
        <w:spacing w:line="480" w:lineRule="exact"/>
        <w:ind w:firstLine="420" w:firstLineChars="200"/>
        <w:jc w:val="left"/>
        <w:rPr>
          <w:color w:val="auto"/>
          <w:kern w:val="0"/>
          <w:szCs w:val="21"/>
          <w:highlight w:val="none"/>
        </w:rPr>
      </w:pPr>
      <w:r>
        <w:rPr>
          <w:color w:val="auto"/>
          <w:kern w:val="0"/>
          <w:szCs w:val="21"/>
          <w:highlight w:val="none"/>
        </w:rPr>
        <w:t xml:space="preserve">16.2.1 </w:t>
      </w:r>
      <w:r>
        <w:rPr>
          <w:rFonts w:hAnsi="宋体"/>
          <w:color w:val="auto"/>
          <w:kern w:val="0"/>
          <w:szCs w:val="21"/>
          <w:highlight w:val="none"/>
        </w:rPr>
        <w:t>承包人违约的情形</w:t>
      </w:r>
    </w:p>
    <w:p w14:paraId="30339687">
      <w:pPr>
        <w:spacing w:line="480" w:lineRule="exact"/>
        <w:ind w:firstLine="420" w:firstLineChars="200"/>
        <w:jc w:val="left"/>
        <w:rPr>
          <w:rFonts w:ascii="宋体" w:hAnsi="宋体" w:cs="仿宋"/>
          <w:color w:val="auto"/>
          <w:kern w:val="0"/>
          <w:highlight w:val="none"/>
          <w:u w:val="single"/>
        </w:rPr>
      </w:pPr>
      <w:r>
        <w:rPr>
          <w:rFonts w:ascii="宋体" w:hAnsi="宋体" w:cs="仿宋"/>
          <w:color w:val="auto"/>
          <w:kern w:val="0"/>
          <w:highlight w:val="none"/>
          <w:u w:val="single"/>
        </w:rPr>
        <w:t>1、承包人未能按照发包人下发的开工通知中确定的开工日期开工的，每逾期一天，应按合同总价款的万分之二向发包人给付违约金。</w:t>
      </w:r>
    </w:p>
    <w:p w14:paraId="46229461">
      <w:pPr>
        <w:spacing w:line="480" w:lineRule="exact"/>
        <w:ind w:firstLine="420" w:firstLineChars="200"/>
        <w:jc w:val="left"/>
        <w:rPr>
          <w:rFonts w:ascii="宋体" w:hAnsi="宋体" w:cs="仿宋"/>
          <w:color w:val="auto"/>
          <w:kern w:val="0"/>
          <w:highlight w:val="none"/>
          <w:u w:val="single"/>
        </w:rPr>
      </w:pPr>
      <w:r>
        <w:rPr>
          <w:rFonts w:ascii="宋体" w:hAnsi="宋体" w:cs="仿宋"/>
          <w:color w:val="auto"/>
          <w:kern w:val="0"/>
          <w:highlight w:val="none"/>
          <w:u w:val="single"/>
        </w:rPr>
        <w:t>2、承包人有下列情形之一者，发包人有权要求承包人承担违约责任，赔偿发包人损失，并可以要求解除或终止本合同的一部分或全部：</w:t>
      </w:r>
    </w:p>
    <w:p w14:paraId="37A33730">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w:t>
      </w:r>
      <w:r>
        <w:rPr>
          <w:rFonts w:ascii="宋体" w:hAnsi="宋体" w:cs="仿宋"/>
          <w:color w:val="auto"/>
          <w:kern w:val="0"/>
          <w:highlight w:val="none"/>
          <w:u w:val="single"/>
        </w:rPr>
        <w:t>1</w:t>
      </w:r>
      <w:r>
        <w:rPr>
          <w:rFonts w:hint="eastAsia" w:ascii="宋体" w:hAnsi="宋体" w:cs="仿宋"/>
          <w:color w:val="auto"/>
          <w:kern w:val="0"/>
          <w:highlight w:val="none"/>
          <w:u w:val="single"/>
        </w:rPr>
        <w:t>）</w:t>
      </w:r>
      <w:r>
        <w:rPr>
          <w:rFonts w:ascii="宋体" w:hAnsi="宋体" w:cs="仿宋"/>
          <w:color w:val="auto"/>
          <w:kern w:val="0"/>
          <w:highlight w:val="none"/>
          <w:u w:val="single"/>
        </w:rPr>
        <w:t xml:space="preserve"> 超过开工通知中确定的开工日期达十天（含十天）以上的；</w:t>
      </w:r>
    </w:p>
    <w:p w14:paraId="0B890023">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w:t>
      </w:r>
      <w:r>
        <w:rPr>
          <w:rFonts w:ascii="宋体" w:hAnsi="宋体" w:cs="仿宋"/>
          <w:color w:val="auto"/>
          <w:kern w:val="0"/>
          <w:highlight w:val="none"/>
          <w:u w:val="single"/>
        </w:rPr>
        <w:t>2</w:t>
      </w:r>
      <w:r>
        <w:rPr>
          <w:rFonts w:hint="eastAsia" w:ascii="宋体" w:hAnsi="宋体" w:cs="仿宋"/>
          <w:color w:val="auto"/>
          <w:kern w:val="0"/>
          <w:highlight w:val="none"/>
          <w:u w:val="single"/>
        </w:rPr>
        <w:t>）承包人有转移资产、抽逃资金、工人及设备数据不足及其它丧失履约能力之情形；</w:t>
      </w:r>
    </w:p>
    <w:p w14:paraId="21D6EE12">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w:t>
      </w:r>
      <w:r>
        <w:rPr>
          <w:rFonts w:ascii="宋体" w:hAnsi="宋体" w:cs="仿宋"/>
          <w:color w:val="auto"/>
          <w:kern w:val="0"/>
          <w:highlight w:val="none"/>
          <w:u w:val="single"/>
        </w:rPr>
        <w:t>3</w:t>
      </w:r>
      <w:r>
        <w:rPr>
          <w:rFonts w:hint="eastAsia" w:ascii="宋体" w:hAnsi="宋体" w:cs="仿宋"/>
          <w:color w:val="auto"/>
          <w:kern w:val="0"/>
          <w:highlight w:val="none"/>
          <w:u w:val="single"/>
        </w:rPr>
        <w:t>）承包人违反本合同任何条款规定，经发包人限期改正而未改正；</w:t>
      </w:r>
    </w:p>
    <w:p w14:paraId="4D77FA96">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w:t>
      </w:r>
      <w:r>
        <w:rPr>
          <w:rFonts w:ascii="宋体" w:hAnsi="宋体" w:cs="仿宋"/>
          <w:color w:val="auto"/>
          <w:kern w:val="0"/>
          <w:highlight w:val="none"/>
          <w:u w:val="single"/>
        </w:rPr>
        <w:t>4</w:t>
      </w:r>
      <w:r>
        <w:rPr>
          <w:rFonts w:hint="eastAsia" w:ascii="宋体" w:hAnsi="宋体" w:cs="仿宋"/>
          <w:color w:val="auto"/>
          <w:kern w:val="0"/>
          <w:highlight w:val="none"/>
          <w:u w:val="single"/>
        </w:rPr>
        <w:t>）承包人工作草率、偷工减料、消极怠工或不听从发包人指示，屡教不改；</w:t>
      </w:r>
    </w:p>
    <w:p w14:paraId="0ED5225D">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w:t>
      </w:r>
      <w:r>
        <w:rPr>
          <w:rFonts w:ascii="宋体" w:hAnsi="宋体" w:cs="仿宋"/>
          <w:color w:val="auto"/>
          <w:kern w:val="0"/>
          <w:highlight w:val="none"/>
          <w:u w:val="single"/>
        </w:rPr>
        <w:t>5</w:t>
      </w:r>
      <w:r>
        <w:rPr>
          <w:rFonts w:hint="eastAsia" w:ascii="宋体" w:hAnsi="宋体" w:cs="仿宋"/>
          <w:color w:val="auto"/>
          <w:kern w:val="0"/>
          <w:highlight w:val="none"/>
          <w:u w:val="single"/>
        </w:rPr>
        <w:t>）承包人工程质量不合格，发包人有权要求承包人在限期内无偿修理或者返工、改建，并要求承包人承担相应的违约责任，如未在限期内完成，发包人有权解除或终止合同。</w:t>
      </w:r>
    </w:p>
    <w:p w14:paraId="21940368">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w:t>
      </w:r>
      <w:r>
        <w:rPr>
          <w:rFonts w:ascii="宋体" w:hAnsi="宋体" w:cs="仿宋"/>
          <w:color w:val="auto"/>
          <w:kern w:val="0"/>
          <w:highlight w:val="none"/>
          <w:u w:val="single"/>
        </w:rPr>
        <w:t>6</w:t>
      </w:r>
      <w:r>
        <w:rPr>
          <w:rFonts w:hint="eastAsia" w:ascii="宋体" w:hAnsi="宋体" w:cs="仿宋"/>
          <w:color w:val="auto"/>
          <w:kern w:val="0"/>
          <w:highlight w:val="none"/>
          <w:u w:val="single"/>
        </w:rPr>
        <w:t>）承包人其他违约行为，影响合同目的实现的。</w:t>
      </w:r>
    </w:p>
    <w:p w14:paraId="46537A68">
      <w:pPr>
        <w:spacing w:line="480" w:lineRule="exact"/>
        <w:ind w:firstLine="420" w:firstLineChars="200"/>
        <w:jc w:val="left"/>
        <w:rPr>
          <w:rFonts w:ascii="宋体" w:hAnsi="宋体" w:cs="仿宋"/>
          <w:color w:val="auto"/>
          <w:kern w:val="0"/>
          <w:highlight w:val="none"/>
          <w:u w:val="single"/>
        </w:rPr>
      </w:pPr>
      <w:r>
        <w:rPr>
          <w:rFonts w:hint="eastAsia" w:ascii="宋体" w:hAnsi="宋体" w:cs="仿宋"/>
          <w:color w:val="auto"/>
          <w:kern w:val="0"/>
          <w:highlight w:val="none"/>
          <w:u w:val="single"/>
        </w:rPr>
        <w:t>如本合同经发包人解除或终止，承包人应根据发包人的要求妥善做好施工场地的保护和移交工作，按发包人要求将自有机械设备和人员撤出施工场地。发包人有权以任何方式将全部或一部分工程改交他人承揽或施工，对此承包人不得异议，且应积极配合发包人办理工程报建等相关项目的变更登记手续。</w:t>
      </w:r>
    </w:p>
    <w:p w14:paraId="0B8BC884">
      <w:pPr>
        <w:spacing w:line="480" w:lineRule="exact"/>
        <w:ind w:firstLine="420" w:firstLineChars="200"/>
        <w:jc w:val="left"/>
        <w:rPr>
          <w:rFonts w:ascii="宋体" w:hAnsi="宋体" w:cs="仿宋"/>
          <w:b/>
          <w:color w:val="auto"/>
          <w:kern w:val="0"/>
          <w:highlight w:val="none"/>
          <w:u w:val="single"/>
        </w:rPr>
      </w:pPr>
      <w:r>
        <w:rPr>
          <w:rFonts w:ascii="宋体" w:hAnsi="宋体" w:cs="仿宋"/>
          <w:color w:val="auto"/>
          <w:kern w:val="0"/>
          <w:highlight w:val="none"/>
          <w:u w:val="single"/>
        </w:rPr>
        <w:t>3、在合同履行过程中，承包人不得以任何理由暂停工程或影响工程进度，只有经发包人书面同意才可顺延工期；非经发包人书面同意，任何事实、指令或文件都不能顺延工期。若承包人擅自停工而影响工程进度，发包人可以有权随时解除合同，并没收承包人的履约保函等各种担保、保证。承包人应立即返还发包人所付之工程、材料款。解除合同后，发包人可以依其认为适当的条件、方式与其它施工单位签约以完成工程，承包人应赔偿发包人因此所受之损失及所增加之费用。</w:t>
      </w:r>
    </w:p>
    <w:p w14:paraId="0C98368A">
      <w:pPr>
        <w:spacing w:line="480" w:lineRule="exact"/>
        <w:ind w:firstLine="420" w:firstLineChars="200"/>
        <w:jc w:val="left"/>
        <w:rPr>
          <w:color w:val="auto"/>
          <w:kern w:val="0"/>
          <w:szCs w:val="21"/>
          <w:highlight w:val="none"/>
        </w:rPr>
      </w:pPr>
      <w:r>
        <w:rPr>
          <w:color w:val="auto"/>
          <w:kern w:val="0"/>
          <w:szCs w:val="21"/>
          <w:highlight w:val="none"/>
        </w:rPr>
        <w:t>16.2.2</w:t>
      </w:r>
      <w:r>
        <w:rPr>
          <w:rFonts w:hAnsi="宋体"/>
          <w:color w:val="auto"/>
          <w:kern w:val="0"/>
          <w:szCs w:val="21"/>
          <w:highlight w:val="none"/>
        </w:rPr>
        <w:t>承包人违约的责任</w:t>
      </w:r>
    </w:p>
    <w:p w14:paraId="467103A8">
      <w:pPr>
        <w:spacing w:line="480" w:lineRule="exact"/>
        <w:ind w:firstLine="420" w:firstLineChars="200"/>
        <w:jc w:val="left"/>
        <w:rPr>
          <w:color w:val="auto"/>
          <w:kern w:val="0"/>
          <w:szCs w:val="21"/>
          <w:highlight w:val="none"/>
        </w:rPr>
      </w:pPr>
      <w:r>
        <w:rPr>
          <w:rFonts w:hAnsi="宋体"/>
          <w:color w:val="auto"/>
          <w:kern w:val="0"/>
          <w:szCs w:val="21"/>
          <w:highlight w:val="none"/>
        </w:rPr>
        <w:t>承包人违约责任的承担方式和计算方法：</w:t>
      </w:r>
    </w:p>
    <w:p w14:paraId="78A60E5B">
      <w:pPr>
        <w:spacing w:line="480" w:lineRule="exact"/>
        <w:ind w:firstLine="420" w:firstLineChars="200"/>
        <w:jc w:val="left"/>
        <w:rPr>
          <w:rFonts w:hAnsi="宋体"/>
          <w:color w:val="auto"/>
          <w:kern w:val="0"/>
          <w:szCs w:val="21"/>
          <w:highlight w:val="none"/>
        </w:rPr>
      </w:pPr>
      <w:r>
        <w:rPr>
          <w:rFonts w:hAnsi="宋体"/>
          <w:color w:val="auto"/>
          <w:kern w:val="0"/>
          <w:szCs w:val="21"/>
          <w:highlight w:val="none"/>
        </w:rPr>
        <w:t>（</w:t>
      </w:r>
      <w:r>
        <w:rPr>
          <w:color w:val="auto"/>
          <w:kern w:val="0"/>
          <w:szCs w:val="21"/>
          <w:highlight w:val="none"/>
        </w:rPr>
        <w:t>1</w:t>
      </w:r>
      <w:r>
        <w:rPr>
          <w:rFonts w:hAnsi="宋体"/>
          <w:color w:val="auto"/>
          <w:kern w:val="0"/>
          <w:szCs w:val="21"/>
          <w:highlight w:val="none"/>
        </w:rPr>
        <w:t>）承包人未按本合同通用条款第</w:t>
      </w:r>
      <w:r>
        <w:rPr>
          <w:color w:val="auto"/>
          <w:kern w:val="0"/>
          <w:szCs w:val="21"/>
          <w:highlight w:val="none"/>
        </w:rPr>
        <w:t>16.2.1</w:t>
      </w:r>
      <w:r>
        <w:rPr>
          <w:rFonts w:hAnsi="宋体"/>
          <w:color w:val="auto"/>
          <w:kern w:val="0"/>
          <w:szCs w:val="21"/>
          <w:highlight w:val="none"/>
        </w:rPr>
        <w:t>（</w:t>
      </w:r>
      <w:r>
        <w:rPr>
          <w:color w:val="auto"/>
          <w:kern w:val="0"/>
          <w:szCs w:val="21"/>
          <w:highlight w:val="none"/>
        </w:rPr>
        <w:t>2</w:t>
      </w:r>
      <w:r>
        <w:rPr>
          <w:rFonts w:hAnsi="宋体"/>
          <w:color w:val="auto"/>
          <w:kern w:val="0"/>
          <w:szCs w:val="21"/>
          <w:highlight w:val="none"/>
        </w:rPr>
        <w:t>）</w:t>
      </w:r>
      <w:r>
        <w:rPr>
          <w:rFonts w:hint="eastAsia" w:hAnsi="宋体"/>
          <w:color w:val="auto"/>
          <w:kern w:val="0"/>
          <w:szCs w:val="21"/>
          <w:highlight w:val="none"/>
        </w:rPr>
        <w:t>、</w:t>
      </w:r>
      <w:r>
        <w:rPr>
          <w:rFonts w:hAnsi="宋体"/>
          <w:color w:val="auto"/>
          <w:kern w:val="0"/>
          <w:szCs w:val="21"/>
          <w:highlight w:val="none"/>
        </w:rPr>
        <w:t>（</w:t>
      </w:r>
      <w:r>
        <w:rPr>
          <w:color w:val="auto"/>
          <w:kern w:val="0"/>
          <w:szCs w:val="21"/>
          <w:highlight w:val="none"/>
        </w:rPr>
        <w:t>3</w:t>
      </w:r>
      <w:r>
        <w:rPr>
          <w:rFonts w:hAnsi="宋体"/>
          <w:color w:val="auto"/>
          <w:kern w:val="0"/>
          <w:szCs w:val="21"/>
          <w:highlight w:val="none"/>
        </w:rPr>
        <w:t>）条内容完成的，承包人无条件返工处理，修复至工程质量要求并承担相关费用，并在发包人规定的时间内完成返工，否则发包人有权扣罚该分项工程</w:t>
      </w:r>
      <w:r>
        <w:rPr>
          <w:color w:val="auto"/>
          <w:kern w:val="0"/>
          <w:szCs w:val="21"/>
          <w:highlight w:val="none"/>
        </w:rPr>
        <w:t>10%</w:t>
      </w:r>
      <w:r>
        <w:rPr>
          <w:rFonts w:hAnsi="宋体"/>
          <w:color w:val="auto"/>
          <w:kern w:val="0"/>
          <w:szCs w:val="21"/>
          <w:highlight w:val="none"/>
        </w:rPr>
        <w:t>的工程款作为处罚。</w:t>
      </w:r>
    </w:p>
    <w:p w14:paraId="1581C075">
      <w:pPr>
        <w:spacing w:line="480" w:lineRule="exact"/>
        <w:ind w:firstLine="420" w:firstLineChars="200"/>
        <w:jc w:val="left"/>
        <w:rPr>
          <w:rFonts w:hAnsi="宋体"/>
          <w:color w:val="auto"/>
          <w:kern w:val="0"/>
          <w:szCs w:val="21"/>
          <w:highlight w:val="none"/>
        </w:rPr>
      </w:pPr>
      <w:r>
        <w:rPr>
          <w:rFonts w:hAnsi="宋体"/>
          <w:color w:val="auto"/>
          <w:kern w:val="0"/>
          <w:szCs w:val="21"/>
          <w:highlight w:val="none"/>
        </w:rPr>
        <w:t>（</w:t>
      </w:r>
      <w:r>
        <w:rPr>
          <w:color w:val="auto"/>
          <w:kern w:val="0"/>
          <w:szCs w:val="21"/>
          <w:highlight w:val="none"/>
        </w:rPr>
        <w:t>2</w:t>
      </w:r>
      <w:r>
        <w:rPr>
          <w:rFonts w:hAnsi="宋体"/>
          <w:color w:val="auto"/>
          <w:kern w:val="0"/>
          <w:szCs w:val="21"/>
          <w:highlight w:val="none"/>
        </w:rPr>
        <w:t>）承包人有本合同通用条款第</w:t>
      </w:r>
      <w:r>
        <w:rPr>
          <w:color w:val="auto"/>
          <w:kern w:val="0"/>
          <w:szCs w:val="21"/>
          <w:highlight w:val="none"/>
        </w:rPr>
        <w:t>16.2.1</w:t>
      </w:r>
      <w:r>
        <w:rPr>
          <w:rFonts w:hAnsi="宋体"/>
          <w:color w:val="auto"/>
          <w:kern w:val="0"/>
          <w:szCs w:val="21"/>
          <w:highlight w:val="none"/>
        </w:rPr>
        <w:t>（</w:t>
      </w:r>
      <w:r>
        <w:rPr>
          <w:color w:val="auto"/>
          <w:kern w:val="0"/>
          <w:szCs w:val="21"/>
          <w:highlight w:val="none"/>
        </w:rPr>
        <w:t>6</w:t>
      </w:r>
      <w:r>
        <w:rPr>
          <w:rFonts w:hAnsi="宋体"/>
          <w:color w:val="auto"/>
          <w:kern w:val="0"/>
          <w:szCs w:val="21"/>
          <w:highlight w:val="none"/>
        </w:rPr>
        <w:t>）条情形的，或经监理人检验认为修复质量不合格而承包人拒绝再进行修补的，发包人将扣除承包人全部质量保修金。</w:t>
      </w:r>
    </w:p>
    <w:p w14:paraId="2DC104AC">
      <w:pPr>
        <w:spacing w:line="480" w:lineRule="exact"/>
        <w:ind w:firstLine="420" w:firstLineChars="200"/>
        <w:jc w:val="left"/>
        <w:rPr>
          <w:rFonts w:hAnsi="宋体"/>
          <w:color w:val="auto"/>
          <w:kern w:val="0"/>
          <w:szCs w:val="21"/>
          <w:highlight w:val="none"/>
        </w:rPr>
      </w:pPr>
      <w:r>
        <w:rPr>
          <w:rFonts w:hAnsi="宋体"/>
          <w:color w:val="auto"/>
          <w:kern w:val="0"/>
          <w:szCs w:val="21"/>
          <w:highlight w:val="none"/>
        </w:rPr>
        <w:t>（</w:t>
      </w:r>
      <w:r>
        <w:rPr>
          <w:color w:val="auto"/>
          <w:kern w:val="0"/>
          <w:szCs w:val="21"/>
          <w:highlight w:val="none"/>
        </w:rPr>
        <w:t>3</w:t>
      </w:r>
      <w:r>
        <w:rPr>
          <w:rFonts w:hAnsi="宋体"/>
          <w:color w:val="auto"/>
          <w:kern w:val="0"/>
          <w:szCs w:val="21"/>
          <w:highlight w:val="none"/>
        </w:rPr>
        <w:t>）承包人有本专用合同条款</w:t>
      </w:r>
      <w:r>
        <w:rPr>
          <w:color w:val="auto"/>
          <w:kern w:val="0"/>
          <w:szCs w:val="21"/>
          <w:highlight w:val="none"/>
        </w:rPr>
        <w:t>3.2</w:t>
      </w:r>
      <w:r>
        <w:rPr>
          <w:rFonts w:hAnsi="宋体"/>
          <w:color w:val="auto"/>
          <w:kern w:val="0"/>
          <w:szCs w:val="21"/>
          <w:highlight w:val="none"/>
        </w:rPr>
        <w:t>、</w:t>
      </w:r>
      <w:r>
        <w:rPr>
          <w:color w:val="auto"/>
          <w:kern w:val="0"/>
          <w:szCs w:val="21"/>
          <w:highlight w:val="none"/>
        </w:rPr>
        <w:t>3.3</w:t>
      </w:r>
      <w:r>
        <w:rPr>
          <w:rFonts w:hAnsi="宋体"/>
          <w:color w:val="auto"/>
          <w:kern w:val="0"/>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60DD0EDA">
      <w:pPr>
        <w:spacing w:line="480" w:lineRule="exact"/>
        <w:ind w:firstLine="420" w:firstLineChars="200"/>
        <w:jc w:val="left"/>
        <w:rPr>
          <w:rFonts w:hAnsi="宋体"/>
          <w:color w:val="auto"/>
          <w:szCs w:val="21"/>
          <w:highlight w:val="none"/>
        </w:rPr>
      </w:pPr>
      <w:r>
        <w:rPr>
          <w:color w:val="auto"/>
          <w:szCs w:val="21"/>
          <w:highlight w:val="none"/>
        </w:rPr>
        <w:t xml:space="preserve">16.2.3 </w:t>
      </w:r>
      <w:r>
        <w:rPr>
          <w:rFonts w:hAnsi="宋体"/>
          <w:color w:val="auto"/>
          <w:szCs w:val="21"/>
          <w:highlight w:val="none"/>
        </w:rPr>
        <w:t>因承包人违约解除合同</w:t>
      </w:r>
    </w:p>
    <w:p w14:paraId="1B8FAF44">
      <w:pPr>
        <w:spacing w:line="480" w:lineRule="exact"/>
        <w:ind w:firstLine="420" w:firstLineChars="200"/>
        <w:jc w:val="left"/>
        <w:rPr>
          <w:rFonts w:hAnsi="宋体"/>
          <w:color w:val="auto"/>
          <w:kern w:val="0"/>
          <w:szCs w:val="21"/>
          <w:highlight w:val="none"/>
        </w:rPr>
      </w:pPr>
      <w:r>
        <w:rPr>
          <w:rFonts w:hAnsi="宋体"/>
          <w:color w:val="auto"/>
          <w:kern w:val="0"/>
          <w:szCs w:val="21"/>
          <w:highlight w:val="none"/>
        </w:rPr>
        <w:t>关于承包人违约解除合同的特别约定：</w:t>
      </w:r>
      <w:r>
        <w:rPr>
          <w:rFonts w:hAnsi="宋体"/>
          <w:color w:val="auto"/>
          <w:kern w:val="0"/>
          <w:szCs w:val="21"/>
          <w:highlight w:val="none"/>
          <w:u w:val="single"/>
        </w:rPr>
        <w:t>承包人有违反以下情况之一的，发包人有权解除合同，并没收其全部履约保证金</w:t>
      </w:r>
      <w:r>
        <w:rPr>
          <w:rFonts w:hAnsi="宋体"/>
          <w:color w:val="auto"/>
          <w:kern w:val="0"/>
          <w:szCs w:val="21"/>
          <w:highlight w:val="none"/>
        </w:rPr>
        <w:t>。</w:t>
      </w:r>
    </w:p>
    <w:p w14:paraId="72439705">
      <w:pPr>
        <w:spacing w:line="480" w:lineRule="exact"/>
        <w:ind w:firstLine="420" w:firstLineChars="200"/>
        <w:jc w:val="left"/>
        <w:rPr>
          <w:rFonts w:hAnsi="宋体"/>
          <w:color w:val="auto"/>
          <w:kern w:val="0"/>
          <w:szCs w:val="21"/>
          <w:highlight w:val="none"/>
        </w:rPr>
      </w:pPr>
      <w:r>
        <w:rPr>
          <w:rFonts w:hint="eastAsia"/>
          <w:color w:val="auto"/>
          <w:kern w:val="0"/>
          <w:szCs w:val="21"/>
          <w:highlight w:val="none"/>
        </w:rPr>
        <w:t>（</w:t>
      </w:r>
      <w:r>
        <w:rPr>
          <w:color w:val="auto"/>
          <w:kern w:val="0"/>
          <w:szCs w:val="21"/>
          <w:highlight w:val="none"/>
        </w:rPr>
        <w:t>1</w:t>
      </w:r>
      <w:r>
        <w:rPr>
          <w:rFonts w:hint="eastAsia"/>
          <w:color w:val="auto"/>
          <w:kern w:val="0"/>
          <w:szCs w:val="21"/>
          <w:highlight w:val="none"/>
        </w:rPr>
        <w:t>）</w:t>
      </w:r>
      <w:r>
        <w:rPr>
          <w:rFonts w:hAnsi="宋体"/>
          <w:color w:val="auto"/>
          <w:kern w:val="0"/>
          <w:szCs w:val="21"/>
          <w:highlight w:val="none"/>
        </w:rPr>
        <w:t>承包人无正当理由不按开工通知的要求及时进场组织施工和不按签订协议书时商</w:t>
      </w:r>
      <w:r>
        <w:rPr>
          <w:rFonts w:hint="eastAsia" w:hAnsi="宋体"/>
          <w:color w:val="auto"/>
          <w:kern w:val="0"/>
          <w:szCs w:val="21"/>
          <w:highlight w:val="none"/>
        </w:rPr>
        <w:t>定</w:t>
      </w:r>
      <w:r>
        <w:rPr>
          <w:rFonts w:hAnsi="宋体"/>
          <w:color w:val="auto"/>
          <w:kern w:val="0"/>
          <w:szCs w:val="21"/>
          <w:highlight w:val="none"/>
        </w:rPr>
        <w:t>的进度计划有效地开展施工准备，造成工期延误的；</w:t>
      </w:r>
    </w:p>
    <w:p w14:paraId="26059A6C">
      <w:pPr>
        <w:spacing w:line="480" w:lineRule="exact"/>
        <w:ind w:firstLine="420" w:firstLineChars="200"/>
        <w:jc w:val="left"/>
        <w:rPr>
          <w:rFonts w:hAnsi="宋体"/>
          <w:color w:val="auto"/>
          <w:kern w:val="0"/>
          <w:szCs w:val="21"/>
          <w:highlight w:val="none"/>
        </w:rPr>
      </w:pPr>
      <w:r>
        <w:rPr>
          <w:rFonts w:hint="eastAsia"/>
          <w:color w:val="auto"/>
          <w:kern w:val="0"/>
          <w:szCs w:val="21"/>
          <w:highlight w:val="none"/>
        </w:rPr>
        <w:t>（</w:t>
      </w:r>
      <w:r>
        <w:rPr>
          <w:color w:val="auto"/>
          <w:kern w:val="0"/>
          <w:szCs w:val="21"/>
          <w:highlight w:val="none"/>
        </w:rPr>
        <w:t>2</w:t>
      </w:r>
      <w:r>
        <w:rPr>
          <w:rFonts w:hint="eastAsia"/>
          <w:color w:val="auto"/>
          <w:kern w:val="0"/>
          <w:szCs w:val="21"/>
          <w:highlight w:val="none"/>
        </w:rPr>
        <w:t>）</w:t>
      </w:r>
      <w:r>
        <w:rPr>
          <w:rFonts w:hAnsi="宋体"/>
          <w:color w:val="auto"/>
          <w:kern w:val="0"/>
          <w:szCs w:val="21"/>
          <w:highlight w:val="none"/>
        </w:rPr>
        <w:t>承包人违反本合同通用条款第</w:t>
      </w:r>
      <w:r>
        <w:rPr>
          <w:color w:val="auto"/>
          <w:kern w:val="0"/>
          <w:szCs w:val="21"/>
          <w:highlight w:val="none"/>
        </w:rPr>
        <w:t>3.5</w:t>
      </w:r>
      <w:r>
        <w:rPr>
          <w:rFonts w:hAnsi="宋体"/>
          <w:color w:val="auto"/>
          <w:kern w:val="0"/>
          <w:szCs w:val="21"/>
          <w:highlight w:val="none"/>
        </w:rPr>
        <w:t>条规定私自将合同或合同的任何部分或任何权利转让给其他人，或私自将工程或工程的一部分分包出去的；</w:t>
      </w:r>
    </w:p>
    <w:p w14:paraId="4001E199">
      <w:pPr>
        <w:spacing w:line="480" w:lineRule="exact"/>
        <w:ind w:firstLine="420" w:firstLineChars="200"/>
        <w:jc w:val="left"/>
        <w:rPr>
          <w:rFonts w:hAnsi="宋体"/>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rFonts w:hAnsi="宋体"/>
          <w:color w:val="auto"/>
          <w:kern w:val="0"/>
          <w:szCs w:val="21"/>
          <w:highlight w:val="none"/>
        </w:rPr>
        <w:t>未经监理人批准，承包人私自将已按投标文件承诺进入工地的工程设备、施工设备、临时工程或材料撤离工地的；</w:t>
      </w:r>
    </w:p>
    <w:p w14:paraId="2338858C">
      <w:pPr>
        <w:spacing w:line="480" w:lineRule="exact"/>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4</w:t>
      </w:r>
      <w:r>
        <w:rPr>
          <w:rFonts w:hint="eastAsia"/>
          <w:color w:val="auto"/>
          <w:kern w:val="0"/>
          <w:szCs w:val="21"/>
          <w:highlight w:val="none"/>
        </w:rPr>
        <w:t>）</w:t>
      </w:r>
      <w:r>
        <w:rPr>
          <w:rFonts w:hAnsi="宋体"/>
          <w:color w:val="auto"/>
          <w:kern w:val="0"/>
          <w:szCs w:val="21"/>
          <w:highlight w:val="none"/>
        </w:rPr>
        <w:t>由于承包人原因拒绝按合同进度计划及时完成合同规定的工程，而又未采取有效措施赶上进度，造成工期</w:t>
      </w:r>
      <w:r>
        <w:rPr>
          <w:rFonts w:hint="eastAsia" w:hAnsi="宋体"/>
          <w:color w:val="auto"/>
          <w:kern w:val="0"/>
          <w:szCs w:val="21"/>
          <w:highlight w:val="none"/>
        </w:rPr>
        <w:t>严重</w:t>
      </w:r>
      <w:r>
        <w:rPr>
          <w:rFonts w:hAnsi="宋体"/>
          <w:color w:val="auto"/>
          <w:kern w:val="0"/>
          <w:szCs w:val="21"/>
          <w:highlight w:val="none"/>
        </w:rPr>
        <w:t>延误的；</w:t>
      </w:r>
    </w:p>
    <w:p w14:paraId="4A6812F7">
      <w:pPr>
        <w:spacing w:line="480" w:lineRule="exact"/>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5</w:t>
      </w:r>
      <w:r>
        <w:rPr>
          <w:rFonts w:hint="eastAsia"/>
          <w:color w:val="auto"/>
          <w:kern w:val="0"/>
          <w:szCs w:val="21"/>
          <w:highlight w:val="none"/>
        </w:rPr>
        <w:t>）</w:t>
      </w:r>
      <w:r>
        <w:rPr>
          <w:rFonts w:hAnsi="宋体"/>
          <w:color w:val="auto"/>
          <w:kern w:val="0"/>
          <w:szCs w:val="21"/>
          <w:highlight w:val="none"/>
        </w:rPr>
        <w:t>承包人否认合同有效或拒绝履行合同规定的承包人义务，或由于法律、财务等原因导致承包人无法继续履行或实质上已停止履行合同的义务的；</w:t>
      </w:r>
    </w:p>
    <w:p w14:paraId="15AC7609">
      <w:pPr>
        <w:spacing w:line="480" w:lineRule="exact"/>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6</w:t>
      </w:r>
      <w:r>
        <w:rPr>
          <w:rFonts w:hint="eastAsia"/>
          <w:color w:val="auto"/>
          <w:kern w:val="0"/>
          <w:szCs w:val="21"/>
          <w:highlight w:val="none"/>
        </w:rPr>
        <w:t>）</w:t>
      </w:r>
      <w:r>
        <w:rPr>
          <w:rFonts w:hAnsi="宋体"/>
          <w:color w:val="auto"/>
          <w:kern w:val="0"/>
          <w:szCs w:val="21"/>
          <w:highlight w:val="none"/>
        </w:rPr>
        <w:t>合同签订之日起十五日内，承包人无法按合同规定及投标文件的承诺进场经监理工程师认可的全部人员和机械的。</w:t>
      </w:r>
    </w:p>
    <w:p w14:paraId="1438E4C1">
      <w:pPr>
        <w:spacing w:line="480" w:lineRule="exact"/>
        <w:ind w:firstLine="420" w:firstLineChars="200"/>
        <w:rPr>
          <w:color w:val="auto"/>
          <w:kern w:val="0"/>
          <w:szCs w:val="21"/>
          <w:highlight w:val="none"/>
        </w:rPr>
      </w:pPr>
      <w:r>
        <w:rPr>
          <w:rFonts w:hAnsi="宋体"/>
          <w:color w:val="auto"/>
          <w:kern w:val="0"/>
          <w:szCs w:val="21"/>
          <w:highlight w:val="none"/>
        </w:rPr>
        <w:t>发包人继续使用承包人在施工现场的材料、设备、临时工程、承包人文件和由承包人或以其名义编制的其他文件的费用承担方式：</w:t>
      </w:r>
      <w:r>
        <w:rPr>
          <w:color w:val="auto"/>
          <w:kern w:val="0"/>
          <w:szCs w:val="21"/>
          <w:highlight w:val="none"/>
          <w:u w:val="single"/>
        </w:rPr>
        <w:t xml:space="preserve">                </w:t>
      </w:r>
      <w:r>
        <w:rPr>
          <w:rFonts w:hint="eastAsia"/>
          <w:color w:val="auto"/>
          <w:kern w:val="0"/>
          <w:szCs w:val="21"/>
          <w:highlight w:val="none"/>
          <w:u w:val="single"/>
        </w:rPr>
        <w:t>无</w:t>
      </w:r>
      <w:r>
        <w:rPr>
          <w:color w:val="auto"/>
          <w:kern w:val="0"/>
          <w:szCs w:val="21"/>
          <w:highlight w:val="none"/>
          <w:u w:val="single"/>
        </w:rPr>
        <w:t xml:space="preserve">                           </w:t>
      </w:r>
      <w:r>
        <w:rPr>
          <w:rFonts w:hAnsi="宋体"/>
          <w:color w:val="auto"/>
          <w:kern w:val="0"/>
          <w:szCs w:val="21"/>
          <w:highlight w:val="none"/>
        </w:rPr>
        <w:t>。</w:t>
      </w:r>
    </w:p>
    <w:p w14:paraId="65AC7D67">
      <w:pPr>
        <w:spacing w:line="480" w:lineRule="exact"/>
        <w:rPr>
          <w:color w:val="auto"/>
          <w:szCs w:val="21"/>
          <w:highlight w:val="none"/>
        </w:rPr>
      </w:pPr>
      <w:bookmarkStart w:id="1086" w:name="_Toc389065334"/>
      <w:bookmarkStart w:id="1087" w:name="_Toc373478416"/>
      <w:bookmarkStart w:id="1088" w:name="_Toc486950572"/>
      <w:bookmarkStart w:id="1089" w:name="_Toc351203649"/>
      <w:bookmarkStart w:id="1090" w:name="_Toc373227769"/>
      <w:r>
        <w:rPr>
          <w:color w:val="auto"/>
          <w:szCs w:val="21"/>
          <w:highlight w:val="none"/>
        </w:rPr>
        <w:t xml:space="preserve">17. </w:t>
      </w:r>
      <w:r>
        <w:rPr>
          <w:rFonts w:hAnsi="宋体"/>
          <w:color w:val="auto"/>
          <w:szCs w:val="21"/>
          <w:highlight w:val="none"/>
        </w:rPr>
        <w:t>不可抗力</w:t>
      </w:r>
      <w:bookmarkEnd w:id="1086"/>
      <w:bookmarkEnd w:id="1087"/>
      <w:bookmarkEnd w:id="1088"/>
      <w:bookmarkEnd w:id="1089"/>
      <w:bookmarkEnd w:id="1090"/>
      <w:r>
        <w:rPr>
          <w:color w:val="auto"/>
          <w:szCs w:val="21"/>
          <w:highlight w:val="none"/>
        </w:rPr>
        <w:t xml:space="preserve"> </w:t>
      </w:r>
      <w:bookmarkEnd w:id="1076"/>
    </w:p>
    <w:p w14:paraId="2553C896">
      <w:pPr>
        <w:spacing w:line="480" w:lineRule="exact"/>
        <w:rPr>
          <w:color w:val="auto"/>
          <w:szCs w:val="21"/>
          <w:highlight w:val="none"/>
        </w:rPr>
      </w:pPr>
      <w:bookmarkStart w:id="1091" w:name="_Toc373478417"/>
      <w:bookmarkStart w:id="1092" w:name="_Toc389065335"/>
      <w:bookmarkStart w:id="1093" w:name="_Toc373227770"/>
      <w:bookmarkStart w:id="1094" w:name="_Toc486950573"/>
      <w:r>
        <w:rPr>
          <w:color w:val="auto"/>
          <w:szCs w:val="21"/>
          <w:highlight w:val="none"/>
        </w:rPr>
        <w:t>17.1 不可抗力的确认</w:t>
      </w:r>
      <w:bookmarkEnd w:id="1091"/>
      <w:bookmarkEnd w:id="1092"/>
      <w:bookmarkEnd w:id="1093"/>
      <w:bookmarkEnd w:id="1094"/>
    </w:p>
    <w:p w14:paraId="1A42F91D">
      <w:pPr>
        <w:spacing w:line="480" w:lineRule="exact"/>
        <w:ind w:firstLine="420" w:firstLineChars="200"/>
        <w:jc w:val="left"/>
        <w:rPr>
          <w:color w:val="auto"/>
          <w:kern w:val="0"/>
          <w:szCs w:val="21"/>
          <w:highlight w:val="none"/>
          <w:u w:val="single"/>
        </w:rPr>
      </w:pPr>
      <w:r>
        <w:rPr>
          <w:rFonts w:hAnsi="宋体"/>
          <w:color w:val="auto"/>
          <w:szCs w:val="21"/>
          <w:highlight w:val="none"/>
        </w:rPr>
        <w:t>除通用合同条款约定的不可抗力事件之外，视为不可抗力的其他情形：</w:t>
      </w:r>
      <w:r>
        <w:rPr>
          <w:color w:val="auto"/>
          <w:kern w:val="0"/>
          <w:szCs w:val="21"/>
          <w:highlight w:val="none"/>
          <w:u w:val="single"/>
        </w:rPr>
        <w:t xml:space="preserve">  </w:t>
      </w:r>
      <w:r>
        <w:rPr>
          <w:rFonts w:hint="eastAsia"/>
          <w:color w:val="auto"/>
          <w:kern w:val="0"/>
          <w:szCs w:val="21"/>
          <w:highlight w:val="none"/>
          <w:u w:val="single"/>
        </w:rPr>
        <w:t>①四级以上的地震；②七级以上持续一天的大风；③60-100mm以上持续一天的大雨；④二年以上未发生过，持续两天的38℃以上高温天气；⑤二年以上未发生过，持续两天的0℃以下严寒天气；⑥一年以上未发生过的洪水</w:t>
      </w:r>
      <w:r>
        <w:rPr>
          <w:rFonts w:hAnsi="宋体"/>
          <w:color w:val="auto"/>
          <w:kern w:val="0"/>
          <w:szCs w:val="21"/>
          <w:highlight w:val="none"/>
        </w:rPr>
        <w:t>。</w:t>
      </w:r>
    </w:p>
    <w:p w14:paraId="165B801D">
      <w:pPr>
        <w:spacing w:line="480" w:lineRule="exact"/>
        <w:rPr>
          <w:color w:val="auto"/>
          <w:szCs w:val="21"/>
          <w:highlight w:val="none"/>
        </w:rPr>
      </w:pPr>
      <w:bookmarkStart w:id="1095" w:name="_Toc389065336"/>
      <w:bookmarkStart w:id="1096" w:name="_Toc373227771"/>
      <w:bookmarkStart w:id="1097" w:name="_Toc486950574"/>
      <w:bookmarkStart w:id="1098" w:name="_Toc373478418"/>
      <w:r>
        <w:rPr>
          <w:color w:val="auto"/>
          <w:szCs w:val="21"/>
          <w:highlight w:val="none"/>
        </w:rPr>
        <w:t>17.4 因不可抗力解除合同</w:t>
      </w:r>
      <w:bookmarkEnd w:id="1095"/>
      <w:bookmarkEnd w:id="1096"/>
      <w:bookmarkEnd w:id="1097"/>
      <w:bookmarkEnd w:id="1098"/>
    </w:p>
    <w:p w14:paraId="4F4EA350">
      <w:pPr>
        <w:spacing w:line="480" w:lineRule="exact"/>
        <w:ind w:firstLine="420" w:firstLineChars="200"/>
        <w:jc w:val="left"/>
        <w:rPr>
          <w:color w:val="auto"/>
          <w:szCs w:val="21"/>
          <w:highlight w:val="none"/>
        </w:rPr>
      </w:pPr>
      <w:r>
        <w:rPr>
          <w:rFonts w:hAnsi="宋体"/>
          <w:color w:val="auto"/>
          <w:szCs w:val="21"/>
          <w:highlight w:val="none"/>
        </w:rPr>
        <w:t>合同解除后，发包人应在商定或确定发包人应支付款项后</w:t>
      </w:r>
      <w:r>
        <w:rPr>
          <w:color w:val="auto"/>
          <w:szCs w:val="21"/>
          <w:highlight w:val="none"/>
          <w:u w:val="single"/>
        </w:rPr>
        <w:t xml:space="preserve">  </w:t>
      </w:r>
      <w:r>
        <w:rPr>
          <w:rFonts w:hint="eastAsia"/>
          <w:color w:val="auto"/>
          <w:szCs w:val="21"/>
          <w:highlight w:val="none"/>
          <w:u w:val="single"/>
        </w:rPr>
        <w:t>7</w:t>
      </w:r>
      <w:r>
        <w:rPr>
          <w:color w:val="auto"/>
          <w:szCs w:val="21"/>
          <w:highlight w:val="none"/>
          <w:u w:val="single"/>
        </w:rPr>
        <w:t xml:space="preserve">  </w:t>
      </w:r>
      <w:r>
        <w:rPr>
          <w:rFonts w:hAnsi="宋体"/>
          <w:color w:val="auto"/>
          <w:szCs w:val="21"/>
          <w:highlight w:val="none"/>
        </w:rPr>
        <w:t>天内完成款项的支付。</w:t>
      </w:r>
    </w:p>
    <w:p w14:paraId="16DC188B">
      <w:pPr>
        <w:spacing w:line="480" w:lineRule="exact"/>
        <w:rPr>
          <w:color w:val="auto"/>
          <w:szCs w:val="21"/>
          <w:highlight w:val="none"/>
        </w:rPr>
      </w:pPr>
      <w:bookmarkStart w:id="1099" w:name="_Toc373227772"/>
      <w:bookmarkStart w:id="1100" w:name="_Toc351203650"/>
      <w:bookmarkStart w:id="1101" w:name="_Toc373478419"/>
      <w:bookmarkStart w:id="1102" w:name="_Toc486950575"/>
      <w:bookmarkStart w:id="1103" w:name="_Toc389065337"/>
      <w:r>
        <w:rPr>
          <w:color w:val="auto"/>
          <w:szCs w:val="21"/>
          <w:highlight w:val="none"/>
        </w:rPr>
        <w:t xml:space="preserve">18. </w:t>
      </w:r>
      <w:r>
        <w:rPr>
          <w:rFonts w:hAnsi="宋体"/>
          <w:color w:val="auto"/>
          <w:szCs w:val="21"/>
          <w:highlight w:val="none"/>
        </w:rPr>
        <w:t>保险</w:t>
      </w:r>
      <w:bookmarkEnd w:id="1099"/>
      <w:bookmarkEnd w:id="1100"/>
      <w:bookmarkEnd w:id="1101"/>
      <w:bookmarkEnd w:id="1102"/>
      <w:bookmarkEnd w:id="1103"/>
    </w:p>
    <w:bookmarkEnd w:id="1077"/>
    <w:p w14:paraId="14A6563A">
      <w:pPr>
        <w:spacing w:line="480" w:lineRule="exact"/>
        <w:rPr>
          <w:color w:val="auto"/>
          <w:szCs w:val="21"/>
          <w:highlight w:val="none"/>
        </w:rPr>
      </w:pPr>
      <w:bookmarkStart w:id="1104" w:name="_Toc373227773"/>
      <w:bookmarkStart w:id="1105" w:name="_Toc389065338"/>
      <w:bookmarkStart w:id="1106" w:name="_Toc373478420"/>
      <w:bookmarkStart w:id="1107" w:name="_Toc486950576"/>
      <w:r>
        <w:rPr>
          <w:color w:val="auto"/>
          <w:szCs w:val="21"/>
          <w:highlight w:val="none"/>
        </w:rPr>
        <w:t xml:space="preserve">18.1 </w:t>
      </w:r>
      <w:r>
        <w:rPr>
          <w:rFonts w:hAnsi="宋体"/>
          <w:color w:val="auto"/>
          <w:szCs w:val="21"/>
          <w:highlight w:val="none"/>
        </w:rPr>
        <w:t>工程保险</w:t>
      </w:r>
      <w:bookmarkEnd w:id="1104"/>
      <w:bookmarkEnd w:id="1105"/>
      <w:bookmarkEnd w:id="1106"/>
      <w:bookmarkEnd w:id="1107"/>
    </w:p>
    <w:p w14:paraId="4C46BEB8">
      <w:pPr>
        <w:spacing w:line="480" w:lineRule="exact"/>
        <w:ind w:firstLine="420" w:firstLineChars="200"/>
        <w:jc w:val="left"/>
        <w:rPr>
          <w:rFonts w:ascii="宋体" w:hAnsi="宋体" w:cs="仿宋"/>
          <w:color w:val="auto"/>
          <w:highlight w:val="none"/>
          <w:u w:val="single"/>
        </w:rPr>
      </w:pPr>
      <w:r>
        <w:rPr>
          <w:rFonts w:hint="eastAsia" w:ascii="宋体" w:hAnsi="宋体" w:cs="仿宋"/>
          <w:color w:val="auto"/>
          <w:highlight w:val="none"/>
        </w:rPr>
        <w:t>关于工程保险的特别约定：</w:t>
      </w:r>
      <w:r>
        <w:rPr>
          <w:rFonts w:hint="eastAsia" w:ascii="宋体" w:hAnsi="宋体" w:cs="仿宋"/>
          <w:color w:val="auto"/>
          <w:highlight w:val="none"/>
          <w:u w:val="single"/>
        </w:rPr>
        <w:t>建设工程意外伤害险。</w:t>
      </w:r>
    </w:p>
    <w:p w14:paraId="510F75E7">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（1）投保人：</w:t>
      </w:r>
      <w:r>
        <w:rPr>
          <w:rFonts w:hint="eastAsia" w:ascii="宋体" w:hAnsi="宋体" w:cs="仿宋"/>
          <w:color w:val="auto"/>
          <w:highlight w:val="none"/>
          <w:u w:val="single"/>
        </w:rPr>
        <w:t>中标单位。</w:t>
      </w:r>
    </w:p>
    <w:p w14:paraId="592B0FAF">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（2）投保内容：</w:t>
      </w:r>
      <w:r>
        <w:rPr>
          <w:rFonts w:hint="eastAsia" w:ascii="宋体" w:hAnsi="宋体" w:cs="仿宋"/>
          <w:color w:val="auto"/>
          <w:highlight w:val="none"/>
          <w:u w:val="single"/>
        </w:rPr>
        <w:t>建设工程意外伤害险</w:t>
      </w:r>
      <w:r>
        <w:rPr>
          <w:rFonts w:hint="eastAsia" w:ascii="宋体" w:hAnsi="宋体" w:cs="仿宋"/>
          <w:color w:val="auto"/>
          <w:highlight w:val="none"/>
        </w:rPr>
        <w:t>。</w:t>
      </w:r>
    </w:p>
    <w:p w14:paraId="64059493">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（3）保险费率：由投保人与合同双方同意的保险人商定。</w:t>
      </w:r>
    </w:p>
    <w:p w14:paraId="4521A9BD">
      <w:pPr>
        <w:spacing w:line="480" w:lineRule="exact"/>
        <w:ind w:firstLine="420" w:firstLineChars="200"/>
        <w:rPr>
          <w:rFonts w:ascii="宋体" w:hAnsi="宋体" w:cs="仿宋"/>
          <w:color w:val="auto"/>
          <w:highlight w:val="none"/>
        </w:rPr>
      </w:pPr>
      <w:r>
        <w:rPr>
          <w:rFonts w:hint="eastAsia" w:ascii="宋体" w:hAnsi="宋体" w:cs="仿宋"/>
          <w:color w:val="auto"/>
          <w:highlight w:val="none"/>
        </w:rPr>
        <w:t>（4）保险金额：</w:t>
      </w:r>
      <w:r>
        <w:rPr>
          <w:rFonts w:hint="eastAsia" w:ascii="宋体" w:hAnsi="宋体" w:cs="仿宋"/>
          <w:color w:val="auto"/>
          <w:highlight w:val="none"/>
          <w:u w:val="single"/>
        </w:rPr>
        <w:t>按保险合同</w:t>
      </w:r>
      <w:r>
        <w:rPr>
          <w:rFonts w:hint="eastAsia" w:ascii="宋体" w:hAnsi="宋体" w:cs="仿宋"/>
          <w:color w:val="auto"/>
          <w:highlight w:val="none"/>
        </w:rPr>
        <w:t>。</w:t>
      </w:r>
    </w:p>
    <w:p w14:paraId="37798570">
      <w:pPr>
        <w:spacing w:line="480" w:lineRule="exact"/>
        <w:ind w:firstLine="420" w:firstLineChars="200"/>
        <w:jc w:val="left"/>
        <w:rPr>
          <w:rFonts w:ascii="宋体" w:hAnsi="宋体" w:cs="仿宋"/>
          <w:color w:val="auto"/>
          <w:highlight w:val="none"/>
        </w:rPr>
      </w:pPr>
      <w:r>
        <w:rPr>
          <w:rFonts w:hint="eastAsia" w:ascii="宋体" w:hAnsi="宋体" w:cs="仿宋"/>
          <w:color w:val="auto"/>
          <w:highlight w:val="none"/>
        </w:rPr>
        <w:t>（5）保险期限：</w:t>
      </w:r>
      <w:r>
        <w:rPr>
          <w:rFonts w:hint="eastAsia" w:ascii="宋体" w:hAnsi="宋体" w:cs="仿宋"/>
          <w:color w:val="auto"/>
          <w:highlight w:val="none"/>
          <w:u w:val="single"/>
        </w:rPr>
        <w:t>从工程开工至竣工验收合格之日止</w:t>
      </w:r>
      <w:r>
        <w:rPr>
          <w:rFonts w:hint="eastAsia" w:ascii="宋体" w:hAnsi="宋体" w:cs="仿宋"/>
          <w:color w:val="auto"/>
          <w:highlight w:val="none"/>
        </w:rPr>
        <w:t>。</w:t>
      </w:r>
    </w:p>
    <w:p w14:paraId="4C00E1FE">
      <w:pPr>
        <w:spacing w:line="480" w:lineRule="exact"/>
        <w:rPr>
          <w:color w:val="auto"/>
          <w:szCs w:val="21"/>
          <w:highlight w:val="none"/>
        </w:rPr>
      </w:pPr>
      <w:bookmarkStart w:id="1108" w:name="_Toc373227774"/>
      <w:bookmarkStart w:id="1109" w:name="_Toc389065339"/>
      <w:bookmarkStart w:id="1110" w:name="_Toc486950577"/>
      <w:bookmarkStart w:id="1111" w:name="_Toc373478421"/>
      <w:r>
        <w:rPr>
          <w:color w:val="auto"/>
          <w:szCs w:val="21"/>
          <w:highlight w:val="none"/>
        </w:rPr>
        <w:t xml:space="preserve">18.3 </w:t>
      </w:r>
      <w:r>
        <w:rPr>
          <w:rFonts w:hAnsi="宋体"/>
          <w:color w:val="auto"/>
          <w:szCs w:val="21"/>
          <w:highlight w:val="none"/>
        </w:rPr>
        <w:t>其他保险</w:t>
      </w:r>
      <w:bookmarkEnd w:id="1108"/>
      <w:bookmarkEnd w:id="1109"/>
      <w:bookmarkEnd w:id="1110"/>
      <w:bookmarkEnd w:id="1111"/>
    </w:p>
    <w:p w14:paraId="58EAB1FA">
      <w:pPr>
        <w:spacing w:line="480" w:lineRule="exact"/>
        <w:ind w:firstLine="420" w:firstLineChars="200"/>
        <w:jc w:val="left"/>
        <w:rPr>
          <w:color w:val="auto"/>
          <w:kern w:val="0"/>
          <w:szCs w:val="21"/>
          <w:highlight w:val="none"/>
        </w:rPr>
      </w:pPr>
      <w:r>
        <w:rPr>
          <w:rFonts w:hAnsi="宋体"/>
          <w:color w:val="auto"/>
          <w:szCs w:val="21"/>
          <w:highlight w:val="none"/>
        </w:rPr>
        <w:t>关于其他保险的约定：</w:t>
      </w:r>
      <w:r>
        <w:rPr>
          <w:rFonts w:hint="eastAsia" w:hAnsi="宋体"/>
          <w:bCs/>
          <w:color w:val="auto"/>
          <w:szCs w:val="21"/>
          <w:highlight w:val="none"/>
          <w:u w:val="single"/>
        </w:rPr>
        <w:t xml:space="preserve">  承包人必须为施工现场从事施工的所有作业人员和管理人员办理意外伤害保险，并支付保险费。 </w:t>
      </w:r>
    </w:p>
    <w:p w14:paraId="3EBAA275">
      <w:pPr>
        <w:spacing w:line="480" w:lineRule="exact"/>
        <w:ind w:firstLine="420" w:firstLineChars="200"/>
        <w:jc w:val="left"/>
        <w:rPr>
          <w:color w:val="auto"/>
          <w:szCs w:val="21"/>
          <w:highlight w:val="none"/>
          <w:u w:val="single"/>
        </w:rPr>
      </w:pPr>
      <w:r>
        <w:rPr>
          <w:rFonts w:hAnsi="宋体"/>
          <w:color w:val="auto"/>
          <w:szCs w:val="21"/>
          <w:highlight w:val="none"/>
        </w:rPr>
        <w:t>承包人是否应为其施工设备等办理财产保险：</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18F725CB">
      <w:pPr>
        <w:spacing w:line="480" w:lineRule="exact"/>
        <w:rPr>
          <w:color w:val="auto"/>
          <w:szCs w:val="21"/>
          <w:highlight w:val="none"/>
        </w:rPr>
      </w:pPr>
      <w:bookmarkStart w:id="1112" w:name="_Toc389065340"/>
      <w:bookmarkStart w:id="1113" w:name="_Toc373478422"/>
      <w:bookmarkStart w:id="1114" w:name="_Toc486950578"/>
      <w:bookmarkStart w:id="1115" w:name="_Toc373227775"/>
      <w:r>
        <w:rPr>
          <w:color w:val="auto"/>
          <w:szCs w:val="21"/>
          <w:highlight w:val="none"/>
        </w:rPr>
        <w:t xml:space="preserve">18.7 </w:t>
      </w:r>
      <w:r>
        <w:rPr>
          <w:rFonts w:hAnsi="宋体"/>
          <w:color w:val="auto"/>
          <w:szCs w:val="21"/>
          <w:highlight w:val="none"/>
        </w:rPr>
        <w:t>通知义务</w:t>
      </w:r>
      <w:bookmarkEnd w:id="1112"/>
      <w:bookmarkEnd w:id="1113"/>
      <w:bookmarkEnd w:id="1114"/>
      <w:bookmarkEnd w:id="1115"/>
    </w:p>
    <w:p w14:paraId="5C719491">
      <w:pPr>
        <w:spacing w:line="480" w:lineRule="exact"/>
        <w:ind w:firstLine="420" w:firstLineChars="200"/>
        <w:jc w:val="left"/>
        <w:rPr>
          <w:color w:val="auto"/>
          <w:szCs w:val="21"/>
          <w:highlight w:val="none"/>
          <w:u w:val="single"/>
        </w:rPr>
      </w:pPr>
      <w:r>
        <w:rPr>
          <w:rFonts w:hAnsi="宋体"/>
          <w:color w:val="auto"/>
          <w:kern w:val="0"/>
          <w:szCs w:val="21"/>
          <w:highlight w:val="none"/>
        </w:rPr>
        <w:t>关于变更保险合同时的通知义务的约定：</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bookmarkEnd w:id="1037"/>
    <w:bookmarkEnd w:id="1038"/>
    <w:bookmarkEnd w:id="1039"/>
    <w:bookmarkEnd w:id="1040"/>
    <w:bookmarkEnd w:id="1041"/>
    <w:bookmarkEnd w:id="1042"/>
    <w:bookmarkEnd w:id="1043"/>
    <w:bookmarkEnd w:id="1044"/>
    <w:bookmarkEnd w:id="1045"/>
    <w:bookmarkEnd w:id="1046"/>
    <w:bookmarkEnd w:id="1047"/>
    <w:bookmarkEnd w:id="1048"/>
    <w:p w14:paraId="0C5D64E2">
      <w:pPr>
        <w:spacing w:line="480" w:lineRule="exact"/>
        <w:rPr>
          <w:color w:val="auto"/>
          <w:szCs w:val="21"/>
          <w:highlight w:val="none"/>
        </w:rPr>
      </w:pPr>
      <w:bookmarkStart w:id="1116" w:name="_Toc389065341"/>
      <w:bookmarkStart w:id="1117" w:name="_Toc373478423"/>
      <w:bookmarkStart w:id="1118" w:name="_Toc486950579"/>
      <w:bookmarkStart w:id="1119" w:name="_Toc351203651"/>
      <w:bookmarkStart w:id="1120" w:name="_Toc373227776"/>
      <w:r>
        <w:rPr>
          <w:color w:val="auto"/>
          <w:szCs w:val="21"/>
          <w:highlight w:val="none"/>
        </w:rPr>
        <w:t xml:space="preserve">20. </w:t>
      </w:r>
      <w:r>
        <w:rPr>
          <w:rFonts w:hAnsi="宋体"/>
          <w:color w:val="auto"/>
          <w:szCs w:val="21"/>
          <w:highlight w:val="none"/>
        </w:rPr>
        <w:t>争议解决</w:t>
      </w:r>
      <w:bookmarkEnd w:id="1116"/>
      <w:bookmarkEnd w:id="1117"/>
      <w:bookmarkEnd w:id="1118"/>
      <w:bookmarkEnd w:id="1119"/>
      <w:bookmarkEnd w:id="1120"/>
    </w:p>
    <w:bookmarkEnd w:id="1049"/>
    <w:bookmarkEnd w:id="1050"/>
    <w:p w14:paraId="75F3DC49">
      <w:pPr>
        <w:spacing w:line="480" w:lineRule="exact"/>
        <w:rPr>
          <w:color w:val="auto"/>
          <w:szCs w:val="21"/>
          <w:highlight w:val="none"/>
        </w:rPr>
      </w:pPr>
      <w:bookmarkStart w:id="1121" w:name="_Toc389065342"/>
      <w:bookmarkStart w:id="1122" w:name="_Toc373227777"/>
      <w:bookmarkStart w:id="1123" w:name="_Toc373478424"/>
      <w:bookmarkStart w:id="1124" w:name="_Toc486950580"/>
      <w:r>
        <w:rPr>
          <w:color w:val="auto"/>
          <w:szCs w:val="21"/>
          <w:highlight w:val="none"/>
        </w:rPr>
        <w:t xml:space="preserve">20.3 </w:t>
      </w:r>
      <w:r>
        <w:rPr>
          <w:rFonts w:hAnsi="宋体"/>
          <w:color w:val="auto"/>
          <w:szCs w:val="21"/>
          <w:highlight w:val="none"/>
        </w:rPr>
        <w:t>争</w:t>
      </w:r>
      <w:bookmarkEnd w:id="1051"/>
      <w:r>
        <w:rPr>
          <w:rFonts w:hAnsi="宋体"/>
          <w:color w:val="auto"/>
          <w:szCs w:val="21"/>
          <w:highlight w:val="none"/>
        </w:rPr>
        <w:t>议评审</w:t>
      </w:r>
      <w:bookmarkEnd w:id="1121"/>
      <w:bookmarkEnd w:id="1122"/>
      <w:bookmarkEnd w:id="1123"/>
      <w:bookmarkEnd w:id="1124"/>
    </w:p>
    <w:p w14:paraId="2756C07A">
      <w:pPr>
        <w:spacing w:line="480" w:lineRule="exact"/>
        <w:ind w:firstLine="315" w:firstLineChars="150"/>
        <w:jc w:val="left"/>
        <w:rPr>
          <w:color w:val="auto"/>
          <w:szCs w:val="21"/>
          <w:highlight w:val="none"/>
          <w:u w:val="single"/>
        </w:rPr>
      </w:pPr>
      <w:r>
        <w:rPr>
          <w:rFonts w:hAnsi="宋体"/>
          <w:color w:val="auto"/>
          <w:szCs w:val="21"/>
          <w:highlight w:val="none"/>
        </w:rPr>
        <w:t>合同当事人是否同意将工程争议提交争议评审小组决定：</w:t>
      </w:r>
      <w:r>
        <w:rPr>
          <w:color w:val="auto"/>
          <w:szCs w:val="21"/>
          <w:highlight w:val="none"/>
          <w:u w:val="single"/>
        </w:rPr>
        <w:t xml:space="preserve">  </w:t>
      </w:r>
      <w:r>
        <w:rPr>
          <w:rFonts w:hint="eastAsia"/>
          <w:color w:val="auto"/>
          <w:szCs w:val="21"/>
          <w:highlight w:val="none"/>
          <w:u w:val="single"/>
        </w:rPr>
        <w:t>依法向有管辖权的人民法院起诉</w:t>
      </w:r>
      <w:r>
        <w:rPr>
          <w:color w:val="auto"/>
          <w:szCs w:val="21"/>
          <w:highlight w:val="none"/>
          <w:u w:val="single"/>
        </w:rPr>
        <w:t xml:space="preserve">  </w:t>
      </w:r>
      <w:r>
        <w:rPr>
          <w:rFonts w:hAnsi="宋体"/>
          <w:color w:val="auto"/>
          <w:szCs w:val="21"/>
          <w:highlight w:val="none"/>
        </w:rPr>
        <w:t>。</w:t>
      </w:r>
    </w:p>
    <w:p w14:paraId="4622C7C9">
      <w:pPr>
        <w:spacing w:line="480" w:lineRule="exact"/>
        <w:ind w:firstLine="420" w:firstLineChars="200"/>
        <w:jc w:val="left"/>
        <w:rPr>
          <w:color w:val="auto"/>
          <w:szCs w:val="21"/>
          <w:highlight w:val="none"/>
        </w:rPr>
      </w:pPr>
      <w:r>
        <w:rPr>
          <w:color w:val="auto"/>
          <w:szCs w:val="21"/>
          <w:highlight w:val="none"/>
        </w:rPr>
        <w:t xml:space="preserve">20.3.1 </w:t>
      </w:r>
      <w:r>
        <w:rPr>
          <w:rFonts w:hAnsi="宋体"/>
          <w:color w:val="auto"/>
          <w:szCs w:val="21"/>
          <w:highlight w:val="none"/>
        </w:rPr>
        <w:t>争议评审小组的确定</w:t>
      </w:r>
    </w:p>
    <w:p w14:paraId="3F573E17">
      <w:pPr>
        <w:spacing w:line="480" w:lineRule="exact"/>
        <w:ind w:firstLine="420" w:firstLineChars="200"/>
        <w:jc w:val="left"/>
        <w:rPr>
          <w:color w:val="auto"/>
          <w:szCs w:val="21"/>
          <w:highlight w:val="none"/>
          <w:u w:val="single"/>
        </w:rPr>
      </w:pPr>
      <w:r>
        <w:rPr>
          <w:rFonts w:hAnsi="宋体"/>
          <w:color w:val="auto"/>
          <w:szCs w:val="21"/>
          <w:highlight w:val="none"/>
        </w:rPr>
        <w:t>争议评审小组成员的确定：</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10F5CA8E">
      <w:pPr>
        <w:spacing w:line="480" w:lineRule="exact"/>
        <w:ind w:firstLine="420" w:firstLineChars="200"/>
        <w:jc w:val="left"/>
        <w:rPr>
          <w:color w:val="auto"/>
          <w:szCs w:val="21"/>
          <w:highlight w:val="none"/>
        </w:rPr>
      </w:pPr>
      <w:r>
        <w:rPr>
          <w:rFonts w:hAnsi="宋体"/>
          <w:color w:val="auto"/>
          <w:szCs w:val="21"/>
          <w:highlight w:val="none"/>
        </w:rPr>
        <w:t>选定争议评审员的期限：</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40686707">
      <w:pPr>
        <w:spacing w:line="480" w:lineRule="exact"/>
        <w:ind w:firstLine="420" w:firstLineChars="200"/>
        <w:jc w:val="left"/>
        <w:rPr>
          <w:color w:val="auto"/>
          <w:szCs w:val="21"/>
          <w:highlight w:val="none"/>
        </w:rPr>
      </w:pPr>
      <w:r>
        <w:rPr>
          <w:rFonts w:hAnsi="宋体"/>
          <w:color w:val="auto"/>
          <w:szCs w:val="21"/>
          <w:highlight w:val="none"/>
        </w:rPr>
        <w:t>争议评审小组成员的报酬承担方式：</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00454F4A">
      <w:pPr>
        <w:spacing w:line="480" w:lineRule="exact"/>
        <w:ind w:firstLine="420" w:firstLineChars="200"/>
        <w:jc w:val="left"/>
        <w:rPr>
          <w:color w:val="auto"/>
          <w:szCs w:val="21"/>
          <w:highlight w:val="none"/>
        </w:rPr>
      </w:pPr>
      <w:r>
        <w:rPr>
          <w:rFonts w:hAnsi="宋体"/>
          <w:color w:val="auto"/>
          <w:szCs w:val="21"/>
          <w:highlight w:val="none"/>
        </w:rPr>
        <w:t>其他事项的约定：</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7DFF71E4">
      <w:pPr>
        <w:autoSpaceDE w:val="0"/>
        <w:autoSpaceDN w:val="0"/>
        <w:adjustRightInd w:val="0"/>
        <w:spacing w:line="480" w:lineRule="exact"/>
        <w:ind w:firstLine="420" w:firstLineChars="200"/>
        <w:jc w:val="left"/>
        <w:rPr>
          <w:color w:val="auto"/>
          <w:kern w:val="0"/>
          <w:szCs w:val="21"/>
          <w:highlight w:val="none"/>
        </w:rPr>
      </w:pPr>
      <w:r>
        <w:rPr>
          <w:color w:val="auto"/>
          <w:kern w:val="0"/>
          <w:szCs w:val="21"/>
          <w:highlight w:val="none"/>
        </w:rPr>
        <w:t xml:space="preserve">20.3.2 </w:t>
      </w:r>
      <w:r>
        <w:rPr>
          <w:rFonts w:hAnsi="宋体"/>
          <w:color w:val="auto"/>
          <w:kern w:val="0"/>
          <w:szCs w:val="21"/>
          <w:highlight w:val="none"/>
        </w:rPr>
        <w:t>争议评审小组的决定</w:t>
      </w:r>
    </w:p>
    <w:p w14:paraId="4BC137E2">
      <w:pPr>
        <w:spacing w:line="480" w:lineRule="exact"/>
        <w:ind w:firstLine="420" w:firstLineChars="200"/>
        <w:jc w:val="left"/>
        <w:rPr>
          <w:color w:val="auto"/>
          <w:szCs w:val="21"/>
          <w:highlight w:val="none"/>
        </w:rPr>
      </w:pPr>
      <w:r>
        <w:rPr>
          <w:rFonts w:hAnsi="宋体"/>
          <w:color w:val="auto"/>
          <w:szCs w:val="21"/>
          <w:highlight w:val="none"/>
        </w:rPr>
        <w:t>合同当事人关于本项的约定：</w:t>
      </w:r>
      <w:r>
        <w:rPr>
          <w:color w:val="auto"/>
          <w:szCs w:val="21"/>
          <w:highlight w:val="none"/>
          <w:u w:val="single"/>
        </w:rPr>
        <w:t xml:space="preserve">         </w:t>
      </w:r>
      <w:r>
        <w:rPr>
          <w:rFonts w:hint="eastAsia"/>
          <w:color w:val="auto"/>
          <w:szCs w:val="21"/>
          <w:highlight w:val="none"/>
          <w:u w:val="single"/>
        </w:rPr>
        <w:t>无</w:t>
      </w:r>
      <w:r>
        <w:rPr>
          <w:color w:val="auto"/>
          <w:szCs w:val="21"/>
          <w:highlight w:val="none"/>
          <w:u w:val="single"/>
        </w:rPr>
        <w:t xml:space="preserve">                  </w:t>
      </w:r>
      <w:r>
        <w:rPr>
          <w:rFonts w:hAnsi="宋体"/>
          <w:color w:val="auto"/>
          <w:szCs w:val="21"/>
          <w:highlight w:val="none"/>
        </w:rPr>
        <w:t>。</w:t>
      </w:r>
    </w:p>
    <w:p w14:paraId="4E89AB4C">
      <w:pPr>
        <w:spacing w:line="480" w:lineRule="exact"/>
        <w:rPr>
          <w:color w:val="auto"/>
          <w:szCs w:val="21"/>
          <w:highlight w:val="none"/>
        </w:rPr>
      </w:pPr>
      <w:bookmarkStart w:id="1125" w:name="_Toc373478425"/>
      <w:bookmarkStart w:id="1126" w:name="_Toc486950581"/>
      <w:bookmarkStart w:id="1127" w:name="_Toc373227778"/>
      <w:bookmarkStart w:id="1128" w:name="_Toc389065343"/>
      <w:r>
        <w:rPr>
          <w:color w:val="auto"/>
          <w:szCs w:val="21"/>
          <w:highlight w:val="none"/>
        </w:rPr>
        <w:t>20.4</w:t>
      </w:r>
      <w:r>
        <w:rPr>
          <w:rFonts w:hint="eastAsia"/>
          <w:color w:val="auto"/>
          <w:szCs w:val="21"/>
          <w:highlight w:val="none"/>
        </w:rPr>
        <w:t xml:space="preserve"> </w:t>
      </w:r>
      <w:r>
        <w:rPr>
          <w:rFonts w:hAnsi="宋体"/>
          <w:color w:val="auto"/>
          <w:szCs w:val="21"/>
          <w:highlight w:val="none"/>
        </w:rPr>
        <w:t>仲裁或诉讼</w:t>
      </w:r>
      <w:bookmarkEnd w:id="1052"/>
      <w:bookmarkEnd w:id="1125"/>
      <w:bookmarkEnd w:id="1126"/>
      <w:bookmarkEnd w:id="1127"/>
      <w:bookmarkEnd w:id="1128"/>
    </w:p>
    <w:p w14:paraId="127D666B">
      <w:pPr>
        <w:spacing w:line="480" w:lineRule="exact"/>
        <w:ind w:firstLine="420" w:firstLineChars="200"/>
        <w:rPr>
          <w:color w:val="auto"/>
          <w:szCs w:val="21"/>
          <w:highlight w:val="none"/>
        </w:rPr>
      </w:pPr>
      <w:r>
        <w:rPr>
          <w:rFonts w:hAnsi="宋体"/>
          <w:color w:val="auto"/>
          <w:szCs w:val="21"/>
          <w:highlight w:val="none"/>
        </w:rPr>
        <w:t>因合同及合同有关事项发生的争议，按下列第</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Ansi="宋体"/>
          <w:color w:val="auto"/>
          <w:szCs w:val="21"/>
          <w:highlight w:val="none"/>
        </w:rPr>
        <w:t>种方式解决：</w:t>
      </w:r>
    </w:p>
    <w:p w14:paraId="6FCEC83F">
      <w:pPr>
        <w:spacing w:line="480" w:lineRule="exact"/>
        <w:ind w:firstLine="420" w:firstLineChars="200"/>
        <w:jc w:val="left"/>
        <w:rPr>
          <w:color w:val="auto"/>
          <w:szCs w:val="21"/>
          <w:highlight w:val="none"/>
        </w:rPr>
      </w:pPr>
      <w:r>
        <w:rPr>
          <w:rFonts w:hAnsi="宋体"/>
          <w:color w:val="auto"/>
          <w:szCs w:val="21"/>
          <w:highlight w:val="none"/>
        </w:rPr>
        <w:t>（</w:t>
      </w:r>
      <w:r>
        <w:rPr>
          <w:color w:val="auto"/>
          <w:szCs w:val="21"/>
          <w:highlight w:val="none"/>
        </w:rPr>
        <w:t>1</w:t>
      </w:r>
      <w:r>
        <w:rPr>
          <w:rFonts w:hAnsi="宋体"/>
          <w:color w:val="auto"/>
          <w:szCs w:val="21"/>
          <w:highlight w:val="none"/>
        </w:rPr>
        <w:t>）提请</w:t>
      </w:r>
      <w:r>
        <w:rPr>
          <w:color w:val="auto"/>
          <w:szCs w:val="21"/>
          <w:highlight w:val="none"/>
          <w:u w:val="single"/>
        </w:rPr>
        <w:t xml:space="preserve">  </w:t>
      </w:r>
      <w:r>
        <w:rPr>
          <w:rFonts w:hint="eastAsia"/>
          <w:color w:val="auto"/>
          <w:szCs w:val="21"/>
          <w:highlight w:val="none"/>
          <w:u w:val="single"/>
        </w:rPr>
        <w:t>南宁</w:t>
      </w:r>
      <w:r>
        <w:rPr>
          <w:color w:val="auto"/>
          <w:szCs w:val="21"/>
          <w:highlight w:val="none"/>
          <w:u w:val="single"/>
        </w:rPr>
        <w:t xml:space="preserve"> </w:t>
      </w:r>
      <w:r>
        <w:rPr>
          <w:rFonts w:hAnsi="宋体"/>
          <w:color w:val="auto"/>
          <w:szCs w:val="21"/>
          <w:highlight w:val="none"/>
        </w:rPr>
        <w:t>仲裁委员会按照该会仲裁规则进行仲裁，仲裁裁决是终局的，对合同双方均有约束力。</w:t>
      </w:r>
    </w:p>
    <w:p w14:paraId="6AE50D9F">
      <w:pPr>
        <w:spacing w:line="480" w:lineRule="exact"/>
        <w:ind w:firstLine="420" w:firstLineChars="200"/>
        <w:jc w:val="left"/>
        <w:rPr>
          <w:color w:val="auto"/>
          <w:szCs w:val="21"/>
          <w:highlight w:val="none"/>
        </w:rPr>
      </w:pPr>
      <w:r>
        <w:rPr>
          <w:rFonts w:hAnsi="宋体"/>
          <w:color w:val="auto"/>
          <w:szCs w:val="21"/>
          <w:highlight w:val="none"/>
        </w:rPr>
        <w:t>（</w:t>
      </w:r>
      <w:r>
        <w:rPr>
          <w:color w:val="auto"/>
          <w:szCs w:val="21"/>
          <w:highlight w:val="none"/>
        </w:rPr>
        <w:t>2</w:t>
      </w:r>
      <w:r>
        <w:rPr>
          <w:rFonts w:hAnsi="宋体"/>
          <w:color w:val="auto"/>
          <w:szCs w:val="21"/>
          <w:highlight w:val="none"/>
        </w:rPr>
        <w:t>）</w:t>
      </w:r>
      <w:bookmarkEnd w:id="1053"/>
      <w:bookmarkEnd w:id="1054"/>
      <w:bookmarkEnd w:id="1055"/>
      <w:bookmarkEnd w:id="1056"/>
      <w:bookmarkEnd w:id="1057"/>
      <w:bookmarkEnd w:id="1058"/>
      <w:r>
        <w:rPr>
          <w:rFonts w:hint="eastAsia" w:hAnsi="宋体"/>
          <w:color w:val="auto"/>
          <w:szCs w:val="21"/>
          <w:highlight w:val="none"/>
        </w:rPr>
        <w:t>向工程所在地有管辖权人民法院起诉。</w:t>
      </w:r>
    </w:p>
    <w:p w14:paraId="70488CF6">
      <w:pPr>
        <w:spacing w:line="480" w:lineRule="exact"/>
        <w:rPr>
          <w:color w:val="auto"/>
          <w:szCs w:val="21"/>
          <w:highlight w:val="none"/>
        </w:rPr>
      </w:pPr>
      <w:bookmarkStart w:id="1129" w:name="_Toc486950582"/>
      <w:bookmarkStart w:id="1130" w:name="_Toc389065344"/>
      <w:bookmarkStart w:id="1131" w:name="_Toc373478426"/>
      <w:bookmarkStart w:id="1132" w:name="_Toc373227779"/>
      <w:r>
        <w:rPr>
          <w:color w:val="auto"/>
          <w:szCs w:val="21"/>
          <w:highlight w:val="none"/>
        </w:rPr>
        <w:t xml:space="preserve">21. </w:t>
      </w:r>
      <w:r>
        <w:rPr>
          <w:rFonts w:hAnsi="宋体"/>
          <w:color w:val="auto"/>
          <w:szCs w:val="21"/>
          <w:highlight w:val="none"/>
        </w:rPr>
        <w:t>补充条款</w:t>
      </w:r>
      <w:bookmarkEnd w:id="1129"/>
      <w:bookmarkEnd w:id="1130"/>
      <w:bookmarkEnd w:id="1131"/>
      <w:bookmarkEnd w:id="1132"/>
    </w:p>
    <w:p w14:paraId="2A54B17B">
      <w:pPr>
        <w:spacing w:line="480" w:lineRule="exact"/>
        <w:ind w:firstLine="420"/>
        <w:rPr>
          <w:rFonts w:hAnsi="宋体"/>
          <w:color w:val="auto"/>
          <w:szCs w:val="21"/>
          <w:highlight w:val="none"/>
        </w:rPr>
      </w:pPr>
      <w:r>
        <w:rPr>
          <w:color w:val="auto"/>
          <w:szCs w:val="21"/>
          <w:highlight w:val="none"/>
        </w:rPr>
        <w:t xml:space="preserve">21.1 </w:t>
      </w:r>
      <w:r>
        <w:rPr>
          <w:rFonts w:hAnsi="宋体"/>
          <w:color w:val="auto"/>
          <w:szCs w:val="21"/>
          <w:highlight w:val="none"/>
        </w:rPr>
        <w:t>凡进入本工程工作的妇女应持有计生证、否则不准安排工作，禁止使用童工</w:t>
      </w:r>
      <w:r>
        <w:rPr>
          <w:rFonts w:hint="eastAsia" w:hAnsi="宋体"/>
          <w:color w:val="auto"/>
          <w:szCs w:val="21"/>
          <w:highlight w:val="none"/>
        </w:rPr>
        <w:t>。</w:t>
      </w:r>
    </w:p>
    <w:p w14:paraId="0E2975C2">
      <w:pPr>
        <w:spacing w:line="480" w:lineRule="exact"/>
        <w:ind w:firstLine="420"/>
        <w:rPr>
          <w:rFonts w:ascii="宋体" w:hAnsi="宋体" w:cs="仿宋"/>
          <w:color w:val="auto"/>
          <w:szCs w:val="22"/>
          <w:highlight w:val="none"/>
        </w:rPr>
      </w:pPr>
      <w:r>
        <w:rPr>
          <w:rFonts w:hint="eastAsia" w:ascii="宋体" w:hAnsi="宋体" w:cs="仿宋"/>
          <w:color w:val="auto"/>
          <w:szCs w:val="22"/>
          <w:highlight w:val="none"/>
        </w:rPr>
        <w:t>21.2为了不影响工程施工工作的正常进行，对于发包人认可的设计或其他变更，即使承包人暂时不能事先就费用问题与发包人达成共同意见，也必须先执行后双方再协商有关费用事宜；</w:t>
      </w:r>
    </w:p>
    <w:p w14:paraId="67973E2F">
      <w:pPr>
        <w:spacing w:line="480" w:lineRule="exact"/>
        <w:ind w:firstLine="420"/>
        <w:rPr>
          <w:rFonts w:ascii="宋体" w:hAnsi="宋体" w:cs="仿宋"/>
          <w:color w:val="auto"/>
          <w:szCs w:val="22"/>
          <w:highlight w:val="none"/>
        </w:rPr>
      </w:pPr>
      <w:r>
        <w:rPr>
          <w:rFonts w:hint="eastAsia" w:ascii="宋体" w:hAnsi="宋体" w:cs="仿宋"/>
          <w:color w:val="auto"/>
          <w:szCs w:val="22"/>
          <w:highlight w:val="none"/>
        </w:rPr>
        <w:t>21.3施工单位应按有关政府部门规定做好环保、文明施工和其他临时设施建设，达到文明施工工程的相关标准，费用已包含在本合同约定的取费标准中。</w:t>
      </w:r>
    </w:p>
    <w:p w14:paraId="30397F72">
      <w:pPr>
        <w:spacing w:line="480" w:lineRule="exact"/>
        <w:ind w:firstLine="420"/>
        <w:rPr>
          <w:rFonts w:ascii="宋体" w:hAnsi="宋体" w:cs="仿宋"/>
          <w:color w:val="auto"/>
          <w:szCs w:val="22"/>
          <w:highlight w:val="none"/>
        </w:rPr>
      </w:pPr>
      <w:r>
        <w:rPr>
          <w:rFonts w:hint="eastAsia" w:ascii="宋体" w:hAnsi="宋体" w:cs="仿宋"/>
          <w:color w:val="auto"/>
          <w:szCs w:val="22"/>
          <w:highlight w:val="none"/>
        </w:rPr>
        <w:t>21.4承包人应在施工合同生效后3天内，向发包人提交委派的项目经理和项目部人员名单，简历。委派的项目经理的项目部人员必须与投标时承诺的人员一致（增加不限），不经发包人同意，擅自更换投标时承诺的项目经理和项目部人员的，发包人有权取消其中标资格。</w:t>
      </w:r>
    </w:p>
    <w:p w14:paraId="28DB013F">
      <w:pPr>
        <w:spacing w:line="480" w:lineRule="exact"/>
        <w:ind w:firstLine="420"/>
        <w:rPr>
          <w:rFonts w:ascii="宋体" w:hAnsi="宋体" w:cs="仿宋"/>
          <w:strike/>
          <w:color w:val="auto"/>
          <w:szCs w:val="22"/>
          <w:highlight w:val="none"/>
        </w:rPr>
      </w:pPr>
      <w:r>
        <w:rPr>
          <w:rFonts w:hint="eastAsia" w:ascii="宋体" w:hAnsi="宋体" w:cs="仿宋"/>
          <w:color w:val="auto"/>
          <w:szCs w:val="22"/>
          <w:highlight w:val="none"/>
        </w:rPr>
        <w:t>21.5除法律法规规定的竣工资料外，工程竣工时承包人应竣工资料向业主提供完整的工程施工影像资料，资料主要包括：（1）检查井内的影响资料；（2）管道施工过程的管道接缝处影像资料等。按照该管理规定需提供及移交的资料的编制费用已包含在投标报价中。</w:t>
      </w:r>
    </w:p>
    <w:p w14:paraId="74CB96A4">
      <w:pPr>
        <w:spacing w:line="480" w:lineRule="exact"/>
        <w:ind w:firstLine="420" w:firstLineChars="200"/>
        <w:rPr>
          <w:rFonts w:ascii="宋体" w:hAnsi="宋体" w:cs="仿宋"/>
          <w:b/>
          <w:bCs/>
          <w:color w:val="auto"/>
          <w:szCs w:val="22"/>
          <w:highlight w:val="none"/>
        </w:rPr>
      </w:pPr>
      <w:r>
        <w:rPr>
          <w:rFonts w:hint="eastAsia" w:ascii="宋体" w:hAnsi="宋体" w:cs="仿宋"/>
          <w:color w:val="auto"/>
          <w:szCs w:val="22"/>
          <w:highlight w:val="none"/>
        </w:rPr>
        <w:t>21.6本工程合同价款已包含安全防护、文明施工措施费</w:t>
      </w:r>
      <w:r>
        <w:rPr>
          <w:rFonts w:hint="eastAsia" w:ascii="宋体" w:hAnsi="宋体" w:cs="仿宋"/>
          <w:color w:val="auto"/>
          <w:szCs w:val="22"/>
          <w:highlight w:val="none"/>
          <w:u w:val="single"/>
        </w:rPr>
        <w:t xml:space="preserve">        元</w:t>
      </w:r>
      <w:r>
        <w:rPr>
          <w:rFonts w:hint="eastAsia" w:ascii="宋体" w:hAnsi="宋体" w:cs="仿宋"/>
          <w:color w:val="auto"/>
          <w:szCs w:val="22"/>
          <w:highlight w:val="none"/>
        </w:rPr>
        <w:t>，使用要求：专款专用，具体要求按桂建质[2015]16号文《</w:t>
      </w:r>
      <w:r>
        <w:rPr>
          <w:rFonts w:hint="eastAsia" w:ascii="宋体" w:hAnsi="宋体" w:cs="仿宋"/>
          <w:bCs/>
          <w:color w:val="auto"/>
          <w:szCs w:val="22"/>
          <w:highlight w:val="none"/>
        </w:rPr>
        <w:t>广西壮族自治区建设工程安全文明施工费使用管理细则</w:t>
      </w:r>
      <w:r>
        <w:rPr>
          <w:rFonts w:hint="eastAsia" w:ascii="宋体" w:hAnsi="宋体" w:cs="仿宋"/>
          <w:color w:val="auto"/>
          <w:szCs w:val="22"/>
          <w:highlight w:val="none"/>
        </w:rPr>
        <w:t>》要求执行。</w:t>
      </w:r>
    </w:p>
    <w:p w14:paraId="415EF9BB">
      <w:pPr>
        <w:spacing w:line="480" w:lineRule="exact"/>
        <w:ind w:firstLine="441" w:firstLineChars="210"/>
        <w:rPr>
          <w:rFonts w:ascii="宋体" w:hAnsi="宋体" w:cs="仿宋"/>
          <w:color w:val="auto"/>
          <w:szCs w:val="22"/>
          <w:highlight w:val="none"/>
        </w:rPr>
      </w:pPr>
      <w:r>
        <w:rPr>
          <w:rFonts w:hint="eastAsia" w:ascii="宋体" w:hAnsi="宋体" w:cs="仿宋"/>
          <w:color w:val="auto"/>
          <w:szCs w:val="22"/>
          <w:highlight w:val="none"/>
        </w:rPr>
        <w:t>21.7承包人提交结算书时，必须提供完整的结算资料和已交资料齐全承诺书，补办的签证无效。若承包人所报结算中的工程量小于审计结算单位审核工程量的，以承包人所报工程量作为审核工程量；若承包人所报结算中的工程量大于审计结算单位审核工程量的，以审计结算单位审核的工程量作为审核工程量；承包人所报结算中出现的漏项，审计结算单位不予增加。如承包人报送的工程结算总价过高，造成该工程结算核减率超过6%以上的，则超出6%以上部分的审计费由承包人承担，费用由发包人从承包人工程结算款中扣除或由承包人另行缴纳。核减率计算公式为：核减率=（送审造价-审定造价）/送审造价*100%。核减率超过6%部分的审计费由发包人按与审计公司签订《建设项目造价咨询合同》计算。</w:t>
      </w:r>
    </w:p>
    <w:p w14:paraId="739F40FD">
      <w:pPr>
        <w:spacing w:line="480" w:lineRule="exact"/>
        <w:ind w:firstLine="420" w:firstLineChars="200"/>
        <w:rPr>
          <w:rFonts w:ascii="宋体" w:hAnsi="宋体" w:cs="仿宋"/>
          <w:color w:val="auto"/>
          <w:szCs w:val="22"/>
          <w:highlight w:val="none"/>
        </w:rPr>
      </w:pPr>
      <w:r>
        <w:rPr>
          <w:rFonts w:hint="eastAsia" w:ascii="宋体" w:hAnsi="宋体" w:cs="仿宋"/>
          <w:color w:val="auto"/>
          <w:szCs w:val="22"/>
          <w:highlight w:val="none"/>
        </w:rPr>
        <w:t>21.8本工程散装水泥专项资金由承包人向南宁市散装水泥管理机构交纳。</w:t>
      </w:r>
    </w:p>
    <w:p w14:paraId="3F8D23BE">
      <w:pPr>
        <w:spacing w:line="480" w:lineRule="exact"/>
        <w:ind w:firstLine="420" w:firstLineChars="200"/>
        <w:rPr>
          <w:rFonts w:ascii="宋体" w:hAnsi="宋体" w:cs="仿宋"/>
          <w:color w:val="auto"/>
          <w:szCs w:val="22"/>
          <w:highlight w:val="none"/>
        </w:rPr>
      </w:pPr>
      <w:r>
        <w:rPr>
          <w:rFonts w:hint="eastAsia" w:ascii="宋体" w:hAnsi="宋体" w:cs="仿宋"/>
          <w:color w:val="auto"/>
          <w:szCs w:val="22"/>
          <w:highlight w:val="none"/>
        </w:rPr>
        <w:t>21.9本工程所采用的砖渣砌块等新型墙体材料必须按照广西壮族自治区有关规定执行，费用由发包人先期支付，退费手续由承包人办理，时效为两年；非发包人原因，发包人将按照缴纳金额与承包人退回的押金金额的差额部分由承包人承担并从工程质量保修金中扣除。</w:t>
      </w:r>
    </w:p>
    <w:p w14:paraId="24A1175A">
      <w:pPr>
        <w:spacing w:line="480" w:lineRule="exact"/>
        <w:ind w:firstLine="441" w:firstLineChars="210"/>
        <w:rPr>
          <w:rFonts w:ascii="宋体" w:hAnsi="宋体" w:cs="仿宋"/>
          <w:color w:val="auto"/>
          <w:szCs w:val="22"/>
          <w:highlight w:val="none"/>
        </w:rPr>
      </w:pPr>
      <w:r>
        <w:rPr>
          <w:rFonts w:hint="eastAsia" w:ascii="宋体" w:hAnsi="宋体" w:cs="仿宋"/>
          <w:color w:val="auto"/>
          <w:szCs w:val="22"/>
          <w:highlight w:val="none"/>
        </w:rPr>
        <w:t>21.10承包人在施工期间必须保证本工程资金的专项使用，不得挪作他用，并自觉接受业主和银行的监督，否则将视为承包人违约。</w:t>
      </w:r>
    </w:p>
    <w:p w14:paraId="53099DAD">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21.11 本合同所称“天”指日历日。</w:t>
      </w:r>
    </w:p>
    <w:p w14:paraId="32F2E8B7">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21.12承包人提交给监理工程师、发包人的所有通知、报告、信函、索赔申请以及其他相关文件等，发包人在指定时间内没有回复的，不代表默认同意、接受或认可。</w:t>
      </w:r>
    </w:p>
    <w:p w14:paraId="2BD6796B">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21.13除经发包人书面同意外，监理工程师无权解除本合同约定的承包人任何权利和义务。监理工程师所作的裁定与解释不得违反本合同的规定，否则视为无效或须经发包人书面确认后方可生效。</w:t>
      </w:r>
    </w:p>
    <w:p w14:paraId="5DFCB58B">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21.14承包人承诺对发包人支付的工程款专款专用，并确保农民工工资及时足额发放，在发包人按合同约定付款的情况下，承包人承诺绝不因农民工工资发放问题对发包人造成任何困扰。如承包人在工程施工期间出现拖欠农民工工资导致农民工上访事件，发包人有权将当期应支付给承包人的工程款直接支付拖欠的农民工工资并有权另行按支付额的30%要求承包人支付违约金。</w:t>
      </w:r>
    </w:p>
    <w:p w14:paraId="42CD6DC3">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21.15合同履行过程中，因承包人责任所发生之与本合同相关的违约金、损害赔偿、相关部门的罚款及其他费用，发包人可以直接自应付的任何款项中扣除或代为支付，而无需承包人确认。</w:t>
      </w:r>
    </w:p>
    <w:p w14:paraId="5DF8AAA1">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21.16承包人应对发包人及监理工程的正确指令如期回复，并按要求进行整改，否则每出现一次发包人将处以500－5000元的罚款。</w:t>
      </w:r>
    </w:p>
    <w:p w14:paraId="27B6C5B2">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 xml:space="preserve">21.17 未经发包人允许私自在施工现场搭建工棚的，除限期拆除外，处以1000～5000元/次的罚款。  </w:t>
      </w:r>
    </w:p>
    <w:p w14:paraId="29CB0406">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21.18承包人进场后30天内需按照南宁市建设管理部门及南宁市美丽办有关规定，完成现场文明措施施工，否则处5000-20000元罚款，该罚款从履约保证金直接扣除。</w:t>
      </w:r>
    </w:p>
    <w:p w14:paraId="6C662328">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21.19其他附属项目进场施工时，承包人应无条件配合水电，不得以任何理由阻拦施工，否则处2000-50000元/次罚款。</w:t>
      </w:r>
    </w:p>
    <w:p w14:paraId="255FB297">
      <w:pPr>
        <w:autoSpaceDN w:val="0"/>
        <w:snapToGrid w:val="0"/>
        <w:spacing w:line="480" w:lineRule="exact"/>
        <w:ind w:firstLine="480"/>
        <w:outlineLvl w:val="0"/>
        <w:rPr>
          <w:rFonts w:ascii="宋体" w:hAnsi="宋体" w:cs="仿宋"/>
          <w:color w:val="auto"/>
          <w:szCs w:val="22"/>
          <w:highlight w:val="none"/>
        </w:rPr>
      </w:pPr>
      <w:r>
        <w:rPr>
          <w:rFonts w:hint="eastAsia" w:ascii="宋体" w:hAnsi="宋体" w:cs="仿宋"/>
          <w:color w:val="auto"/>
          <w:szCs w:val="22"/>
          <w:highlight w:val="none"/>
        </w:rPr>
        <w:t>21.本工程将会涉及在校内施工，材料运输及施工人员进出需按要求提供身份证明办理相关手续，并遵守发包人相关管理规定，对于不服从管理规定的施工人员，发包人有权禁止该施工人员进入施工。对于发生严重违规行为造成后果的，发包人有权解除合同并追究违规人员法律责任。</w:t>
      </w:r>
    </w:p>
    <w:p w14:paraId="63530479">
      <w:pPr>
        <w:rPr>
          <w:rFonts w:ascii="宋体" w:hAnsi="宋体"/>
          <w:color w:val="auto"/>
          <w:szCs w:val="21"/>
          <w:highlight w:val="none"/>
        </w:rPr>
      </w:pPr>
      <w:bookmarkStart w:id="1133" w:name="_Toc444269137"/>
      <w:bookmarkStart w:id="1134" w:name="_Toc489286054"/>
      <w:bookmarkStart w:id="1135" w:name="_Toc437599259"/>
    </w:p>
    <w:bookmarkEnd w:id="1133"/>
    <w:bookmarkEnd w:id="1134"/>
    <w:bookmarkEnd w:id="1135"/>
    <w:p w14:paraId="02DF89F3">
      <w:pPr>
        <w:spacing w:line="460" w:lineRule="exact"/>
        <w:ind w:firstLine="420" w:firstLineChars="200"/>
        <w:rPr>
          <w:rFonts w:ascii="宋体" w:hAnsi="宋体" w:cs="仿宋"/>
          <w:color w:val="auto"/>
          <w:highlight w:val="none"/>
        </w:rPr>
      </w:pPr>
    </w:p>
    <w:p w14:paraId="54BBE9A5">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w:t>
      </w:r>
    </w:p>
    <w:p w14:paraId="47FF4BE4">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附件1：承包人承揽工程项目一览表</w:t>
      </w:r>
    </w:p>
    <w:p w14:paraId="280F385B">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附件2：发包人供应材料设备一览表</w:t>
      </w:r>
    </w:p>
    <w:p w14:paraId="6AF1BC52">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附件3：工程质量保修书</w:t>
      </w:r>
    </w:p>
    <w:p w14:paraId="56D277A5">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附件4：主要建设工程文件目录</w:t>
      </w:r>
    </w:p>
    <w:p w14:paraId="6344D778">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附件5：承包人用于本工程施工的机械设备表</w:t>
      </w:r>
    </w:p>
    <w:p w14:paraId="630B1153">
      <w:pPr>
        <w:spacing w:line="460" w:lineRule="exact"/>
        <w:ind w:firstLine="420" w:firstLineChars="200"/>
        <w:rPr>
          <w:rFonts w:ascii="宋体" w:hAnsi="宋体" w:cs="仿宋"/>
          <w:color w:val="auto"/>
          <w:highlight w:val="none"/>
        </w:rPr>
      </w:pPr>
      <w:r>
        <w:rPr>
          <w:rFonts w:hint="eastAsia" w:ascii="宋体" w:hAnsi="宋体" w:cs="仿宋"/>
          <w:color w:val="auto"/>
          <w:highlight w:val="none"/>
        </w:rPr>
        <w:t>附件6：承包人主要施工管理人员表</w:t>
      </w:r>
    </w:p>
    <w:p w14:paraId="3AA48B39">
      <w:pPr>
        <w:spacing w:line="460" w:lineRule="exact"/>
        <w:rPr>
          <w:color w:val="auto"/>
          <w:szCs w:val="21"/>
          <w:highlight w:val="none"/>
        </w:rPr>
        <w:sectPr>
          <w:footerReference r:id="rId11" w:type="default"/>
          <w:pgSz w:w="11911" w:h="16843"/>
          <w:pgMar w:top="1134" w:right="1434" w:bottom="1134" w:left="1434" w:header="0" w:footer="1191" w:gutter="0"/>
          <w:cols w:space="720" w:num="1"/>
          <w:docGrid w:linePitch="312" w:charSpace="0"/>
        </w:sectPr>
      </w:pPr>
    </w:p>
    <w:p w14:paraId="557DDD07">
      <w:pPr>
        <w:spacing w:before="120" w:beforeLines="50" w:after="120" w:afterLines="50" w:line="440" w:lineRule="exact"/>
        <w:jc w:val="left"/>
        <w:rPr>
          <w:rFonts w:ascii="仿宋_GB2312" w:eastAsia="仿宋_GB2312"/>
          <w:color w:val="auto"/>
          <w:sz w:val="30"/>
          <w:szCs w:val="30"/>
          <w:highlight w:val="none"/>
        </w:rPr>
      </w:pPr>
      <w:r>
        <w:rPr>
          <w:rFonts w:hint="eastAsia" w:ascii="仿宋_GB2312" w:eastAsia="仿宋_GB2312"/>
          <w:color w:val="auto"/>
          <w:sz w:val="30"/>
          <w:szCs w:val="30"/>
          <w:highlight w:val="none"/>
        </w:rPr>
        <w:t>附件1：</w:t>
      </w:r>
    </w:p>
    <w:p w14:paraId="58952EC8">
      <w:pPr>
        <w:pStyle w:val="28"/>
        <w:ind w:firstLine="640"/>
        <w:rPr>
          <w:color w:val="auto"/>
          <w:highlight w:val="none"/>
        </w:rPr>
      </w:pPr>
    </w:p>
    <w:p w14:paraId="6E30954E">
      <w:pPr>
        <w:spacing w:before="120" w:beforeLines="50" w:after="120" w:afterLines="50" w:line="440" w:lineRule="exact"/>
        <w:jc w:val="center"/>
        <w:rPr>
          <w:rFonts w:eastAsia="黑体"/>
          <w:color w:val="auto"/>
          <w:sz w:val="30"/>
          <w:szCs w:val="30"/>
          <w:highlight w:val="none"/>
        </w:rPr>
      </w:pPr>
      <w:r>
        <w:rPr>
          <w:rFonts w:eastAsia="黑体"/>
          <w:color w:val="auto"/>
          <w:sz w:val="30"/>
          <w:szCs w:val="30"/>
          <w:highlight w:val="none"/>
        </w:rPr>
        <w:t>承包人承揽工程项目一览表</w:t>
      </w:r>
    </w:p>
    <w:p w14:paraId="58DCCBB1">
      <w:pPr>
        <w:pStyle w:val="28"/>
        <w:ind w:firstLine="640"/>
        <w:rPr>
          <w:color w:val="auto"/>
          <w:highlight w:val="none"/>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796"/>
        <w:gridCol w:w="902"/>
        <w:gridCol w:w="796"/>
        <w:gridCol w:w="797"/>
        <w:gridCol w:w="798"/>
        <w:gridCol w:w="798"/>
        <w:gridCol w:w="1182"/>
        <w:gridCol w:w="798"/>
        <w:gridCol w:w="798"/>
        <w:gridCol w:w="798"/>
      </w:tblGrid>
      <w:tr w14:paraId="567A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vAlign w:val="center"/>
          </w:tcPr>
          <w:p w14:paraId="297F36F8">
            <w:pPr>
              <w:pStyle w:val="15"/>
              <w:keepNext/>
              <w:spacing w:line="440" w:lineRule="exact"/>
              <w:ind w:left="63" w:right="63"/>
              <w:rPr>
                <w:color w:val="auto"/>
                <w:highlight w:val="none"/>
              </w:rPr>
            </w:pPr>
            <w:r>
              <w:rPr>
                <w:rFonts w:eastAsia="仿宋_GB2312"/>
                <w:color w:val="auto"/>
                <w:sz w:val="28"/>
                <w:szCs w:val="30"/>
                <w:highlight w:val="none"/>
              </w:rPr>
              <w:t>单位工程名称</w:t>
            </w:r>
          </w:p>
        </w:tc>
        <w:tc>
          <w:tcPr>
            <w:tcW w:w="832" w:type="dxa"/>
            <w:vAlign w:val="center"/>
          </w:tcPr>
          <w:p w14:paraId="106C90A1">
            <w:pPr>
              <w:pStyle w:val="15"/>
              <w:keepNext/>
              <w:spacing w:line="440" w:lineRule="exact"/>
              <w:ind w:left="63" w:right="63"/>
              <w:rPr>
                <w:color w:val="auto"/>
                <w:highlight w:val="none"/>
              </w:rPr>
            </w:pPr>
            <w:r>
              <w:rPr>
                <w:rFonts w:eastAsia="仿宋_GB2312"/>
                <w:color w:val="auto"/>
                <w:sz w:val="28"/>
                <w:szCs w:val="30"/>
                <w:highlight w:val="none"/>
              </w:rPr>
              <w:t>建设规模</w:t>
            </w:r>
          </w:p>
        </w:tc>
        <w:tc>
          <w:tcPr>
            <w:tcW w:w="832" w:type="dxa"/>
            <w:vAlign w:val="center"/>
          </w:tcPr>
          <w:p w14:paraId="2FF51D5F">
            <w:pPr>
              <w:pStyle w:val="15"/>
              <w:keepNext/>
              <w:spacing w:line="440" w:lineRule="exact"/>
              <w:ind w:left="63" w:right="63"/>
              <w:rPr>
                <w:color w:val="auto"/>
                <w:highlight w:val="none"/>
              </w:rPr>
            </w:pPr>
            <w:r>
              <w:rPr>
                <w:rFonts w:eastAsia="仿宋_GB2312"/>
                <w:color w:val="auto"/>
                <w:sz w:val="28"/>
                <w:szCs w:val="30"/>
                <w:highlight w:val="none"/>
              </w:rPr>
              <w:t>建筑面积</w:t>
            </w:r>
            <w:r>
              <w:rPr>
                <w:rFonts w:hint="eastAsia" w:eastAsia="仿宋_GB2312"/>
                <w:color w:val="auto"/>
                <w:sz w:val="28"/>
                <w:szCs w:val="30"/>
                <w:highlight w:val="none"/>
              </w:rPr>
              <w:t>（</w:t>
            </w:r>
            <w:r>
              <w:rPr>
                <w:rFonts w:eastAsia="仿宋_GB2312"/>
                <w:color w:val="auto"/>
                <w:sz w:val="28"/>
                <w:szCs w:val="30"/>
                <w:highlight w:val="none"/>
              </w:rPr>
              <w:t>平方米</w:t>
            </w:r>
            <w:r>
              <w:rPr>
                <w:rFonts w:hint="eastAsia" w:eastAsia="仿宋_GB2312"/>
                <w:color w:val="auto"/>
                <w:sz w:val="28"/>
                <w:szCs w:val="30"/>
                <w:highlight w:val="none"/>
              </w:rPr>
              <w:t>）</w:t>
            </w:r>
          </w:p>
        </w:tc>
        <w:tc>
          <w:tcPr>
            <w:tcW w:w="832" w:type="dxa"/>
            <w:vAlign w:val="center"/>
          </w:tcPr>
          <w:p w14:paraId="697497C8">
            <w:pPr>
              <w:pStyle w:val="15"/>
              <w:keepNext/>
              <w:spacing w:line="440" w:lineRule="exact"/>
              <w:ind w:left="63" w:right="63"/>
              <w:rPr>
                <w:color w:val="auto"/>
                <w:highlight w:val="none"/>
              </w:rPr>
            </w:pPr>
            <w:r>
              <w:rPr>
                <w:rFonts w:eastAsia="仿宋_GB2312"/>
                <w:color w:val="auto"/>
                <w:sz w:val="28"/>
                <w:szCs w:val="30"/>
                <w:highlight w:val="none"/>
              </w:rPr>
              <w:t>结构</w:t>
            </w:r>
            <w:r>
              <w:rPr>
                <w:rFonts w:hint="eastAsia" w:eastAsia="仿宋_GB2312"/>
                <w:color w:val="auto"/>
                <w:sz w:val="28"/>
                <w:szCs w:val="30"/>
                <w:highlight w:val="none"/>
              </w:rPr>
              <w:t>形式</w:t>
            </w:r>
          </w:p>
        </w:tc>
        <w:tc>
          <w:tcPr>
            <w:tcW w:w="832" w:type="dxa"/>
            <w:vAlign w:val="center"/>
          </w:tcPr>
          <w:p w14:paraId="38EFBE6E">
            <w:pPr>
              <w:pStyle w:val="15"/>
              <w:keepNext/>
              <w:spacing w:line="440" w:lineRule="exact"/>
              <w:ind w:left="63" w:right="63"/>
              <w:rPr>
                <w:color w:val="auto"/>
                <w:highlight w:val="none"/>
              </w:rPr>
            </w:pPr>
            <w:r>
              <w:rPr>
                <w:rFonts w:eastAsia="仿宋_GB2312"/>
                <w:color w:val="auto"/>
                <w:sz w:val="28"/>
                <w:szCs w:val="30"/>
                <w:highlight w:val="none"/>
              </w:rPr>
              <w:t>层数</w:t>
            </w:r>
          </w:p>
        </w:tc>
        <w:tc>
          <w:tcPr>
            <w:tcW w:w="833" w:type="dxa"/>
            <w:vAlign w:val="center"/>
          </w:tcPr>
          <w:p w14:paraId="60695594">
            <w:pPr>
              <w:pStyle w:val="15"/>
              <w:keepNext/>
              <w:spacing w:line="440" w:lineRule="exact"/>
              <w:ind w:left="63" w:right="63"/>
              <w:rPr>
                <w:color w:val="auto"/>
                <w:highlight w:val="none"/>
              </w:rPr>
            </w:pPr>
            <w:r>
              <w:rPr>
                <w:rFonts w:eastAsia="仿宋_GB2312"/>
                <w:color w:val="auto"/>
                <w:sz w:val="28"/>
                <w:szCs w:val="30"/>
                <w:highlight w:val="none"/>
              </w:rPr>
              <w:t>生产能力</w:t>
            </w:r>
          </w:p>
        </w:tc>
        <w:tc>
          <w:tcPr>
            <w:tcW w:w="833" w:type="dxa"/>
            <w:vAlign w:val="center"/>
          </w:tcPr>
          <w:p w14:paraId="440503E1">
            <w:pPr>
              <w:pStyle w:val="15"/>
              <w:keepNext/>
              <w:spacing w:line="440" w:lineRule="exact"/>
              <w:ind w:left="63" w:right="63"/>
              <w:rPr>
                <w:color w:val="auto"/>
                <w:highlight w:val="none"/>
              </w:rPr>
            </w:pPr>
            <w:r>
              <w:rPr>
                <w:rFonts w:eastAsia="仿宋_GB2312"/>
                <w:color w:val="auto"/>
                <w:sz w:val="28"/>
                <w:szCs w:val="30"/>
                <w:highlight w:val="none"/>
              </w:rPr>
              <w:t>设备安装内容</w:t>
            </w:r>
          </w:p>
        </w:tc>
        <w:tc>
          <w:tcPr>
            <w:tcW w:w="833" w:type="dxa"/>
            <w:vAlign w:val="center"/>
          </w:tcPr>
          <w:p w14:paraId="0F72A4E9">
            <w:pPr>
              <w:pStyle w:val="15"/>
              <w:keepNext/>
              <w:spacing w:line="440" w:lineRule="exact"/>
              <w:ind w:left="63" w:right="63"/>
              <w:rPr>
                <w:color w:val="auto"/>
                <w:highlight w:val="none"/>
              </w:rPr>
            </w:pPr>
            <w:r>
              <w:rPr>
                <w:rFonts w:eastAsia="仿宋_GB2312"/>
                <w:color w:val="auto"/>
                <w:sz w:val="28"/>
                <w:szCs w:val="30"/>
                <w:highlight w:val="none"/>
              </w:rPr>
              <w:t>合同价格（元）</w:t>
            </w:r>
          </w:p>
        </w:tc>
        <w:tc>
          <w:tcPr>
            <w:tcW w:w="833" w:type="dxa"/>
            <w:vAlign w:val="center"/>
          </w:tcPr>
          <w:p w14:paraId="3C2D2DC6">
            <w:pPr>
              <w:pStyle w:val="15"/>
              <w:keepNext/>
              <w:spacing w:line="440" w:lineRule="exact"/>
              <w:ind w:left="63" w:right="63"/>
              <w:rPr>
                <w:color w:val="auto"/>
                <w:highlight w:val="none"/>
              </w:rPr>
            </w:pPr>
            <w:r>
              <w:rPr>
                <w:rFonts w:eastAsia="仿宋_GB2312"/>
                <w:color w:val="auto"/>
                <w:sz w:val="28"/>
                <w:szCs w:val="30"/>
                <w:highlight w:val="none"/>
              </w:rPr>
              <w:t>开工日期</w:t>
            </w:r>
          </w:p>
        </w:tc>
        <w:tc>
          <w:tcPr>
            <w:tcW w:w="833" w:type="dxa"/>
            <w:vAlign w:val="center"/>
          </w:tcPr>
          <w:p w14:paraId="2C41E870">
            <w:pPr>
              <w:pStyle w:val="15"/>
              <w:keepNext/>
              <w:spacing w:line="440" w:lineRule="exact"/>
              <w:ind w:left="63" w:right="63"/>
              <w:rPr>
                <w:color w:val="auto"/>
                <w:highlight w:val="none"/>
              </w:rPr>
            </w:pPr>
            <w:r>
              <w:rPr>
                <w:rFonts w:eastAsia="仿宋_GB2312"/>
                <w:color w:val="auto"/>
                <w:sz w:val="28"/>
                <w:szCs w:val="30"/>
                <w:highlight w:val="none"/>
              </w:rPr>
              <w:t>竣工日期</w:t>
            </w:r>
          </w:p>
        </w:tc>
        <w:tc>
          <w:tcPr>
            <w:tcW w:w="833" w:type="dxa"/>
            <w:vAlign w:val="center"/>
          </w:tcPr>
          <w:p w14:paraId="777ECC8D">
            <w:pPr>
              <w:pStyle w:val="15"/>
              <w:keepNext/>
              <w:spacing w:line="440" w:lineRule="exact"/>
              <w:ind w:left="63" w:right="63"/>
              <w:rPr>
                <w:color w:val="auto"/>
                <w:highlight w:val="none"/>
              </w:rPr>
            </w:pPr>
            <w:r>
              <w:rPr>
                <w:rFonts w:eastAsia="仿宋_GB2312"/>
                <w:color w:val="auto"/>
                <w:sz w:val="28"/>
                <w:szCs w:val="30"/>
                <w:highlight w:val="none"/>
              </w:rPr>
              <w:t>单位工程名称</w:t>
            </w:r>
          </w:p>
        </w:tc>
      </w:tr>
      <w:tr w14:paraId="0A6D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2B53E7C2">
            <w:pPr>
              <w:pStyle w:val="28"/>
              <w:ind w:firstLine="640"/>
              <w:rPr>
                <w:color w:val="auto"/>
                <w:highlight w:val="none"/>
              </w:rPr>
            </w:pPr>
          </w:p>
        </w:tc>
        <w:tc>
          <w:tcPr>
            <w:tcW w:w="832" w:type="dxa"/>
          </w:tcPr>
          <w:p w14:paraId="4CEEB6DF">
            <w:pPr>
              <w:pStyle w:val="28"/>
              <w:ind w:firstLine="640"/>
              <w:rPr>
                <w:color w:val="auto"/>
                <w:highlight w:val="none"/>
              </w:rPr>
            </w:pPr>
          </w:p>
        </w:tc>
        <w:tc>
          <w:tcPr>
            <w:tcW w:w="832" w:type="dxa"/>
          </w:tcPr>
          <w:p w14:paraId="7CEA6818">
            <w:pPr>
              <w:pStyle w:val="28"/>
              <w:ind w:firstLine="640"/>
              <w:rPr>
                <w:color w:val="auto"/>
                <w:highlight w:val="none"/>
              </w:rPr>
            </w:pPr>
          </w:p>
        </w:tc>
        <w:tc>
          <w:tcPr>
            <w:tcW w:w="832" w:type="dxa"/>
          </w:tcPr>
          <w:p w14:paraId="47A84DD0">
            <w:pPr>
              <w:pStyle w:val="28"/>
              <w:ind w:firstLine="640"/>
              <w:rPr>
                <w:color w:val="auto"/>
                <w:highlight w:val="none"/>
              </w:rPr>
            </w:pPr>
          </w:p>
        </w:tc>
        <w:tc>
          <w:tcPr>
            <w:tcW w:w="832" w:type="dxa"/>
          </w:tcPr>
          <w:p w14:paraId="1EBE1063">
            <w:pPr>
              <w:pStyle w:val="28"/>
              <w:ind w:firstLine="640"/>
              <w:rPr>
                <w:color w:val="auto"/>
                <w:highlight w:val="none"/>
              </w:rPr>
            </w:pPr>
          </w:p>
        </w:tc>
        <w:tc>
          <w:tcPr>
            <w:tcW w:w="833" w:type="dxa"/>
          </w:tcPr>
          <w:p w14:paraId="7C87680C">
            <w:pPr>
              <w:pStyle w:val="28"/>
              <w:ind w:firstLine="640"/>
              <w:rPr>
                <w:color w:val="auto"/>
                <w:highlight w:val="none"/>
              </w:rPr>
            </w:pPr>
          </w:p>
        </w:tc>
        <w:tc>
          <w:tcPr>
            <w:tcW w:w="833" w:type="dxa"/>
          </w:tcPr>
          <w:p w14:paraId="71AF9C80">
            <w:pPr>
              <w:pStyle w:val="28"/>
              <w:ind w:firstLine="640"/>
              <w:rPr>
                <w:color w:val="auto"/>
                <w:highlight w:val="none"/>
              </w:rPr>
            </w:pPr>
          </w:p>
        </w:tc>
        <w:tc>
          <w:tcPr>
            <w:tcW w:w="833" w:type="dxa"/>
          </w:tcPr>
          <w:p w14:paraId="7913DC59">
            <w:pPr>
              <w:pStyle w:val="28"/>
              <w:ind w:firstLine="640"/>
              <w:rPr>
                <w:color w:val="auto"/>
                <w:highlight w:val="none"/>
              </w:rPr>
            </w:pPr>
          </w:p>
        </w:tc>
        <w:tc>
          <w:tcPr>
            <w:tcW w:w="833" w:type="dxa"/>
          </w:tcPr>
          <w:p w14:paraId="09F93A4C">
            <w:pPr>
              <w:pStyle w:val="28"/>
              <w:ind w:firstLine="640"/>
              <w:rPr>
                <w:color w:val="auto"/>
                <w:highlight w:val="none"/>
              </w:rPr>
            </w:pPr>
          </w:p>
        </w:tc>
        <w:tc>
          <w:tcPr>
            <w:tcW w:w="833" w:type="dxa"/>
          </w:tcPr>
          <w:p w14:paraId="393E21BE">
            <w:pPr>
              <w:pStyle w:val="28"/>
              <w:ind w:firstLine="640"/>
              <w:rPr>
                <w:color w:val="auto"/>
                <w:highlight w:val="none"/>
              </w:rPr>
            </w:pPr>
          </w:p>
        </w:tc>
        <w:tc>
          <w:tcPr>
            <w:tcW w:w="833" w:type="dxa"/>
          </w:tcPr>
          <w:p w14:paraId="1FA14F57">
            <w:pPr>
              <w:pStyle w:val="28"/>
              <w:ind w:firstLine="640"/>
              <w:rPr>
                <w:color w:val="auto"/>
                <w:highlight w:val="none"/>
              </w:rPr>
            </w:pPr>
          </w:p>
        </w:tc>
      </w:tr>
      <w:tr w14:paraId="27F5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26688529">
            <w:pPr>
              <w:pStyle w:val="28"/>
              <w:ind w:firstLine="640"/>
              <w:rPr>
                <w:color w:val="auto"/>
                <w:highlight w:val="none"/>
              </w:rPr>
            </w:pPr>
          </w:p>
        </w:tc>
        <w:tc>
          <w:tcPr>
            <w:tcW w:w="832" w:type="dxa"/>
          </w:tcPr>
          <w:p w14:paraId="12C94180">
            <w:pPr>
              <w:pStyle w:val="28"/>
              <w:ind w:firstLine="640"/>
              <w:rPr>
                <w:color w:val="auto"/>
                <w:highlight w:val="none"/>
              </w:rPr>
            </w:pPr>
          </w:p>
        </w:tc>
        <w:tc>
          <w:tcPr>
            <w:tcW w:w="832" w:type="dxa"/>
          </w:tcPr>
          <w:p w14:paraId="4DE2898A">
            <w:pPr>
              <w:pStyle w:val="28"/>
              <w:ind w:firstLine="640"/>
              <w:rPr>
                <w:color w:val="auto"/>
                <w:highlight w:val="none"/>
              </w:rPr>
            </w:pPr>
          </w:p>
        </w:tc>
        <w:tc>
          <w:tcPr>
            <w:tcW w:w="832" w:type="dxa"/>
          </w:tcPr>
          <w:p w14:paraId="06C35C43">
            <w:pPr>
              <w:pStyle w:val="28"/>
              <w:ind w:firstLine="640"/>
              <w:rPr>
                <w:color w:val="auto"/>
                <w:highlight w:val="none"/>
              </w:rPr>
            </w:pPr>
          </w:p>
        </w:tc>
        <w:tc>
          <w:tcPr>
            <w:tcW w:w="832" w:type="dxa"/>
          </w:tcPr>
          <w:p w14:paraId="0FB723C0">
            <w:pPr>
              <w:pStyle w:val="28"/>
              <w:ind w:firstLine="640"/>
              <w:rPr>
                <w:color w:val="auto"/>
                <w:highlight w:val="none"/>
              </w:rPr>
            </w:pPr>
          </w:p>
        </w:tc>
        <w:tc>
          <w:tcPr>
            <w:tcW w:w="833" w:type="dxa"/>
          </w:tcPr>
          <w:p w14:paraId="7FE33312">
            <w:pPr>
              <w:pStyle w:val="28"/>
              <w:ind w:firstLine="640"/>
              <w:rPr>
                <w:color w:val="auto"/>
                <w:highlight w:val="none"/>
              </w:rPr>
            </w:pPr>
          </w:p>
        </w:tc>
        <w:tc>
          <w:tcPr>
            <w:tcW w:w="833" w:type="dxa"/>
          </w:tcPr>
          <w:p w14:paraId="4A2B2DD4">
            <w:pPr>
              <w:pStyle w:val="28"/>
              <w:ind w:firstLine="640"/>
              <w:rPr>
                <w:color w:val="auto"/>
                <w:highlight w:val="none"/>
              </w:rPr>
            </w:pPr>
          </w:p>
        </w:tc>
        <w:tc>
          <w:tcPr>
            <w:tcW w:w="833" w:type="dxa"/>
          </w:tcPr>
          <w:p w14:paraId="7589F441">
            <w:pPr>
              <w:pStyle w:val="28"/>
              <w:ind w:firstLine="640"/>
              <w:rPr>
                <w:color w:val="auto"/>
                <w:highlight w:val="none"/>
              </w:rPr>
            </w:pPr>
          </w:p>
        </w:tc>
        <w:tc>
          <w:tcPr>
            <w:tcW w:w="833" w:type="dxa"/>
          </w:tcPr>
          <w:p w14:paraId="486C6470">
            <w:pPr>
              <w:pStyle w:val="28"/>
              <w:ind w:firstLine="640"/>
              <w:rPr>
                <w:color w:val="auto"/>
                <w:highlight w:val="none"/>
              </w:rPr>
            </w:pPr>
          </w:p>
        </w:tc>
        <w:tc>
          <w:tcPr>
            <w:tcW w:w="833" w:type="dxa"/>
          </w:tcPr>
          <w:p w14:paraId="0155FC3A">
            <w:pPr>
              <w:pStyle w:val="28"/>
              <w:ind w:firstLine="640"/>
              <w:rPr>
                <w:color w:val="auto"/>
                <w:highlight w:val="none"/>
              </w:rPr>
            </w:pPr>
          </w:p>
        </w:tc>
        <w:tc>
          <w:tcPr>
            <w:tcW w:w="833" w:type="dxa"/>
          </w:tcPr>
          <w:p w14:paraId="5AB9E0E2">
            <w:pPr>
              <w:pStyle w:val="28"/>
              <w:ind w:firstLine="640"/>
              <w:rPr>
                <w:color w:val="auto"/>
                <w:highlight w:val="none"/>
              </w:rPr>
            </w:pPr>
          </w:p>
        </w:tc>
      </w:tr>
      <w:tr w14:paraId="0C0D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05615F1D">
            <w:pPr>
              <w:pStyle w:val="28"/>
              <w:ind w:firstLine="640"/>
              <w:rPr>
                <w:color w:val="auto"/>
                <w:highlight w:val="none"/>
              </w:rPr>
            </w:pPr>
          </w:p>
        </w:tc>
        <w:tc>
          <w:tcPr>
            <w:tcW w:w="832" w:type="dxa"/>
          </w:tcPr>
          <w:p w14:paraId="038AA02C">
            <w:pPr>
              <w:pStyle w:val="28"/>
              <w:ind w:firstLine="640"/>
              <w:rPr>
                <w:color w:val="auto"/>
                <w:highlight w:val="none"/>
              </w:rPr>
            </w:pPr>
          </w:p>
        </w:tc>
        <w:tc>
          <w:tcPr>
            <w:tcW w:w="832" w:type="dxa"/>
          </w:tcPr>
          <w:p w14:paraId="782F7A25">
            <w:pPr>
              <w:pStyle w:val="28"/>
              <w:ind w:firstLine="640"/>
              <w:rPr>
                <w:color w:val="auto"/>
                <w:highlight w:val="none"/>
              </w:rPr>
            </w:pPr>
          </w:p>
        </w:tc>
        <w:tc>
          <w:tcPr>
            <w:tcW w:w="832" w:type="dxa"/>
          </w:tcPr>
          <w:p w14:paraId="506DC631">
            <w:pPr>
              <w:pStyle w:val="28"/>
              <w:ind w:firstLine="640"/>
              <w:rPr>
                <w:color w:val="auto"/>
                <w:highlight w:val="none"/>
              </w:rPr>
            </w:pPr>
          </w:p>
        </w:tc>
        <w:tc>
          <w:tcPr>
            <w:tcW w:w="832" w:type="dxa"/>
          </w:tcPr>
          <w:p w14:paraId="1E591D3F">
            <w:pPr>
              <w:pStyle w:val="28"/>
              <w:ind w:firstLine="640"/>
              <w:rPr>
                <w:color w:val="auto"/>
                <w:highlight w:val="none"/>
              </w:rPr>
            </w:pPr>
          </w:p>
        </w:tc>
        <w:tc>
          <w:tcPr>
            <w:tcW w:w="833" w:type="dxa"/>
          </w:tcPr>
          <w:p w14:paraId="5BC3AC63">
            <w:pPr>
              <w:pStyle w:val="28"/>
              <w:ind w:firstLine="640"/>
              <w:rPr>
                <w:color w:val="auto"/>
                <w:highlight w:val="none"/>
              </w:rPr>
            </w:pPr>
          </w:p>
        </w:tc>
        <w:tc>
          <w:tcPr>
            <w:tcW w:w="833" w:type="dxa"/>
          </w:tcPr>
          <w:p w14:paraId="7CB93C23">
            <w:pPr>
              <w:pStyle w:val="28"/>
              <w:ind w:firstLine="640"/>
              <w:rPr>
                <w:color w:val="auto"/>
                <w:highlight w:val="none"/>
              </w:rPr>
            </w:pPr>
          </w:p>
        </w:tc>
        <w:tc>
          <w:tcPr>
            <w:tcW w:w="833" w:type="dxa"/>
          </w:tcPr>
          <w:p w14:paraId="6944F350">
            <w:pPr>
              <w:pStyle w:val="28"/>
              <w:ind w:firstLine="640"/>
              <w:rPr>
                <w:color w:val="auto"/>
                <w:highlight w:val="none"/>
              </w:rPr>
            </w:pPr>
          </w:p>
        </w:tc>
        <w:tc>
          <w:tcPr>
            <w:tcW w:w="833" w:type="dxa"/>
          </w:tcPr>
          <w:p w14:paraId="153733C9">
            <w:pPr>
              <w:pStyle w:val="28"/>
              <w:ind w:firstLine="640"/>
              <w:rPr>
                <w:color w:val="auto"/>
                <w:highlight w:val="none"/>
              </w:rPr>
            </w:pPr>
          </w:p>
        </w:tc>
        <w:tc>
          <w:tcPr>
            <w:tcW w:w="833" w:type="dxa"/>
          </w:tcPr>
          <w:p w14:paraId="01CA52D5">
            <w:pPr>
              <w:pStyle w:val="28"/>
              <w:ind w:firstLine="640"/>
              <w:rPr>
                <w:color w:val="auto"/>
                <w:highlight w:val="none"/>
              </w:rPr>
            </w:pPr>
          </w:p>
        </w:tc>
        <w:tc>
          <w:tcPr>
            <w:tcW w:w="833" w:type="dxa"/>
          </w:tcPr>
          <w:p w14:paraId="49D85A51">
            <w:pPr>
              <w:pStyle w:val="28"/>
              <w:ind w:firstLine="640"/>
              <w:rPr>
                <w:color w:val="auto"/>
                <w:highlight w:val="none"/>
              </w:rPr>
            </w:pPr>
          </w:p>
        </w:tc>
      </w:tr>
      <w:tr w14:paraId="7FAD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0731680B">
            <w:pPr>
              <w:pStyle w:val="28"/>
              <w:ind w:firstLine="640"/>
              <w:rPr>
                <w:color w:val="auto"/>
                <w:highlight w:val="none"/>
              </w:rPr>
            </w:pPr>
          </w:p>
        </w:tc>
        <w:tc>
          <w:tcPr>
            <w:tcW w:w="832" w:type="dxa"/>
          </w:tcPr>
          <w:p w14:paraId="0D7110D7">
            <w:pPr>
              <w:pStyle w:val="28"/>
              <w:ind w:firstLine="640"/>
              <w:rPr>
                <w:color w:val="auto"/>
                <w:highlight w:val="none"/>
              </w:rPr>
            </w:pPr>
          </w:p>
        </w:tc>
        <w:tc>
          <w:tcPr>
            <w:tcW w:w="832" w:type="dxa"/>
          </w:tcPr>
          <w:p w14:paraId="459FCD57">
            <w:pPr>
              <w:pStyle w:val="28"/>
              <w:ind w:firstLine="640"/>
              <w:rPr>
                <w:color w:val="auto"/>
                <w:highlight w:val="none"/>
              </w:rPr>
            </w:pPr>
          </w:p>
        </w:tc>
        <w:tc>
          <w:tcPr>
            <w:tcW w:w="832" w:type="dxa"/>
          </w:tcPr>
          <w:p w14:paraId="1E955627">
            <w:pPr>
              <w:pStyle w:val="28"/>
              <w:ind w:firstLine="640"/>
              <w:rPr>
                <w:color w:val="auto"/>
                <w:highlight w:val="none"/>
              </w:rPr>
            </w:pPr>
          </w:p>
        </w:tc>
        <w:tc>
          <w:tcPr>
            <w:tcW w:w="832" w:type="dxa"/>
          </w:tcPr>
          <w:p w14:paraId="6216DDF3">
            <w:pPr>
              <w:pStyle w:val="28"/>
              <w:ind w:firstLine="640"/>
              <w:rPr>
                <w:color w:val="auto"/>
                <w:highlight w:val="none"/>
              </w:rPr>
            </w:pPr>
          </w:p>
        </w:tc>
        <w:tc>
          <w:tcPr>
            <w:tcW w:w="833" w:type="dxa"/>
          </w:tcPr>
          <w:p w14:paraId="224D8D91">
            <w:pPr>
              <w:pStyle w:val="28"/>
              <w:ind w:firstLine="640"/>
              <w:rPr>
                <w:color w:val="auto"/>
                <w:highlight w:val="none"/>
              </w:rPr>
            </w:pPr>
          </w:p>
        </w:tc>
        <w:tc>
          <w:tcPr>
            <w:tcW w:w="833" w:type="dxa"/>
          </w:tcPr>
          <w:p w14:paraId="143CC8CC">
            <w:pPr>
              <w:pStyle w:val="28"/>
              <w:ind w:firstLine="640"/>
              <w:rPr>
                <w:color w:val="auto"/>
                <w:highlight w:val="none"/>
              </w:rPr>
            </w:pPr>
          </w:p>
        </w:tc>
        <w:tc>
          <w:tcPr>
            <w:tcW w:w="833" w:type="dxa"/>
          </w:tcPr>
          <w:p w14:paraId="7AEFFAC5">
            <w:pPr>
              <w:pStyle w:val="28"/>
              <w:ind w:firstLine="640"/>
              <w:rPr>
                <w:color w:val="auto"/>
                <w:highlight w:val="none"/>
              </w:rPr>
            </w:pPr>
          </w:p>
        </w:tc>
        <w:tc>
          <w:tcPr>
            <w:tcW w:w="833" w:type="dxa"/>
          </w:tcPr>
          <w:p w14:paraId="63744E67">
            <w:pPr>
              <w:pStyle w:val="28"/>
              <w:ind w:firstLine="640"/>
              <w:rPr>
                <w:color w:val="auto"/>
                <w:highlight w:val="none"/>
              </w:rPr>
            </w:pPr>
          </w:p>
        </w:tc>
        <w:tc>
          <w:tcPr>
            <w:tcW w:w="833" w:type="dxa"/>
          </w:tcPr>
          <w:p w14:paraId="7FF0A28D">
            <w:pPr>
              <w:pStyle w:val="28"/>
              <w:ind w:firstLine="640"/>
              <w:rPr>
                <w:color w:val="auto"/>
                <w:highlight w:val="none"/>
              </w:rPr>
            </w:pPr>
          </w:p>
        </w:tc>
        <w:tc>
          <w:tcPr>
            <w:tcW w:w="833" w:type="dxa"/>
          </w:tcPr>
          <w:p w14:paraId="4D98F2F5">
            <w:pPr>
              <w:pStyle w:val="28"/>
              <w:ind w:firstLine="640"/>
              <w:rPr>
                <w:color w:val="auto"/>
                <w:highlight w:val="none"/>
              </w:rPr>
            </w:pPr>
          </w:p>
        </w:tc>
      </w:tr>
      <w:tr w14:paraId="0A8D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3ED5708D">
            <w:pPr>
              <w:pStyle w:val="28"/>
              <w:ind w:firstLine="640"/>
              <w:rPr>
                <w:color w:val="auto"/>
                <w:highlight w:val="none"/>
              </w:rPr>
            </w:pPr>
          </w:p>
        </w:tc>
        <w:tc>
          <w:tcPr>
            <w:tcW w:w="832" w:type="dxa"/>
          </w:tcPr>
          <w:p w14:paraId="1D4BB9C0">
            <w:pPr>
              <w:pStyle w:val="28"/>
              <w:ind w:firstLine="640"/>
              <w:rPr>
                <w:color w:val="auto"/>
                <w:highlight w:val="none"/>
              </w:rPr>
            </w:pPr>
          </w:p>
        </w:tc>
        <w:tc>
          <w:tcPr>
            <w:tcW w:w="832" w:type="dxa"/>
          </w:tcPr>
          <w:p w14:paraId="7D21BD22">
            <w:pPr>
              <w:pStyle w:val="28"/>
              <w:ind w:firstLine="640"/>
              <w:rPr>
                <w:color w:val="auto"/>
                <w:highlight w:val="none"/>
              </w:rPr>
            </w:pPr>
          </w:p>
        </w:tc>
        <w:tc>
          <w:tcPr>
            <w:tcW w:w="832" w:type="dxa"/>
          </w:tcPr>
          <w:p w14:paraId="1261BF02">
            <w:pPr>
              <w:pStyle w:val="28"/>
              <w:ind w:firstLine="640"/>
              <w:rPr>
                <w:color w:val="auto"/>
                <w:highlight w:val="none"/>
              </w:rPr>
            </w:pPr>
          </w:p>
        </w:tc>
        <w:tc>
          <w:tcPr>
            <w:tcW w:w="832" w:type="dxa"/>
          </w:tcPr>
          <w:p w14:paraId="4AE97ABB">
            <w:pPr>
              <w:pStyle w:val="28"/>
              <w:ind w:firstLine="640"/>
              <w:rPr>
                <w:color w:val="auto"/>
                <w:highlight w:val="none"/>
              </w:rPr>
            </w:pPr>
          </w:p>
        </w:tc>
        <w:tc>
          <w:tcPr>
            <w:tcW w:w="833" w:type="dxa"/>
          </w:tcPr>
          <w:p w14:paraId="7A162AF3">
            <w:pPr>
              <w:pStyle w:val="28"/>
              <w:ind w:firstLine="640"/>
              <w:rPr>
                <w:color w:val="auto"/>
                <w:highlight w:val="none"/>
              </w:rPr>
            </w:pPr>
          </w:p>
        </w:tc>
        <w:tc>
          <w:tcPr>
            <w:tcW w:w="833" w:type="dxa"/>
          </w:tcPr>
          <w:p w14:paraId="3F7AB65F">
            <w:pPr>
              <w:pStyle w:val="28"/>
              <w:ind w:firstLine="640"/>
              <w:rPr>
                <w:color w:val="auto"/>
                <w:highlight w:val="none"/>
              </w:rPr>
            </w:pPr>
          </w:p>
        </w:tc>
        <w:tc>
          <w:tcPr>
            <w:tcW w:w="833" w:type="dxa"/>
          </w:tcPr>
          <w:p w14:paraId="61B32B5C">
            <w:pPr>
              <w:pStyle w:val="28"/>
              <w:ind w:firstLine="640"/>
              <w:rPr>
                <w:color w:val="auto"/>
                <w:highlight w:val="none"/>
              </w:rPr>
            </w:pPr>
          </w:p>
        </w:tc>
        <w:tc>
          <w:tcPr>
            <w:tcW w:w="833" w:type="dxa"/>
          </w:tcPr>
          <w:p w14:paraId="319341E3">
            <w:pPr>
              <w:pStyle w:val="28"/>
              <w:ind w:firstLine="640"/>
              <w:rPr>
                <w:color w:val="auto"/>
                <w:highlight w:val="none"/>
              </w:rPr>
            </w:pPr>
          </w:p>
        </w:tc>
        <w:tc>
          <w:tcPr>
            <w:tcW w:w="833" w:type="dxa"/>
          </w:tcPr>
          <w:p w14:paraId="795376A8">
            <w:pPr>
              <w:pStyle w:val="28"/>
              <w:ind w:firstLine="640"/>
              <w:rPr>
                <w:color w:val="auto"/>
                <w:highlight w:val="none"/>
              </w:rPr>
            </w:pPr>
          </w:p>
        </w:tc>
        <w:tc>
          <w:tcPr>
            <w:tcW w:w="833" w:type="dxa"/>
          </w:tcPr>
          <w:p w14:paraId="11FBF907">
            <w:pPr>
              <w:pStyle w:val="28"/>
              <w:ind w:firstLine="640"/>
              <w:rPr>
                <w:color w:val="auto"/>
                <w:highlight w:val="none"/>
              </w:rPr>
            </w:pPr>
          </w:p>
        </w:tc>
      </w:tr>
      <w:tr w14:paraId="7370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69F2278D">
            <w:pPr>
              <w:pStyle w:val="28"/>
              <w:ind w:firstLine="640"/>
              <w:rPr>
                <w:color w:val="auto"/>
                <w:highlight w:val="none"/>
              </w:rPr>
            </w:pPr>
          </w:p>
        </w:tc>
        <w:tc>
          <w:tcPr>
            <w:tcW w:w="832" w:type="dxa"/>
          </w:tcPr>
          <w:p w14:paraId="09E43281">
            <w:pPr>
              <w:pStyle w:val="28"/>
              <w:ind w:firstLine="640"/>
              <w:rPr>
                <w:color w:val="auto"/>
                <w:highlight w:val="none"/>
              </w:rPr>
            </w:pPr>
          </w:p>
        </w:tc>
        <w:tc>
          <w:tcPr>
            <w:tcW w:w="832" w:type="dxa"/>
          </w:tcPr>
          <w:p w14:paraId="12723005">
            <w:pPr>
              <w:pStyle w:val="28"/>
              <w:ind w:firstLine="640"/>
              <w:rPr>
                <w:color w:val="auto"/>
                <w:highlight w:val="none"/>
              </w:rPr>
            </w:pPr>
          </w:p>
        </w:tc>
        <w:tc>
          <w:tcPr>
            <w:tcW w:w="832" w:type="dxa"/>
          </w:tcPr>
          <w:p w14:paraId="41A8E949">
            <w:pPr>
              <w:pStyle w:val="28"/>
              <w:ind w:firstLine="640"/>
              <w:rPr>
                <w:color w:val="auto"/>
                <w:highlight w:val="none"/>
              </w:rPr>
            </w:pPr>
          </w:p>
        </w:tc>
        <w:tc>
          <w:tcPr>
            <w:tcW w:w="832" w:type="dxa"/>
          </w:tcPr>
          <w:p w14:paraId="080A7B93">
            <w:pPr>
              <w:pStyle w:val="28"/>
              <w:ind w:firstLine="640"/>
              <w:rPr>
                <w:color w:val="auto"/>
                <w:highlight w:val="none"/>
              </w:rPr>
            </w:pPr>
          </w:p>
        </w:tc>
        <w:tc>
          <w:tcPr>
            <w:tcW w:w="833" w:type="dxa"/>
          </w:tcPr>
          <w:p w14:paraId="15337904">
            <w:pPr>
              <w:pStyle w:val="28"/>
              <w:ind w:firstLine="640"/>
              <w:rPr>
                <w:color w:val="auto"/>
                <w:highlight w:val="none"/>
              </w:rPr>
            </w:pPr>
          </w:p>
        </w:tc>
        <w:tc>
          <w:tcPr>
            <w:tcW w:w="833" w:type="dxa"/>
          </w:tcPr>
          <w:p w14:paraId="72B65449">
            <w:pPr>
              <w:pStyle w:val="28"/>
              <w:ind w:firstLine="640"/>
              <w:rPr>
                <w:color w:val="auto"/>
                <w:highlight w:val="none"/>
              </w:rPr>
            </w:pPr>
          </w:p>
        </w:tc>
        <w:tc>
          <w:tcPr>
            <w:tcW w:w="833" w:type="dxa"/>
          </w:tcPr>
          <w:p w14:paraId="57CC5972">
            <w:pPr>
              <w:pStyle w:val="28"/>
              <w:ind w:firstLine="640"/>
              <w:rPr>
                <w:color w:val="auto"/>
                <w:highlight w:val="none"/>
              </w:rPr>
            </w:pPr>
          </w:p>
        </w:tc>
        <w:tc>
          <w:tcPr>
            <w:tcW w:w="833" w:type="dxa"/>
          </w:tcPr>
          <w:p w14:paraId="55905E07">
            <w:pPr>
              <w:pStyle w:val="28"/>
              <w:ind w:firstLine="640"/>
              <w:rPr>
                <w:color w:val="auto"/>
                <w:highlight w:val="none"/>
              </w:rPr>
            </w:pPr>
          </w:p>
        </w:tc>
        <w:tc>
          <w:tcPr>
            <w:tcW w:w="833" w:type="dxa"/>
          </w:tcPr>
          <w:p w14:paraId="1E7416CD">
            <w:pPr>
              <w:pStyle w:val="28"/>
              <w:ind w:firstLine="640"/>
              <w:rPr>
                <w:color w:val="auto"/>
                <w:highlight w:val="none"/>
              </w:rPr>
            </w:pPr>
          </w:p>
        </w:tc>
        <w:tc>
          <w:tcPr>
            <w:tcW w:w="833" w:type="dxa"/>
          </w:tcPr>
          <w:p w14:paraId="669B6B4C">
            <w:pPr>
              <w:pStyle w:val="28"/>
              <w:ind w:firstLine="640"/>
              <w:rPr>
                <w:color w:val="auto"/>
                <w:highlight w:val="none"/>
              </w:rPr>
            </w:pPr>
          </w:p>
        </w:tc>
      </w:tr>
      <w:tr w14:paraId="2B0E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tcPr>
          <w:p w14:paraId="2F5395B3">
            <w:pPr>
              <w:pStyle w:val="28"/>
              <w:ind w:firstLine="640"/>
              <w:rPr>
                <w:color w:val="auto"/>
                <w:highlight w:val="none"/>
              </w:rPr>
            </w:pPr>
          </w:p>
        </w:tc>
        <w:tc>
          <w:tcPr>
            <w:tcW w:w="832" w:type="dxa"/>
          </w:tcPr>
          <w:p w14:paraId="34A2C912">
            <w:pPr>
              <w:pStyle w:val="28"/>
              <w:ind w:firstLine="640"/>
              <w:rPr>
                <w:color w:val="auto"/>
                <w:highlight w:val="none"/>
              </w:rPr>
            </w:pPr>
          </w:p>
        </w:tc>
        <w:tc>
          <w:tcPr>
            <w:tcW w:w="832" w:type="dxa"/>
          </w:tcPr>
          <w:p w14:paraId="64089798">
            <w:pPr>
              <w:pStyle w:val="28"/>
              <w:ind w:firstLine="640"/>
              <w:rPr>
                <w:color w:val="auto"/>
                <w:highlight w:val="none"/>
              </w:rPr>
            </w:pPr>
          </w:p>
        </w:tc>
        <w:tc>
          <w:tcPr>
            <w:tcW w:w="832" w:type="dxa"/>
          </w:tcPr>
          <w:p w14:paraId="38AC9D2D">
            <w:pPr>
              <w:pStyle w:val="28"/>
              <w:ind w:firstLine="640"/>
              <w:rPr>
                <w:color w:val="auto"/>
                <w:highlight w:val="none"/>
              </w:rPr>
            </w:pPr>
          </w:p>
        </w:tc>
        <w:tc>
          <w:tcPr>
            <w:tcW w:w="832" w:type="dxa"/>
          </w:tcPr>
          <w:p w14:paraId="5116A3F5">
            <w:pPr>
              <w:pStyle w:val="28"/>
              <w:ind w:firstLine="640"/>
              <w:rPr>
                <w:color w:val="auto"/>
                <w:highlight w:val="none"/>
              </w:rPr>
            </w:pPr>
          </w:p>
        </w:tc>
        <w:tc>
          <w:tcPr>
            <w:tcW w:w="833" w:type="dxa"/>
          </w:tcPr>
          <w:p w14:paraId="6C9CDB52">
            <w:pPr>
              <w:pStyle w:val="28"/>
              <w:ind w:firstLine="640"/>
              <w:rPr>
                <w:color w:val="auto"/>
                <w:highlight w:val="none"/>
              </w:rPr>
            </w:pPr>
          </w:p>
        </w:tc>
        <w:tc>
          <w:tcPr>
            <w:tcW w:w="833" w:type="dxa"/>
          </w:tcPr>
          <w:p w14:paraId="5896D984">
            <w:pPr>
              <w:pStyle w:val="28"/>
              <w:ind w:firstLine="640"/>
              <w:rPr>
                <w:color w:val="auto"/>
                <w:highlight w:val="none"/>
              </w:rPr>
            </w:pPr>
          </w:p>
        </w:tc>
        <w:tc>
          <w:tcPr>
            <w:tcW w:w="833" w:type="dxa"/>
          </w:tcPr>
          <w:p w14:paraId="2E237931">
            <w:pPr>
              <w:pStyle w:val="28"/>
              <w:ind w:firstLine="640"/>
              <w:rPr>
                <w:color w:val="auto"/>
                <w:highlight w:val="none"/>
              </w:rPr>
            </w:pPr>
          </w:p>
        </w:tc>
        <w:tc>
          <w:tcPr>
            <w:tcW w:w="833" w:type="dxa"/>
          </w:tcPr>
          <w:p w14:paraId="21ED1748">
            <w:pPr>
              <w:pStyle w:val="28"/>
              <w:ind w:firstLine="640"/>
              <w:rPr>
                <w:color w:val="auto"/>
                <w:highlight w:val="none"/>
              </w:rPr>
            </w:pPr>
          </w:p>
        </w:tc>
        <w:tc>
          <w:tcPr>
            <w:tcW w:w="833" w:type="dxa"/>
          </w:tcPr>
          <w:p w14:paraId="1FA2EDC4">
            <w:pPr>
              <w:pStyle w:val="28"/>
              <w:ind w:firstLine="640"/>
              <w:rPr>
                <w:color w:val="auto"/>
                <w:highlight w:val="none"/>
              </w:rPr>
            </w:pPr>
          </w:p>
        </w:tc>
        <w:tc>
          <w:tcPr>
            <w:tcW w:w="833" w:type="dxa"/>
          </w:tcPr>
          <w:p w14:paraId="48882C0E">
            <w:pPr>
              <w:pStyle w:val="28"/>
              <w:ind w:firstLine="640"/>
              <w:rPr>
                <w:color w:val="auto"/>
                <w:highlight w:val="none"/>
              </w:rPr>
            </w:pPr>
          </w:p>
        </w:tc>
      </w:tr>
    </w:tbl>
    <w:p w14:paraId="75305FF1">
      <w:pPr>
        <w:pStyle w:val="28"/>
        <w:ind w:firstLine="640"/>
        <w:rPr>
          <w:color w:val="auto"/>
          <w:highlight w:val="none"/>
        </w:rPr>
        <w:sectPr>
          <w:pgSz w:w="11911" w:h="16843"/>
          <w:pgMar w:top="1134" w:right="1434" w:bottom="1134" w:left="1434" w:header="0" w:footer="1191" w:gutter="0"/>
          <w:cols w:space="720" w:num="1"/>
        </w:sectPr>
      </w:pPr>
    </w:p>
    <w:p w14:paraId="5BDD9703">
      <w:pPr>
        <w:spacing w:before="120" w:beforeLines="50" w:after="120" w:afterLines="50" w:line="440" w:lineRule="exact"/>
        <w:jc w:val="center"/>
        <w:rPr>
          <w:rFonts w:ascii="宋体" w:hAnsi="宋体"/>
          <w:color w:val="auto"/>
          <w:highlight w:val="none"/>
        </w:rPr>
      </w:pPr>
      <w:r>
        <w:rPr>
          <w:rFonts w:eastAsia="仿宋_GB2312"/>
          <w:color w:val="auto"/>
          <w:sz w:val="30"/>
          <w:szCs w:val="30"/>
          <w:highlight w:val="none"/>
        </w:rPr>
        <w:t>附件</w:t>
      </w:r>
      <w:r>
        <w:rPr>
          <w:rFonts w:hint="eastAsia" w:eastAsia="仿宋_GB2312"/>
          <w:color w:val="auto"/>
          <w:sz w:val="30"/>
          <w:szCs w:val="30"/>
          <w:highlight w:val="none"/>
        </w:rPr>
        <w:t>2：</w:t>
      </w:r>
      <w:r>
        <w:rPr>
          <w:rFonts w:ascii="宋体" w:hAnsi="宋体"/>
          <w:color w:val="auto"/>
          <w:highlight w:val="none"/>
        </w:rPr>
        <w:t>发包人供应材料设备一览表</w:t>
      </w:r>
    </w:p>
    <w:p w14:paraId="5EF72EAC">
      <w:pPr>
        <w:pStyle w:val="28"/>
        <w:ind w:firstLine="640"/>
        <w:rPr>
          <w:color w:val="auto"/>
          <w:highlight w:val="none"/>
        </w:rPr>
      </w:pPr>
    </w:p>
    <w:tbl>
      <w:tblPr>
        <w:tblStyle w:val="29"/>
        <w:tblW w:w="1001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64"/>
        <w:gridCol w:w="1276"/>
        <w:gridCol w:w="1418"/>
        <w:gridCol w:w="940"/>
        <w:gridCol w:w="851"/>
        <w:gridCol w:w="1044"/>
        <w:gridCol w:w="992"/>
        <w:gridCol w:w="851"/>
        <w:gridCol w:w="1487"/>
        <w:gridCol w:w="689"/>
      </w:tblGrid>
      <w:tr w14:paraId="31FB0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64" w:type="dxa"/>
            <w:tcBorders>
              <w:top w:val="single" w:color="auto" w:sz="12" w:space="0"/>
              <w:bottom w:val="double" w:color="auto" w:sz="6" w:space="0"/>
            </w:tcBorders>
            <w:vAlign w:val="center"/>
          </w:tcPr>
          <w:p w14:paraId="4BC65B7E">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序号</w:t>
            </w:r>
          </w:p>
        </w:tc>
        <w:tc>
          <w:tcPr>
            <w:tcW w:w="1276" w:type="dxa"/>
            <w:tcBorders>
              <w:top w:val="single" w:color="auto" w:sz="12" w:space="0"/>
              <w:bottom w:val="double" w:color="auto" w:sz="6" w:space="0"/>
            </w:tcBorders>
            <w:vAlign w:val="center"/>
          </w:tcPr>
          <w:p w14:paraId="13B0D6E7">
            <w:pPr>
              <w:keepNext/>
              <w:adjustRightInd w:val="0"/>
              <w:ind w:right="63" w:rightChars="30"/>
              <w:jc w:val="center"/>
              <w:textAlignment w:val="baseline"/>
              <w:rPr>
                <w:rFonts w:ascii="宋体" w:hAnsi="宋体"/>
                <w:color w:val="auto"/>
                <w:highlight w:val="none"/>
              </w:rPr>
            </w:pPr>
            <w:r>
              <w:rPr>
                <w:rFonts w:ascii="宋体" w:hAnsi="宋体"/>
                <w:color w:val="auto"/>
                <w:highlight w:val="none"/>
              </w:rPr>
              <w:t>材料、设备品种</w:t>
            </w:r>
          </w:p>
        </w:tc>
        <w:tc>
          <w:tcPr>
            <w:tcW w:w="1418" w:type="dxa"/>
            <w:tcBorders>
              <w:top w:val="single" w:color="auto" w:sz="12" w:space="0"/>
              <w:bottom w:val="double" w:color="auto" w:sz="6" w:space="0"/>
            </w:tcBorders>
            <w:vAlign w:val="center"/>
          </w:tcPr>
          <w:p w14:paraId="02312580">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规格型号</w:t>
            </w:r>
          </w:p>
        </w:tc>
        <w:tc>
          <w:tcPr>
            <w:tcW w:w="940" w:type="dxa"/>
            <w:tcBorders>
              <w:top w:val="single" w:color="auto" w:sz="12" w:space="0"/>
              <w:bottom w:val="double" w:color="auto" w:sz="6" w:space="0"/>
            </w:tcBorders>
            <w:vAlign w:val="center"/>
          </w:tcPr>
          <w:p w14:paraId="32786137">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单位</w:t>
            </w:r>
          </w:p>
        </w:tc>
        <w:tc>
          <w:tcPr>
            <w:tcW w:w="851" w:type="dxa"/>
            <w:tcBorders>
              <w:top w:val="single" w:color="auto" w:sz="12" w:space="0"/>
              <w:bottom w:val="double" w:color="auto" w:sz="6" w:space="0"/>
            </w:tcBorders>
            <w:vAlign w:val="center"/>
          </w:tcPr>
          <w:p w14:paraId="4F3639EC">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数量</w:t>
            </w:r>
          </w:p>
        </w:tc>
        <w:tc>
          <w:tcPr>
            <w:tcW w:w="1044" w:type="dxa"/>
            <w:tcBorders>
              <w:top w:val="single" w:color="auto" w:sz="12" w:space="0"/>
              <w:bottom w:val="double" w:color="auto" w:sz="6" w:space="0"/>
            </w:tcBorders>
            <w:vAlign w:val="center"/>
          </w:tcPr>
          <w:p w14:paraId="6E58F364">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单价</w:t>
            </w:r>
            <w:r>
              <w:rPr>
                <w:rFonts w:hint="eastAsia" w:ascii="宋体" w:hAnsi="宋体"/>
                <w:color w:val="auto"/>
                <w:highlight w:val="none"/>
              </w:rPr>
              <w:t>（元）</w:t>
            </w:r>
          </w:p>
        </w:tc>
        <w:tc>
          <w:tcPr>
            <w:tcW w:w="992" w:type="dxa"/>
            <w:tcBorders>
              <w:top w:val="single" w:color="auto" w:sz="12" w:space="0"/>
              <w:bottom w:val="double" w:color="auto" w:sz="6" w:space="0"/>
            </w:tcBorders>
            <w:vAlign w:val="center"/>
          </w:tcPr>
          <w:p w14:paraId="657E294E">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质量等级</w:t>
            </w:r>
          </w:p>
        </w:tc>
        <w:tc>
          <w:tcPr>
            <w:tcW w:w="851" w:type="dxa"/>
            <w:tcBorders>
              <w:top w:val="single" w:color="auto" w:sz="12" w:space="0"/>
              <w:bottom w:val="double" w:color="auto" w:sz="6" w:space="0"/>
            </w:tcBorders>
            <w:vAlign w:val="center"/>
          </w:tcPr>
          <w:p w14:paraId="3403776B">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供应时间</w:t>
            </w:r>
          </w:p>
        </w:tc>
        <w:tc>
          <w:tcPr>
            <w:tcW w:w="1487" w:type="dxa"/>
            <w:tcBorders>
              <w:top w:val="single" w:color="auto" w:sz="12" w:space="0"/>
              <w:bottom w:val="double" w:color="auto" w:sz="6" w:space="0"/>
            </w:tcBorders>
            <w:vAlign w:val="center"/>
          </w:tcPr>
          <w:p w14:paraId="040914CC">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送达地点</w:t>
            </w:r>
          </w:p>
        </w:tc>
        <w:tc>
          <w:tcPr>
            <w:tcW w:w="689" w:type="dxa"/>
            <w:tcBorders>
              <w:top w:val="single" w:color="auto" w:sz="12" w:space="0"/>
              <w:bottom w:val="double" w:color="auto" w:sz="6" w:space="0"/>
            </w:tcBorders>
            <w:vAlign w:val="center"/>
          </w:tcPr>
          <w:p w14:paraId="6B6F902D">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备注</w:t>
            </w:r>
          </w:p>
        </w:tc>
      </w:tr>
      <w:tr w14:paraId="531CD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tcBorders>
              <w:top w:val="double" w:color="auto" w:sz="6" w:space="0"/>
              <w:bottom w:val="single" w:color="auto" w:sz="6" w:space="0"/>
            </w:tcBorders>
            <w:vAlign w:val="center"/>
          </w:tcPr>
          <w:p w14:paraId="0619B82E">
            <w:pPr>
              <w:keepNext/>
              <w:adjustRightInd w:val="0"/>
              <w:ind w:left="63" w:leftChars="30" w:right="63" w:rightChars="30"/>
              <w:jc w:val="center"/>
              <w:textAlignment w:val="baseline"/>
              <w:rPr>
                <w:rFonts w:ascii="宋体" w:hAnsi="宋体"/>
                <w:color w:val="auto"/>
                <w:highlight w:val="none"/>
              </w:rPr>
            </w:pPr>
          </w:p>
        </w:tc>
        <w:tc>
          <w:tcPr>
            <w:tcW w:w="1276" w:type="dxa"/>
            <w:tcBorders>
              <w:top w:val="double" w:color="auto" w:sz="6" w:space="0"/>
              <w:bottom w:val="single" w:color="auto" w:sz="6" w:space="0"/>
            </w:tcBorders>
            <w:vAlign w:val="center"/>
          </w:tcPr>
          <w:p w14:paraId="23BB6D1E">
            <w:pPr>
              <w:keepNext/>
              <w:adjustRightInd w:val="0"/>
              <w:ind w:left="63" w:leftChars="30" w:right="63" w:rightChars="30"/>
              <w:jc w:val="center"/>
              <w:textAlignment w:val="baseline"/>
              <w:rPr>
                <w:rFonts w:ascii="宋体" w:hAnsi="宋体"/>
                <w:color w:val="auto"/>
                <w:highlight w:val="none"/>
              </w:rPr>
            </w:pPr>
          </w:p>
        </w:tc>
        <w:tc>
          <w:tcPr>
            <w:tcW w:w="1418" w:type="dxa"/>
            <w:tcBorders>
              <w:top w:val="double" w:color="auto" w:sz="6" w:space="0"/>
              <w:bottom w:val="single" w:color="auto" w:sz="6" w:space="0"/>
            </w:tcBorders>
            <w:vAlign w:val="center"/>
          </w:tcPr>
          <w:p w14:paraId="6855D869">
            <w:pPr>
              <w:keepNext/>
              <w:adjustRightInd w:val="0"/>
              <w:ind w:left="63" w:leftChars="30" w:right="63" w:rightChars="30"/>
              <w:jc w:val="center"/>
              <w:textAlignment w:val="baseline"/>
              <w:rPr>
                <w:rFonts w:ascii="宋体" w:hAnsi="宋体"/>
                <w:color w:val="auto"/>
                <w:highlight w:val="none"/>
              </w:rPr>
            </w:pPr>
          </w:p>
        </w:tc>
        <w:tc>
          <w:tcPr>
            <w:tcW w:w="940" w:type="dxa"/>
            <w:tcBorders>
              <w:top w:val="double" w:color="auto" w:sz="6" w:space="0"/>
              <w:bottom w:val="single" w:color="auto" w:sz="6" w:space="0"/>
            </w:tcBorders>
            <w:vAlign w:val="center"/>
          </w:tcPr>
          <w:p w14:paraId="405C1D0B">
            <w:pPr>
              <w:keepNext/>
              <w:adjustRightInd w:val="0"/>
              <w:ind w:left="63" w:leftChars="30" w:right="63" w:rightChars="30"/>
              <w:jc w:val="center"/>
              <w:textAlignment w:val="baseline"/>
              <w:rPr>
                <w:rFonts w:ascii="宋体" w:hAnsi="宋体"/>
                <w:color w:val="auto"/>
                <w:highlight w:val="none"/>
              </w:rPr>
            </w:pPr>
          </w:p>
        </w:tc>
        <w:tc>
          <w:tcPr>
            <w:tcW w:w="851" w:type="dxa"/>
            <w:tcBorders>
              <w:top w:val="double" w:color="auto" w:sz="6" w:space="0"/>
              <w:bottom w:val="single" w:color="auto" w:sz="6" w:space="0"/>
            </w:tcBorders>
            <w:vAlign w:val="center"/>
          </w:tcPr>
          <w:p w14:paraId="28D3143A">
            <w:pPr>
              <w:keepNext/>
              <w:adjustRightInd w:val="0"/>
              <w:ind w:left="63" w:leftChars="30" w:right="63" w:rightChars="30"/>
              <w:jc w:val="center"/>
              <w:textAlignment w:val="baseline"/>
              <w:rPr>
                <w:rFonts w:ascii="宋体" w:hAnsi="宋体"/>
                <w:color w:val="auto"/>
                <w:highlight w:val="none"/>
              </w:rPr>
            </w:pPr>
          </w:p>
        </w:tc>
        <w:tc>
          <w:tcPr>
            <w:tcW w:w="1044" w:type="dxa"/>
            <w:tcBorders>
              <w:top w:val="double" w:color="auto" w:sz="6" w:space="0"/>
              <w:bottom w:val="single" w:color="auto" w:sz="6" w:space="0"/>
            </w:tcBorders>
            <w:vAlign w:val="center"/>
          </w:tcPr>
          <w:p w14:paraId="44BBB7C2">
            <w:pPr>
              <w:keepNext/>
              <w:adjustRightInd w:val="0"/>
              <w:ind w:left="63" w:leftChars="30" w:right="63" w:rightChars="30"/>
              <w:jc w:val="center"/>
              <w:textAlignment w:val="baseline"/>
              <w:rPr>
                <w:rFonts w:ascii="宋体" w:hAnsi="宋体"/>
                <w:color w:val="auto"/>
                <w:highlight w:val="none"/>
              </w:rPr>
            </w:pPr>
          </w:p>
        </w:tc>
        <w:tc>
          <w:tcPr>
            <w:tcW w:w="992" w:type="dxa"/>
            <w:tcBorders>
              <w:top w:val="double" w:color="auto" w:sz="6" w:space="0"/>
              <w:bottom w:val="single" w:color="auto" w:sz="6" w:space="0"/>
            </w:tcBorders>
            <w:vAlign w:val="center"/>
          </w:tcPr>
          <w:p w14:paraId="70855A47">
            <w:pPr>
              <w:keepNext/>
              <w:adjustRightInd w:val="0"/>
              <w:ind w:left="63" w:leftChars="30" w:right="63" w:rightChars="30"/>
              <w:jc w:val="center"/>
              <w:textAlignment w:val="baseline"/>
              <w:rPr>
                <w:rFonts w:ascii="宋体" w:hAnsi="宋体"/>
                <w:color w:val="auto"/>
                <w:highlight w:val="none"/>
              </w:rPr>
            </w:pPr>
          </w:p>
        </w:tc>
        <w:tc>
          <w:tcPr>
            <w:tcW w:w="851" w:type="dxa"/>
            <w:tcBorders>
              <w:top w:val="double" w:color="auto" w:sz="6" w:space="0"/>
              <w:bottom w:val="single" w:color="auto" w:sz="6" w:space="0"/>
            </w:tcBorders>
            <w:vAlign w:val="center"/>
          </w:tcPr>
          <w:p w14:paraId="46E5369A">
            <w:pPr>
              <w:keepNext/>
              <w:adjustRightInd w:val="0"/>
              <w:ind w:left="63" w:leftChars="30" w:right="63" w:rightChars="30"/>
              <w:jc w:val="center"/>
              <w:textAlignment w:val="baseline"/>
              <w:rPr>
                <w:rFonts w:ascii="宋体" w:hAnsi="宋体"/>
                <w:color w:val="auto"/>
                <w:highlight w:val="none"/>
              </w:rPr>
            </w:pPr>
          </w:p>
        </w:tc>
        <w:tc>
          <w:tcPr>
            <w:tcW w:w="1487" w:type="dxa"/>
            <w:tcBorders>
              <w:top w:val="double" w:color="auto" w:sz="6" w:space="0"/>
              <w:bottom w:val="single" w:color="auto" w:sz="6" w:space="0"/>
            </w:tcBorders>
            <w:vAlign w:val="center"/>
          </w:tcPr>
          <w:p w14:paraId="626C7F7F">
            <w:pPr>
              <w:keepNext/>
              <w:adjustRightInd w:val="0"/>
              <w:ind w:left="63" w:leftChars="30" w:right="63" w:rightChars="30"/>
              <w:jc w:val="center"/>
              <w:textAlignment w:val="baseline"/>
              <w:rPr>
                <w:rFonts w:ascii="宋体" w:hAnsi="宋体"/>
                <w:color w:val="auto"/>
                <w:highlight w:val="none"/>
              </w:rPr>
            </w:pPr>
          </w:p>
        </w:tc>
        <w:tc>
          <w:tcPr>
            <w:tcW w:w="689" w:type="dxa"/>
            <w:tcBorders>
              <w:top w:val="double" w:color="auto" w:sz="6" w:space="0"/>
              <w:bottom w:val="single" w:color="auto" w:sz="6" w:space="0"/>
            </w:tcBorders>
            <w:vAlign w:val="center"/>
          </w:tcPr>
          <w:p w14:paraId="776404E6">
            <w:pPr>
              <w:keepNext/>
              <w:adjustRightInd w:val="0"/>
              <w:ind w:left="63" w:leftChars="30" w:right="63" w:rightChars="30"/>
              <w:jc w:val="center"/>
              <w:textAlignment w:val="baseline"/>
              <w:rPr>
                <w:rFonts w:ascii="宋体" w:hAnsi="宋体"/>
                <w:color w:val="auto"/>
                <w:highlight w:val="none"/>
              </w:rPr>
            </w:pPr>
          </w:p>
        </w:tc>
      </w:tr>
      <w:tr w14:paraId="41B5F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tcBorders>
              <w:top w:val="nil"/>
            </w:tcBorders>
            <w:vAlign w:val="center"/>
          </w:tcPr>
          <w:p w14:paraId="15489D5A">
            <w:pPr>
              <w:keepNext/>
              <w:adjustRightInd w:val="0"/>
              <w:ind w:left="63" w:leftChars="30" w:right="63" w:rightChars="30"/>
              <w:jc w:val="center"/>
              <w:textAlignment w:val="baseline"/>
              <w:rPr>
                <w:rFonts w:ascii="宋体" w:hAnsi="宋体"/>
                <w:color w:val="auto"/>
                <w:highlight w:val="none"/>
              </w:rPr>
            </w:pPr>
          </w:p>
        </w:tc>
        <w:tc>
          <w:tcPr>
            <w:tcW w:w="1276" w:type="dxa"/>
            <w:tcBorders>
              <w:top w:val="nil"/>
            </w:tcBorders>
            <w:vAlign w:val="center"/>
          </w:tcPr>
          <w:p w14:paraId="1DC93427">
            <w:pPr>
              <w:keepNext/>
              <w:adjustRightInd w:val="0"/>
              <w:ind w:left="63" w:leftChars="30" w:right="63" w:rightChars="30"/>
              <w:jc w:val="center"/>
              <w:textAlignment w:val="baseline"/>
              <w:rPr>
                <w:rFonts w:ascii="宋体" w:hAnsi="宋体"/>
                <w:color w:val="auto"/>
                <w:highlight w:val="none"/>
              </w:rPr>
            </w:pPr>
          </w:p>
        </w:tc>
        <w:tc>
          <w:tcPr>
            <w:tcW w:w="1418" w:type="dxa"/>
            <w:tcBorders>
              <w:top w:val="nil"/>
            </w:tcBorders>
            <w:vAlign w:val="center"/>
          </w:tcPr>
          <w:p w14:paraId="4AE28752">
            <w:pPr>
              <w:keepNext/>
              <w:adjustRightInd w:val="0"/>
              <w:ind w:left="63" w:leftChars="30" w:right="63" w:rightChars="30"/>
              <w:jc w:val="center"/>
              <w:textAlignment w:val="baseline"/>
              <w:rPr>
                <w:rFonts w:ascii="宋体" w:hAnsi="宋体"/>
                <w:color w:val="auto"/>
                <w:highlight w:val="none"/>
              </w:rPr>
            </w:pPr>
          </w:p>
        </w:tc>
        <w:tc>
          <w:tcPr>
            <w:tcW w:w="940" w:type="dxa"/>
            <w:tcBorders>
              <w:top w:val="nil"/>
            </w:tcBorders>
            <w:vAlign w:val="center"/>
          </w:tcPr>
          <w:p w14:paraId="6F6E35BE">
            <w:pPr>
              <w:keepNext/>
              <w:adjustRightInd w:val="0"/>
              <w:ind w:left="63" w:leftChars="30" w:right="63" w:rightChars="30"/>
              <w:jc w:val="center"/>
              <w:textAlignment w:val="baseline"/>
              <w:rPr>
                <w:rFonts w:ascii="宋体" w:hAnsi="宋体"/>
                <w:color w:val="auto"/>
                <w:highlight w:val="none"/>
              </w:rPr>
            </w:pPr>
          </w:p>
        </w:tc>
        <w:tc>
          <w:tcPr>
            <w:tcW w:w="851" w:type="dxa"/>
            <w:tcBorders>
              <w:top w:val="nil"/>
            </w:tcBorders>
            <w:vAlign w:val="center"/>
          </w:tcPr>
          <w:p w14:paraId="7210BBDF">
            <w:pPr>
              <w:keepNext/>
              <w:adjustRightInd w:val="0"/>
              <w:ind w:left="63" w:leftChars="30" w:right="63" w:rightChars="30"/>
              <w:jc w:val="center"/>
              <w:textAlignment w:val="baseline"/>
              <w:rPr>
                <w:rFonts w:ascii="宋体" w:hAnsi="宋体"/>
                <w:color w:val="auto"/>
                <w:highlight w:val="none"/>
              </w:rPr>
            </w:pPr>
          </w:p>
        </w:tc>
        <w:tc>
          <w:tcPr>
            <w:tcW w:w="1044" w:type="dxa"/>
            <w:tcBorders>
              <w:top w:val="nil"/>
            </w:tcBorders>
            <w:vAlign w:val="center"/>
          </w:tcPr>
          <w:p w14:paraId="070451FA">
            <w:pPr>
              <w:keepNext/>
              <w:adjustRightInd w:val="0"/>
              <w:ind w:left="63" w:leftChars="30" w:right="63" w:rightChars="30"/>
              <w:jc w:val="center"/>
              <w:textAlignment w:val="baseline"/>
              <w:rPr>
                <w:rFonts w:ascii="宋体" w:hAnsi="宋体"/>
                <w:color w:val="auto"/>
                <w:highlight w:val="none"/>
              </w:rPr>
            </w:pPr>
          </w:p>
        </w:tc>
        <w:tc>
          <w:tcPr>
            <w:tcW w:w="992" w:type="dxa"/>
            <w:tcBorders>
              <w:top w:val="nil"/>
            </w:tcBorders>
            <w:vAlign w:val="center"/>
          </w:tcPr>
          <w:p w14:paraId="4BC98FF4">
            <w:pPr>
              <w:keepNext/>
              <w:adjustRightInd w:val="0"/>
              <w:ind w:left="63" w:leftChars="30" w:right="63" w:rightChars="30"/>
              <w:jc w:val="center"/>
              <w:textAlignment w:val="baseline"/>
              <w:rPr>
                <w:rFonts w:ascii="宋体" w:hAnsi="宋体"/>
                <w:color w:val="auto"/>
                <w:highlight w:val="none"/>
              </w:rPr>
            </w:pPr>
          </w:p>
        </w:tc>
        <w:tc>
          <w:tcPr>
            <w:tcW w:w="851" w:type="dxa"/>
            <w:tcBorders>
              <w:top w:val="nil"/>
            </w:tcBorders>
            <w:vAlign w:val="center"/>
          </w:tcPr>
          <w:p w14:paraId="0EA45CF5">
            <w:pPr>
              <w:keepNext/>
              <w:adjustRightInd w:val="0"/>
              <w:ind w:left="63" w:leftChars="30" w:right="63" w:rightChars="30"/>
              <w:jc w:val="center"/>
              <w:textAlignment w:val="baseline"/>
              <w:rPr>
                <w:rFonts w:ascii="宋体" w:hAnsi="宋体"/>
                <w:color w:val="auto"/>
                <w:highlight w:val="none"/>
              </w:rPr>
            </w:pPr>
          </w:p>
        </w:tc>
        <w:tc>
          <w:tcPr>
            <w:tcW w:w="1487" w:type="dxa"/>
            <w:tcBorders>
              <w:top w:val="nil"/>
            </w:tcBorders>
            <w:vAlign w:val="center"/>
          </w:tcPr>
          <w:p w14:paraId="528EEA43">
            <w:pPr>
              <w:keepNext/>
              <w:adjustRightInd w:val="0"/>
              <w:ind w:left="63" w:leftChars="30" w:right="63" w:rightChars="30"/>
              <w:jc w:val="center"/>
              <w:textAlignment w:val="baseline"/>
              <w:rPr>
                <w:rFonts w:ascii="宋体" w:hAnsi="宋体"/>
                <w:color w:val="auto"/>
                <w:highlight w:val="none"/>
              </w:rPr>
            </w:pPr>
          </w:p>
        </w:tc>
        <w:tc>
          <w:tcPr>
            <w:tcW w:w="689" w:type="dxa"/>
            <w:tcBorders>
              <w:top w:val="nil"/>
            </w:tcBorders>
            <w:vAlign w:val="center"/>
          </w:tcPr>
          <w:p w14:paraId="4FBDDC36">
            <w:pPr>
              <w:keepNext/>
              <w:adjustRightInd w:val="0"/>
              <w:ind w:left="63" w:leftChars="30" w:right="63" w:rightChars="30"/>
              <w:jc w:val="center"/>
              <w:textAlignment w:val="baseline"/>
              <w:rPr>
                <w:rFonts w:ascii="宋体" w:hAnsi="宋体"/>
                <w:color w:val="auto"/>
                <w:highlight w:val="none"/>
              </w:rPr>
            </w:pPr>
          </w:p>
        </w:tc>
      </w:tr>
      <w:tr w14:paraId="24103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7C9B3988">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69FAFF87">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5D29D840">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2959F2E8">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7AC87815">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77B3BA9B">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450ACB9D">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4A3210E3">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7DBEBFE9">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19D5399E">
            <w:pPr>
              <w:keepNext/>
              <w:adjustRightInd w:val="0"/>
              <w:ind w:left="63" w:leftChars="30" w:right="63" w:rightChars="30"/>
              <w:jc w:val="center"/>
              <w:textAlignment w:val="baseline"/>
              <w:rPr>
                <w:rFonts w:ascii="宋体" w:hAnsi="宋体"/>
                <w:color w:val="auto"/>
                <w:highlight w:val="none"/>
              </w:rPr>
            </w:pPr>
          </w:p>
        </w:tc>
      </w:tr>
      <w:tr w14:paraId="6E6E7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1C6E12A6">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45CE1BFB">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0F14566F">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1A44A988">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57288BA4">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4981E61F">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17662169">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441C6D12">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119120A9">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079EB410">
            <w:pPr>
              <w:keepNext/>
              <w:adjustRightInd w:val="0"/>
              <w:ind w:left="63" w:leftChars="30" w:right="63" w:rightChars="30"/>
              <w:jc w:val="center"/>
              <w:textAlignment w:val="baseline"/>
              <w:rPr>
                <w:rFonts w:ascii="宋体" w:hAnsi="宋体"/>
                <w:color w:val="auto"/>
                <w:highlight w:val="none"/>
              </w:rPr>
            </w:pPr>
          </w:p>
        </w:tc>
      </w:tr>
      <w:tr w14:paraId="211F6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1E6201B9">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30E8D9B8">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6FF53491">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2CEE9EE1">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5951EF7C">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375D4868">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10AF87E3">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38FCDB98">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57811EAC">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0F829F21">
            <w:pPr>
              <w:keepNext/>
              <w:adjustRightInd w:val="0"/>
              <w:ind w:left="63" w:leftChars="30" w:right="63" w:rightChars="30"/>
              <w:jc w:val="center"/>
              <w:textAlignment w:val="baseline"/>
              <w:rPr>
                <w:rFonts w:ascii="宋体" w:hAnsi="宋体"/>
                <w:color w:val="auto"/>
                <w:highlight w:val="none"/>
              </w:rPr>
            </w:pPr>
          </w:p>
        </w:tc>
      </w:tr>
      <w:tr w14:paraId="1A4B8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4C7334DA">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7ABF6655">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1BC5D49A">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0F79C608">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4DAEC938">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456A388B">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1708061D">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29DF434E">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7525C6B9">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45459AAC">
            <w:pPr>
              <w:keepNext/>
              <w:adjustRightInd w:val="0"/>
              <w:ind w:left="63" w:leftChars="30" w:right="63" w:rightChars="30"/>
              <w:jc w:val="center"/>
              <w:textAlignment w:val="baseline"/>
              <w:rPr>
                <w:rFonts w:ascii="宋体" w:hAnsi="宋体"/>
                <w:color w:val="auto"/>
                <w:highlight w:val="none"/>
              </w:rPr>
            </w:pPr>
          </w:p>
        </w:tc>
      </w:tr>
      <w:tr w14:paraId="4F03D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5FB511C6">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4077B012">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4AAA85E5">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0ADF767D">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39D15A26">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2F7C3B3F">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4BF9B8C0">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463187EC">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75385155">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0C95199A">
            <w:pPr>
              <w:keepNext/>
              <w:adjustRightInd w:val="0"/>
              <w:ind w:left="63" w:leftChars="30" w:right="63" w:rightChars="30"/>
              <w:jc w:val="center"/>
              <w:textAlignment w:val="baseline"/>
              <w:rPr>
                <w:rFonts w:ascii="宋体" w:hAnsi="宋体"/>
                <w:color w:val="auto"/>
                <w:highlight w:val="none"/>
              </w:rPr>
            </w:pPr>
          </w:p>
        </w:tc>
      </w:tr>
      <w:tr w14:paraId="2244E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612EF849">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61F7F34A">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003D57DF">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4C60AE66">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340F553A">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4B454F96">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3D0B0C34">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6BDFF124">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0932F282">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028E2598">
            <w:pPr>
              <w:keepNext/>
              <w:adjustRightInd w:val="0"/>
              <w:ind w:left="63" w:leftChars="30" w:right="63" w:rightChars="30"/>
              <w:jc w:val="center"/>
              <w:textAlignment w:val="baseline"/>
              <w:rPr>
                <w:rFonts w:ascii="宋体" w:hAnsi="宋体"/>
                <w:color w:val="auto"/>
                <w:highlight w:val="none"/>
              </w:rPr>
            </w:pPr>
          </w:p>
        </w:tc>
      </w:tr>
      <w:tr w14:paraId="0B94C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493DFB66">
            <w:pPr>
              <w:jc w:val="center"/>
              <w:rPr>
                <w:rFonts w:ascii="宋体" w:hAnsi="宋体"/>
                <w:color w:val="auto"/>
                <w:highlight w:val="none"/>
              </w:rPr>
            </w:pPr>
          </w:p>
        </w:tc>
        <w:tc>
          <w:tcPr>
            <w:tcW w:w="1276" w:type="dxa"/>
            <w:vAlign w:val="center"/>
          </w:tcPr>
          <w:p w14:paraId="69E250FE">
            <w:pPr>
              <w:jc w:val="center"/>
              <w:rPr>
                <w:rFonts w:ascii="宋体" w:hAnsi="宋体"/>
                <w:color w:val="auto"/>
                <w:highlight w:val="none"/>
              </w:rPr>
            </w:pPr>
          </w:p>
        </w:tc>
        <w:tc>
          <w:tcPr>
            <w:tcW w:w="1418" w:type="dxa"/>
            <w:vAlign w:val="center"/>
          </w:tcPr>
          <w:p w14:paraId="2A4A116B">
            <w:pPr>
              <w:jc w:val="center"/>
              <w:rPr>
                <w:rFonts w:ascii="宋体" w:hAnsi="宋体"/>
                <w:color w:val="auto"/>
                <w:highlight w:val="none"/>
              </w:rPr>
            </w:pPr>
          </w:p>
        </w:tc>
        <w:tc>
          <w:tcPr>
            <w:tcW w:w="940" w:type="dxa"/>
            <w:vAlign w:val="center"/>
          </w:tcPr>
          <w:p w14:paraId="768AF3FC">
            <w:pPr>
              <w:jc w:val="center"/>
              <w:rPr>
                <w:rFonts w:ascii="宋体" w:hAnsi="宋体"/>
                <w:color w:val="auto"/>
                <w:highlight w:val="none"/>
              </w:rPr>
            </w:pPr>
          </w:p>
        </w:tc>
        <w:tc>
          <w:tcPr>
            <w:tcW w:w="851" w:type="dxa"/>
            <w:vAlign w:val="center"/>
          </w:tcPr>
          <w:p w14:paraId="4BBEFAA4">
            <w:pPr>
              <w:jc w:val="center"/>
              <w:rPr>
                <w:rFonts w:ascii="宋体" w:hAnsi="宋体"/>
                <w:color w:val="auto"/>
                <w:highlight w:val="none"/>
              </w:rPr>
            </w:pPr>
          </w:p>
        </w:tc>
        <w:tc>
          <w:tcPr>
            <w:tcW w:w="1044" w:type="dxa"/>
            <w:vAlign w:val="center"/>
          </w:tcPr>
          <w:p w14:paraId="78A23539">
            <w:pPr>
              <w:jc w:val="center"/>
              <w:rPr>
                <w:rFonts w:ascii="宋体" w:hAnsi="宋体"/>
                <w:color w:val="auto"/>
                <w:highlight w:val="none"/>
              </w:rPr>
            </w:pPr>
          </w:p>
        </w:tc>
        <w:tc>
          <w:tcPr>
            <w:tcW w:w="992" w:type="dxa"/>
            <w:vAlign w:val="center"/>
          </w:tcPr>
          <w:p w14:paraId="01E0CF23">
            <w:pPr>
              <w:jc w:val="center"/>
              <w:rPr>
                <w:rFonts w:ascii="宋体" w:hAnsi="宋体"/>
                <w:color w:val="auto"/>
                <w:highlight w:val="none"/>
              </w:rPr>
            </w:pPr>
          </w:p>
        </w:tc>
        <w:tc>
          <w:tcPr>
            <w:tcW w:w="851" w:type="dxa"/>
            <w:vAlign w:val="center"/>
          </w:tcPr>
          <w:p w14:paraId="287715E8">
            <w:pPr>
              <w:jc w:val="center"/>
              <w:rPr>
                <w:rFonts w:ascii="宋体" w:hAnsi="宋体"/>
                <w:color w:val="auto"/>
                <w:highlight w:val="none"/>
              </w:rPr>
            </w:pPr>
          </w:p>
        </w:tc>
        <w:tc>
          <w:tcPr>
            <w:tcW w:w="1487" w:type="dxa"/>
            <w:vAlign w:val="center"/>
          </w:tcPr>
          <w:p w14:paraId="7B9034DB">
            <w:pPr>
              <w:jc w:val="center"/>
              <w:rPr>
                <w:rFonts w:ascii="宋体" w:hAnsi="宋体"/>
                <w:color w:val="auto"/>
                <w:highlight w:val="none"/>
              </w:rPr>
            </w:pPr>
          </w:p>
        </w:tc>
        <w:tc>
          <w:tcPr>
            <w:tcW w:w="689" w:type="dxa"/>
            <w:vAlign w:val="center"/>
          </w:tcPr>
          <w:p w14:paraId="6648A2A7">
            <w:pPr>
              <w:jc w:val="center"/>
              <w:rPr>
                <w:rFonts w:ascii="宋体" w:hAnsi="宋体"/>
                <w:color w:val="auto"/>
                <w:highlight w:val="none"/>
              </w:rPr>
            </w:pPr>
          </w:p>
        </w:tc>
      </w:tr>
      <w:tr w14:paraId="7AE66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6675BFDC">
            <w:pPr>
              <w:keepNext/>
              <w:adjustRightInd w:val="0"/>
              <w:ind w:left="63" w:leftChars="30" w:right="63" w:rightChars="30"/>
              <w:jc w:val="center"/>
              <w:textAlignment w:val="baseline"/>
              <w:rPr>
                <w:rFonts w:ascii="宋体" w:hAnsi="宋体"/>
                <w:color w:val="auto"/>
                <w:highlight w:val="none"/>
              </w:rPr>
            </w:pPr>
          </w:p>
        </w:tc>
        <w:tc>
          <w:tcPr>
            <w:tcW w:w="1276" w:type="dxa"/>
            <w:vAlign w:val="center"/>
          </w:tcPr>
          <w:p w14:paraId="4E4E3CB4">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2A7BA0CE">
            <w:pPr>
              <w:keepNext/>
              <w:adjustRightInd w:val="0"/>
              <w:ind w:left="63" w:leftChars="30" w:right="63" w:rightChars="30"/>
              <w:jc w:val="center"/>
              <w:textAlignment w:val="baseline"/>
              <w:rPr>
                <w:rFonts w:ascii="宋体" w:hAnsi="宋体"/>
                <w:color w:val="auto"/>
                <w:highlight w:val="none"/>
              </w:rPr>
            </w:pPr>
          </w:p>
        </w:tc>
        <w:tc>
          <w:tcPr>
            <w:tcW w:w="940" w:type="dxa"/>
            <w:vAlign w:val="center"/>
          </w:tcPr>
          <w:p w14:paraId="63D4C963">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753ED0E6">
            <w:pPr>
              <w:keepNext/>
              <w:adjustRightInd w:val="0"/>
              <w:ind w:left="63" w:leftChars="30" w:right="63" w:rightChars="30"/>
              <w:jc w:val="center"/>
              <w:textAlignment w:val="baseline"/>
              <w:rPr>
                <w:rFonts w:ascii="宋体" w:hAnsi="宋体"/>
                <w:color w:val="auto"/>
                <w:highlight w:val="none"/>
              </w:rPr>
            </w:pPr>
          </w:p>
        </w:tc>
        <w:tc>
          <w:tcPr>
            <w:tcW w:w="1044" w:type="dxa"/>
            <w:vAlign w:val="center"/>
          </w:tcPr>
          <w:p w14:paraId="05E10404">
            <w:pPr>
              <w:keepNext/>
              <w:adjustRightInd w:val="0"/>
              <w:ind w:left="63" w:leftChars="30" w:right="63" w:rightChars="30"/>
              <w:jc w:val="center"/>
              <w:textAlignment w:val="baseline"/>
              <w:rPr>
                <w:rFonts w:ascii="宋体" w:hAnsi="宋体"/>
                <w:color w:val="auto"/>
                <w:highlight w:val="none"/>
              </w:rPr>
            </w:pPr>
          </w:p>
        </w:tc>
        <w:tc>
          <w:tcPr>
            <w:tcW w:w="992" w:type="dxa"/>
            <w:vAlign w:val="center"/>
          </w:tcPr>
          <w:p w14:paraId="2463B5B1">
            <w:pPr>
              <w:keepNext/>
              <w:adjustRightInd w:val="0"/>
              <w:ind w:left="63" w:leftChars="30" w:right="63" w:rightChars="30"/>
              <w:jc w:val="center"/>
              <w:textAlignment w:val="baseline"/>
              <w:rPr>
                <w:rFonts w:ascii="宋体" w:hAnsi="宋体"/>
                <w:color w:val="auto"/>
                <w:highlight w:val="none"/>
              </w:rPr>
            </w:pPr>
          </w:p>
        </w:tc>
        <w:tc>
          <w:tcPr>
            <w:tcW w:w="851" w:type="dxa"/>
            <w:vAlign w:val="center"/>
          </w:tcPr>
          <w:p w14:paraId="203E0F89">
            <w:pPr>
              <w:keepNext/>
              <w:adjustRightInd w:val="0"/>
              <w:ind w:left="63" w:leftChars="30" w:right="63" w:rightChars="30"/>
              <w:jc w:val="center"/>
              <w:textAlignment w:val="baseline"/>
              <w:rPr>
                <w:rFonts w:ascii="宋体" w:hAnsi="宋体"/>
                <w:color w:val="auto"/>
                <w:highlight w:val="none"/>
              </w:rPr>
            </w:pPr>
          </w:p>
        </w:tc>
        <w:tc>
          <w:tcPr>
            <w:tcW w:w="1487" w:type="dxa"/>
            <w:vAlign w:val="center"/>
          </w:tcPr>
          <w:p w14:paraId="07E6B225">
            <w:pPr>
              <w:keepNext/>
              <w:adjustRightInd w:val="0"/>
              <w:ind w:left="63" w:leftChars="30" w:right="63" w:rightChars="30"/>
              <w:jc w:val="center"/>
              <w:textAlignment w:val="baseline"/>
              <w:rPr>
                <w:rFonts w:ascii="宋体" w:hAnsi="宋体"/>
                <w:color w:val="auto"/>
                <w:highlight w:val="none"/>
              </w:rPr>
            </w:pPr>
          </w:p>
        </w:tc>
        <w:tc>
          <w:tcPr>
            <w:tcW w:w="689" w:type="dxa"/>
            <w:vAlign w:val="center"/>
          </w:tcPr>
          <w:p w14:paraId="384CF1D6">
            <w:pPr>
              <w:keepNext/>
              <w:adjustRightInd w:val="0"/>
              <w:ind w:left="63" w:leftChars="30" w:right="63" w:rightChars="30"/>
              <w:jc w:val="center"/>
              <w:textAlignment w:val="baseline"/>
              <w:rPr>
                <w:rFonts w:ascii="宋体" w:hAnsi="宋体"/>
                <w:color w:val="auto"/>
                <w:highlight w:val="none"/>
              </w:rPr>
            </w:pPr>
          </w:p>
        </w:tc>
      </w:tr>
      <w:tr w14:paraId="43533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733D255F">
            <w:pPr>
              <w:jc w:val="center"/>
              <w:rPr>
                <w:rFonts w:ascii="宋体" w:hAnsi="宋体"/>
                <w:color w:val="auto"/>
                <w:highlight w:val="none"/>
              </w:rPr>
            </w:pPr>
          </w:p>
        </w:tc>
        <w:tc>
          <w:tcPr>
            <w:tcW w:w="1276" w:type="dxa"/>
            <w:vAlign w:val="center"/>
          </w:tcPr>
          <w:p w14:paraId="0BCFA853">
            <w:pPr>
              <w:jc w:val="center"/>
              <w:rPr>
                <w:rFonts w:ascii="宋体" w:hAnsi="宋体"/>
                <w:color w:val="auto"/>
                <w:highlight w:val="none"/>
              </w:rPr>
            </w:pPr>
          </w:p>
        </w:tc>
        <w:tc>
          <w:tcPr>
            <w:tcW w:w="1418" w:type="dxa"/>
            <w:vAlign w:val="center"/>
          </w:tcPr>
          <w:p w14:paraId="3879208A">
            <w:pPr>
              <w:jc w:val="center"/>
              <w:rPr>
                <w:rFonts w:ascii="宋体" w:hAnsi="宋体"/>
                <w:color w:val="auto"/>
                <w:highlight w:val="none"/>
              </w:rPr>
            </w:pPr>
          </w:p>
        </w:tc>
        <w:tc>
          <w:tcPr>
            <w:tcW w:w="940" w:type="dxa"/>
            <w:vAlign w:val="center"/>
          </w:tcPr>
          <w:p w14:paraId="19E2244E">
            <w:pPr>
              <w:jc w:val="center"/>
              <w:rPr>
                <w:rFonts w:ascii="宋体" w:hAnsi="宋体"/>
                <w:color w:val="auto"/>
                <w:highlight w:val="none"/>
              </w:rPr>
            </w:pPr>
          </w:p>
        </w:tc>
        <w:tc>
          <w:tcPr>
            <w:tcW w:w="851" w:type="dxa"/>
            <w:vAlign w:val="center"/>
          </w:tcPr>
          <w:p w14:paraId="13977378">
            <w:pPr>
              <w:jc w:val="center"/>
              <w:rPr>
                <w:rFonts w:ascii="宋体" w:hAnsi="宋体"/>
                <w:color w:val="auto"/>
                <w:highlight w:val="none"/>
              </w:rPr>
            </w:pPr>
          </w:p>
        </w:tc>
        <w:tc>
          <w:tcPr>
            <w:tcW w:w="1044" w:type="dxa"/>
            <w:vAlign w:val="center"/>
          </w:tcPr>
          <w:p w14:paraId="34357FBC">
            <w:pPr>
              <w:jc w:val="center"/>
              <w:rPr>
                <w:rFonts w:ascii="宋体" w:hAnsi="宋体"/>
                <w:color w:val="auto"/>
                <w:highlight w:val="none"/>
              </w:rPr>
            </w:pPr>
          </w:p>
        </w:tc>
        <w:tc>
          <w:tcPr>
            <w:tcW w:w="992" w:type="dxa"/>
            <w:vAlign w:val="center"/>
          </w:tcPr>
          <w:p w14:paraId="03723188">
            <w:pPr>
              <w:jc w:val="center"/>
              <w:rPr>
                <w:rFonts w:ascii="宋体" w:hAnsi="宋体"/>
                <w:color w:val="auto"/>
                <w:highlight w:val="none"/>
              </w:rPr>
            </w:pPr>
          </w:p>
        </w:tc>
        <w:tc>
          <w:tcPr>
            <w:tcW w:w="851" w:type="dxa"/>
            <w:vAlign w:val="center"/>
          </w:tcPr>
          <w:p w14:paraId="4EE2E6E7">
            <w:pPr>
              <w:jc w:val="center"/>
              <w:rPr>
                <w:rFonts w:ascii="宋体" w:hAnsi="宋体"/>
                <w:color w:val="auto"/>
                <w:highlight w:val="none"/>
              </w:rPr>
            </w:pPr>
          </w:p>
        </w:tc>
        <w:tc>
          <w:tcPr>
            <w:tcW w:w="1487" w:type="dxa"/>
            <w:vAlign w:val="center"/>
          </w:tcPr>
          <w:p w14:paraId="71C1041B">
            <w:pPr>
              <w:jc w:val="center"/>
              <w:rPr>
                <w:rFonts w:ascii="宋体" w:hAnsi="宋体"/>
                <w:color w:val="auto"/>
                <w:highlight w:val="none"/>
              </w:rPr>
            </w:pPr>
          </w:p>
        </w:tc>
        <w:tc>
          <w:tcPr>
            <w:tcW w:w="689" w:type="dxa"/>
            <w:vAlign w:val="center"/>
          </w:tcPr>
          <w:p w14:paraId="14C777FF">
            <w:pPr>
              <w:jc w:val="center"/>
              <w:rPr>
                <w:rFonts w:ascii="宋体" w:hAnsi="宋体"/>
                <w:color w:val="auto"/>
                <w:highlight w:val="none"/>
              </w:rPr>
            </w:pPr>
          </w:p>
        </w:tc>
      </w:tr>
      <w:tr w14:paraId="5F580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69C903ED">
            <w:pPr>
              <w:jc w:val="center"/>
              <w:rPr>
                <w:rFonts w:ascii="宋体" w:hAnsi="宋体"/>
                <w:color w:val="auto"/>
                <w:highlight w:val="none"/>
              </w:rPr>
            </w:pPr>
          </w:p>
        </w:tc>
        <w:tc>
          <w:tcPr>
            <w:tcW w:w="1276" w:type="dxa"/>
            <w:vAlign w:val="center"/>
          </w:tcPr>
          <w:p w14:paraId="5FA88DF6">
            <w:pPr>
              <w:jc w:val="center"/>
              <w:rPr>
                <w:rFonts w:ascii="宋体" w:hAnsi="宋体"/>
                <w:color w:val="auto"/>
                <w:highlight w:val="none"/>
              </w:rPr>
            </w:pPr>
          </w:p>
        </w:tc>
        <w:tc>
          <w:tcPr>
            <w:tcW w:w="1418" w:type="dxa"/>
            <w:vAlign w:val="center"/>
          </w:tcPr>
          <w:p w14:paraId="605B01AA">
            <w:pPr>
              <w:jc w:val="center"/>
              <w:rPr>
                <w:rFonts w:ascii="宋体" w:hAnsi="宋体"/>
                <w:color w:val="auto"/>
                <w:highlight w:val="none"/>
              </w:rPr>
            </w:pPr>
          </w:p>
        </w:tc>
        <w:tc>
          <w:tcPr>
            <w:tcW w:w="940" w:type="dxa"/>
            <w:vAlign w:val="center"/>
          </w:tcPr>
          <w:p w14:paraId="1E5BB4CC">
            <w:pPr>
              <w:jc w:val="center"/>
              <w:rPr>
                <w:rFonts w:ascii="宋体" w:hAnsi="宋体"/>
                <w:color w:val="auto"/>
                <w:highlight w:val="none"/>
              </w:rPr>
            </w:pPr>
          </w:p>
        </w:tc>
        <w:tc>
          <w:tcPr>
            <w:tcW w:w="851" w:type="dxa"/>
            <w:vAlign w:val="center"/>
          </w:tcPr>
          <w:p w14:paraId="3F33A803">
            <w:pPr>
              <w:jc w:val="center"/>
              <w:rPr>
                <w:rFonts w:ascii="宋体" w:hAnsi="宋体"/>
                <w:color w:val="auto"/>
                <w:highlight w:val="none"/>
              </w:rPr>
            </w:pPr>
          </w:p>
        </w:tc>
        <w:tc>
          <w:tcPr>
            <w:tcW w:w="1044" w:type="dxa"/>
            <w:vAlign w:val="center"/>
          </w:tcPr>
          <w:p w14:paraId="3BC153E1">
            <w:pPr>
              <w:jc w:val="center"/>
              <w:rPr>
                <w:rFonts w:ascii="宋体" w:hAnsi="宋体"/>
                <w:color w:val="auto"/>
                <w:highlight w:val="none"/>
              </w:rPr>
            </w:pPr>
          </w:p>
        </w:tc>
        <w:tc>
          <w:tcPr>
            <w:tcW w:w="992" w:type="dxa"/>
            <w:vAlign w:val="center"/>
          </w:tcPr>
          <w:p w14:paraId="02BBC1F3">
            <w:pPr>
              <w:jc w:val="center"/>
              <w:rPr>
                <w:rFonts w:ascii="宋体" w:hAnsi="宋体"/>
                <w:color w:val="auto"/>
                <w:highlight w:val="none"/>
              </w:rPr>
            </w:pPr>
          </w:p>
        </w:tc>
        <w:tc>
          <w:tcPr>
            <w:tcW w:w="851" w:type="dxa"/>
            <w:vAlign w:val="center"/>
          </w:tcPr>
          <w:p w14:paraId="780C2745">
            <w:pPr>
              <w:jc w:val="center"/>
              <w:rPr>
                <w:rFonts w:ascii="宋体" w:hAnsi="宋体"/>
                <w:color w:val="auto"/>
                <w:highlight w:val="none"/>
              </w:rPr>
            </w:pPr>
          </w:p>
        </w:tc>
        <w:tc>
          <w:tcPr>
            <w:tcW w:w="1487" w:type="dxa"/>
            <w:vAlign w:val="center"/>
          </w:tcPr>
          <w:p w14:paraId="054B716B">
            <w:pPr>
              <w:jc w:val="center"/>
              <w:rPr>
                <w:rFonts w:ascii="宋体" w:hAnsi="宋体"/>
                <w:color w:val="auto"/>
                <w:highlight w:val="none"/>
              </w:rPr>
            </w:pPr>
          </w:p>
        </w:tc>
        <w:tc>
          <w:tcPr>
            <w:tcW w:w="689" w:type="dxa"/>
            <w:vAlign w:val="center"/>
          </w:tcPr>
          <w:p w14:paraId="3A4AB6EA">
            <w:pPr>
              <w:jc w:val="center"/>
              <w:rPr>
                <w:rFonts w:ascii="宋体" w:hAnsi="宋体"/>
                <w:color w:val="auto"/>
                <w:highlight w:val="none"/>
              </w:rPr>
            </w:pPr>
          </w:p>
        </w:tc>
      </w:tr>
      <w:tr w14:paraId="6480B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4FF097A6">
            <w:pPr>
              <w:jc w:val="center"/>
              <w:rPr>
                <w:rFonts w:ascii="宋体" w:hAnsi="宋体"/>
                <w:color w:val="auto"/>
                <w:highlight w:val="none"/>
              </w:rPr>
            </w:pPr>
          </w:p>
        </w:tc>
        <w:tc>
          <w:tcPr>
            <w:tcW w:w="1276" w:type="dxa"/>
            <w:vAlign w:val="center"/>
          </w:tcPr>
          <w:p w14:paraId="5BF6A075">
            <w:pPr>
              <w:jc w:val="center"/>
              <w:rPr>
                <w:rFonts w:ascii="宋体" w:hAnsi="宋体"/>
                <w:color w:val="auto"/>
                <w:highlight w:val="none"/>
              </w:rPr>
            </w:pPr>
          </w:p>
        </w:tc>
        <w:tc>
          <w:tcPr>
            <w:tcW w:w="1418" w:type="dxa"/>
            <w:vAlign w:val="center"/>
          </w:tcPr>
          <w:p w14:paraId="1F768A96">
            <w:pPr>
              <w:jc w:val="center"/>
              <w:rPr>
                <w:rFonts w:ascii="宋体" w:hAnsi="宋体"/>
                <w:color w:val="auto"/>
                <w:highlight w:val="none"/>
              </w:rPr>
            </w:pPr>
          </w:p>
        </w:tc>
        <w:tc>
          <w:tcPr>
            <w:tcW w:w="940" w:type="dxa"/>
            <w:vAlign w:val="center"/>
          </w:tcPr>
          <w:p w14:paraId="21AF6D6B">
            <w:pPr>
              <w:jc w:val="center"/>
              <w:rPr>
                <w:rFonts w:ascii="宋体" w:hAnsi="宋体"/>
                <w:color w:val="auto"/>
                <w:highlight w:val="none"/>
              </w:rPr>
            </w:pPr>
          </w:p>
        </w:tc>
        <w:tc>
          <w:tcPr>
            <w:tcW w:w="851" w:type="dxa"/>
            <w:vAlign w:val="center"/>
          </w:tcPr>
          <w:p w14:paraId="62055BF0">
            <w:pPr>
              <w:jc w:val="center"/>
              <w:rPr>
                <w:rFonts w:ascii="宋体" w:hAnsi="宋体"/>
                <w:color w:val="auto"/>
                <w:highlight w:val="none"/>
              </w:rPr>
            </w:pPr>
          </w:p>
        </w:tc>
        <w:tc>
          <w:tcPr>
            <w:tcW w:w="1044" w:type="dxa"/>
            <w:vAlign w:val="center"/>
          </w:tcPr>
          <w:p w14:paraId="02A4FDA1">
            <w:pPr>
              <w:jc w:val="center"/>
              <w:rPr>
                <w:rFonts w:ascii="宋体" w:hAnsi="宋体"/>
                <w:color w:val="auto"/>
                <w:highlight w:val="none"/>
              </w:rPr>
            </w:pPr>
          </w:p>
        </w:tc>
        <w:tc>
          <w:tcPr>
            <w:tcW w:w="992" w:type="dxa"/>
            <w:vAlign w:val="center"/>
          </w:tcPr>
          <w:p w14:paraId="0EA2AB22">
            <w:pPr>
              <w:jc w:val="center"/>
              <w:rPr>
                <w:rFonts w:ascii="宋体" w:hAnsi="宋体"/>
                <w:color w:val="auto"/>
                <w:highlight w:val="none"/>
              </w:rPr>
            </w:pPr>
          </w:p>
        </w:tc>
        <w:tc>
          <w:tcPr>
            <w:tcW w:w="851" w:type="dxa"/>
            <w:vAlign w:val="center"/>
          </w:tcPr>
          <w:p w14:paraId="118C0030">
            <w:pPr>
              <w:jc w:val="center"/>
              <w:rPr>
                <w:rFonts w:ascii="宋体" w:hAnsi="宋体"/>
                <w:color w:val="auto"/>
                <w:highlight w:val="none"/>
              </w:rPr>
            </w:pPr>
          </w:p>
        </w:tc>
        <w:tc>
          <w:tcPr>
            <w:tcW w:w="1487" w:type="dxa"/>
            <w:vAlign w:val="center"/>
          </w:tcPr>
          <w:p w14:paraId="42EFEAD5">
            <w:pPr>
              <w:jc w:val="center"/>
              <w:rPr>
                <w:rFonts w:ascii="宋体" w:hAnsi="宋体"/>
                <w:color w:val="auto"/>
                <w:highlight w:val="none"/>
              </w:rPr>
            </w:pPr>
          </w:p>
        </w:tc>
        <w:tc>
          <w:tcPr>
            <w:tcW w:w="689" w:type="dxa"/>
            <w:vAlign w:val="center"/>
          </w:tcPr>
          <w:p w14:paraId="0910CC77">
            <w:pPr>
              <w:jc w:val="center"/>
              <w:rPr>
                <w:rFonts w:ascii="宋体" w:hAnsi="宋体"/>
                <w:color w:val="auto"/>
                <w:highlight w:val="none"/>
              </w:rPr>
            </w:pPr>
          </w:p>
        </w:tc>
      </w:tr>
      <w:tr w14:paraId="5EEB2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391E4431">
            <w:pPr>
              <w:jc w:val="center"/>
              <w:rPr>
                <w:rFonts w:ascii="宋体" w:hAnsi="宋体"/>
                <w:color w:val="auto"/>
                <w:highlight w:val="none"/>
              </w:rPr>
            </w:pPr>
          </w:p>
        </w:tc>
        <w:tc>
          <w:tcPr>
            <w:tcW w:w="1276" w:type="dxa"/>
            <w:vAlign w:val="center"/>
          </w:tcPr>
          <w:p w14:paraId="592ACDE3">
            <w:pPr>
              <w:jc w:val="center"/>
              <w:rPr>
                <w:rFonts w:ascii="宋体" w:hAnsi="宋体"/>
                <w:color w:val="auto"/>
                <w:highlight w:val="none"/>
              </w:rPr>
            </w:pPr>
          </w:p>
        </w:tc>
        <w:tc>
          <w:tcPr>
            <w:tcW w:w="1418" w:type="dxa"/>
            <w:vAlign w:val="center"/>
          </w:tcPr>
          <w:p w14:paraId="5A295F3F">
            <w:pPr>
              <w:jc w:val="center"/>
              <w:rPr>
                <w:rFonts w:ascii="宋体" w:hAnsi="宋体"/>
                <w:color w:val="auto"/>
                <w:highlight w:val="none"/>
              </w:rPr>
            </w:pPr>
          </w:p>
        </w:tc>
        <w:tc>
          <w:tcPr>
            <w:tcW w:w="940" w:type="dxa"/>
            <w:vAlign w:val="center"/>
          </w:tcPr>
          <w:p w14:paraId="0037CF4E">
            <w:pPr>
              <w:jc w:val="center"/>
              <w:rPr>
                <w:rFonts w:ascii="宋体" w:hAnsi="宋体"/>
                <w:color w:val="auto"/>
                <w:highlight w:val="none"/>
              </w:rPr>
            </w:pPr>
          </w:p>
        </w:tc>
        <w:tc>
          <w:tcPr>
            <w:tcW w:w="851" w:type="dxa"/>
            <w:vAlign w:val="center"/>
          </w:tcPr>
          <w:p w14:paraId="78188786">
            <w:pPr>
              <w:jc w:val="center"/>
              <w:rPr>
                <w:rFonts w:ascii="宋体" w:hAnsi="宋体"/>
                <w:color w:val="auto"/>
                <w:highlight w:val="none"/>
              </w:rPr>
            </w:pPr>
          </w:p>
        </w:tc>
        <w:tc>
          <w:tcPr>
            <w:tcW w:w="1044" w:type="dxa"/>
            <w:vAlign w:val="center"/>
          </w:tcPr>
          <w:p w14:paraId="6014159E">
            <w:pPr>
              <w:jc w:val="center"/>
              <w:rPr>
                <w:rFonts w:ascii="宋体" w:hAnsi="宋体"/>
                <w:color w:val="auto"/>
                <w:highlight w:val="none"/>
              </w:rPr>
            </w:pPr>
          </w:p>
        </w:tc>
        <w:tc>
          <w:tcPr>
            <w:tcW w:w="992" w:type="dxa"/>
            <w:vAlign w:val="center"/>
          </w:tcPr>
          <w:p w14:paraId="7D8E32E0">
            <w:pPr>
              <w:jc w:val="center"/>
              <w:rPr>
                <w:rFonts w:ascii="宋体" w:hAnsi="宋体"/>
                <w:color w:val="auto"/>
                <w:highlight w:val="none"/>
              </w:rPr>
            </w:pPr>
          </w:p>
        </w:tc>
        <w:tc>
          <w:tcPr>
            <w:tcW w:w="851" w:type="dxa"/>
            <w:vAlign w:val="center"/>
          </w:tcPr>
          <w:p w14:paraId="5342AB78">
            <w:pPr>
              <w:jc w:val="center"/>
              <w:rPr>
                <w:rFonts w:ascii="宋体" w:hAnsi="宋体"/>
                <w:color w:val="auto"/>
                <w:highlight w:val="none"/>
              </w:rPr>
            </w:pPr>
          </w:p>
        </w:tc>
        <w:tc>
          <w:tcPr>
            <w:tcW w:w="1487" w:type="dxa"/>
            <w:vAlign w:val="center"/>
          </w:tcPr>
          <w:p w14:paraId="3FB8EA3E">
            <w:pPr>
              <w:jc w:val="center"/>
              <w:rPr>
                <w:rFonts w:ascii="宋体" w:hAnsi="宋体"/>
                <w:color w:val="auto"/>
                <w:highlight w:val="none"/>
              </w:rPr>
            </w:pPr>
          </w:p>
        </w:tc>
        <w:tc>
          <w:tcPr>
            <w:tcW w:w="689" w:type="dxa"/>
            <w:vAlign w:val="center"/>
          </w:tcPr>
          <w:p w14:paraId="33FF2996">
            <w:pPr>
              <w:jc w:val="center"/>
              <w:rPr>
                <w:rFonts w:ascii="宋体" w:hAnsi="宋体"/>
                <w:color w:val="auto"/>
                <w:highlight w:val="none"/>
              </w:rPr>
            </w:pPr>
          </w:p>
        </w:tc>
      </w:tr>
      <w:tr w14:paraId="1254F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7EB31E30">
            <w:pPr>
              <w:jc w:val="center"/>
              <w:rPr>
                <w:rFonts w:ascii="宋体" w:hAnsi="宋体"/>
                <w:color w:val="auto"/>
                <w:highlight w:val="none"/>
              </w:rPr>
            </w:pPr>
          </w:p>
        </w:tc>
        <w:tc>
          <w:tcPr>
            <w:tcW w:w="1276" w:type="dxa"/>
            <w:vAlign w:val="center"/>
          </w:tcPr>
          <w:p w14:paraId="389A1C23">
            <w:pPr>
              <w:jc w:val="center"/>
              <w:rPr>
                <w:rFonts w:ascii="宋体" w:hAnsi="宋体"/>
                <w:color w:val="auto"/>
                <w:highlight w:val="none"/>
              </w:rPr>
            </w:pPr>
          </w:p>
        </w:tc>
        <w:tc>
          <w:tcPr>
            <w:tcW w:w="1418" w:type="dxa"/>
            <w:vAlign w:val="center"/>
          </w:tcPr>
          <w:p w14:paraId="0B363892">
            <w:pPr>
              <w:jc w:val="center"/>
              <w:rPr>
                <w:rFonts w:ascii="宋体" w:hAnsi="宋体"/>
                <w:color w:val="auto"/>
                <w:highlight w:val="none"/>
              </w:rPr>
            </w:pPr>
          </w:p>
        </w:tc>
        <w:tc>
          <w:tcPr>
            <w:tcW w:w="940" w:type="dxa"/>
            <w:vAlign w:val="center"/>
          </w:tcPr>
          <w:p w14:paraId="3A24E1F3">
            <w:pPr>
              <w:jc w:val="center"/>
              <w:rPr>
                <w:rFonts w:ascii="宋体" w:hAnsi="宋体"/>
                <w:color w:val="auto"/>
                <w:highlight w:val="none"/>
              </w:rPr>
            </w:pPr>
          </w:p>
        </w:tc>
        <w:tc>
          <w:tcPr>
            <w:tcW w:w="851" w:type="dxa"/>
            <w:vAlign w:val="center"/>
          </w:tcPr>
          <w:p w14:paraId="33FD07DC">
            <w:pPr>
              <w:jc w:val="center"/>
              <w:rPr>
                <w:rFonts w:ascii="宋体" w:hAnsi="宋体"/>
                <w:color w:val="auto"/>
                <w:highlight w:val="none"/>
              </w:rPr>
            </w:pPr>
          </w:p>
        </w:tc>
        <w:tc>
          <w:tcPr>
            <w:tcW w:w="1044" w:type="dxa"/>
            <w:vAlign w:val="center"/>
          </w:tcPr>
          <w:p w14:paraId="0D2361EF">
            <w:pPr>
              <w:jc w:val="center"/>
              <w:rPr>
                <w:rFonts w:ascii="宋体" w:hAnsi="宋体"/>
                <w:color w:val="auto"/>
                <w:highlight w:val="none"/>
              </w:rPr>
            </w:pPr>
          </w:p>
        </w:tc>
        <w:tc>
          <w:tcPr>
            <w:tcW w:w="992" w:type="dxa"/>
            <w:vAlign w:val="center"/>
          </w:tcPr>
          <w:p w14:paraId="2170CD97">
            <w:pPr>
              <w:jc w:val="center"/>
              <w:rPr>
                <w:rFonts w:ascii="宋体" w:hAnsi="宋体"/>
                <w:color w:val="auto"/>
                <w:highlight w:val="none"/>
              </w:rPr>
            </w:pPr>
          </w:p>
        </w:tc>
        <w:tc>
          <w:tcPr>
            <w:tcW w:w="851" w:type="dxa"/>
            <w:vAlign w:val="center"/>
          </w:tcPr>
          <w:p w14:paraId="7F8BE36E">
            <w:pPr>
              <w:jc w:val="center"/>
              <w:rPr>
                <w:rFonts w:ascii="宋体" w:hAnsi="宋体"/>
                <w:color w:val="auto"/>
                <w:highlight w:val="none"/>
              </w:rPr>
            </w:pPr>
          </w:p>
        </w:tc>
        <w:tc>
          <w:tcPr>
            <w:tcW w:w="1487" w:type="dxa"/>
            <w:vAlign w:val="center"/>
          </w:tcPr>
          <w:p w14:paraId="34A10167">
            <w:pPr>
              <w:jc w:val="center"/>
              <w:rPr>
                <w:rFonts w:ascii="宋体" w:hAnsi="宋体"/>
                <w:color w:val="auto"/>
                <w:highlight w:val="none"/>
              </w:rPr>
            </w:pPr>
          </w:p>
        </w:tc>
        <w:tc>
          <w:tcPr>
            <w:tcW w:w="689" w:type="dxa"/>
            <w:vAlign w:val="center"/>
          </w:tcPr>
          <w:p w14:paraId="1FBF8B6F">
            <w:pPr>
              <w:jc w:val="center"/>
              <w:rPr>
                <w:rFonts w:ascii="宋体" w:hAnsi="宋体"/>
                <w:color w:val="auto"/>
                <w:highlight w:val="none"/>
              </w:rPr>
            </w:pPr>
          </w:p>
        </w:tc>
      </w:tr>
      <w:tr w14:paraId="6573C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5FD2BBD6">
            <w:pPr>
              <w:jc w:val="center"/>
              <w:rPr>
                <w:rFonts w:ascii="宋体" w:hAnsi="宋体"/>
                <w:color w:val="auto"/>
                <w:highlight w:val="none"/>
              </w:rPr>
            </w:pPr>
          </w:p>
        </w:tc>
        <w:tc>
          <w:tcPr>
            <w:tcW w:w="1276" w:type="dxa"/>
            <w:vAlign w:val="center"/>
          </w:tcPr>
          <w:p w14:paraId="327CE24D">
            <w:pPr>
              <w:jc w:val="center"/>
              <w:rPr>
                <w:rFonts w:ascii="宋体" w:hAnsi="宋体"/>
                <w:color w:val="auto"/>
                <w:highlight w:val="none"/>
              </w:rPr>
            </w:pPr>
          </w:p>
        </w:tc>
        <w:tc>
          <w:tcPr>
            <w:tcW w:w="1418" w:type="dxa"/>
            <w:vAlign w:val="center"/>
          </w:tcPr>
          <w:p w14:paraId="7C026A7A">
            <w:pPr>
              <w:jc w:val="center"/>
              <w:rPr>
                <w:rFonts w:ascii="宋体" w:hAnsi="宋体"/>
                <w:color w:val="auto"/>
                <w:highlight w:val="none"/>
              </w:rPr>
            </w:pPr>
          </w:p>
        </w:tc>
        <w:tc>
          <w:tcPr>
            <w:tcW w:w="940" w:type="dxa"/>
            <w:vAlign w:val="center"/>
          </w:tcPr>
          <w:p w14:paraId="03BBC79B">
            <w:pPr>
              <w:jc w:val="center"/>
              <w:rPr>
                <w:rFonts w:ascii="宋体" w:hAnsi="宋体"/>
                <w:color w:val="auto"/>
                <w:highlight w:val="none"/>
              </w:rPr>
            </w:pPr>
          </w:p>
        </w:tc>
        <w:tc>
          <w:tcPr>
            <w:tcW w:w="851" w:type="dxa"/>
            <w:vAlign w:val="center"/>
          </w:tcPr>
          <w:p w14:paraId="55E52D65">
            <w:pPr>
              <w:jc w:val="center"/>
              <w:rPr>
                <w:rFonts w:ascii="宋体" w:hAnsi="宋体"/>
                <w:color w:val="auto"/>
                <w:highlight w:val="none"/>
              </w:rPr>
            </w:pPr>
          </w:p>
        </w:tc>
        <w:tc>
          <w:tcPr>
            <w:tcW w:w="1044" w:type="dxa"/>
            <w:vAlign w:val="center"/>
          </w:tcPr>
          <w:p w14:paraId="540B5C59">
            <w:pPr>
              <w:jc w:val="center"/>
              <w:rPr>
                <w:rFonts w:ascii="宋体" w:hAnsi="宋体"/>
                <w:color w:val="auto"/>
                <w:highlight w:val="none"/>
              </w:rPr>
            </w:pPr>
          </w:p>
        </w:tc>
        <w:tc>
          <w:tcPr>
            <w:tcW w:w="992" w:type="dxa"/>
            <w:vAlign w:val="center"/>
          </w:tcPr>
          <w:p w14:paraId="52E2A84F">
            <w:pPr>
              <w:jc w:val="center"/>
              <w:rPr>
                <w:rFonts w:ascii="宋体" w:hAnsi="宋体"/>
                <w:color w:val="auto"/>
                <w:highlight w:val="none"/>
              </w:rPr>
            </w:pPr>
          </w:p>
        </w:tc>
        <w:tc>
          <w:tcPr>
            <w:tcW w:w="851" w:type="dxa"/>
            <w:vAlign w:val="center"/>
          </w:tcPr>
          <w:p w14:paraId="5C5FC0B4">
            <w:pPr>
              <w:jc w:val="center"/>
              <w:rPr>
                <w:rFonts w:ascii="宋体" w:hAnsi="宋体"/>
                <w:color w:val="auto"/>
                <w:highlight w:val="none"/>
              </w:rPr>
            </w:pPr>
          </w:p>
        </w:tc>
        <w:tc>
          <w:tcPr>
            <w:tcW w:w="1487" w:type="dxa"/>
            <w:vAlign w:val="center"/>
          </w:tcPr>
          <w:p w14:paraId="6070A9B5">
            <w:pPr>
              <w:jc w:val="center"/>
              <w:rPr>
                <w:rFonts w:ascii="宋体" w:hAnsi="宋体"/>
                <w:color w:val="auto"/>
                <w:highlight w:val="none"/>
              </w:rPr>
            </w:pPr>
          </w:p>
        </w:tc>
        <w:tc>
          <w:tcPr>
            <w:tcW w:w="689" w:type="dxa"/>
            <w:vAlign w:val="center"/>
          </w:tcPr>
          <w:p w14:paraId="5D2B694E">
            <w:pPr>
              <w:jc w:val="center"/>
              <w:rPr>
                <w:rFonts w:ascii="宋体" w:hAnsi="宋体"/>
                <w:color w:val="auto"/>
                <w:highlight w:val="none"/>
              </w:rPr>
            </w:pPr>
          </w:p>
        </w:tc>
      </w:tr>
      <w:tr w14:paraId="4F356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26753096">
            <w:pPr>
              <w:jc w:val="center"/>
              <w:rPr>
                <w:rFonts w:ascii="宋体" w:hAnsi="宋体"/>
                <w:color w:val="auto"/>
                <w:highlight w:val="none"/>
              </w:rPr>
            </w:pPr>
          </w:p>
        </w:tc>
        <w:tc>
          <w:tcPr>
            <w:tcW w:w="1276" w:type="dxa"/>
            <w:vAlign w:val="center"/>
          </w:tcPr>
          <w:p w14:paraId="78D5A190">
            <w:pPr>
              <w:jc w:val="center"/>
              <w:rPr>
                <w:rFonts w:ascii="宋体" w:hAnsi="宋体"/>
                <w:color w:val="auto"/>
                <w:highlight w:val="none"/>
              </w:rPr>
            </w:pPr>
          </w:p>
        </w:tc>
        <w:tc>
          <w:tcPr>
            <w:tcW w:w="1418" w:type="dxa"/>
            <w:vAlign w:val="center"/>
          </w:tcPr>
          <w:p w14:paraId="36A3FE8F">
            <w:pPr>
              <w:jc w:val="center"/>
              <w:rPr>
                <w:rFonts w:ascii="宋体" w:hAnsi="宋体"/>
                <w:color w:val="auto"/>
                <w:highlight w:val="none"/>
              </w:rPr>
            </w:pPr>
          </w:p>
        </w:tc>
        <w:tc>
          <w:tcPr>
            <w:tcW w:w="940" w:type="dxa"/>
            <w:vAlign w:val="center"/>
          </w:tcPr>
          <w:p w14:paraId="4C69877E">
            <w:pPr>
              <w:jc w:val="center"/>
              <w:rPr>
                <w:rFonts w:ascii="宋体" w:hAnsi="宋体"/>
                <w:color w:val="auto"/>
                <w:highlight w:val="none"/>
              </w:rPr>
            </w:pPr>
          </w:p>
        </w:tc>
        <w:tc>
          <w:tcPr>
            <w:tcW w:w="851" w:type="dxa"/>
            <w:vAlign w:val="center"/>
          </w:tcPr>
          <w:p w14:paraId="077FDAEC">
            <w:pPr>
              <w:jc w:val="center"/>
              <w:rPr>
                <w:rFonts w:ascii="宋体" w:hAnsi="宋体"/>
                <w:color w:val="auto"/>
                <w:highlight w:val="none"/>
              </w:rPr>
            </w:pPr>
          </w:p>
        </w:tc>
        <w:tc>
          <w:tcPr>
            <w:tcW w:w="1044" w:type="dxa"/>
            <w:vAlign w:val="center"/>
          </w:tcPr>
          <w:p w14:paraId="4EFE43A9">
            <w:pPr>
              <w:jc w:val="center"/>
              <w:rPr>
                <w:rFonts w:ascii="宋体" w:hAnsi="宋体"/>
                <w:color w:val="auto"/>
                <w:highlight w:val="none"/>
              </w:rPr>
            </w:pPr>
          </w:p>
        </w:tc>
        <w:tc>
          <w:tcPr>
            <w:tcW w:w="992" w:type="dxa"/>
            <w:vAlign w:val="center"/>
          </w:tcPr>
          <w:p w14:paraId="0B767F84">
            <w:pPr>
              <w:jc w:val="center"/>
              <w:rPr>
                <w:rFonts w:ascii="宋体" w:hAnsi="宋体"/>
                <w:color w:val="auto"/>
                <w:highlight w:val="none"/>
              </w:rPr>
            </w:pPr>
          </w:p>
        </w:tc>
        <w:tc>
          <w:tcPr>
            <w:tcW w:w="851" w:type="dxa"/>
            <w:vAlign w:val="center"/>
          </w:tcPr>
          <w:p w14:paraId="5C06AB9D">
            <w:pPr>
              <w:jc w:val="center"/>
              <w:rPr>
                <w:rFonts w:ascii="宋体" w:hAnsi="宋体"/>
                <w:color w:val="auto"/>
                <w:highlight w:val="none"/>
              </w:rPr>
            </w:pPr>
          </w:p>
        </w:tc>
        <w:tc>
          <w:tcPr>
            <w:tcW w:w="1487" w:type="dxa"/>
            <w:vAlign w:val="center"/>
          </w:tcPr>
          <w:p w14:paraId="06F29CE0">
            <w:pPr>
              <w:jc w:val="center"/>
              <w:rPr>
                <w:rFonts w:ascii="宋体" w:hAnsi="宋体"/>
                <w:color w:val="auto"/>
                <w:highlight w:val="none"/>
              </w:rPr>
            </w:pPr>
          </w:p>
        </w:tc>
        <w:tc>
          <w:tcPr>
            <w:tcW w:w="689" w:type="dxa"/>
            <w:vAlign w:val="center"/>
          </w:tcPr>
          <w:p w14:paraId="2478F400">
            <w:pPr>
              <w:jc w:val="center"/>
              <w:rPr>
                <w:rFonts w:ascii="宋体" w:hAnsi="宋体"/>
                <w:color w:val="auto"/>
                <w:highlight w:val="none"/>
              </w:rPr>
            </w:pPr>
          </w:p>
        </w:tc>
      </w:tr>
      <w:tr w14:paraId="4564C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64" w:type="dxa"/>
            <w:vAlign w:val="center"/>
          </w:tcPr>
          <w:p w14:paraId="4ECDF972">
            <w:pPr>
              <w:jc w:val="center"/>
              <w:rPr>
                <w:rFonts w:ascii="宋体" w:hAnsi="宋体"/>
                <w:color w:val="auto"/>
                <w:highlight w:val="none"/>
              </w:rPr>
            </w:pPr>
          </w:p>
        </w:tc>
        <w:tc>
          <w:tcPr>
            <w:tcW w:w="1276" w:type="dxa"/>
            <w:vAlign w:val="center"/>
          </w:tcPr>
          <w:p w14:paraId="4EE76860">
            <w:pPr>
              <w:jc w:val="center"/>
              <w:rPr>
                <w:rFonts w:ascii="宋体" w:hAnsi="宋体"/>
                <w:color w:val="auto"/>
                <w:highlight w:val="none"/>
              </w:rPr>
            </w:pPr>
          </w:p>
        </w:tc>
        <w:tc>
          <w:tcPr>
            <w:tcW w:w="1418" w:type="dxa"/>
            <w:vAlign w:val="center"/>
          </w:tcPr>
          <w:p w14:paraId="1E9BFC2D">
            <w:pPr>
              <w:jc w:val="center"/>
              <w:rPr>
                <w:rFonts w:ascii="宋体" w:hAnsi="宋体"/>
                <w:color w:val="auto"/>
                <w:highlight w:val="none"/>
              </w:rPr>
            </w:pPr>
          </w:p>
        </w:tc>
        <w:tc>
          <w:tcPr>
            <w:tcW w:w="940" w:type="dxa"/>
            <w:vAlign w:val="center"/>
          </w:tcPr>
          <w:p w14:paraId="612600E5">
            <w:pPr>
              <w:jc w:val="center"/>
              <w:rPr>
                <w:rFonts w:ascii="宋体" w:hAnsi="宋体"/>
                <w:color w:val="auto"/>
                <w:highlight w:val="none"/>
              </w:rPr>
            </w:pPr>
          </w:p>
        </w:tc>
        <w:tc>
          <w:tcPr>
            <w:tcW w:w="851" w:type="dxa"/>
            <w:vAlign w:val="center"/>
          </w:tcPr>
          <w:p w14:paraId="09FD3407">
            <w:pPr>
              <w:jc w:val="center"/>
              <w:rPr>
                <w:rFonts w:ascii="宋体" w:hAnsi="宋体"/>
                <w:color w:val="auto"/>
                <w:highlight w:val="none"/>
              </w:rPr>
            </w:pPr>
          </w:p>
        </w:tc>
        <w:tc>
          <w:tcPr>
            <w:tcW w:w="1044" w:type="dxa"/>
            <w:vAlign w:val="center"/>
          </w:tcPr>
          <w:p w14:paraId="51C1940F">
            <w:pPr>
              <w:jc w:val="center"/>
              <w:rPr>
                <w:rFonts w:ascii="宋体" w:hAnsi="宋体"/>
                <w:color w:val="auto"/>
                <w:highlight w:val="none"/>
              </w:rPr>
            </w:pPr>
          </w:p>
        </w:tc>
        <w:tc>
          <w:tcPr>
            <w:tcW w:w="992" w:type="dxa"/>
            <w:vAlign w:val="center"/>
          </w:tcPr>
          <w:p w14:paraId="0A59E10A">
            <w:pPr>
              <w:jc w:val="center"/>
              <w:rPr>
                <w:rFonts w:ascii="宋体" w:hAnsi="宋体"/>
                <w:color w:val="auto"/>
                <w:highlight w:val="none"/>
              </w:rPr>
            </w:pPr>
          </w:p>
        </w:tc>
        <w:tc>
          <w:tcPr>
            <w:tcW w:w="851" w:type="dxa"/>
            <w:vAlign w:val="center"/>
          </w:tcPr>
          <w:p w14:paraId="351AEB17">
            <w:pPr>
              <w:jc w:val="center"/>
              <w:rPr>
                <w:rFonts w:ascii="宋体" w:hAnsi="宋体"/>
                <w:color w:val="auto"/>
                <w:highlight w:val="none"/>
              </w:rPr>
            </w:pPr>
          </w:p>
        </w:tc>
        <w:tc>
          <w:tcPr>
            <w:tcW w:w="1487" w:type="dxa"/>
            <w:vAlign w:val="center"/>
          </w:tcPr>
          <w:p w14:paraId="64B99C82">
            <w:pPr>
              <w:jc w:val="center"/>
              <w:rPr>
                <w:rFonts w:ascii="宋体" w:hAnsi="宋体"/>
                <w:color w:val="auto"/>
                <w:highlight w:val="none"/>
              </w:rPr>
            </w:pPr>
          </w:p>
        </w:tc>
        <w:tc>
          <w:tcPr>
            <w:tcW w:w="689" w:type="dxa"/>
            <w:vAlign w:val="center"/>
          </w:tcPr>
          <w:p w14:paraId="3FB6082F">
            <w:pPr>
              <w:jc w:val="center"/>
              <w:rPr>
                <w:rFonts w:ascii="宋体" w:hAnsi="宋体"/>
                <w:color w:val="auto"/>
                <w:highlight w:val="none"/>
              </w:rPr>
            </w:pPr>
          </w:p>
        </w:tc>
      </w:tr>
    </w:tbl>
    <w:p w14:paraId="47553BD6">
      <w:pPr>
        <w:spacing w:line="440" w:lineRule="exact"/>
        <w:rPr>
          <w:rFonts w:eastAsia="黑体"/>
          <w:color w:val="auto"/>
          <w:sz w:val="30"/>
          <w:szCs w:val="30"/>
          <w:highlight w:val="none"/>
        </w:rPr>
      </w:pPr>
    </w:p>
    <w:p w14:paraId="2BE54C32">
      <w:pPr>
        <w:spacing w:line="440" w:lineRule="exact"/>
        <w:rPr>
          <w:rFonts w:eastAsia="黑体"/>
          <w:color w:val="auto"/>
          <w:sz w:val="30"/>
          <w:szCs w:val="30"/>
          <w:highlight w:val="none"/>
        </w:rPr>
      </w:pPr>
      <w:r>
        <w:rPr>
          <w:rFonts w:hint="eastAsia"/>
          <w:color w:val="auto"/>
          <w:highlight w:val="none"/>
        </w:rPr>
        <w:br w:type="page"/>
      </w:r>
      <w:r>
        <w:rPr>
          <w:rFonts w:eastAsia="仿宋_GB2312"/>
          <w:color w:val="auto"/>
          <w:sz w:val="30"/>
          <w:szCs w:val="30"/>
          <w:highlight w:val="none"/>
        </w:rPr>
        <w:t>附</w:t>
      </w:r>
      <w:bookmarkStart w:id="1136" w:name="_Toc296347227"/>
      <w:bookmarkStart w:id="1137" w:name="_Toc296891268"/>
      <w:bookmarkStart w:id="1138" w:name="_Toc296944567"/>
      <w:bookmarkStart w:id="1139" w:name="_Toc296346729"/>
      <w:bookmarkStart w:id="1140" w:name="_Toc296891056"/>
      <w:bookmarkStart w:id="1141" w:name="_Toc296503228"/>
      <w:bookmarkStart w:id="1142" w:name="_Toc267261699"/>
      <w:r>
        <w:rPr>
          <w:rFonts w:eastAsia="仿宋_GB2312"/>
          <w:color w:val="auto"/>
          <w:sz w:val="30"/>
          <w:szCs w:val="30"/>
          <w:highlight w:val="none"/>
        </w:rPr>
        <w:t>件</w:t>
      </w:r>
      <w:r>
        <w:rPr>
          <w:rFonts w:hint="eastAsia" w:eastAsia="仿宋_GB2312"/>
          <w:color w:val="auto"/>
          <w:sz w:val="30"/>
          <w:szCs w:val="30"/>
          <w:highlight w:val="none"/>
        </w:rPr>
        <w:t>3</w:t>
      </w:r>
      <w:r>
        <w:rPr>
          <w:rFonts w:eastAsia="仿宋_GB2312"/>
          <w:color w:val="auto"/>
          <w:sz w:val="30"/>
          <w:szCs w:val="30"/>
          <w:highlight w:val="none"/>
        </w:rPr>
        <w:t>：</w:t>
      </w:r>
    </w:p>
    <w:bookmarkEnd w:id="1136"/>
    <w:bookmarkEnd w:id="1137"/>
    <w:bookmarkEnd w:id="1138"/>
    <w:bookmarkEnd w:id="1139"/>
    <w:bookmarkEnd w:id="1140"/>
    <w:bookmarkEnd w:id="1141"/>
    <w:bookmarkEnd w:id="1142"/>
    <w:p w14:paraId="16A8F0A2">
      <w:pPr>
        <w:spacing w:before="120" w:beforeLines="50" w:after="120" w:afterLines="50" w:line="440" w:lineRule="exact"/>
        <w:jc w:val="center"/>
        <w:rPr>
          <w:rFonts w:ascii="宋体" w:hAnsi="宋体"/>
          <w:b/>
          <w:color w:val="auto"/>
          <w:highlight w:val="none"/>
        </w:rPr>
      </w:pPr>
      <w:r>
        <w:rPr>
          <w:rFonts w:hint="eastAsia" w:ascii="宋体" w:hAnsi="宋体"/>
          <w:b/>
          <w:color w:val="auto"/>
          <w:highlight w:val="none"/>
        </w:rPr>
        <w:t>工程质量保修书</w:t>
      </w:r>
    </w:p>
    <w:p w14:paraId="6A2441DA">
      <w:pPr>
        <w:spacing w:line="440" w:lineRule="exact"/>
        <w:ind w:firstLine="420" w:firstLineChars="200"/>
        <w:rPr>
          <w:rFonts w:ascii="宋体" w:hAnsi="宋体"/>
          <w:color w:val="auto"/>
          <w:highlight w:val="none"/>
        </w:rPr>
      </w:pPr>
      <w:r>
        <w:rPr>
          <w:rFonts w:hint="eastAsia" w:ascii="宋体" w:hAnsi="宋体"/>
          <w:color w:val="auto"/>
          <w:highlight w:val="none"/>
        </w:rPr>
        <w:t>发包人（全称）：</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p>
    <w:p w14:paraId="0BFF4195">
      <w:pPr>
        <w:spacing w:line="440" w:lineRule="exact"/>
        <w:rPr>
          <w:rFonts w:ascii="宋体" w:hAnsi="宋体"/>
          <w:color w:val="auto"/>
          <w:highlight w:val="none"/>
        </w:rPr>
      </w:pPr>
      <w:r>
        <w:rPr>
          <w:rFonts w:hint="eastAsia" w:ascii="宋体" w:hAnsi="宋体"/>
          <w:color w:val="auto"/>
          <w:highlight w:val="none"/>
        </w:rPr>
        <w:t>　　承包人（全称）：</w:t>
      </w:r>
      <w:r>
        <w:rPr>
          <w:rFonts w:ascii="宋体" w:hAnsi="宋体"/>
          <w:color w:val="auto"/>
          <w:highlight w:val="none"/>
          <w:u w:val="single"/>
        </w:rPr>
        <w:t xml:space="preserve">                  </w:t>
      </w:r>
      <w:r>
        <w:rPr>
          <w:rFonts w:ascii="宋体" w:hAnsi="宋体"/>
          <w:color w:val="auto"/>
          <w:highlight w:val="none"/>
        </w:rPr>
        <w:t xml:space="preserve"> </w:t>
      </w:r>
    </w:p>
    <w:p w14:paraId="5A83AE7E">
      <w:pPr>
        <w:spacing w:line="440" w:lineRule="exact"/>
        <w:rPr>
          <w:rFonts w:ascii="宋体" w:hAnsi="宋体"/>
          <w:color w:val="auto"/>
          <w:highlight w:val="none"/>
        </w:rPr>
      </w:pPr>
    </w:p>
    <w:p w14:paraId="08CA0EEA">
      <w:pPr>
        <w:spacing w:line="360" w:lineRule="auto"/>
        <w:ind w:firstLine="420"/>
        <w:rPr>
          <w:rFonts w:ascii="宋体" w:hAnsi="宋体"/>
          <w:color w:val="auto"/>
          <w:highlight w:val="none"/>
        </w:rPr>
      </w:pPr>
      <w:r>
        <w:rPr>
          <w:rFonts w:hint="eastAsia" w:ascii="宋体" w:hAnsi="宋体"/>
          <w:color w:val="auto"/>
          <w:highlight w:val="none"/>
        </w:rPr>
        <w:t>发包人和承包人根据《中华人民共和国建筑法》和《建设工程质量管理条例》，经协商一致就</w:t>
      </w:r>
      <w:r>
        <w:rPr>
          <w:rFonts w:ascii="宋体" w:hAnsi="宋体"/>
          <w:color w:val="auto"/>
          <w:highlight w:val="none"/>
          <w:u w:val="single"/>
        </w:rPr>
        <w:t xml:space="preserve">                       </w:t>
      </w:r>
      <w:r>
        <w:rPr>
          <w:rFonts w:hint="eastAsia" w:ascii="宋体" w:hAnsi="宋体"/>
          <w:color w:val="auto"/>
          <w:highlight w:val="none"/>
        </w:rPr>
        <w:t>（工程全称）签订工程质量保修书。</w:t>
      </w:r>
    </w:p>
    <w:p w14:paraId="4AAAD324">
      <w:pPr>
        <w:spacing w:line="360" w:lineRule="auto"/>
        <w:rPr>
          <w:rFonts w:ascii="宋体" w:hAnsi="宋体"/>
          <w:color w:val="auto"/>
          <w:highlight w:val="none"/>
        </w:rPr>
      </w:pPr>
      <w:r>
        <w:rPr>
          <w:rFonts w:hint="eastAsia" w:ascii="宋体" w:hAnsi="宋体"/>
          <w:color w:val="auto"/>
          <w:highlight w:val="none"/>
        </w:rPr>
        <w:t>　　一、工程质量保修范围和内容</w:t>
      </w:r>
    </w:p>
    <w:p w14:paraId="1672E565">
      <w:pPr>
        <w:spacing w:line="360" w:lineRule="auto"/>
        <w:rPr>
          <w:rFonts w:ascii="宋体" w:hAnsi="宋体"/>
          <w:color w:val="auto"/>
          <w:highlight w:val="none"/>
        </w:rPr>
      </w:pPr>
      <w:r>
        <w:rPr>
          <w:rFonts w:hint="eastAsia" w:ascii="宋体" w:hAnsi="宋体"/>
          <w:color w:val="auto"/>
          <w:highlight w:val="none"/>
        </w:rPr>
        <w:t>　　承包人在质量保修期内，按照有关法律规定和合同约定，承担工程质量保修责任。</w:t>
      </w:r>
    </w:p>
    <w:p w14:paraId="50D71AF3">
      <w:pPr>
        <w:spacing w:line="360" w:lineRule="auto"/>
        <w:ind w:firstLine="420"/>
        <w:rPr>
          <w:rFonts w:ascii="宋体" w:hAnsi="宋体"/>
          <w:color w:val="auto"/>
          <w:highlight w:val="none"/>
        </w:rPr>
      </w:pPr>
      <w:r>
        <w:rPr>
          <w:rFonts w:hint="eastAsia" w:ascii="宋体" w:hAnsi="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w:t>
      </w:r>
    </w:p>
    <w:p w14:paraId="6731AC26">
      <w:pPr>
        <w:spacing w:line="360" w:lineRule="auto"/>
        <w:ind w:firstLine="420"/>
        <w:rPr>
          <w:rFonts w:ascii="宋体" w:hAnsi="宋体"/>
          <w:color w:val="auto"/>
          <w:highlight w:val="none"/>
          <w:u w:val="single"/>
        </w:rPr>
      </w:pPr>
      <w:r>
        <w:rPr>
          <w:rFonts w:hint="eastAsia" w:ascii="宋体" w:hAnsi="宋体"/>
          <w:color w:val="auto"/>
          <w:highlight w:val="none"/>
        </w:rPr>
        <w:t>具体保修的内容，双方约定如下：</w:t>
      </w:r>
      <w:r>
        <w:rPr>
          <w:rFonts w:hint="eastAsia" w:ascii="宋体" w:hAnsi="宋体"/>
          <w:color w:val="auto"/>
          <w:highlight w:val="none"/>
          <w:u w:val="single"/>
        </w:rPr>
        <w:t>按《建设工程质量管理条例》有关规定进行质量保修。保修范围：竣工图图示范围内（含变更部分）及采购文件要求纳入投标报价的全部工作内容。</w:t>
      </w:r>
    </w:p>
    <w:p w14:paraId="77A61FC4">
      <w:pPr>
        <w:spacing w:line="360" w:lineRule="auto"/>
        <w:rPr>
          <w:rFonts w:ascii="宋体" w:hAnsi="宋体"/>
          <w:color w:val="auto"/>
          <w:highlight w:val="none"/>
        </w:rPr>
      </w:pPr>
      <w:r>
        <w:rPr>
          <w:rFonts w:hint="eastAsia" w:ascii="宋体" w:hAnsi="宋体"/>
          <w:b/>
          <w:color w:val="auto"/>
          <w:highlight w:val="none"/>
        </w:rPr>
        <w:t>　　</w:t>
      </w:r>
      <w:r>
        <w:rPr>
          <w:rFonts w:hint="eastAsia" w:ascii="宋体" w:hAnsi="宋体"/>
          <w:color w:val="auto"/>
          <w:highlight w:val="none"/>
        </w:rPr>
        <w:t>二、质量保修期</w:t>
      </w:r>
    </w:p>
    <w:p w14:paraId="3B1DAC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7C818F37">
      <w:pPr>
        <w:spacing w:line="360" w:lineRule="auto"/>
        <w:ind w:firstLine="420" w:firstLineChars="200"/>
        <w:rPr>
          <w:rFonts w:ascii="宋体" w:hAnsi="宋体"/>
          <w:color w:val="auto"/>
          <w:szCs w:val="21"/>
          <w:highlight w:val="none"/>
        </w:rPr>
      </w:pPr>
      <w:r>
        <w:rPr>
          <w:rFonts w:ascii="宋体" w:hAnsi="宋体"/>
          <w:color w:val="auto"/>
          <w:szCs w:val="21"/>
          <w:highlight w:val="none"/>
        </w:rPr>
        <w:t>1．地基基础工程和主体结构工程为设计文件规定的工程合理使用年限；</w:t>
      </w:r>
    </w:p>
    <w:p w14:paraId="11602B1E">
      <w:pPr>
        <w:spacing w:line="360" w:lineRule="auto"/>
        <w:ind w:firstLine="420" w:firstLineChars="200"/>
        <w:rPr>
          <w:rFonts w:ascii="宋体" w:hAnsi="宋体"/>
          <w:color w:val="auto"/>
          <w:szCs w:val="21"/>
          <w:highlight w:val="none"/>
        </w:rPr>
      </w:pPr>
      <w:r>
        <w:rPr>
          <w:rFonts w:ascii="宋体" w:hAnsi="宋体"/>
          <w:color w:val="auto"/>
          <w:szCs w:val="21"/>
          <w:highlight w:val="none"/>
        </w:rPr>
        <w:t>2．屋面防水工程、有防水要求的卫生间、房间和外墙面的防渗为</w:t>
      </w:r>
      <w:r>
        <w:rPr>
          <w:rFonts w:ascii="宋体" w:hAnsi="宋体"/>
          <w:color w:val="auto"/>
          <w:szCs w:val="21"/>
          <w:highlight w:val="none"/>
          <w:u w:val="single"/>
        </w:rPr>
        <w:t xml:space="preserve"> 5 </w:t>
      </w:r>
      <w:r>
        <w:rPr>
          <w:rFonts w:hint="eastAsia" w:ascii="宋体" w:hAnsi="宋体"/>
          <w:color w:val="auto"/>
          <w:szCs w:val="21"/>
          <w:highlight w:val="none"/>
        </w:rPr>
        <w:t>年；</w:t>
      </w:r>
    </w:p>
    <w:p w14:paraId="3162D45F">
      <w:pPr>
        <w:spacing w:line="360" w:lineRule="auto"/>
        <w:ind w:firstLine="420" w:firstLineChars="200"/>
        <w:rPr>
          <w:rFonts w:ascii="宋体" w:hAnsi="宋体"/>
          <w:color w:val="auto"/>
          <w:szCs w:val="21"/>
          <w:highlight w:val="none"/>
        </w:rPr>
      </w:pPr>
      <w:r>
        <w:rPr>
          <w:rFonts w:ascii="宋体" w:hAnsi="宋体"/>
          <w:color w:val="auto"/>
          <w:szCs w:val="21"/>
          <w:highlight w:val="none"/>
        </w:rPr>
        <w:t>3．装修工程为</w:t>
      </w:r>
      <w:r>
        <w:rPr>
          <w:rFonts w:ascii="宋体" w:hAnsi="宋体"/>
          <w:color w:val="auto"/>
          <w:szCs w:val="21"/>
          <w:highlight w:val="none"/>
          <w:u w:val="single"/>
        </w:rPr>
        <w:t xml:space="preserve"> 2 </w:t>
      </w:r>
      <w:r>
        <w:rPr>
          <w:rFonts w:hint="eastAsia" w:ascii="宋体" w:hAnsi="宋体"/>
          <w:color w:val="auto"/>
          <w:szCs w:val="21"/>
          <w:highlight w:val="none"/>
        </w:rPr>
        <w:t>年；</w:t>
      </w:r>
    </w:p>
    <w:p w14:paraId="377A1C60">
      <w:pPr>
        <w:spacing w:line="360" w:lineRule="auto"/>
        <w:ind w:firstLine="420" w:firstLineChars="200"/>
        <w:rPr>
          <w:rFonts w:ascii="宋体" w:hAnsi="宋体"/>
          <w:color w:val="auto"/>
          <w:szCs w:val="21"/>
          <w:highlight w:val="none"/>
        </w:rPr>
      </w:pPr>
      <w:r>
        <w:rPr>
          <w:rFonts w:ascii="宋体" w:hAnsi="宋体"/>
          <w:color w:val="auto"/>
          <w:szCs w:val="21"/>
          <w:highlight w:val="none"/>
        </w:rPr>
        <w:t>4．电气管线、给排水管道、设备安装工程为</w:t>
      </w:r>
      <w:r>
        <w:rPr>
          <w:rFonts w:ascii="宋体" w:hAnsi="宋体"/>
          <w:color w:val="auto"/>
          <w:szCs w:val="21"/>
          <w:highlight w:val="none"/>
          <w:u w:val="single"/>
        </w:rPr>
        <w:t xml:space="preserve"> 2 </w:t>
      </w:r>
      <w:r>
        <w:rPr>
          <w:rFonts w:hint="eastAsia" w:ascii="宋体" w:hAnsi="宋体"/>
          <w:color w:val="auto"/>
          <w:szCs w:val="21"/>
          <w:highlight w:val="none"/>
        </w:rPr>
        <w:t>年；</w:t>
      </w:r>
    </w:p>
    <w:p w14:paraId="629F5CE0">
      <w:pPr>
        <w:spacing w:line="360" w:lineRule="auto"/>
        <w:ind w:firstLine="420" w:firstLineChars="200"/>
        <w:rPr>
          <w:rFonts w:ascii="宋体" w:hAnsi="宋体"/>
          <w:color w:val="auto"/>
          <w:szCs w:val="21"/>
          <w:highlight w:val="none"/>
        </w:rPr>
      </w:pPr>
      <w:r>
        <w:rPr>
          <w:rFonts w:ascii="宋体" w:hAnsi="宋体"/>
          <w:color w:val="auto"/>
          <w:szCs w:val="21"/>
          <w:highlight w:val="none"/>
        </w:rPr>
        <w:t>5．供热与供冷系统为</w:t>
      </w:r>
      <w:r>
        <w:rPr>
          <w:rFonts w:ascii="宋体" w:hAnsi="宋体"/>
          <w:color w:val="auto"/>
          <w:szCs w:val="21"/>
          <w:highlight w:val="none"/>
          <w:u w:val="single"/>
        </w:rPr>
        <w:t xml:space="preserve"> 2 </w:t>
      </w:r>
      <w:r>
        <w:rPr>
          <w:rFonts w:hint="eastAsia" w:ascii="宋体" w:hAnsi="宋体"/>
          <w:color w:val="auto"/>
          <w:szCs w:val="21"/>
          <w:highlight w:val="none"/>
        </w:rPr>
        <w:t>个采暖期、供冷期；</w:t>
      </w:r>
    </w:p>
    <w:p w14:paraId="16BADA97">
      <w:pPr>
        <w:spacing w:line="360" w:lineRule="auto"/>
        <w:ind w:firstLine="420" w:firstLineChars="200"/>
        <w:rPr>
          <w:rFonts w:ascii="宋体" w:hAnsi="宋体"/>
          <w:color w:val="auto"/>
          <w:szCs w:val="21"/>
          <w:highlight w:val="none"/>
        </w:rPr>
      </w:pPr>
      <w:r>
        <w:rPr>
          <w:rFonts w:ascii="宋体" w:hAnsi="宋体"/>
          <w:color w:val="auto"/>
          <w:szCs w:val="21"/>
          <w:highlight w:val="none"/>
        </w:rPr>
        <w:t>6．住宅小区内的给排水设施、道路等配套工程为</w:t>
      </w:r>
      <w:r>
        <w:rPr>
          <w:rFonts w:ascii="宋体" w:hAnsi="宋体"/>
          <w:color w:val="auto"/>
          <w:szCs w:val="21"/>
          <w:highlight w:val="none"/>
          <w:u w:val="single"/>
        </w:rPr>
        <w:t xml:space="preserve"> 2 </w:t>
      </w:r>
      <w:r>
        <w:rPr>
          <w:rFonts w:hint="eastAsia" w:ascii="宋体" w:hAnsi="宋体"/>
          <w:color w:val="auto"/>
          <w:szCs w:val="21"/>
          <w:highlight w:val="none"/>
        </w:rPr>
        <w:t>年；</w:t>
      </w:r>
    </w:p>
    <w:p w14:paraId="196084D6">
      <w:pPr>
        <w:spacing w:line="360" w:lineRule="auto"/>
        <w:ind w:firstLine="420" w:firstLineChars="200"/>
        <w:rPr>
          <w:rFonts w:ascii="宋体" w:hAnsi="宋体"/>
          <w:color w:val="auto"/>
          <w:szCs w:val="21"/>
          <w:highlight w:val="none"/>
        </w:rPr>
      </w:pPr>
      <w:r>
        <w:rPr>
          <w:rFonts w:ascii="宋体" w:hAnsi="宋体"/>
          <w:color w:val="auto"/>
          <w:szCs w:val="21"/>
          <w:highlight w:val="none"/>
        </w:rPr>
        <w:t>7．其他项目保修期限约定如下：</w:t>
      </w:r>
      <w:r>
        <w:rPr>
          <w:rFonts w:hint="eastAsia" w:ascii="宋体" w:hAnsi="宋体" w:cs="宋体"/>
          <w:color w:val="auto"/>
          <w:highlight w:val="none"/>
          <w:u w:val="single"/>
        </w:rPr>
        <w:t>按国家相关规定执行</w:t>
      </w:r>
      <w:r>
        <w:rPr>
          <w:rFonts w:ascii="宋体" w:hAnsi="宋体"/>
          <w:color w:val="auto"/>
          <w:szCs w:val="21"/>
          <w:highlight w:val="none"/>
        </w:rPr>
        <w:t>。</w:t>
      </w:r>
    </w:p>
    <w:p w14:paraId="26D4BF2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质量保修期自工程竣工验收合格之日起计算。</w:t>
      </w:r>
    </w:p>
    <w:p w14:paraId="4AB580CC">
      <w:pPr>
        <w:spacing w:line="360" w:lineRule="auto"/>
        <w:ind w:firstLine="420" w:firstLineChars="200"/>
        <w:rPr>
          <w:rFonts w:ascii="宋体" w:hAnsi="宋体"/>
          <w:color w:val="auto"/>
          <w:highlight w:val="none"/>
        </w:rPr>
      </w:pPr>
      <w:r>
        <w:rPr>
          <w:rFonts w:hint="eastAsia" w:ascii="宋体" w:hAnsi="宋体"/>
          <w:color w:val="auto"/>
          <w:highlight w:val="none"/>
        </w:rPr>
        <w:t>三、缺陷责任期</w:t>
      </w:r>
    </w:p>
    <w:p w14:paraId="301AFF35">
      <w:pPr>
        <w:spacing w:line="360" w:lineRule="auto"/>
        <w:ind w:firstLine="420" w:firstLineChars="200"/>
        <w:rPr>
          <w:rFonts w:ascii="宋体" w:hAnsi="宋体"/>
          <w:color w:val="auto"/>
          <w:highlight w:val="none"/>
        </w:rPr>
      </w:pPr>
      <w:r>
        <w:rPr>
          <w:rFonts w:hint="eastAsia" w:ascii="宋体" w:hAnsi="宋体"/>
          <w:color w:val="auto"/>
          <w:highlight w:val="none"/>
        </w:rPr>
        <w:t>工程缺陷责任期为</w:t>
      </w:r>
      <w:r>
        <w:rPr>
          <w:rFonts w:ascii="宋体" w:hAnsi="宋体"/>
          <w:color w:val="auto"/>
          <w:highlight w:val="none"/>
          <w:u w:val="single"/>
        </w:rPr>
        <w:t xml:space="preserve"> </w:t>
      </w:r>
      <w:r>
        <w:rPr>
          <w:rFonts w:hint="eastAsia" w:ascii="宋体" w:hAnsi="宋体"/>
          <w:color w:val="auto"/>
          <w:highlight w:val="none"/>
          <w:u w:val="single"/>
        </w:rPr>
        <w:t>24</w:t>
      </w:r>
      <w:r>
        <w:rPr>
          <w:rFonts w:ascii="宋体" w:hAnsi="宋体"/>
          <w:color w:val="auto"/>
          <w:highlight w:val="none"/>
          <w:u w:val="single"/>
        </w:rPr>
        <w:t xml:space="preserve"> </w:t>
      </w:r>
      <w:r>
        <w:rPr>
          <w:rFonts w:hint="eastAsia" w:ascii="宋体" w:hAnsi="宋体"/>
          <w:color w:val="auto"/>
          <w:highlight w:val="none"/>
        </w:rPr>
        <w:t>个月，缺陷责任期自工程竣工验收合格之日起计算。单位工程先于全部工程进行验收，单位工程缺陷责任期自单位工程验收合格之日起算。</w:t>
      </w:r>
    </w:p>
    <w:p w14:paraId="16BD59B7">
      <w:pPr>
        <w:spacing w:line="360" w:lineRule="auto"/>
        <w:ind w:firstLine="420" w:firstLineChars="200"/>
        <w:rPr>
          <w:rFonts w:ascii="宋体" w:hAnsi="宋体"/>
          <w:color w:val="auto"/>
          <w:highlight w:val="none"/>
        </w:rPr>
      </w:pPr>
      <w:r>
        <w:rPr>
          <w:rFonts w:hint="eastAsia" w:ascii="宋体" w:hAnsi="宋体"/>
          <w:color w:val="auto"/>
          <w:highlight w:val="none"/>
        </w:rPr>
        <w:t>缺陷责任期终止后，发包人应无息退还扣除保修费用（如有）后剩余的质量保证金。</w:t>
      </w:r>
    </w:p>
    <w:p w14:paraId="79278390">
      <w:pPr>
        <w:spacing w:line="360" w:lineRule="auto"/>
        <w:rPr>
          <w:rFonts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四、质量保修责任</w:t>
      </w:r>
    </w:p>
    <w:p w14:paraId="7BEF3374">
      <w:pPr>
        <w:spacing w:line="360" w:lineRule="auto"/>
        <w:ind w:left="105" w:leftChars="50" w:firstLine="430" w:firstLineChars="205"/>
        <w:rPr>
          <w:rFonts w:ascii="宋体" w:hAnsi="宋体"/>
          <w:color w:val="auto"/>
          <w:highlight w:val="none"/>
        </w:rPr>
      </w:pPr>
      <w:r>
        <w:rPr>
          <w:rFonts w:ascii="宋体" w:hAnsi="宋体"/>
          <w:color w:val="auto"/>
          <w:highlight w:val="none"/>
        </w:rPr>
        <w:t>1</w:t>
      </w:r>
      <w:r>
        <w:rPr>
          <w:rFonts w:hint="eastAsia" w:ascii="宋体" w:hAnsi="宋体"/>
          <w:color w:val="auto"/>
          <w:highlight w:val="none"/>
        </w:rPr>
        <w:t>．属于保修范围、内容的项目，承包人应当在接到维修信息或电话，在2小时内做出答复或派出技术服务人员，2小时内到达现场解决问题。承包人不在约定期限内派人保修的，发包人可以委托他人修理，维修费用从质量保修金内扣除。</w:t>
      </w:r>
    </w:p>
    <w:p w14:paraId="2295EAFE">
      <w:pPr>
        <w:spacing w:line="360" w:lineRule="auto"/>
        <w:ind w:left="105" w:leftChars="50" w:firstLine="430" w:firstLineChars="205"/>
        <w:rPr>
          <w:rFonts w:ascii="宋体" w:hAnsi="宋体"/>
          <w:color w:val="auto"/>
          <w:highlight w:val="none"/>
        </w:rPr>
      </w:pPr>
      <w:r>
        <w:rPr>
          <w:rFonts w:ascii="宋体" w:hAnsi="宋体"/>
          <w:color w:val="auto"/>
          <w:highlight w:val="none"/>
        </w:rPr>
        <w:t>2</w:t>
      </w:r>
      <w:r>
        <w:rPr>
          <w:rFonts w:hint="eastAsia" w:ascii="宋体" w:hAnsi="宋体"/>
          <w:color w:val="auto"/>
          <w:highlight w:val="none"/>
        </w:rPr>
        <w:t>．发生紧急事故需抢修的，承包人在接到事故通知后，应当立即到达事故现场抢修。</w:t>
      </w:r>
    </w:p>
    <w:p w14:paraId="6C64E3DE">
      <w:pPr>
        <w:spacing w:line="360" w:lineRule="auto"/>
        <w:ind w:left="105" w:leftChars="50" w:firstLine="430" w:firstLineChars="205"/>
        <w:rPr>
          <w:rFonts w:ascii="宋体" w:hAnsi="宋体"/>
          <w:color w:val="auto"/>
          <w:highlight w:val="none"/>
        </w:rPr>
      </w:pPr>
      <w:r>
        <w:rPr>
          <w:rFonts w:ascii="宋体" w:hAnsi="宋体"/>
          <w:color w:val="auto"/>
          <w:highlight w:val="none"/>
        </w:rPr>
        <w:t>3</w:t>
      </w:r>
      <w:r>
        <w:rPr>
          <w:rFonts w:hint="eastAsia" w:ascii="宋体" w:hAnsi="宋体"/>
          <w:color w:val="auto"/>
          <w:highlight w:val="none"/>
        </w:rPr>
        <w:t>．对于涉及结构安全的质量问题，应当按照《建设工程质量管理条例》的规定，立即向当地主管部门和有关部门报告，采取安全防范措施，并由原设计人或者具有相应资质等级的设计人提出保修方案，承包人实施保修。</w:t>
      </w:r>
    </w:p>
    <w:p w14:paraId="7586B46E">
      <w:pPr>
        <w:spacing w:line="360" w:lineRule="auto"/>
        <w:ind w:left="420" w:leftChars="200" w:firstLine="105" w:firstLineChars="50"/>
        <w:rPr>
          <w:rFonts w:ascii="宋体" w:hAnsi="宋体"/>
          <w:color w:val="auto"/>
          <w:highlight w:val="none"/>
        </w:rPr>
      </w:pPr>
      <w:r>
        <w:rPr>
          <w:rFonts w:ascii="宋体" w:hAnsi="宋体"/>
          <w:color w:val="auto"/>
          <w:highlight w:val="none"/>
        </w:rPr>
        <w:t>4</w:t>
      </w:r>
      <w:r>
        <w:rPr>
          <w:rFonts w:hint="eastAsia" w:ascii="宋体" w:hAnsi="宋体"/>
          <w:color w:val="auto"/>
          <w:highlight w:val="none"/>
        </w:rPr>
        <w:t>．质量保修完成后，由发包人组织验收。</w:t>
      </w:r>
    </w:p>
    <w:p w14:paraId="4BC4D8AC">
      <w:pPr>
        <w:spacing w:line="360" w:lineRule="auto"/>
        <w:rPr>
          <w:rFonts w:ascii="宋体" w:hAnsi="宋体"/>
          <w:color w:val="auto"/>
          <w:highlight w:val="none"/>
        </w:rPr>
      </w:pPr>
      <w:r>
        <w:rPr>
          <w:rFonts w:hint="eastAsia" w:ascii="宋体" w:hAnsi="宋体"/>
          <w:color w:val="auto"/>
          <w:highlight w:val="none"/>
        </w:rPr>
        <w:t>　　五、保修费用</w:t>
      </w:r>
    </w:p>
    <w:p w14:paraId="59B909F0">
      <w:pPr>
        <w:spacing w:line="360" w:lineRule="auto"/>
        <w:rPr>
          <w:rFonts w:ascii="宋体" w:hAnsi="宋体"/>
          <w:color w:val="auto"/>
          <w:highlight w:val="none"/>
        </w:rPr>
      </w:pPr>
      <w:r>
        <w:rPr>
          <w:rFonts w:hint="eastAsia" w:ascii="宋体" w:hAnsi="宋体"/>
          <w:color w:val="auto"/>
          <w:highlight w:val="none"/>
        </w:rPr>
        <w:t>　　保修费用由造成质量缺陷的责任方承担。</w:t>
      </w:r>
    </w:p>
    <w:p w14:paraId="2ABF12A8">
      <w:pPr>
        <w:spacing w:line="360" w:lineRule="auto"/>
        <w:ind w:firstLine="411" w:firstLineChars="196"/>
        <w:jc w:val="left"/>
        <w:rPr>
          <w:rFonts w:ascii="宋体" w:hAnsi="宋体"/>
          <w:color w:val="auto"/>
          <w:highlight w:val="none"/>
        </w:rPr>
      </w:pPr>
      <w:r>
        <w:rPr>
          <w:rFonts w:hint="eastAsia" w:ascii="宋体" w:hAnsi="宋体"/>
          <w:color w:val="auto"/>
          <w:highlight w:val="none"/>
        </w:rPr>
        <w:t>六、双方约定的其他工程质量保修事项：</w:t>
      </w:r>
    </w:p>
    <w:p w14:paraId="7F3B8208">
      <w:pPr>
        <w:spacing w:line="360" w:lineRule="auto"/>
        <w:ind w:firstLine="411" w:firstLineChars="196"/>
        <w:jc w:val="left"/>
        <w:rPr>
          <w:rFonts w:ascii="宋体" w:hAnsi="宋体"/>
          <w:color w:val="auto"/>
          <w:highlight w:val="none"/>
          <w:u w:val="single"/>
        </w:rPr>
      </w:pPr>
      <w:r>
        <w:rPr>
          <w:rFonts w:hint="eastAsia" w:ascii="宋体" w:hAnsi="宋体"/>
          <w:color w:val="auto"/>
          <w:highlight w:val="none"/>
          <w:u w:val="single"/>
        </w:rPr>
        <w:t>1、承包人未按照法律法规有关规定和合同约定履行质量保修义务的，发包人有权从质量保证金中直接扣留用于质量保修的各项支出。</w:t>
      </w:r>
    </w:p>
    <w:p w14:paraId="28F8664B">
      <w:pPr>
        <w:spacing w:line="360" w:lineRule="auto"/>
        <w:ind w:firstLine="411" w:firstLineChars="196"/>
        <w:jc w:val="left"/>
        <w:rPr>
          <w:rFonts w:ascii="宋体" w:hAnsi="宋体"/>
          <w:color w:val="auto"/>
          <w:highlight w:val="none"/>
          <w:u w:val="single"/>
        </w:rPr>
      </w:pPr>
      <w:r>
        <w:rPr>
          <w:rFonts w:hint="eastAsia" w:ascii="宋体" w:hAnsi="宋体"/>
          <w:color w:val="auto"/>
          <w:highlight w:val="none"/>
          <w:u w:val="single"/>
        </w:rPr>
        <w:t>2、质量保证金为结算总额的3%。质量保证金的返还：发包人在工程竣工验收合格并正式通电并运行15天无异议之日起满两年后，经承包人申请14天内在扣除保修费用（如有）后将剩余的保修金一次性无息返回给承包人。</w:t>
      </w:r>
    </w:p>
    <w:p w14:paraId="5C79089C">
      <w:pPr>
        <w:spacing w:line="360" w:lineRule="auto"/>
        <w:ind w:firstLine="411" w:firstLineChars="196"/>
        <w:jc w:val="left"/>
        <w:rPr>
          <w:rFonts w:ascii="宋体" w:hAnsi="宋体"/>
          <w:color w:val="auto"/>
          <w:highlight w:val="none"/>
          <w:u w:val="single"/>
        </w:rPr>
      </w:pPr>
      <w:r>
        <w:rPr>
          <w:rFonts w:hint="eastAsia" w:ascii="宋体" w:hAnsi="宋体"/>
          <w:color w:val="auto"/>
          <w:highlight w:val="none"/>
          <w:u w:val="single"/>
        </w:rPr>
        <w:t>3、如果承包人不在质量保修期满后一年内提出保修完成的验收申请，视同违约，其保修金作为工程永久保修费用而不再退还给承包人。</w:t>
      </w:r>
    </w:p>
    <w:p w14:paraId="2A4C3FCF">
      <w:pPr>
        <w:spacing w:line="360" w:lineRule="auto"/>
        <w:ind w:firstLine="411" w:firstLineChars="196"/>
        <w:jc w:val="left"/>
        <w:rPr>
          <w:rFonts w:ascii="宋体" w:hAnsi="宋体"/>
          <w:color w:val="auto"/>
          <w:highlight w:val="none"/>
        </w:rPr>
      </w:pPr>
      <w:r>
        <w:rPr>
          <w:rFonts w:hint="eastAsia" w:ascii="宋体" w:hAnsi="宋体"/>
          <w:color w:val="auto"/>
          <w:highlight w:val="none"/>
        </w:rPr>
        <w:t>工程质量保修书由发包人、承包人在工程竣工验收前共同签署，作为施工合同附件，其有效期限至保修期满。</w:t>
      </w:r>
    </w:p>
    <w:p w14:paraId="4A38BAB2">
      <w:pPr>
        <w:spacing w:line="360" w:lineRule="auto"/>
        <w:ind w:firstLine="420"/>
        <w:rPr>
          <w:rFonts w:ascii="宋体" w:hAnsi="宋体"/>
          <w:color w:val="auto"/>
          <w:highlight w:val="none"/>
        </w:rPr>
      </w:pPr>
    </w:p>
    <w:p w14:paraId="7D5F17FA">
      <w:pPr>
        <w:spacing w:line="360" w:lineRule="auto"/>
        <w:rPr>
          <w:rFonts w:ascii="宋体" w:hAnsi="宋体"/>
          <w:color w:val="auto"/>
          <w:highlight w:val="none"/>
        </w:rPr>
      </w:pPr>
      <w:r>
        <w:rPr>
          <w:rFonts w:hint="eastAsia" w:ascii="宋体" w:hAnsi="宋体"/>
          <w:color w:val="auto"/>
          <w:highlight w:val="none"/>
        </w:rPr>
        <w:t>发包人（公章）：</w:t>
      </w:r>
      <w:r>
        <w:rPr>
          <w:rFonts w:ascii="宋体" w:hAnsi="宋体"/>
          <w:color w:val="auto"/>
          <w:highlight w:val="none"/>
          <w:u w:val="single"/>
        </w:rPr>
        <w:t xml:space="preserve"> </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承包人（公章）：</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4427BF71">
      <w:pPr>
        <w:spacing w:line="360" w:lineRule="auto"/>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w:t>
      </w:r>
      <w:r>
        <w:rPr>
          <w:rFonts w:hint="eastAsia" w:ascii="宋体" w:hAnsi="宋体"/>
          <w:color w:val="auto"/>
          <w:highlight w:val="none"/>
        </w:rPr>
        <w:t>址：</w:t>
      </w:r>
      <w:r>
        <w:rPr>
          <w:rFonts w:ascii="宋体" w:hAnsi="宋体"/>
          <w:color w:val="auto"/>
          <w:highlight w:val="none"/>
          <w:u w:val="single"/>
        </w:rPr>
        <w:t xml:space="preserve"> </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地</w:t>
      </w:r>
      <w:r>
        <w:rPr>
          <w:rFonts w:ascii="宋体" w:hAnsi="宋体"/>
          <w:color w:val="auto"/>
          <w:highlight w:val="none"/>
        </w:rPr>
        <w:t xml:space="preserve">  </w:t>
      </w:r>
      <w:r>
        <w:rPr>
          <w:rFonts w:hint="eastAsia" w:ascii="宋体" w:hAnsi="宋体"/>
          <w:color w:val="auto"/>
          <w:highlight w:val="none"/>
        </w:rPr>
        <w:t>址：</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43E82200">
      <w:pPr>
        <w:spacing w:line="360" w:lineRule="auto"/>
        <w:rPr>
          <w:rFonts w:ascii="宋体" w:hAnsi="宋体"/>
          <w:color w:val="auto"/>
          <w:highlight w:val="none"/>
        </w:rPr>
      </w:pPr>
      <w:r>
        <w:rPr>
          <w:rFonts w:hint="eastAsia" w:ascii="宋体" w:hAnsi="宋体"/>
          <w:color w:val="auto"/>
          <w:highlight w:val="none"/>
        </w:rPr>
        <w:t>法定代表人（签字）：</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法定代表人（签字）：</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3B6D2C92">
      <w:pPr>
        <w:spacing w:line="360" w:lineRule="auto"/>
        <w:rPr>
          <w:rFonts w:ascii="宋体" w:hAnsi="宋体"/>
          <w:color w:val="auto"/>
          <w:highlight w:val="none"/>
        </w:rPr>
      </w:pPr>
      <w:r>
        <w:rPr>
          <w:rFonts w:hint="eastAsia" w:ascii="宋体" w:hAnsi="宋体"/>
          <w:color w:val="auto"/>
          <w:highlight w:val="none"/>
        </w:rPr>
        <w:t>委托代理人（签字）：</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委托代理人（签字）：</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6653BD52">
      <w:pPr>
        <w:spacing w:line="360" w:lineRule="auto"/>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w:t>
      </w:r>
      <w:r>
        <w:rPr>
          <w:rFonts w:hint="eastAsia" w:ascii="宋体" w:hAnsi="宋体"/>
          <w:color w:val="auto"/>
          <w:highlight w:val="none"/>
        </w:rPr>
        <w:t>话：</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电</w:t>
      </w:r>
      <w:r>
        <w:rPr>
          <w:rFonts w:ascii="宋体" w:hAnsi="宋体"/>
          <w:color w:val="auto"/>
          <w:highlight w:val="none"/>
        </w:rPr>
        <w:t xml:space="preserve">  </w:t>
      </w:r>
      <w:r>
        <w:rPr>
          <w:rFonts w:hint="eastAsia" w:ascii="宋体" w:hAnsi="宋体"/>
          <w:color w:val="auto"/>
          <w:highlight w:val="none"/>
        </w:rPr>
        <w:t>话：</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3592DC4A">
      <w:pPr>
        <w:spacing w:line="360" w:lineRule="auto"/>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w:t>
      </w:r>
      <w:r>
        <w:rPr>
          <w:rFonts w:hint="eastAsia" w:ascii="宋体" w:hAnsi="宋体"/>
          <w:color w:val="auto"/>
          <w:highlight w:val="none"/>
        </w:rPr>
        <w:t>真：</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传</w:t>
      </w:r>
      <w:r>
        <w:rPr>
          <w:rFonts w:ascii="宋体" w:hAnsi="宋体"/>
          <w:color w:val="auto"/>
          <w:highlight w:val="none"/>
        </w:rPr>
        <w:t xml:space="preserve">  </w:t>
      </w:r>
      <w:r>
        <w:rPr>
          <w:rFonts w:hint="eastAsia" w:ascii="宋体" w:hAnsi="宋体"/>
          <w:color w:val="auto"/>
          <w:highlight w:val="none"/>
        </w:rPr>
        <w:t>真：</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5E19D321">
      <w:pPr>
        <w:spacing w:line="360" w:lineRule="auto"/>
        <w:rPr>
          <w:rFonts w:ascii="宋体" w:hAnsi="宋体"/>
          <w:color w:val="auto"/>
          <w:highlight w:val="none"/>
        </w:rPr>
      </w:pPr>
      <w:r>
        <w:rPr>
          <w:rFonts w:hint="eastAsia" w:ascii="宋体" w:hAnsi="宋体"/>
          <w:color w:val="auto"/>
          <w:highlight w:val="none"/>
        </w:rPr>
        <w:t>开户银行：</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开户银行：</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1FC5876F">
      <w:pPr>
        <w:spacing w:line="360" w:lineRule="auto"/>
        <w:rPr>
          <w:rFonts w:ascii="宋体" w:hAnsi="宋体"/>
          <w:color w:val="auto"/>
          <w:highlight w:val="none"/>
        </w:rPr>
      </w:pPr>
      <w:r>
        <w:rPr>
          <w:rFonts w:hint="eastAsia" w:ascii="宋体" w:hAnsi="宋体"/>
          <w:color w:val="auto"/>
          <w:highlight w:val="none"/>
        </w:rPr>
        <w:t>账</w:t>
      </w:r>
      <w:r>
        <w:rPr>
          <w:rFonts w:ascii="宋体" w:hAnsi="宋体"/>
          <w:color w:val="auto"/>
          <w:highlight w:val="none"/>
        </w:rPr>
        <w:t xml:space="preserve">  </w:t>
      </w:r>
      <w:r>
        <w:rPr>
          <w:rFonts w:hint="eastAsia" w:ascii="宋体" w:hAnsi="宋体"/>
          <w:color w:val="auto"/>
          <w:highlight w:val="none"/>
        </w:rPr>
        <w:t>号：</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账</w:t>
      </w:r>
      <w:r>
        <w:rPr>
          <w:rFonts w:ascii="宋体" w:hAnsi="宋体"/>
          <w:color w:val="auto"/>
          <w:highlight w:val="none"/>
        </w:rPr>
        <w:t xml:space="preserve">  </w:t>
      </w:r>
      <w:r>
        <w:rPr>
          <w:rFonts w:hint="eastAsia" w:ascii="宋体" w:hAnsi="宋体"/>
          <w:color w:val="auto"/>
          <w:highlight w:val="none"/>
        </w:rPr>
        <w:t>号：</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p>
    <w:p w14:paraId="77E97D1F">
      <w:pPr>
        <w:spacing w:line="440" w:lineRule="exact"/>
        <w:rPr>
          <w:rFonts w:eastAsia="黑体"/>
          <w:color w:val="auto"/>
          <w:sz w:val="30"/>
          <w:szCs w:val="30"/>
          <w:highlight w:val="none"/>
        </w:rPr>
      </w:pPr>
      <w:r>
        <w:rPr>
          <w:rFonts w:hint="eastAsia" w:ascii="宋体" w:hAnsi="宋体"/>
          <w:color w:val="auto"/>
          <w:highlight w:val="none"/>
        </w:rPr>
        <w:t>邮政编码：</w:t>
      </w:r>
      <w:r>
        <w:rPr>
          <w:rFonts w:ascii="宋体" w:hAnsi="宋体"/>
          <w:color w:val="auto"/>
          <w:highlight w:val="none"/>
          <w:u w:val="single"/>
        </w:rPr>
        <w:t xml:space="preserve"> </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邮政编码：</w:t>
      </w:r>
      <w:r>
        <w:rPr>
          <w:rFonts w:hint="eastAsia" w:ascii="宋体" w:hAnsi="宋体" w:cs="MingLiU_HKSCS"/>
          <w:color w:val="auto"/>
          <w:highlight w:val="none"/>
          <w:u w:val="single"/>
        </w:rPr>
        <w:t xml:space="preserve">                </w:t>
      </w:r>
      <w:r>
        <w:rPr>
          <w:rFonts w:ascii="宋体" w:hAnsi="宋体"/>
          <w:color w:val="auto"/>
          <w:highlight w:val="none"/>
          <w:u w:val="single"/>
        </w:rPr>
        <w:t xml:space="preserve">   </w:t>
      </w: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4：</w:t>
      </w:r>
    </w:p>
    <w:p w14:paraId="5371F942">
      <w:pPr>
        <w:spacing w:before="120" w:beforeLines="50" w:after="120" w:afterLines="50" w:line="440" w:lineRule="exact"/>
        <w:jc w:val="center"/>
        <w:rPr>
          <w:rFonts w:ascii="宋体" w:hAnsi="宋体"/>
          <w:color w:val="auto"/>
          <w:highlight w:val="none"/>
        </w:rPr>
      </w:pPr>
      <w:r>
        <w:rPr>
          <w:rFonts w:ascii="宋体" w:hAnsi="宋体"/>
          <w:color w:val="auto"/>
          <w:highlight w:val="none"/>
        </w:rPr>
        <w:t>主要建设工程文件目录</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4EE0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6744180">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文件名称</w:t>
            </w:r>
          </w:p>
        </w:tc>
        <w:tc>
          <w:tcPr>
            <w:tcW w:w="1276" w:type="dxa"/>
            <w:tcBorders>
              <w:top w:val="single" w:color="auto" w:sz="12" w:space="0"/>
              <w:bottom w:val="double" w:color="auto" w:sz="6" w:space="0"/>
            </w:tcBorders>
            <w:vAlign w:val="center"/>
          </w:tcPr>
          <w:p w14:paraId="4501B440">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套数</w:t>
            </w:r>
          </w:p>
        </w:tc>
        <w:tc>
          <w:tcPr>
            <w:tcW w:w="1450" w:type="dxa"/>
            <w:tcBorders>
              <w:top w:val="single" w:color="auto" w:sz="12" w:space="0"/>
              <w:bottom w:val="double" w:color="auto" w:sz="6" w:space="0"/>
            </w:tcBorders>
            <w:vAlign w:val="center"/>
          </w:tcPr>
          <w:p w14:paraId="6D6CD28A">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费用</w:t>
            </w:r>
            <w:r>
              <w:rPr>
                <w:rFonts w:hint="eastAsia" w:ascii="宋体" w:hAnsi="宋体"/>
                <w:color w:val="auto"/>
                <w:highlight w:val="none"/>
              </w:rPr>
              <w:t>（元）</w:t>
            </w:r>
          </w:p>
        </w:tc>
        <w:tc>
          <w:tcPr>
            <w:tcW w:w="1243" w:type="dxa"/>
            <w:tcBorders>
              <w:top w:val="single" w:color="auto" w:sz="12" w:space="0"/>
              <w:bottom w:val="double" w:color="auto" w:sz="6" w:space="0"/>
            </w:tcBorders>
            <w:vAlign w:val="center"/>
          </w:tcPr>
          <w:p w14:paraId="02D5E96E">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质量</w:t>
            </w:r>
          </w:p>
        </w:tc>
        <w:tc>
          <w:tcPr>
            <w:tcW w:w="1450" w:type="dxa"/>
            <w:tcBorders>
              <w:top w:val="single" w:color="auto" w:sz="12" w:space="0"/>
              <w:bottom w:val="double" w:color="auto" w:sz="6" w:space="0"/>
            </w:tcBorders>
          </w:tcPr>
          <w:p w14:paraId="6368C6A6">
            <w:pPr>
              <w:spacing w:line="440" w:lineRule="exact"/>
              <w:jc w:val="center"/>
              <w:rPr>
                <w:rFonts w:ascii="宋体" w:hAnsi="宋体"/>
                <w:color w:val="auto"/>
                <w:highlight w:val="none"/>
              </w:rPr>
            </w:pPr>
            <w:r>
              <w:rPr>
                <w:rFonts w:ascii="宋体" w:hAnsi="宋体"/>
                <w:color w:val="auto"/>
                <w:highlight w:val="none"/>
              </w:rPr>
              <w:t>移交时间</w:t>
            </w:r>
          </w:p>
        </w:tc>
        <w:tc>
          <w:tcPr>
            <w:tcW w:w="1667" w:type="dxa"/>
            <w:tcBorders>
              <w:top w:val="single" w:color="auto" w:sz="12" w:space="0"/>
              <w:bottom w:val="double" w:color="auto" w:sz="6" w:space="0"/>
            </w:tcBorders>
          </w:tcPr>
          <w:p w14:paraId="4599B628">
            <w:pPr>
              <w:spacing w:line="440" w:lineRule="exact"/>
              <w:jc w:val="center"/>
              <w:rPr>
                <w:rFonts w:ascii="宋体" w:hAnsi="宋体"/>
                <w:color w:val="auto"/>
                <w:highlight w:val="none"/>
              </w:rPr>
            </w:pPr>
            <w:r>
              <w:rPr>
                <w:rFonts w:ascii="宋体" w:hAnsi="宋体"/>
                <w:color w:val="auto"/>
                <w:highlight w:val="none"/>
              </w:rPr>
              <w:t>责任人</w:t>
            </w:r>
          </w:p>
        </w:tc>
      </w:tr>
      <w:tr w14:paraId="1911F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2A19B4C7">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tcBorders>
              <w:top w:val="double" w:color="auto" w:sz="6" w:space="0"/>
              <w:bottom w:val="single" w:color="auto" w:sz="6" w:space="0"/>
            </w:tcBorders>
            <w:vAlign w:val="center"/>
          </w:tcPr>
          <w:p w14:paraId="3738FEAD">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tcBorders>
              <w:top w:val="double" w:color="auto" w:sz="6" w:space="0"/>
              <w:bottom w:val="single" w:color="auto" w:sz="6" w:space="0"/>
            </w:tcBorders>
            <w:vAlign w:val="center"/>
          </w:tcPr>
          <w:p w14:paraId="208EF829">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tcBorders>
              <w:top w:val="double" w:color="auto" w:sz="6" w:space="0"/>
              <w:bottom w:val="single" w:color="auto" w:sz="6" w:space="0"/>
            </w:tcBorders>
            <w:vAlign w:val="center"/>
          </w:tcPr>
          <w:p w14:paraId="27D2F10C">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tcBorders>
              <w:top w:val="double" w:color="auto" w:sz="6" w:space="0"/>
              <w:bottom w:val="single" w:color="auto" w:sz="6" w:space="0"/>
            </w:tcBorders>
            <w:vAlign w:val="center"/>
          </w:tcPr>
          <w:p w14:paraId="62761D05">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tcBorders>
              <w:top w:val="double" w:color="auto" w:sz="6" w:space="0"/>
              <w:bottom w:val="single" w:color="auto" w:sz="6" w:space="0"/>
            </w:tcBorders>
            <w:vAlign w:val="center"/>
          </w:tcPr>
          <w:p w14:paraId="6844237A">
            <w:pPr>
              <w:keepNext/>
              <w:adjustRightInd w:val="0"/>
              <w:spacing w:line="440" w:lineRule="exact"/>
              <w:ind w:left="63" w:leftChars="30" w:right="63" w:rightChars="30"/>
              <w:jc w:val="center"/>
              <w:textAlignment w:val="baseline"/>
              <w:rPr>
                <w:rFonts w:ascii="宋体" w:hAnsi="宋体"/>
                <w:color w:val="auto"/>
                <w:highlight w:val="none"/>
              </w:rPr>
            </w:pPr>
          </w:p>
        </w:tc>
      </w:tr>
      <w:tr w14:paraId="6E882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61485793">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tcBorders>
              <w:top w:val="nil"/>
            </w:tcBorders>
            <w:vAlign w:val="center"/>
          </w:tcPr>
          <w:p w14:paraId="2F549B1D">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tcBorders>
              <w:top w:val="nil"/>
            </w:tcBorders>
            <w:vAlign w:val="center"/>
          </w:tcPr>
          <w:p w14:paraId="5BCF72E9">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tcBorders>
              <w:top w:val="nil"/>
            </w:tcBorders>
            <w:vAlign w:val="center"/>
          </w:tcPr>
          <w:p w14:paraId="40784A82">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tcBorders>
              <w:top w:val="nil"/>
            </w:tcBorders>
            <w:vAlign w:val="center"/>
          </w:tcPr>
          <w:p w14:paraId="61CF2C59">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tcBorders>
              <w:top w:val="nil"/>
            </w:tcBorders>
            <w:vAlign w:val="center"/>
          </w:tcPr>
          <w:p w14:paraId="63E54B57">
            <w:pPr>
              <w:keepNext/>
              <w:adjustRightInd w:val="0"/>
              <w:spacing w:line="440" w:lineRule="exact"/>
              <w:ind w:left="63" w:leftChars="30" w:right="63" w:rightChars="30"/>
              <w:jc w:val="center"/>
              <w:textAlignment w:val="baseline"/>
              <w:rPr>
                <w:rFonts w:ascii="宋体" w:hAnsi="宋体"/>
                <w:color w:val="auto"/>
                <w:highlight w:val="none"/>
              </w:rPr>
            </w:pPr>
          </w:p>
        </w:tc>
      </w:tr>
      <w:tr w14:paraId="33BC12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9A0C9EF">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286FCCE3">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6413EC11">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6B542C94">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173F12E5">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69C488AC">
            <w:pPr>
              <w:keepNext/>
              <w:adjustRightInd w:val="0"/>
              <w:spacing w:line="440" w:lineRule="exact"/>
              <w:ind w:left="63" w:leftChars="30" w:right="63" w:rightChars="30"/>
              <w:jc w:val="center"/>
              <w:textAlignment w:val="baseline"/>
              <w:rPr>
                <w:rFonts w:ascii="宋体" w:hAnsi="宋体"/>
                <w:color w:val="auto"/>
                <w:highlight w:val="none"/>
              </w:rPr>
            </w:pPr>
          </w:p>
        </w:tc>
      </w:tr>
      <w:tr w14:paraId="7C73F6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110B8E2">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09918CB9">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2FD047C9">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645EB4CC">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204ADA97">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72B09C95">
            <w:pPr>
              <w:keepNext/>
              <w:adjustRightInd w:val="0"/>
              <w:spacing w:line="440" w:lineRule="exact"/>
              <w:ind w:left="63" w:leftChars="30" w:right="63" w:rightChars="30"/>
              <w:jc w:val="center"/>
              <w:textAlignment w:val="baseline"/>
              <w:rPr>
                <w:rFonts w:ascii="宋体" w:hAnsi="宋体"/>
                <w:color w:val="auto"/>
                <w:highlight w:val="none"/>
              </w:rPr>
            </w:pPr>
          </w:p>
        </w:tc>
      </w:tr>
      <w:tr w14:paraId="0635A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7B6A038">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042D2F6E">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54815372">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006B1702">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275E4BFE">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679625D1">
            <w:pPr>
              <w:keepNext/>
              <w:adjustRightInd w:val="0"/>
              <w:spacing w:line="440" w:lineRule="exact"/>
              <w:ind w:left="63" w:leftChars="30" w:right="63" w:rightChars="30"/>
              <w:jc w:val="center"/>
              <w:textAlignment w:val="baseline"/>
              <w:rPr>
                <w:rFonts w:ascii="宋体" w:hAnsi="宋体"/>
                <w:color w:val="auto"/>
                <w:highlight w:val="none"/>
              </w:rPr>
            </w:pPr>
          </w:p>
        </w:tc>
      </w:tr>
      <w:tr w14:paraId="6F3D0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2574690">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793AF686">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66106851">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1E7ECC29">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016B077B">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020AB136">
            <w:pPr>
              <w:keepNext/>
              <w:adjustRightInd w:val="0"/>
              <w:spacing w:line="440" w:lineRule="exact"/>
              <w:ind w:left="63" w:leftChars="30" w:right="63" w:rightChars="30"/>
              <w:jc w:val="center"/>
              <w:textAlignment w:val="baseline"/>
              <w:rPr>
                <w:rFonts w:ascii="宋体" w:hAnsi="宋体"/>
                <w:color w:val="auto"/>
                <w:highlight w:val="none"/>
              </w:rPr>
            </w:pPr>
          </w:p>
        </w:tc>
      </w:tr>
      <w:tr w14:paraId="2537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37F28AA">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1047B589">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2A0C0FF4">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2BCCCC8C">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6ACFE695">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44CDC629">
            <w:pPr>
              <w:keepNext/>
              <w:adjustRightInd w:val="0"/>
              <w:spacing w:line="440" w:lineRule="exact"/>
              <w:ind w:left="63" w:leftChars="30" w:right="63" w:rightChars="30"/>
              <w:jc w:val="center"/>
              <w:textAlignment w:val="baseline"/>
              <w:rPr>
                <w:rFonts w:ascii="宋体" w:hAnsi="宋体"/>
                <w:color w:val="auto"/>
                <w:highlight w:val="none"/>
              </w:rPr>
            </w:pPr>
          </w:p>
        </w:tc>
      </w:tr>
      <w:tr w14:paraId="67A8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A965B97">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2544ACEA">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56AA468D">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5D617C3E">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7FE83B60">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0B3ABE73">
            <w:pPr>
              <w:keepNext/>
              <w:adjustRightInd w:val="0"/>
              <w:spacing w:line="440" w:lineRule="exact"/>
              <w:ind w:left="63" w:leftChars="30" w:right="63" w:rightChars="30"/>
              <w:jc w:val="center"/>
              <w:textAlignment w:val="baseline"/>
              <w:rPr>
                <w:rFonts w:ascii="宋体" w:hAnsi="宋体"/>
                <w:color w:val="auto"/>
                <w:highlight w:val="none"/>
              </w:rPr>
            </w:pPr>
          </w:p>
        </w:tc>
      </w:tr>
      <w:tr w14:paraId="703A4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FAC318">
            <w:pPr>
              <w:rPr>
                <w:rFonts w:ascii="宋体" w:hAnsi="宋体"/>
                <w:color w:val="auto"/>
                <w:highlight w:val="none"/>
              </w:rPr>
            </w:pPr>
          </w:p>
        </w:tc>
        <w:tc>
          <w:tcPr>
            <w:tcW w:w="1276" w:type="dxa"/>
          </w:tcPr>
          <w:p w14:paraId="271B4AC2">
            <w:pPr>
              <w:rPr>
                <w:rFonts w:ascii="宋体" w:hAnsi="宋体"/>
                <w:color w:val="auto"/>
                <w:highlight w:val="none"/>
              </w:rPr>
            </w:pPr>
          </w:p>
        </w:tc>
        <w:tc>
          <w:tcPr>
            <w:tcW w:w="1450" w:type="dxa"/>
          </w:tcPr>
          <w:p w14:paraId="5D0FC28D">
            <w:pPr>
              <w:rPr>
                <w:rFonts w:ascii="宋体" w:hAnsi="宋体"/>
                <w:color w:val="auto"/>
                <w:highlight w:val="none"/>
              </w:rPr>
            </w:pPr>
          </w:p>
        </w:tc>
        <w:tc>
          <w:tcPr>
            <w:tcW w:w="1243" w:type="dxa"/>
          </w:tcPr>
          <w:p w14:paraId="40A77F67">
            <w:pPr>
              <w:rPr>
                <w:rFonts w:ascii="宋体" w:hAnsi="宋体"/>
                <w:color w:val="auto"/>
                <w:highlight w:val="none"/>
              </w:rPr>
            </w:pPr>
          </w:p>
        </w:tc>
        <w:tc>
          <w:tcPr>
            <w:tcW w:w="1450" w:type="dxa"/>
          </w:tcPr>
          <w:p w14:paraId="74CF66A2">
            <w:pPr>
              <w:rPr>
                <w:rFonts w:ascii="宋体" w:hAnsi="宋体"/>
                <w:color w:val="auto"/>
                <w:highlight w:val="none"/>
              </w:rPr>
            </w:pPr>
          </w:p>
        </w:tc>
        <w:tc>
          <w:tcPr>
            <w:tcW w:w="1667" w:type="dxa"/>
          </w:tcPr>
          <w:p w14:paraId="53A15B59">
            <w:pPr>
              <w:rPr>
                <w:rFonts w:ascii="宋体" w:hAnsi="宋体"/>
                <w:color w:val="auto"/>
                <w:highlight w:val="none"/>
              </w:rPr>
            </w:pPr>
          </w:p>
        </w:tc>
      </w:tr>
      <w:tr w14:paraId="32C115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5DB498E">
            <w:pPr>
              <w:keepNext/>
              <w:adjustRightInd w:val="0"/>
              <w:spacing w:line="440" w:lineRule="exact"/>
              <w:ind w:left="63" w:leftChars="30" w:right="63" w:rightChars="30"/>
              <w:jc w:val="center"/>
              <w:textAlignment w:val="baseline"/>
              <w:rPr>
                <w:rFonts w:ascii="宋体" w:hAnsi="宋体"/>
                <w:color w:val="auto"/>
                <w:highlight w:val="none"/>
              </w:rPr>
            </w:pPr>
          </w:p>
        </w:tc>
        <w:tc>
          <w:tcPr>
            <w:tcW w:w="1276" w:type="dxa"/>
            <w:vAlign w:val="center"/>
          </w:tcPr>
          <w:p w14:paraId="48A18FF2">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791C1C10">
            <w:pPr>
              <w:keepNext/>
              <w:adjustRightInd w:val="0"/>
              <w:spacing w:line="440" w:lineRule="exact"/>
              <w:ind w:left="63" w:leftChars="30" w:right="63" w:rightChars="30"/>
              <w:jc w:val="center"/>
              <w:textAlignment w:val="baseline"/>
              <w:rPr>
                <w:rFonts w:ascii="宋体" w:hAnsi="宋体"/>
                <w:color w:val="auto"/>
                <w:highlight w:val="none"/>
              </w:rPr>
            </w:pPr>
          </w:p>
        </w:tc>
        <w:tc>
          <w:tcPr>
            <w:tcW w:w="1243" w:type="dxa"/>
            <w:vAlign w:val="center"/>
          </w:tcPr>
          <w:p w14:paraId="466D9A42">
            <w:pPr>
              <w:keepNext/>
              <w:adjustRightInd w:val="0"/>
              <w:spacing w:line="440" w:lineRule="exact"/>
              <w:ind w:left="63" w:leftChars="30" w:right="63" w:rightChars="30"/>
              <w:jc w:val="center"/>
              <w:textAlignment w:val="baseline"/>
              <w:rPr>
                <w:rFonts w:ascii="宋体" w:hAnsi="宋体"/>
                <w:color w:val="auto"/>
                <w:highlight w:val="none"/>
              </w:rPr>
            </w:pPr>
          </w:p>
        </w:tc>
        <w:tc>
          <w:tcPr>
            <w:tcW w:w="1450" w:type="dxa"/>
            <w:vAlign w:val="center"/>
          </w:tcPr>
          <w:p w14:paraId="75C3A6F9">
            <w:pPr>
              <w:keepNext/>
              <w:adjustRightInd w:val="0"/>
              <w:spacing w:line="440" w:lineRule="exact"/>
              <w:ind w:left="63" w:leftChars="30" w:right="63" w:rightChars="30"/>
              <w:jc w:val="center"/>
              <w:textAlignment w:val="baseline"/>
              <w:rPr>
                <w:rFonts w:ascii="宋体" w:hAnsi="宋体"/>
                <w:color w:val="auto"/>
                <w:highlight w:val="none"/>
              </w:rPr>
            </w:pPr>
          </w:p>
        </w:tc>
        <w:tc>
          <w:tcPr>
            <w:tcW w:w="1667" w:type="dxa"/>
            <w:vAlign w:val="center"/>
          </w:tcPr>
          <w:p w14:paraId="6DE985DB">
            <w:pPr>
              <w:keepNext/>
              <w:adjustRightInd w:val="0"/>
              <w:spacing w:line="440" w:lineRule="exact"/>
              <w:ind w:left="63" w:leftChars="30" w:right="63" w:rightChars="30"/>
              <w:jc w:val="center"/>
              <w:textAlignment w:val="baseline"/>
              <w:rPr>
                <w:rFonts w:ascii="宋体" w:hAnsi="宋体"/>
                <w:color w:val="auto"/>
                <w:highlight w:val="none"/>
              </w:rPr>
            </w:pPr>
          </w:p>
        </w:tc>
      </w:tr>
      <w:tr w14:paraId="49DB1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470FAD5">
            <w:pPr>
              <w:rPr>
                <w:rFonts w:ascii="宋体" w:hAnsi="宋体"/>
                <w:color w:val="auto"/>
                <w:highlight w:val="none"/>
              </w:rPr>
            </w:pPr>
          </w:p>
        </w:tc>
        <w:tc>
          <w:tcPr>
            <w:tcW w:w="1276" w:type="dxa"/>
          </w:tcPr>
          <w:p w14:paraId="6D5389A7">
            <w:pPr>
              <w:rPr>
                <w:rFonts w:ascii="宋体" w:hAnsi="宋体"/>
                <w:color w:val="auto"/>
                <w:highlight w:val="none"/>
              </w:rPr>
            </w:pPr>
          </w:p>
        </w:tc>
        <w:tc>
          <w:tcPr>
            <w:tcW w:w="1450" w:type="dxa"/>
          </w:tcPr>
          <w:p w14:paraId="38D4C86D">
            <w:pPr>
              <w:rPr>
                <w:rFonts w:ascii="宋体" w:hAnsi="宋体"/>
                <w:color w:val="auto"/>
                <w:highlight w:val="none"/>
              </w:rPr>
            </w:pPr>
          </w:p>
        </w:tc>
        <w:tc>
          <w:tcPr>
            <w:tcW w:w="1243" w:type="dxa"/>
          </w:tcPr>
          <w:p w14:paraId="5619C1B5">
            <w:pPr>
              <w:rPr>
                <w:rFonts w:ascii="宋体" w:hAnsi="宋体"/>
                <w:color w:val="auto"/>
                <w:highlight w:val="none"/>
              </w:rPr>
            </w:pPr>
          </w:p>
        </w:tc>
        <w:tc>
          <w:tcPr>
            <w:tcW w:w="1450" w:type="dxa"/>
          </w:tcPr>
          <w:p w14:paraId="35291ADD">
            <w:pPr>
              <w:rPr>
                <w:rFonts w:ascii="宋体" w:hAnsi="宋体"/>
                <w:color w:val="auto"/>
                <w:highlight w:val="none"/>
              </w:rPr>
            </w:pPr>
          </w:p>
        </w:tc>
        <w:tc>
          <w:tcPr>
            <w:tcW w:w="1667" w:type="dxa"/>
          </w:tcPr>
          <w:p w14:paraId="04F86F86">
            <w:pPr>
              <w:rPr>
                <w:rFonts w:ascii="宋体" w:hAnsi="宋体"/>
                <w:color w:val="auto"/>
                <w:highlight w:val="none"/>
              </w:rPr>
            </w:pPr>
          </w:p>
        </w:tc>
      </w:tr>
      <w:tr w14:paraId="47112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4E74820">
            <w:pPr>
              <w:rPr>
                <w:rFonts w:ascii="宋体" w:hAnsi="宋体"/>
                <w:color w:val="auto"/>
                <w:highlight w:val="none"/>
              </w:rPr>
            </w:pPr>
          </w:p>
        </w:tc>
        <w:tc>
          <w:tcPr>
            <w:tcW w:w="1276" w:type="dxa"/>
          </w:tcPr>
          <w:p w14:paraId="67C6DCD2">
            <w:pPr>
              <w:rPr>
                <w:rFonts w:ascii="宋体" w:hAnsi="宋体"/>
                <w:color w:val="auto"/>
                <w:highlight w:val="none"/>
              </w:rPr>
            </w:pPr>
          </w:p>
        </w:tc>
        <w:tc>
          <w:tcPr>
            <w:tcW w:w="1450" w:type="dxa"/>
          </w:tcPr>
          <w:p w14:paraId="53126564">
            <w:pPr>
              <w:rPr>
                <w:rFonts w:ascii="宋体" w:hAnsi="宋体"/>
                <w:color w:val="auto"/>
                <w:highlight w:val="none"/>
              </w:rPr>
            </w:pPr>
          </w:p>
        </w:tc>
        <w:tc>
          <w:tcPr>
            <w:tcW w:w="1243" w:type="dxa"/>
          </w:tcPr>
          <w:p w14:paraId="03C885E6">
            <w:pPr>
              <w:rPr>
                <w:rFonts w:ascii="宋体" w:hAnsi="宋体"/>
                <w:color w:val="auto"/>
                <w:highlight w:val="none"/>
              </w:rPr>
            </w:pPr>
          </w:p>
        </w:tc>
        <w:tc>
          <w:tcPr>
            <w:tcW w:w="1450" w:type="dxa"/>
          </w:tcPr>
          <w:p w14:paraId="3EC5707E">
            <w:pPr>
              <w:rPr>
                <w:rFonts w:ascii="宋体" w:hAnsi="宋体"/>
                <w:color w:val="auto"/>
                <w:highlight w:val="none"/>
              </w:rPr>
            </w:pPr>
          </w:p>
        </w:tc>
        <w:tc>
          <w:tcPr>
            <w:tcW w:w="1667" w:type="dxa"/>
          </w:tcPr>
          <w:p w14:paraId="3779647F">
            <w:pPr>
              <w:rPr>
                <w:rFonts w:ascii="宋体" w:hAnsi="宋体"/>
                <w:color w:val="auto"/>
                <w:highlight w:val="none"/>
              </w:rPr>
            </w:pPr>
          </w:p>
        </w:tc>
      </w:tr>
      <w:tr w14:paraId="2CF07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9EA887">
            <w:pPr>
              <w:rPr>
                <w:rFonts w:ascii="宋体" w:hAnsi="宋体"/>
                <w:color w:val="auto"/>
                <w:highlight w:val="none"/>
              </w:rPr>
            </w:pPr>
          </w:p>
        </w:tc>
        <w:tc>
          <w:tcPr>
            <w:tcW w:w="1276" w:type="dxa"/>
          </w:tcPr>
          <w:p w14:paraId="1CB43A68">
            <w:pPr>
              <w:rPr>
                <w:rFonts w:ascii="宋体" w:hAnsi="宋体"/>
                <w:color w:val="auto"/>
                <w:highlight w:val="none"/>
              </w:rPr>
            </w:pPr>
          </w:p>
        </w:tc>
        <w:tc>
          <w:tcPr>
            <w:tcW w:w="1450" w:type="dxa"/>
          </w:tcPr>
          <w:p w14:paraId="493168E5">
            <w:pPr>
              <w:rPr>
                <w:rFonts w:ascii="宋体" w:hAnsi="宋体"/>
                <w:color w:val="auto"/>
                <w:highlight w:val="none"/>
              </w:rPr>
            </w:pPr>
          </w:p>
        </w:tc>
        <w:tc>
          <w:tcPr>
            <w:tcW w:w="1243" w:type="dxa"/>
          </w:tcPr>
          <w:p w14:paraId="0791ED1D">
            <w:pPr>
              <w:rPr>
                <w:rFonts w:ascii="宋体" w:hAnsi="宋体"/>
                <w:color w:val="auto"/>
                <w:highlight w:val="none"/>
              </w:rPr>
            </w:pPr>
          </w:p>
        </w:tc>
        <w:tc>
          <w:tcPr>
            <w:tcW w:w="1450" w:type="dxa"/>
          </w:tcPr>
          <w:p w14:paraId="044235CC">
            <w:pPr>
              <w:rPr>
                <w:rFonts w:ascii="宋体" w:hAnsi="宋体"/>
                <w:color w:val="auto"/>
                <w:highlight w:val="none"/>
              </w:rPr>
            </w:pPr>
          </w:p>
        </w:tc>
        <w:tc>
          <w:tcPr>
            <w:tcW w:w="1667" w:type="dxa"/>
          </w:tcPr>
          <w:p w14:paraId="7B1698CA">
            <w:pPr>
              <w:rPr>
                <w:rFonts w:ascii="宋体" w:hAnsi="宋体"/>
                <w:color w:val="auto"/>
                <w:highlight w:val="none"/>
              </w:rPr>
            </w:pPr>
          </w:p>
        </w:tc>
      </w:tr>
      <w:tr w14:paraId="6B792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A17A28">
            <w:pPr>
              <w:rPr>
                <w:rFonts w:ascii="宋体" w:hAnsi="宋体"/>
                <w:color w:val="auto"/>
                <w:highlight w:val="none"/>
              </w:rPr>
            </w:pPr>
          </w:p>
        </w:tc>
        <w:tc>
          <w:tcPr>
            <w:tcW w:w="1276" w:type="dxa"/>
          </w:tcPr>
          <w:p w14:paraId="6DD80DAC">
            <w:pPr>
              <w:rPr>
                <w:rFonts w:ascii="宋体" w:hAnsi="宋体"/>
                <w:color w:val="auto"/>
                <w:highlight w:val="none"/>
              </w:rPr>
            </w:pPr>
          </w:p>
        </w:tc>
        <w:tc>
          <w:tcPr>
            <w:tcW w:w="1450" w:type="dxa"/>
          </w:tcPr>
          <w:p w14:paraId="149161B8">
            <w:pPr>
              <w:rPr>
                <w:rFonts w:ascii="宋体" w:hAnsi="宋体"/>
                <w:color w:val="auto"/>
                <w:highlight w:val="none"/>
              </w:rPr>
            </w:pPr>
          </w:p>
        </w:tc>
        <w:tc>
          <w:tcPr>
            <w:tcW w:w="1243" w:type="dxa"/>
          </w:tcPr>
          <w:p w14:paraId="285E886B">
            <w:pPr>
              <w:rPr>
                <w:rFonts w:ascii="宋体" w:hAnsi="宋体"/>
                <w:color w:val="auto"/>
                <w:highlight w:val="none"/>
              </w:rPr>
            </w:pPr>
          </w:p>
        </w:tc>
        <w:tc>
          <w:tcPr>
            <w:tcW w:w="1450" w:type="dxa"/>
          </w:tcPr>
          <w:p w14:paraId="4DA429AB">
            <w:pPr>
              <w:rPr>
                <w:rFonts w:ascii="宋体" w:hAnsi="宋体"/>
                <w:color w:val="auto"/>
                <w:highlight w:val="none"/>
              </w:rPr>
            </w:pPr>
          </w:p>
        </w:tc>
        <w:tc>
          <w:tcPr>
            <w:tcW w:w="1667" w:type="dxa"/>
          </w:tcPr>
          <w:p w14:paraId="2DDF52D3">
            <w:pPr>
              <w:rPr>
                <w:rFonts w:ascii="宋体" w:hAnsi="宋体"/>
                <w:color w:val="auto"/>
                <w:highlight w:val="none"/>
              </w:rPr>
            </w:pPr>
          </w:p>
        </w:tc>
      </w:tr>
      <w:tr w14:paraId="71664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24CB7BD">
            <w:pPr>
              <w:rPr>
                <w:rFonts w:ascii="宋体" w:hAnsi="宋体"/>
                <w:color w:val="auto"/>
                <w:highlight w:val="none"/>
              </w:rPr>
            </w:pPr>
          </w:p>
        </w:tc>
        <w:tc>
          <w:tcPr>
            <w:tcW w:w="1276" w:type="dxa"/>
          </w:tcPr>
          <w:p w14:paraId="743185A1">
            <w:pPr>
              <w:rPr>
                <w:rFonts w:ascii="宋体" w:hAnsi="宋体"/>
                <w:color w:val="auto"/>
                <w:highlight w:val="none"/>
              </w:rPr>
            </w:pPr>
          </w:p>
        </w:tc>
        <w:tc>
          <w:tcPr>
            <w:tcW w:w="1450" w:type="dxa"/>
          </w:tcPr>
          <w:p w14:paraId="2AE065A1">
            <w:pPr>
              <w:rPr>
                <w:rFonts w:ascii="宋体" w:hAnsi="宋体"/>
                <w:color w:val="auto"/>
                <w:highlight w:val="none"/>
              </w:rPr>
            </w:pPr>
          </w:p>
        </w:tc>
        <w:tc>
          <w:tcPr>
            <w:tcW w:w="1243" w:type="dxa"/>
          </w:tcPr>
          <w:p w14:paraId="7DA799F1">
            <w:pPr>
              <w:rPr>
                <w:rFonts w:ascii="宋体" w:hAnsi="宋体"/>
                <w:color w:val="auto"/>
                <w:highlight w:val="none"/>
              </w:rPr>
            </w:pPr>
          </w:p>
        </w:tc>
        <w:tc>
          <w:tcPr>
            <w:tcW w:w="1450" w:type="dxa"/>
          </w:tcPr>
          <w:p w14:paraId="21C9A531">
            <w:pPr>
              <w:rPr>
                <w:rFonts w:ascii="宋体" w:hAnsi="宋体"/>
                <w:color w:val="auto"/>
                <w:highlight w:val="none"/>
              </w:rPr>
            </w:pPr>
          </w:p>
        </w:tc>
        <w:tc>
          <w:tcPr>
            <w:tcW w:w="1667" w:type="dxa"/>
          </w:tcPr>
          <w:p w14:paraId="4FD31F58">
            <w:pPr>
              <w:rPr>
                <w:rFonts w:ascii="宋体" w:hAnsi="宋体"/>
                <w:color w:val="auto"/>
                <w:highlight w:val="none"/>
              </w:rPr>
            </w:pPr>
          </w:p>
        </w:tc>
      </w:tr>
      <w:tr w14:paraId="4D246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B6FA072">
            <w:pPr>
              <w:rPr>
                <w:rFonts w:ascii="宋体" w:hAnsi="宋体"/>
                <w:color w:val="auto"/>
                <w:highlight w:val="none"/>
              </w:rPr>
            </w:pPr>
          </w:p>
        </w:tc>
        <w:tc>
          <w:tcPr>
            <w:tcW w:w="1276" w:type="dxa"/>
          </w:tcPr>
          <w:p w14:paraId="046B3FF6">
            <w:pPr>
              <w:rPr>
                <w:rFonts w:ascii="宋体" w:hAnsi="宋体"/>
                <w:color w:val="auto"/>
                <w:highlight w:val="none"/>
              </w:rPr>
            </w:pPr>
          </w:p>
        </w:tc>
        <w:tc>
          <w:tcPr>
            <w:tcW w:w="1450" w:type="dxa"/>
          </w:tcPr>
          <w:p w14:paraId="21816E4D">
            <w:pPr>
              <w:rPr>
                <w:rFonts w:ascii="宋体" w:hAnsi="宋体"/>
                <w:color w:val="auto"/>
                <w:highlight w:val="none"/>
              </w:rPr>
            </w:pPr>
          </w:p>
        </w:tc>
        <w:tc>
          <w:tcPr>
            <w:tcW w:w="1243" w:type="dxa"/>
          </w:tcPr>
          <w:p w14:paraId="7D7140B5">
            <w:pPr>
              <w:rPr>
                <w:rFonts w:ascii="宋体" w:hAnsi="宋体"/>
                <w:color w:val="auto"/>
                <w:highlight w:val="none"/>
              </w:rPr>
            </w:pPr>
          </w:p>
        </w:tc>
        <w:tc>
          <w:tcPr>
            <w:tcW w:w="1450" w:type="dxa"/>
          </w:tcPr>
          <w:p w14:paraId="7CCC5D8E">
            <w:pPr>
              <w:rPr>
                <w:rFonts w:ascii="宋体" w:hAnsi="宋体"/>
                <w:color w:val="auto"/>
                <w:highlight w:val="none"/>
              </w:rPr>
            </w:pPr>
          </w:p>
        </w:tc>
        <w:tc>
          <w:tcPr>
            <w:tcW w:w="1667" w:type="dxa"/>
          </w:tcPr>
          <w:p w14:paraId="472E0FE4">
            <w:pPr>
              <w:rPr>
                <w:rFonts w:ascii="宋体" w:hAnsi="宋体"/>
                <w:color w:val="auto"/>
                <w:highlight w:val="none"/>
              </w:rPr>
            </w:pPr>
          </w:p>
        </w:tc>
      </w:tr>
      <w:tr w14:paraId="03226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D0C6A9">
            <w:pPr>
              <w:rPr>
                <w:rFonts w:ascii="宋体" w:hAnsi="宋体"/>
                <w:color w:val="auto"/>
                <w:highlight w:val="none"/>
              </w:rPr>
            </w:pPr>
          </w:p>
        </w:tc>
        <w:tc>
          <w:tcPr>
            <w:tcW w:w="1276" w:type="dxa"/>
          </w:tcPr>
          <w:p w14:paraId="4C620701">
            <w:pPr>
              <w:rPr>
                <w:rFonts w:ascii="宋体" w:hAnsi="宋体"/>
                <w:color w:val="auto"/>
                <w:highlight w:val="none"/>
              </w:rPr>
            </w:pPr>
          </w:p>
        </w:tc>
        <w:tc>
          <w:tcPr>
            <w:tcW w:w="1450" w:type="dxa"/>
          </w:tcPr>
          <w:p w14:paraId="67B38162">
            <w:pPr>
              <w:rPr>
                <w:rFonts w:ascii="宋体" w:hAnsi="宋体"/>
                <w:color w:val="auto"/>
                <w:highlight w:val="none"/>
              </w:rPr>
            </w:pPr>
          </w:p>
        </w:tc>
        <w:tc>
          <w:tcPr>
            <w:tcW w:w="1243" w:type="dxa"/>
          </w:tcPr>
          <w:p w14:paraId="6C778C80">
            <w:pPr>
              <w:rPr>
                <w:rFonts w:ascii="宋体" w:hAnsi="宋体"/>
                <w:color w:val="auto"/>
                <w:highlight w:val="none"/>
              </w:rPr>
            </w:pPr>
          </w:p>
        </w:tc>
        <w:tc>
          <w:tcPr>
            <w:tcW w:w="1450" w:type="dxa"/>
          </w:tcPr>
          <w:p w14:paraId="41560D06">
            <w:pPr>
              <w:rPr>
                <w:rFonts w:ascii="宋体" w:hAnsi="宋体"/>
                <w:color w:val="auto"/>
                <w:highlight w:val="none"/>
              </w:rPr>
            </w:pPr>
          </w:p>
        </w:tc>
        <w:tc>
          <w:tcPr>
            <w:tcW w:w="1667" w:type="dxa"/>
          </w:tcPr>
          <w:p w14:paraId="1D3E8935">
            <w:pPr>
              <w:rPr>
                <w:rFonts w:ascii="宋体" w:hAnsi="宋体"/>
                <w:color w:val="auto"/>
                <w:highlight w:val="none"/>
              </w:rPr>
            </w:pPr>
          </w:p>
        </w:tc>
      </w:tr>
      <w:tr w14:paraId="3E10A3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A5E9B2E">
            <w:pPr>
              <w:rPr>
                <w:rFonts w:ascii="宋体" w:hAnsi="宋体"/>
                <w:color w:val="auto"/>
                <w:highlight w:val="none"/>
              </w:rPr>
            </w:pPr>
          </w:p>
        </w:tc>
        <w:tc>
          <w:tcPr>
            <w:tcW w:w="1276" w:type="dxa"/>
          </w:tcPr>
          <w:p w14:paraId="7A742C7F">
            <w:pPr>
              <w:rPr>
                <w:rFonts w:ascii="宋体" w:hAnsi="宋体"/>
                <w:color w:val="auto"/>
                <w:highlight w:val="none"/>
              </w:rPr>
            </w:pPr>
          </w:p>
        </w:tc>
        <w:tc>
          <w:tcPr>
            <w:tcW w:w="1450" w:type="dxa"/>
          </w:tcPr>
          <w:p w14:paraId="55DBED7C">
            <w:pPr>
              <w:rPr>
                <w:rFonts w:ascii="宋体" w:hAnsi="宋体"/>
                <w:color w:val="auto"/>
                <w:highlight w:val="none"/>
              </w:rPr>
            </w:pPr>
          </w:p>
        </w:tc>
        <w:tc>
          <w:tcPr>
            <w:tcW w:w="1243" w:type="dxa"/>
          </w:tcPr>
          <w:p w14:paraId="713296DE">
            <w:pPr>
              <w:rPr>
                <w:rFonts w:ascii="宋体" w:hAnsi="宋体"/>
                <w:color w:val="auto"/>
                <w:highlight w:val="none"/>
              </w:rPr>
            </w:pPr>
          </w:p>
        </w:tc>
        <w:tc>
          <w:tcPr>
            <w:tcW w:w="1450" w:type="dxa"/>
          </w:tcPr>
          <w:p w14:paraId="3CD2C746">
            <w:pPr>
              <w:rPr>
                <w:rFonts w:ascii="宋体" w:hAnsi="宋体"/>
                <w:color w:val="auto"/>
                <w:highlight w:val="none"/>
              </w:rPr>
            </w:pPr>
          </w:p>
        </w:tc>
        <w:tc>
          <w:tcPr>
            <w:tcW w:w="1667" w:type="dxa"/>
          </w:tcPr>
          <w:p w14:paraId="7D338F62">
            <w:pPr>
              <w:rPr>
                <w:rFonts w:ascii="宋体" w:hAnsi="宋体"/>
                <w:color w:val="auto"/>
                <w:highlight w:val="none"/>
              </w:rPr>
            </w:pPr>
          </w:p>
        </w:tc>
      </w:tr>
      <w:tr w14:paraId="7C225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F56A9C1">
            <w:pPr>
              <w:rPr>
                <w:rFonts w:ascii="宋体" w:hAnsi="宋体"/>
                <w:color w:val="auto"/>
                <w:highlight w:val="none"/>
              </w:rPr>
            </w:pPr>
          </w:p>
        </w:tc>
        <w:tc>
          <w:tcPr>
            <w:tcW w:w="1276" w:type="dxa"/>
          </w:tcPr>
          <w:p w14:paraId="5ABB1B97">
            <w:pPr>
              <w:rPr>
                <w:rFonts w:ascii="宋体" w:hAnsi="宋体"/>
                <w:color w:val="auto"/>
                <w:highlight w:val="none"/>
              </w:rPr>
            </w:pPr>
          </w:p>
        </w:tc>
        <w:tc>
          <w:tcPr>
            <w:tcW w:w="1450" w:type="dxa"/>
          </w:tcPr>
          <w:p w14:paraId="571E5ED3">
            <w:pPr>
              <w:rPr>
                <w:rFonts w:ascii="宋体" w:hAnsi="宋体"/>
                <w:color w:val="auto"/>
                <w:highlight w:val="none"/>
              </w:rPr>
            </w:pPr>
          </w:p>
        </w:tc>
        <w:tc>
          <w:tcPr>
            <w:tcW w:w="1243" w:type="dxa"/>
          </w:tcPr>
          <w:p w14:paraId="43289EDE">
            <w:pPr>
              <w:rPr>
                <w:rFonts w:ascii="宋体" w:hAnsi="宋体"/>
                <w:color w:val="auto"/>
                <w:highlight w:val="none"/>
              </w:rPr>
            </w:pPr>
          </w:p>
        </w:tc>
        <w:tc>
          <w:tcPr>
            <w:tcW w:w="1450" w:type="dxa"/>
          </w:tcPr>
          <w:p w14:paraId="086378CD">
            <w:pPr>
              <w:rPr>
                <w:rFonts w:ascii="宋体" w:hAnsi="宋体"/>
                <w:color w:val="auto"/>
                <w:highlight w:val="none"/>
              </w:rPr>
            </w:pPr>
          </w:p>
        </w:tc>
        <w:tc>
          <w:tcPr>
            <w:tcW w:w="1667" w:type="dxa"/>
          </w:tcPr>
          <w:p w14:paraId="6B1E1541">
            <w:pPr>
              <w:rPr>
                <w:rFonts w:ascii="宋体" w:hAnsi="宋体"/>
                <w:color w:val="auto"/>
                <w:highlight w:val="none"/>
              </w:rPr>
            </w:pPr>
          </w:p>
        </w:tc>
      </w:tr>
    </w:tbl>
    <w:p w14:paraId="4C269A7C">
      <w:pPr>
        <w:spacing w:line="440" w:lineRule="exact"/>
        <w:rPr>
          <w:rFonts w:ascii="宋体" w:hAnsi="宋体"/>
          <w:color w:val="auto"/>
          <w:highlight w:val="none"/>
        </w:rPr>
      </w:pPr>
    </w:p>
    <w:p w14:paraId="00016623">
      <w:pPr>
        <w:spacing w:line="440" w:lineRule="exact"/>
        <w:rPr>
          <w:rFonts w:ascii="宋体" w:hAnsi="宋体"/>
          <w:color w:val="auto"/>
          <w:highlight w:val="none"/>
        </w:rPr>
      </w:pPr>
      <w:r>
        <w:rPr>
          <w:rFonts w:ascii="宋体" w:hAnsi="宋体"/>
          <w:color w:val="auto"/>
          <w:highlight w:val="none"/>
        </w:rPr>
        <w:br w:type="page"/>
      </w:r>
      <w:r>
        <w:rPr>
          <w:rFonts w:ascii="宋体" w:hAnsi="宋体"/>
          <w:color w:val="auto"/>
          <w:highlight w:val="none"/>
        </w:rPr>
        <w:t>附</w:t>
      </w:r>
      <w:bookmarkStart w:id="1143" w:name="_Toc267261698"/>
      <w:bookmarkStart w:id="1144" w:name="_Toc296891055"/>
      <w:bookmarkStart w:id="1145" w:name="_Toc296503227"/>
      <w:bookmarkStart w:id="1146" w:name="_Toc296944566"/>
      <w:bookmarkStart w:id="1147" w:name="_Toc296346728"/>
      <w:bookmarkStart w:id="1148" w:name="_Toc296891267"/>
      <w:bookmarkStart w:id="1149" w:name="_Toc296347226"/>
      <w:r>
        <w:rPr>
          <w:rFonts w:ascii="宋体" w:hAnsi="宋体"/>
          <w:color w:val="auto"/>
          <w:highlight w:val="none"/>
        </w:rPr>
        <w:t>件5：</w:t>
      </w:r>
    </w:p>
    <w:bookmarkEnd w:id="1143"/>
    <w:bookmarkEnd w:id="1144"/>
    <w:bookmarkEnd w:id="1145"/>
    <w:bookmarkEnd w:id="1146"/>
    <w:bookmarkEnd w:id="1147"/>
    <w:bookmarkEnd w:id="1148"/>
    <w:bookmarkEnd w:id="1149"/>
    <w:p w14:paraId="50B7ED15">
      <w:pPr>
        <w:spacing w:before="120" w:beforeLines="50" w:after="120" w:afterLines="50" w:line="440" w:lineRule="exact"/>
        <w:jc w:val="center"/>
        <w:rPr>
          <w:rFonts w:ascii="宋体" w:hAnsi="宋体"/>
          <w:color w:val="auto"/>
          <w:highlight w:val="none"/>
        </w:rPr>
      </w:pPr>
      <w:r>
        <w:rPr>
          <w:rFonts w:ascii="宋体" w:hAnsi="宋体"/>
          <w:color w:val="auto"/>
          <w:highlight w:val="none"/>
        </w:rPr>
        <w:t>承包人用于本工程施工的机械设备表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535E4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vAlign w:val="center"/>
          </w:tcPr>
          <w:p w14:paraId="3B0F2A74">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序号</w:t>
            </w:r>
          </w:p>
        </w:tc>
        <w:tc>
          <w:tcPr>
            <w:tcW w:w="1418" w:type="dxa"/>
            <w:tcBorders>
              <w:top w:val="single" w:color="auto" w:sz="12" w:space="0"/>
              <w:bottom w:val="double" w:color="auto" w:sz="6" w:space="0"/>
            </w:tcBorders>
            <w:vAlign w:val="center"/>
          </w:tcPr>
          <w:p w14:paraId="4FDC7417">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机械或设备名称</w:t>
            </w:r>
          </w:p>
        </w:tc>
        <w:tc>
          <w:tcPr>
            <w:tcW w:w="850" w:type="dxa"/>
            <w:tcBorders>
              <w:top w:val="single" w:color="auto" w:sz="12" w:space="0"/>
              <w:bottom w:val="double" w:color="auto" w:sz="6" w:space="0"/>
            </w:tcBorders>
            <w:vAlign w:val="center"/>
          </w:tcPr>
          <w:p w14:paraId="575E68ED">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规格型号</w:t>
            </w:r>
          </w:p>
        </w:tc>
        <w:tc>
          <w:tcPr>
            <w:tcW w:w="1058" w:type="dxa"/>
            <w:tcBorders>
              <w:top w:val="single" w:color="auto" w:sz="12" w:space="0"/>
              <w:bottom w:val="double" w:color="auto" w:sz="6" w:space="0"/>
            </w:tcBorders>
            <w:vAlign w:val="center"/>
          </w:tcPr>
          <w:p w14:paraId="5BEC2C61">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数量</w:t>
            </w:r>
          </w:p>
        </w:tc>
        <w:tc>
          <w:tcPr>
            <w:tcW w:w="880" w:type="dxa"/>
            <w:tcBorders>
              <w:top w:val="single" w:color="auto" w:sz="12" w:space="0"/>
              <w:bottom w:val="double" w:color="auto" w:sz="6" w:space="0"/>
            </w:tcBorders>
            <w:vAlign w:val="center"/>
          </w:tcPr>
          <w:p w14:paraId="0E6F6EBE">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产地</w:t>
            </w:r>
          </w:p>
        </w:tc>
        <w:tc>
          <w:tcPr>
            <w:tcW w:w="1020" w:type="dxa"/>
            <w:tcBorders>
              <w:top w:val="single" w:color="auto" w:sz="12" w:space="0"/>
              <w:bottom w:val="double" w:color="auto" w:sz="6" w:space="0"/>
            </w:tcBorders>
            <w:vAlign w:val="center"/>
          </w:tcPr>
          <w:p w14:paraId="63F818E8">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制造年份</w:t>
            </w:r>
          </w:p>
        </w:tc>
        <w:tc>
          <w:tcPr>
            <w:tcW w:w="1480" w:type="dxa"/>
            <w:tcBorders>
              <w:top w:val="single" w:color="auto" w:sz="12" w:space="0"/>
              <w:bottom w:val="double" w:color="auto" w:sz="6" w:space="0"/>
            </w:tcBorders>
            <w:vAlign w:val="center"/>
          </w:tcPr>
          <w:p w14:paraId="3FE06ABA">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额定功率</w:t>
            </w:r>
            <w:r>
              <w:rPr>
                <w:rFonts w:hint="eastAsia" w:ascii="宋体" w:hAnsi="宋体"/>
                <w:color w:val="auto"/>
                <w:highlight w:val="none"/>
              </w:rPr>
              <w:t>（</w:t>
            </w:r>
            <w:r>
              <w:rPr>
                <w:rFonts w:ascii="宋体" w:hAnsi="宋体"/>
                <w:color w:val="auto"/>
                <w:highlight w:val="none"/>
              </w:rPr>
              <w:t>kW</w:t>
            </w:r>
            <w:r>
              <w:rPr>
                <w:rFonts w:hint="eastAsia" w:ascii="宋体" w:hAnsi="宋体"/>
                <w:color w:val="auto"/>
                <w:highlight w:val="none"/>
              </w:rPr>
              <w:t>）</w:t>
            </w:r>
          </w:p>
        </w:tc>
        <w:tc>
          <w:tcPr>
            <w:tcW w:w="1020" w:type="dxa"/>
            <w:tcBorders>
              <w:top w:val="single" w:color="auto" w:sz="12" w:space="0"/>
              <w:bottom w:val="double" w:color="auto" w:sz="6" w:space="0"/>
            </w:tcBorders>
            <w:vAlign w:val="center"/>
          </w:tcPr>
          <w:p w14:paraId="1F6B315F">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生产能力</w:t>
            </w:r>
          </w:p>
        </w:tc>
        <w:tc>
          <w:tcPr>
            <w:tcW w:w="921" w:type="dxa"/>
            <w:tcBorders>
              <w:top w:val="single" w:color="auto" w:sz="12" w:space="0"/>
              <w:bottom w:val="double" w:color="auto" w:sz="6" w:space="0"/>
            </w:tcBorders>
            <w:vAlign w:val="center"/>
          </w:tcPr>
          <w:p w14:paraId="6E51CE25">
            <w:pPr>
              <w:keepNext/>
              <w:adjustRightInd w:val="0"/>
              <w:ind w:left="63" w:leftChars="30" w:right="63" w:rightChars="30"/>
              <w:jc w:val="center"/>
              <w:textAlignment w:val="baseline"/>
              <w:rPr>
                <w:rFonts w:ascii="宋体" w:hAnsi="宋体"/>
                <w:color w:val="auto"/>
                <w:highlight w:val="none"/>
              </w:rPr>
            </w:pPr>
            <w:r>
              <w:rPr>
                <w:rFonts w:ascii="宋体" w:hAnsi="宋体"/>
                <w:color w:val="auto"/>
                <w:highlight w:val="none"/>
              </w:rPr>
              <w:t>备注</w:t>
            </w:r>
          </w:p>
        </w:tc>
      </w:tr>
      <w:tr w14:paraId="2A1C7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vAlign w:val="center"/>
          </w:tcPr>
          <w:p w14:paraId="6348718E">
            <w:pPr>
              <w:keepNext/>
              <w:adjustRightInd w:val="0"/>
              <w:ind w:left="63" w:leftChars="30" w:right="63" w:rightChars="30"/>
              <w:jc w:val="center"/>
              <w:textAlignment w:val="baseline"/>
              <w:rPr>
                <w:rFonts w:ascii="宋体" w:hAnsi="宋体"/>
                <w:color w:val="auto"/>
                <w:highlight w:val="none"/>
              </w:rPr>
            </w:pPr>
          </w:p>
        </w:tc>
        <w:tc>
          <w:tcPr>
            <w:tcW w:w="1418" w:type="dxa"/>
            <w:tcBorders>
              <w:top w:val="double" w:color="auto" w:sz="6" w:space="0"/>
              <w:bottom w:val="single" w:color="auto" w:sz="6" w:space="0"/>
            </w:tcBorders>
            <w:vAlign w:val="center"/>
          </w:tcPr>
          <w:p w14:paraId="6D3932D8">
            <w:pPr>
              <w:keepNext/>
              <w:adjustRightInd w:val="0"/>
              <w:ind w:left="63" w:leftChars="30" w:right="63" w:rightChars="30"/>
              <w:jc w:val="center"/>
              <w:textAlignment w:val="baseline"/>
              <w:rPr>
                <w:rFonts w:ascii="宋体" w:hAnsi="宋体"/>
                <w:color w:val="auto"/>
                <w:highlight w:val="none"/>
              </w:rPr>
            </w:pPr>
          </w:p>
        </w:tc>
        <w:tc>
          <w:tcPr>
            <w:tcW w:w="850" w:type="dxa"/>
            <w:tcBorders>
              <w:top w:val="double" w:color="auto" w:sz="6" w:space="0"/>
              <w:bottom w:val="single" w:color="auto" w:sz="6" w:space="0"/>
            </w:tcBorders>
            <w:vAlign w:val="center"/>
          </w:tcPr>
          <w:p w14:paraId="466075A4">
            <w:pPr>
              <w:keepNext/>
              <w:adjustRightInd w:val="0"/>
              <w:ind w:left="63" w:leftChars="30" w:right="63" w:rightChars="30"/>
              <w:jc w:val="center"/>
              <w:textAlignment w:val="baseline"/>
              <w:rPr>
                <w:rFonts w:ascii="宋体" w:hAnsi="宋体"/>
                <w:color w:val="auto"/>
                <w:highlight w:val="none"/>
              </w:rPr>
            </w:pPr>
          </w:p>
        </w:tc>
        <w:tc>
          <w:tcPr>
            <w:tcW w:w="1058" w:type="dxa"/>
            <w:tcBorders>
              <w:top w:val="double" w:color="auto" w:sz="6" w:space="0"/>
              <w:bottom w:val="single" w:color="auto" w:sz="6" w:space="0"/>
            </w:tcBorders>
            <w:vAlign w:val="center"/>
          </w:tcPr>
          <w:p w14:paraId="7D8DE114">
            <w:pPr>
              <w:keepNext/>
              <w:adjustRightInd w:val="0"/>
              <w:ind w:left="63" w:leftChars="30" w:right="63" w:rightChars="30"/>
              <w:jc w:val="center"/>
              <w:textAlignment w:val="baseline"/>
              <w:rPr>
                <w:rFonts w:ascii="宋体" w:hAnsi="宋体"/>
                <w:color w:val="auto"/>
                <w:highlight w:val="none"/>
              </w:rPr>
            </w:pPr>
          </w:p>
        </w:tc>
        <w:tc>
          <w:tcPr>
            <w:tcW w:w="880" w:type="dxa"/>
            <w:tcBorders>
              <w:top w:val="double" w:color="auto" w:sz="6" w:space="0"/>
              <w:bottom w:val="single" w:color="auto" w:sz="6" w:space="0"/>
            </w:tcBorders>
            <w:vAlign w:val="center"/>
          </w:tcPr>
          <w:p w14:paraId="4700A790">
            <w:pPr>
              <w:keepNext/>
              <w:adjustRightInd w:val="0"/>
              <w:ind w:left="63" w:leftChars="30" w:right="63" w:rightChars="30"/>
              <w:jc w:val="center"/>
              <w:textAlignment w:val="baseline"/>
              <w:rPr>
                <w:rFonts w:ascii="宋体" w:hAnsi="宋体"/>
                <w:color w:val="auto"/>
                <w:highlight w:val="none"/>
              </w:rPr>
            </w:pPr>
          </w:p>
        </w:tc>
        <w:tc>
          <w:tcPr>
            <w:tcW w:w="1020" w:type="dxa"/>
            <w:tcBorders>
              <w:top w:val="double" w:color="auto" w:sz="6" w:space="0"/>
              <w:bottom w:val="single" w:color="auto" w:sz="6" w:space="0"/>
            </w:tcBorders>
            <w:vAlign w:val="center"/>
          </w:tcPr>
          <w:p w14:paraId="7F291D58">
            <w:pPr>
              <w:keepNext/>
              <w:adjustRightInd w:val="0"/>
              <w:ind w:left="63" w:leftChars="30" w:right="63" w:rightChars="30"/>
              <w:jc w:val="center"/>
              <w:textAlignment w:val="baseline"/>
              <w:rPr>
                <w:rFonts w:ascii="宋体" w:hAnsi="宋体"/>
                <w:color w:val="auto"/>
                <w:highlight w:val="none"/>
              </w:rPr>
            </w:pPr>
          </w:p>
        </w:tc>
        <w:tc>
          <w:tcPr>
            <w:tcW w:w="1480" w:type="dxa"/>
            <w:tcBorders>
              <w:top w:val="double" w:color="auto" w:sz="6" w:space="0"/>
              <w:bottom w:val="single" w:color="auto" w:sz="6" w:space="0"/>
            </w:tcBorders>
            <w:vAlign w:val="center"/>
          </w:tcPr>
          <w:p w14:paraId="6757B798">
            <w:pPr>
              <w:keepNext/>
              <w:adjustRightInd w:val="0"/>
              <w:ind w:left="63" w:leftChars="30" w:right="63" w:rightChars="30"/>
              <w:jc w:val="center"/>
              <w:textAlignment w:val="baseline"/>
              <w:rPr>
                <w:rFonts w:ascii="宋体" w:hAnsi="宋体"/>
                <w:color w:val="auto"/>
                <w:highlight w:val="none"/>
              </w:rPr>
            </w:pPr>
          </w:p>
        </w:tc>
        <w:tc>
          <w:tcPr>
            <w:tcW w:w="1020" w:type="dxa"/>
            <w:tcBorders>
              <w:top w:val="double" w:color="auto" w:sz="6" w:space="0"/>
              <w:bottom w:val="single" w:color="auto" w:sz="6" w:space="0"/>
            </w:tcBorders>
            <w:vAlign w:val="center"/>
          </w:tcPr>
          <w:p w14:paraId="2B2B4186">
            <w:pPr>
              <w:keepNext/>
              <w:adjustRightInd w:val="0"/>
              <w:ind w:left="63" w:leftChars="30" w:right="63" w:rightChars="30"/>
              <w:jc w:val="center"/>
              <w:textAlignment w:val="baseline"/>
              <w:rPr>
                <w:rFonts w:ascii="宋体" w:hAnsi="宋体"/>
                <w:color w:val="auto"/>
                <w:highlight w:val="none"/>
              </w:rPr>
            </w:pPr>
          </w:p>
        </w:tc>
        <w:tc>
          <w:tcPr>
            <w:tcW w:w="921" w:type="dxa"/>
            <w:tcBorders>
              <w:top w:val="double" w:color="auto" w:sz="6" w:space="0"/>
              <w:bottom w:val="single" w:color="auto" w:sz="6" w:space="0"/>
            </w:tcBorders>
            <w:vAlign w:val="center"/>
          </w:tcPr>
          <w:p w14:paraId="357D7C76">
            <w:pPr>
              <w:keepNext/>
              <w:adjustRightInd w:val="0"/>
              <w:ind w:left="63" w:leftChars="30" w:right="63" w:rightChars="30"/>
              <w:jc w:val="center"/>
              <w:textAlignment w:val="baseline"/>
              <w:rPr>
                <w:rFonts w:ascii="宋体" w:hAnsi="宋体"/>
                <w:color w:val="auto"/>
                <w:highlight w:val="none"/>
              </w:rPr>
            </w:pPr>
          </w:p>
        </w:tc>
      </w:tr>
      <w:tr w14:paraId="49C853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vAlign w:val="center"/>
          </w:tcPr>
          <w:p w14:paraId="215A2547">
            <w:pPr>
              <w:keepNext/>
              <w:adjustRightInd w:val="0"/>
              <w:ind w:left="63" w:leftChars="30" w:right="63" w:rightChars="30"/>
              <w:jc w:val="center"/>
              <w:textAlignment w:val="baseline"/>
              <w:rPr>
                <w:rFonts w:ascii="宋体" w:hAnsi="宋体"/>
                <w:color w:val="auto"/>
                <w:highlight w:val="none"/>
              </w:rPr>
            </w:pPr>
          </w:p>
        </w:tc>
        <w:tc>
          <w:tcPr>
            <w:tcW w:w="1418" w:type="dxa"/>
            <w:tcBorders>
              <w:top w:val="nil"/>
            </w:tcBorders>
            <w:vAlign w:val="center"/>
          </w:tcPr>
          <w:p w14:paraId="1A54E472">
            <w:pPr>
              <w:keepNext/>
              <w:adjustRightInd w:val="0"/>
              <w:ind w:left="63" w:leftChars="30" w:right="63" w:rightChars="30"/>
              <w:jc w:val="center"/>
              <w:textAlignment w:val="baseline"/>
              <w:rPr>
                <w:rFonts w:ascii="宋体" w:hAnsi="宋体"/>
                <w:color w:val="auto"/>
                <w:highlight w:val="none"/>
              </w:rPr>
            </w:pPr>
          </w:p>
        </w:tc>
        <w:tc>
          <w:tcPr>
            <w:tcW w:w="850" w:type="dxa"/>
            <w:tcBorders>
              <w:top w:val="nil"/>
            </w:tcBorders>
            <w:vAlign w:val="center"/>
          </w:tcPr>
          <w:p w14:paraId="45CCA01D">
            <w:pPr>
              <w:keepNext/>
              <w:adjustRightInd w:val="0"/>
              <w:ind w:left="63" w:leftChars="30" w:right="63" w:rightChars="30"/>
              <w:jc w:val="center"/>
              <w:textAlignment w:val="baseline"/>
              <w:rPr>
                <w:rFonts w:ascii="宋体" w:hAnsi="宋体"/>
                <w:color w:val="auto"/>
                <w:highlight w:val="none"/>
              </w:rPr>
            </w:pPr>
          </w:p>
        </w:tc>
        <w:tc>
          <w:tcPr>
            <w:tcW w:w="1058" w:type="dxa"/>
            <w:tcBorders>
              <w:top w:val="nil"/>
            </w:tcBorders>
            <w:vAlign w:val="center"/>
          </w:tcPr>
          <w:p w14:paraId="562742F0">
            <w:pPr>
              <w:keepNext/>
              <w:adjustRightInd w:val="0"/>
              <w:ind w:left="63" w:leftChars="30" w:right="63" w:rightChars="30"/>
              <w:jc w:val="center"/>
              <w:textAlignment w:val="baseline"/>
              <w:rPr>
                <w:rFonts w:ascii="宋体" w:hAnsi="宋体"/>
                <w:color w:val="auto"/>
                <w:highlight w:val="none"/>
              </w:rPr>
            </w:pPr>
          </w:p>
        </w:tc>
        <w:tc>
          <w:tcPr>
            <w:tcW w:w="880" w:type="dxa"/>
            <w:tcBorders>
              <w:top w:val="nil"/>
            </w:tcBorders>
            <w:vAlign w:val="center"/>
          </w:tcPr>
          <w:p w14:paraId="3B3FD930">
            <w:pPr>
              <w:keepNext/>
              <w:adjustRightInd w:val="0"/>
              <w:ind w:left="63" w:leftChars="30" w:right="63" w:rightChars="30"/>
              <w:jc w:val="center"/>
              <w:textAlignment w:val="baseline"/>
              <w:rPr>
                <w:rFonts w:ascii="宋体" w:hAnsi="宋体"/>
                <w:color w:val="auto"/>
                <w:highlight w:val="none"/>
              </w:rPr>
            </w:pPr>
          </w:p>
        </w:tc>
        <w:tc>
          <w:tcPr>
            <w:tcW w:w="1020" w:type="dxa"/>
            <w:tcBorders>
              <w:top w:val="nil"/>
            </w:tcBorders>
            <w:vAlign w:val="center"/>
          </w:tcPr>
          <w:p w14:paraId="1B7BE4C6">
            <w:pPr>
              <w:keepNext/>
              <w:adjustRightInd w:val="0"/>
              <w:ind w:left="63" w:leftChars="30" w:right="63" w:rightChars="30"/>
              <w:jc w:val="center"/>
              <w:textAlignment w:val="baseline"/>
              <w:rPr>
                <w:rFonts w:ascii="宋体" w:hAnsi="宋体"/>
                <w:color w:val="auto"/>
                <w:highlight w:val="none"/>
              </w:rPr>
            </w:pPr>
          </w:p>
        </w:tc>
        <w:tc>
          <w:tcPr>
            <w:tcW w:w="1480" w:type="dxa"/>
            <w:tcBorders>
              <w:top w:val="nil"/>
            </w:tcBorders>
            <w:vAlign w:val="center"/>
          </w:tcPr>
          <w:p w14:paraId="7B044DB4">
            <w:pPr>
              <w:keepNext/>
              <w:adjustRightInd w:val="0"/>
              <w:ind w:left="63" w:leftChars="30" w:right="63" w:rightChars="30"/>
              <w:jc w:val="center"/>
              <w:textAlignment w:val="baseline"/>
              <w:rPr>
                <w:rFonts w:ascii="宋体" w:hAnsi="宋体"/>
                <w:color w:val="auto"/>
                <w:highlight w:val="none"/>
              </w:rPr>
            </w:pPr>
          </w:p>
        </w:tc>
        <w:tc>
          <w:tcPr>
            <w:tcW w:w="1020" w:type="dxa"/>
            <w:tcBorders>
              <w:top w:val="nil"/>
            </w:tcBorders>
            <w:vAlign w:val="center"/>
          </w:tcPr>
          <w:p w14:paraId="6F25E10F">
            <w:pPr>
              <w:keepNext/>
              <w:adjustRightInd w:val="0"/>
              <w:ind w:left="63" w:leftChars="30" w:right="63" w:rightChars="30"/>
              <w:jc w:val="center"/>
              <w:textAlignment w:val="baseline"/>
              <w:rPr>
                <w:rFonts w:ascii="宋体" w:hAnsi="宋体"/>
                <w:color w:val="auto"/>
                <w:highlight w:val="none"/>
              </w:rPr>
            </w:pPr>
          </w:p>
        </w:tc>
        <w:tc>
          <w:tcPr>
            <w:tcW w:w="921" w:type="dxa"/>
            <w:tcBorders>
              <w:top w:val="nil"/>
            </w:tcBorders>
            <w:vAlign w:val="center"/>
          </w:tcPr>
          <w:p w14:paraId="1B37E13B">
            <w:pPr>
              <w:keepNext/>
              <w:adjustRightInd w:val="0"/>
              <w:ind w:left="63" w:leftChars="30" w:right="63" w:rightChars="30"/>
              <w:jc w:val="center"/>
              <w:textAlignment w:val="baseline"/>
              <w:rPr>
                <w:rFonts w:ascii="宋体" w:hAnsi="宋体"/>
                <w:color w:val="auto"/>
                <w:highlight w:val="none"/>
              </w:rPr>
            </w:pPr>
          </w:p>
        </w:tc>
      </w:tr>
      <w:tr w14:paraId="777A2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541B2E3">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6478628A">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79692B2F">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52AAAF39">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7910EF00">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19ADD647">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3D021E43">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154FBA39">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2EA7D3EE">
            <w:pPr>
              <w:keepNext/>
              <w:adjustRightInd w:val="0"/>
              <w:ind w:left="63" w:leftChars="30" w:right="63" w:rightChars="30"/>
              <w:jc w:val="center"/>
              <w:textAlignment w:val="baseline"/>
              <w:rPr>
                <w:rFonts w:ascii="宋体" w:hAnsi="宋体"/>
                <w:color w:val="auto"/>
                <w:highlight w:val="none"/>
              </w:rPr>
            </w:pPr>
          </w:p>
        </w:tc>
      </w:tr>
      <w:tr w14:paraId="6B809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41B6350">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49BDAEBB">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0CE51E65">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4CCBAFBB">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3D2164C3">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45235FC9">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791E7EC7">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21F2938D">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72135A6B">
            <w:pPr>
              <w:keepNext/>
              <w:adjustRightInd w:val="0"/>
              <w:ind w:left="63" w:leftChars="30" w:right="63" w:rightChars="30"/>
              <w:jc w:val="center"/>
              <w:textAlignment w:val="baseline"/>
              <w:rPr>
                <w:rFonts w:ascii="宋体" w:hAnsi="宋体"/>
                <w:color w:val="auto"/>
                <w:highlight w:val="none"/>
              </w:rPr>
            </w:pPr>
          </w:p>
        </w:tc>
      </w:tr>
      <w:tr w14:paraId="4850D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40542A97">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77F2B14D">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3488DDFF">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01B93F68">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3AC21C00">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43B8EDB7">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28845B6D">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78B4252F">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32036BF1">
            <w:pPr>
              <w:keepNext/>
              <w:adjustRightInd w:val="0"/>
              <w:ind w:left="63" w:leftChars="30" w:right="63" w:rightChars="30"/>
              <w:jc w:val="center"/>
              <w:textAlignment w:val="baseline"/>
              <w:rPr>
                <w:rFonts w:ascii="宋体" w:hAnsi="宋体"/>
                <w:color w:val="auto"/>
                <w:highlight w:val="none"/>
              </w:rPr>
            </w:pPr>
          </w:p>
        </w:tc>
      </w:tr>
      <w:tr w14:paraId="56D96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61573F53">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6B253EAC">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0EE23F6D">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18A804A7">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00C73C29">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765B9AED">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3353727B">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235BABC8">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0ED9DBFF">
            <w:pPr>
              <w:keepNext/>
              <w:adjustRightInd w:val="0"/>
              <w:ind w:left="63" w:leftChars="30" w:right="63" w:rightChars="30"/>
              <w:jc w:val="center"/>
              <w:textAlignment w:val="baseline"/>
              <w:rPr>
                <w:rFonts w:ascii="宋体" w:hAnsi="宋体"/>
                <w:color w:val="auto"/>
                <w:highlight w:val="none"/>
              </w:rPr>
            </w:pPr>
          </w:p>
        </w:tc>
      </w:tr>
      <w:tr w14:paraId="65C6FA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6E0E35F7">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323940E3">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597B1D8E">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6329A94D">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5050CB35">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4690A119">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358104B0">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319DAE27">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092EDC52">
            <w:pPr>
              <w:keepNext/>
              <w:adjustRightInd w:val="0"/>
              <w:ind w:left="63" w:leftChars="30" w:right="63" w:rightChars="30"/>
              <w:jc w:val="center"/>
              <w:textAlignment w:val="baseline"/>
              <w:rPr>
                <w:rFonts w:ascii="宋体" w:hAnsi="宋体"/>
                <w:color w:val="auto"/>
                <w:highlight w:val="none"/>
              </w:rPr>
            </w:pPr>
          </w:p>
        </w:tc>
      </w:tr>
      <w:tr w14:paraId="616E9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1D87A981">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787E7401">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263548C5">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65357186">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4E511837">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181ADD76">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59AEA56C">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1C0D0ADC">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3B665F9B">
            <w:pPr>
              <w:keepNext/>
              <w:adjustRightInd w:val="0"/>
              <w:ind w:left="63" w:leftChars="30" w:right="63" w:rightChars="30"/>
              <w:jc w:val="center"/>
              <w:textAlignment w:val="baseline"/>
              <w:rPr>
                <w:rFonts w:ascii="宋体" w:hAnsi="宋体"/>
                <w:color w:val="auto"/>
                <w:highlight w:val="none"/>
              </w:rPr>
            </w:pPr>
          </w:p>
        </w:tc>
      </w:tr>
      <w:tr w14:paraId="564B7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6A3C2363">
            <w:pPr>
              <w:rPr>
                <w:rFonts w:ascii="宋体" w:hAnsi="宋体"/>
                <w:color w:val="auto"/>
                <w:highlight w:val="none"/>
              </w:rPr>
            </w:pPr>
          </w:p>
        </w:tc>
        <w:tc>
          <w:tcPr>
            <w:tcW w:w="1418" w:type="dxa"/>
          </w:tcPr>
          <w:p w14:paraId="20268FDE">
            <w:pPr>
              <w:rPr>
                <w:rFonts w:ascii="宋体" w:hAnsi="宋体"/>
                <w:color w:val="auto"/>
                <w:highlight w:val="none"/>
              </w:rPr>
            </w:pPr>
          </w:p>
        </w:tc>
        <w:tc>
          <w:tcPr>
            <w:tcW w:w="850" w:type="dxa"/>
          </w:tcPr>
          <w:p w14:paraId="0269F7A4">
            <w:pPr>
              <w:rPr>
                <w:rFonts w:ascii="宋体" w:hAnsi="宋体"/>
                <w:color w:val="auto"/>
                <w:highlight w:val="none"/>
              </w:rPr>
            </w:pPr>
          </w:p>
        </w:tc>
        <w:tc>
          <w:tcPr>
            <w:tcW w:w="1058" w:type="dxa"/>
          </w:tcPr>
          <w:p w14:paraId="364E06B3">
            <w:pPr>
              <w:rPr>
                <w:rFonts w:ascii="宋体" w:hAnsi="宋体"/>
                <w:color w:val="auto"/>
                <w:highlight w:val="none"/>
              </w:rPr>
            </w:pPr>
          </w:p>
        </w:tc>
        <w:tc>
          <w:tcPr>
            <w:tcW w:w="880" w:type="dxa"/>
          </w:tcPr>
          <w:p w14:paraId="6A63DCBD">
            <w:pPr>
              <w:rPr>
                <w:rFonts w:ascii="宋体" w:hAnsi="宋体"/>
                <w:color w:val="auto"/>
                <w:highlight w:val="none"/>
              </w:rPr>
            </w:pPr>
          </w:p>
        </w:tc>
        <w:tc>
          <w:tcPr>
            <w:tcW w:w="1020" w:type="dxa"/>
          </w:tcPr>
          <w:p w14:paraId="14183C18">
            <w:pPr>
              <w:rPr>
                <w:rFonts w:ascii="宋体" w:hAnsi="宋体"/>
                <w:color w:val="auto"/>
                <w:highlight w:val="none"/>
              </w:rPr>
            </w:pPr>
          </w:p>
        </w:tc>
        <w:tc>
          <w:tcPr>
            <w:tcW w:w="1480" w:type="dxa"/>
          </w:tcPr>
          <w:p w14:paraId="00C61ABF">
            <w:pPr>
              <w:rPr>
                <w:rFonts w:ascii="宋体" w:hAnsi="宋体"/>
                <w:color w:val="auto"/>
                <w:highlight w:val="none"/>
              </w:rPr>
            </w:pPr>
          </w:p>
        </w:tc>
        <w:tc>
          <w:tcPr>
            <w:tcW w:w="1020" w:type="dxa"/>
          </w:tcPr>
          <w:p w14:paraId="4AFCC370">
            <w:pPr>
              <w:rPr>
                <w:rFonts w:ascii="宋体" w:hAnsi="宋体"/>
                <w:color w:val="auto"/>
                <w:highlight w:val="none"/>
              </w:rPr>
            </w:pPr>
          </w:p>
        </w:tc>
        <w:tc>
          <w:tcPr>
            <w:tcW w:w="921" w:type="dxa"/>
          </w:tcPr>
          <w:p w14:paraId="5DE2866A">
            <w:pPr>
              <w:rPr>
                <w:rFonts w:ascii="宋体" w:hAnsi="宋体"/>
                <w:color w:val="auto"/>
                <w:highlight w:val="none"/>
              </w:rPr>
            </w:pPr>
          </w:p>
        </w:tc>
      </w:tr>
      <w:tr w14:paraId="1D751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81E9447">
            <w:pPr>
              <w:keepNext/>
              <w:adjustRightInd w:val="0"/>
              <w:ind w:left="63" w:leftChars="30" w:right="63" w:rightChars="30"/>
              <w:jc w:val="center"/>
              <w:textAlignment w:val="baseline"/>
              <w:rPr>
                <w:rFonts w:ascii="宋体" w:hAnsi="宋体"/>
                <w:color w:val="auto"/>
                <w:highlight w:val="none"/>
              </w:rPr>
            </w:pPr>
          </w:p>
        </w:tc>
        <w:tc>
          <w:tcPr>
            <w:tcW w:w="1418" w:type="dxa"/>
            <w:vAlign w:val="center"/>
          </w:tcPr>
          <w:p w14:paraId="382B3F63">
            <w:pPr>
              <w:keepNext/>
              <w:adjustRightInd w:val="0"/>
              <w:ind w:left="63" w:leftChars="30" w:right="63" w:rightChars="30"/>
              <w:jc w:val="center"/>
              <w:textAlignment w:val="baseline"/>
              <w:rPr>
                <w:rFonts w:ascii="宋体" w:hAnsi="宋体"/>
                <w:color w:val="auto"/>
                <w:highlight w:val="none"/>
              </w:rPr>
            </w:pPr>
          </w:p>
        </w:tc>
        <w:tc>
          <w:tcPr>
            <w:tcW w:w="850" w:type="dxa"/>
            <w:vAlign w:val="center"/>
          </w:tcPr>
          <w:p w14:paraId="6E2B7967">
            <w:pPr>
              <w:keepNext/>
              <w:adjustRightInd w:val="0"/>
              <w:ind w:left="63" w:leftChars="30" w:right="63" w:rightChars="30"/>
              <w:jc w:val="center"/>
              <w:textAlignment w:val="baseline"/>
              <w:rPr>
                <w:rFonts w:ascii="宋体" w:hAnsi="宋体"/>
                <w:color w:val="auto"/>
                <w:highlight w:val="none"/>
              </w:rPr>
            </w:pPr>
          </w:p>
        </w:tc>
        <w:tc>
          <w:tcPr>
            <w:tcW w:w="1058" w:type="dxa"/>
            <w:vAlign w:val="center"/>
          </w:tcPr>
          <w:p w14:paraId="14DD465A">
            <w:pPr>
              <w:keepNext/>
              <w:adjustRightInd w:val="0"/>
              <w:ind w:left="63" w:leftChars="30" w:right="63" w:rightChars="30"/>
              <w:jc w:val="center"/>
              <w:textAlignment w:val="baseline"/>
              <w:rPr>
                <w:rFonts w:ascii="宋体" w:hAnsi="宋体"/>
                <w:color w:val="auto"/>
                <w:highlight w:val="none"/>
              </w:rPr>
            </w:pPr>
          </w:p>
        </w:tc>
        <w:tc>
          <w:tcPr>
            <w:tcW w:w="880" w:type="dxa"/>
            <w:vAlign w:val="center"/>
          </w:tcPr>
          <w:p w14:paraId="07E0ADC3">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5176B4C1">
            <w:pPr>
              <w:keepNext/>
              <w:adjustRightInd w:val="0"/>
              <w:ind w:left="63" w:leftChars="30" w:right="63" w:rightChars="30"/>
              <w:jc w:val="center"/>
              <w:textAlignment w:val="baseline"/>
              <w:rPr>
                <w:rFonts w:ascii="宋体" w:hAnsi="宋体"/>
                <w:color w:val="auto"/>
                <w:highlight w:val="none"/>
              </w:rPr>
            </w:pPr>
          </w:p>
        </w:tc>
        <w:tc>
          <w:tcPr>
            <w:tcW w:w="1480" w:type="dxa"/>
            <w:vAlign w:val="center"/>
          </w:tcPr>
          <w:p w14:paraId="520142AE">
            <w:pPr>
              <w:keepNext/>
              <w:adjustRightInd w:val="0"/>
              <w:ind w:left="63" w:leftChars="30" w:right="63" w:rightChars="30"/>
              <w:jc w:val="center"/>
              <w:textAlignment w:val="baseline"/>
              <w:rPr>
                <w:rFonts w:ascii="宋体" w:hAnsi="宋体"/>
                <w:color w:val="auto"/>
                <w:highlight w:val="none"/>
              </w:rPr>
            </w:pPr>
          </w:p>
        </w:tc>
        <w:tc>
          <w:tcPr>
            <w:tcW w:w="1020" w:type="dxa"/>
            <w:vAlign w:val="center"/>
          </w:tcPr>
          <w:p w14:paraId="1567DCA3">
            <w:pPr>
              <w:keepNext/>
              <w:adjustRightInd w:val="0"/>
              <w:ind w:left="63" w:leftChars="30" w:right="63" w:rightChars="30"/>
              <w:jc w:val="center"/>
              <w:textAlignment w:val="baseline"/>
              <w:rPr>
                <w:rFonts w:ascii="宋体" w:hAnsi="宋体"/>
                <w:color w:val="auto"/>
                <w:highlight w:val="none"/>
              </w:rPr>
            </w:pPr>
          </w:p>
        </w:tc>
        <w:tc>
          <w:tcPr>
            <w:tcW w:w="921" w:type="dxa"/>
            <w:vAlign w:val="center"/>
          </w:tcPr>
          <w:p w14:paraId="4C88215F">
            <w:pPr>
              <w:keepNext/>
              <w:adjustRightInd w:val="0"/>
              <w:ind w:left="63" w:leftChars="30" w:right="63" w:rightChars="30"/>
              <w:jc w:val="center"/>
              <w:textAlignment w:val="baseline"/>
              <w:rPr>
                <w:rFonts w:ascii="宋体" w:hAnsi="宋体"/>
                <w:color w:val="auto"/>
                <w:highlight w:val="none"/>
              </w:rPr>
            </w:pPr>
          </w:p>
        </w:tc>
      </w:tr>
      <w:tr w14:paraId="1A550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2EFE5AAC">
            <w:pPr>
              <w:rPr>
                <w:rFonts w:ascii="宋体" w:hAnsi="宋体"/>
                <w:color w:val="auto"/>
                <w:highlight w:val="none"/>
              </w:rPr>
            </w:pPr>
          </w:p>
        </w:tc>
        <w:tc>
          <w:tcPr>
            <w:tcW w:w="1418" w:type="dxa"/>
          </w:tcPr>
          <w:p w14:paraId="6EE93B05">
            <w:pPr>
              <w:rPr>
                <w:rFonts w:ascii="宋体" w:hAnsi="宋体"/>
                <w:color w:val="auto"/>
                <w:highlight w:val="none"/>
              </w:rPr>
            </w:pPr>
          </w:p>
        </w:tc>
        <w:tc>
          <w:tcPr>
            <w:tcW w:w="850" w:type="dxa"/>
          </w:tcPr>
          <w:p w14:paraId="048A140C">
            <w:pPr>
              <w:rPr>
                <w:rFonts w:ascii="宋体" w:hAnsi="宋体"/>
                <w:color w:val="auto"/>
                <w:highlight w:val="none"/>
              </w:rPr>
            </w:pPr>
          </w:p>
        </w:tc>
        <w:tc>
          <w:tcPr>
            <w:tcW w:w="1058" w:type="dxa"/>
          </w:tcPr>
          <w:p w14:paraId="402FD31F">
            <w:pPr>
              <w:rPr>
                <w:rFonts w:ascii="宋体" w:hAnsi="宋体"/>
                <w:color w:val="auto"/>
                <w:highlight w:val="none"/>
              </w:rPr>
            </w:pPr>
          </w:p>
        </w:tc>
        <w:tc>
          <w:tcPr>
            <w:tcW w:w="880" w:type="dxa"/>
          </w:tcPr>
          <w:p w14:paraId="05C32009">
            <w:pPr>
              <w:rPr>
                <w:rFonts w:ascii="宋体" w:hAnsi="宋体"/>
                <w:color w:val="auto"/>
                <w:highlight w:val="none"/>
              </w:rPr>
            </w:pPr>
          </w:p>
        </w:tc>
        <w:tc>
          <w:tcPr>
            <w:tcW w:w="1020" w:type="dxa"/>
          </w:tcPr>
          <w:p w14:paraId="29B0AF98">
            <w:pPr>
              <w:rPr>
                <w:rFonts w:ascii="宋体" w:hAnsi="宋体"/>
                <w:color w:val="auto"/>
                <w:highlight w:val="none"/>
              </w:rPr>
            </w:pPr>
          </w:p>
        </w:tc>
        <w:tc>
          <w:tcPr>
            <w:tcW w:w="1480" w:type="dxa"/>
          </w:tcPr>
          <w:p w14:paraId="7A4D2824">
            <w:pPr>
              <w:rPr>
                <w:rFonts w:ascii="宋体" w:hAnsi="宋体"/>
                <w:color w:val="auto"/>
                <w:highlight w:val="none"/>
              </w:rPr>
            </w:pPr>
          </w:p>
        </w:tc>
        <w:tc>
          <w:tcPr>
            <w:tcW w:w="1020" w:type="dxa"/>
          </w:tcPr>
          <w:p w14:paraId="7D09E9AE">
            <w:pPr>
              <w:rPr>
                <w:rFonts w:ascii="宋体" w:hAnsi="宋体"/>
                <w:color w:val="auto"/>
                <w:highlight w:val="none"/>
              </w:rPr>
            </w:pPr>
          </w:p>
        </w:tc>
        <w:tc>
          <w:tcPr>
            <w:tcW w:w="921" w:type="dxa"/>
          </w:tcPr>
          <w:p w14:paraId="0056BB1D">
            <w:pPr>
              <w:rPr>
                <w:rFonts w:ascii="宋体" w:hAnsi="宋体"/>
                <w:color w:val="auto"/>
                <w:highlight w:val="none"/>
              </w:rPr>
            </w:pPr>
          </w:p>
        </w:tc>
      </w:tr>
      <w:tr w14:paraId="7BFDB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4B115E09">
            <w:pPr>
              <w:rPr>
                <w:rFonts w:ascii="宋体" w:hAnsi="宋体"/>
                <w:color w:val="auto"/>
                <w:highlight w:val="none"/>
              </w:rPr>
            </w:pPr>
          </w:p>
        </w:tc>
        <w:tc>
          <w:tcPr>
            <w:tcW w:w="1418" w:type="dxa"/>
          </w:tcPr>
          <w:p w14:paraId="7451653A">
            <w:pPr>
              <w:rPr>
                <w:rFonts w:ascii="宋体" w:hAnsi="宋体"/>
                <w:color w:val="auto"/>
                <w:highlight w:val="none"/>
              </w:rPr>
            </w:pPr>
          </w:p>
        </w:tc>
        <w:tc>
          <w:tcPr>
            <w:tcW w:w="850" w:type="dxa"/>
          </w:tcPr>
          <w:p w14:paraId="71A54BF1">
            <w:pPr>
              <w:rPr>
                <w:rFonts w:ascii="宋体" w:hAnsi="宋体"/>
                <w:color w:val="auto"/>
                <w:highlight w:val="none"/>
              </w:rPr>
            </w:pPr>
          </w:p>
        </w:tc>
        <w:tc>
          <w:tcPr>
            <w:tcW w:w="1058" w:type="dxa"/>
          </w:tcPr>
          <w:p w14:paraId="6D5F4FB7">
            <w:pPr>
              <w:rPr>
                <w:rFonts w:ascii="宋体" w:hAnsi="宋体"/>
                <w:color w:val="auto"/>
                <w:highlight w:val="none"/>
              </w:rPr>
            </w:pPr>
          </w:p>
        </w:tc>
        <w:tc>
          <w:tcPr>
            <w:tcW w:w="880" w:type="dxa"/>
          </w:tcPr>
          <w:p w14:paraId="7C82005C">
            <w:pPr>
              <w:rPr>
                <w:rFonts w:ascii="宋体" w:hAnsi="宋体"/>
                <w:color w:val="auto"/>
                <w:highlight w:val="none"/>
              </w:rPr>
            </w:pPr>
          </w:p>
        </w:tc>
        <w:tc>
          <w:tcPr>
            <w:tcW w:w="1020" w:type="dxa"/>
          </w:tcPr>
          <w:p w14:paraId="2254C462">
            <w:pPr>
              <w:rPr>
                <w:rFonts w:ascii="宋体" w:hAnsi="宋体"/>
                <w:color w:val="auto"/>
                <w:highlight w:val="none"/>
              </w:rPr>
            </w:pPr>
          </w:p>
        </w:tc>
        <w:tc>
          <w:tcPr>
            <w:tcW w:w="1480" w:type="dxa"/>
          </w:tcPr>
          <w:p w14:paraId="28FE99ED">
            <w:pPr>
              <w:rPr>
                <w:rFonts w:ascii="宋体" w:hAnsi="宋体"/>
                <w:color w:val="auto"/>
                <w:highlight w:val="none"/>
              </w:rPr>
            </w:pPr>
          </w:p>
        </w:tc>
        <w:tc>
          <w:tcPr>
            <w:tcW w:w="1020" w:type="dxa"/>
          </w:tcPr>
          <w:p w14:paraId="4A63E706">
            <w:pPr>
              <w:rPr>
                <w:rFonts w:ascii="宋体" w:hAnsi="宋体"/>
                <w:color w:val="auto"/>
                <w:highlight w:val="none"/>
              </w:rPr>
            </w:pPr>
          </w:p>
        </w:tc>
        <w:tc>
          <w:tcPr>
            <w:tcW w:w="921" w:type="dxa"/>
          </w:tcPr>
          <w:p w14:paraId="75A2A76B">
            <w:pPr>
              <w:rPr>
                <w:rFonts w:ascii="宋体" w:hAnsi="宋体"/>
                <w:color w:val="auto"/>
                <w:highlight w:val="none"/>
              </w:rPr>
            </w:pPr>
          </w:p>
        </w:tc>
      </w:tr>
      <w:tr w14:paraId="4601D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4F56AA32">
            <w:pPr>
              <w:rPr>
                <w:rFonts w:ascii="宋体" w:hAnsi="宋体"/>
                <w:color w:val="auto"/>
                <w:highlight w:val="none"/>
              </w:rPr>
            </w:pPr>
          </w:p>
        </w:tc>
        <w:tc>
          <w:tcPr>
            <w:tcW w:w="1418" w:type="dxa"/>
          </w:tcPr>
          <w:p w14:paraId="4ACC30C8">
            <w:pPr>
              <w:rPr>
                <w:rFonts w:ascii="宋体" w:hAnsi="宋体"/>
                <w:color w:val="auto"/>
                <w:highlight w:val="none"/>
              </w:rPr>
            </w:pPr>
          </w:p>
        </w:tc>
        <w:tc>
          <w:tcPr>
            <w:tcW w:w="850" w:type="dxa"/>
          </w:tcPr>
          <w:p w14:paraId="167842B9">
            <w:pPr>
              <w:rPr>
                <w:rFonts w:ascii="宋体" w:hAnsi="宋体"/>
                <w:color w:val="auto"/>
                <w:highlight w:val="none"/>
              </w:rPr>
            </w:pPr>
          </w:p>
        </w:tc>
        <w:tc>
          <w:tcPr>
            <w:tcW w:w="1058" w:type="dxa"/>
          </w:tcPr>
          <w:p w14:paraId="1EA4736C">
            <w:pPr>
              <w:rPr>
                <w:rFonts w:ascii="宋体" w:hAnsi="宋体"/>
                <w:color w:val="auto"/>
                <w:highlight w:val="none"/>
              </w:rPr>
            </w:pPr>
          </w:p>
        </w:tc>
        <w:tc>
          <w:tcPr>
            <w:tcW w:w="880" w:type="dxa"/>
          </w:tcPr>
          <w:p w14:paraId="25ECC343">
            <w:pPr>
              <w:rPr>
                <w:rFonts w:ascii="宋体" w:hAnsi="宋体"/>
                <w:color w:val="auto"/>
                <w:highlight w:val="none"/>
              </w:rPr>
            </w:pPr>
          </w:p>
        </w:tc>
        <w:tc>
          <w:tcPr>
            <w:tcW w:w="1020" w:type="dxa"/>
          </w:tcPr>
          <w:p w14:paraId="070BB0B1">
            <w:pPr>
              <w:rPr>
                <w:rFonts w:ascii="宋体" w:hAnsi="宋体"/>
                <w:color w:val="auto"/>
                <w:highlight w:val="none"/>
              </w:rPr>
            </w:pPr>
          </w:p>
        </w:tc>
        <w:tc>
          <w:tcPr>
            <w:tcW w:w="1480" w:type="dxa"/>
          </w:tcPr>
          <w:p w14:paraId="6686377D">
            <w:pPr>
              <w:rPr>
                <w:rFonts w:ascii="宋体" w:hAnsi="宋体"/>
                <w:color w:val="auto"/>
                <w:highlight w:val="none"/>
              </w:rPr>
            </w:pPr>
          </w:p>
        </w:tc>
        <w:tc>
          <w:tcPr>
            <w:tcW w:w="1020" w:type="dxa"/>
          </w:tcPr>
          <w:p w14:paraId="460B914C">
            <w:pPr>
              <w:rPr>
                <w:rFonts w:ascii="宋体" w:hAnsi="宋体"/>
                <w:color w:val="auto"/>
                <w:highlight w:val="none"/>
              </w:rPr>
            </w:pPr>
          </w:p>
        </w:tc>
        <w:tc>
          <w:tcPr>
            <w:tcW w:w="921" w:type="dxa"/>
          </w:tcPr>
          <w:p w14:paraId="44D1F71C">
            <w:pPr>
              <w:rPr>
                <w:rFonts w:ascii="宋体" w:hAnsi="宋体"/>
                <w:color w:val="auto"/>
                <w:highlight w:val="none"/>
              </w:rPr>
            </w:pPr>
          </w:p>
        </w:tc>
      </w:tr>
      <w:tr w14:paraId="4278A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0056FB0">
            <w:pPr>
              <w:rPr>
                <w:rFonts w:ascii="宋体" w:hAnsi="宋体"/>
                <w:color w:val="auto"/>
                <w:highlight w:val="none"/>
              </w:rPr>
            </w:pPr>
          </w:p>
        </w:tc>
        <w:tc>
          <w:tcPr>
            <w:tcW w:w="1418" w:type="dxa"/>
          </w:tcPr>
          <w:p w14:paraId="7B9A9A1C">
            <w:pPr>
              <w:rPr>
                <w:rFonts w:ascii="宋体" w:hAnsi="宋体"/>
                <w:color w:val="auto"/>
                <w:highlight w:val="none"/>
              </w:rPr>
            </w:pPr>
          </w:p>
        </w:tc>
        <w:tc>
          <w:tcPr>
            <w:tcW w:w="850" w:type="dxa"/>
          </w:tcPr>
          <w:p w14:paraId="751728F1">
            <w:pPr>
              <w:rPr>
                <w:rFonts w:ascii="宋体" w:hAnsi="宋体"/>
                <w:color w:val="auto"/>
                <w:highlight w:val="none"/>
              </w:rPr>
            </w:pPr>
          </w:p>
        </w:tc>
        <w:tc>
          <w:tcPr>
            <w:tcW w:w="1058" w:type="dxa"/>
          </w:tcPr>
          <w:p w14:paraId="148AA0A9">
            <w:pPr>
              <w:rPr>
                <w:rFonts w:ascii="宋体" w:hAnsi="宋体"/>
                <w:color w:val="auto"/>
                <w:highlight w:val="none"/>
              </w:rPr>
            </w:pPr>
          </w:p>
        </w:tc>
        <w:tc>
          <w:tcPr>
            <w:tcW w:w="880" w:type="dxa"/>
          </w:tcPr>
          <w:p w14:paraId="254237A8">
            <w:pPr>
              <w:rPr>
                <w:rFonts w:ascii="宋体" w:hAnsi="宋体"/>
                <w:color w:val="auto"/>
                <w:highlight w:val="none"/>
              </w:rPr>
            </w:pPr>
          </w:p>
        </w:tc>
        <w:tc>
          <w:tcPr>
            <w:tcW w:w="1020" w:type="dxa"/>
          </w:tcPr>
          <w:p w14:paraId="785DEDB6">
            <w:pPr>
              <w:rPr>
                <w:rFonts w:ascii="宋体" w:hAnsi="宋体"/>
                <w:color w:val="auto"/>
                <w:highlight w:val="none"/>
              </w:rPr>
            </w:pPr>
          </w:p>
        </w:tc>
        <w:tc>
          <w:tcPr>
            <w:tcW w:w="1480" w:type="dxa"/>
          </w:tcPr>
          <w:p w14:paraId="46755C79">
            <w:pPr>
              <w:rPr>
                <w:rFonts w:ascii="宋体" w:hAnsi="宋体"/>
                <w:color w:val="auto"/>
                <w:highlight w:val="none"/>
              </w:rPr>
            </w:pPr>
          </w:p>
        </w:tc>
        <w:tc>
          <w:tcPr>
            <w:tcW w:w="1020" w:type="dxa"/>
          </w:tcPr>
          <w:p w14:paraId="1F696374">
            <w:pPr>
              <w:rPr>
                <w:rFonts w:ascii="宋体" w:hAnsi="宋体"/>
                <w:color w:val="auto"/>
                <w:highlight w:val="none"/>
              </w:rPr>
            </w:pPr>
          </w:p>
        </w:tc>
        <w:tc>
          <w:tcPr>
            <w:tcW w:w="921" w:type="dxa"/>
          </w:tcPr>
          <w:p w14:paraId="29191649">
            <w:pPr>
              <w:rPr>
                <w:rFonts w:ascii="宋体" w:hAnsi="宋体"/>
                <w:color w:val="auto"/>
                <w:highlight w:val="none"/>
              </w:rPr>
            </w:pPr>
          </w:p>
        </w:tc>
      </w:tr>
      <w:tr w14:paraId="4E0368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2A2D76D3">
            <w:pPr>
              <w:rPr>
                <w:rFonts w:ascii="宋体" w:hAnsi="宋体"/>
                <w:color w:val="auto"/>
                <w:highlight w:val="none"/>
              </w:rPr>
            </w:pPr>
          </w:p>
        </w:tc>
        <w:tc>
          <w:tcPr>
            <w:tcW w:w="1418" w:type="dxa"/>
          </w:tcPr>
          <w:p w14:paraId="2D3454D8">
            <w:pPr>
              <w:rPr>
                <w:rFonts w:ascii="宋体" w:hAnsi="宋体"/>
                <w:color w:val="auto"/>
                <w:highlight w:val="none"/>
              </w:rPr>
            </w:pPr>
          </w:p>
        </w:tc>
        <w:tc>
          <w:tcPr>
            <w:tcW w:w="850" w:type="dxa"/>
          </w:tcPr>
          <w:p w14:paraId="4BA7B44A">
            <w:pPr>
              <w:rPr>
                <w:rFonts w:ascii="宋体" w:hAnsi="宋体"/>
                <w:color w:val="auto"/>
                <w:highlight w:val="none"/>
              </w:rPr>
            </w:pPr>
          </w:p>
        </w:tc>
        <w:tc>
          <w:tcPr>
            <w:tcW w:w="1058" w:type="dxa"/>
          </w:tcPr>
          <w:p w14:paraId="7BBC6235">
            <w:pPr>
              <w:rPr>
                <w:rFonts w:ascii="宋体" w:hAnsi="宋体"/>
                <w:color w:val="auto"/>
                <w:highlight w:val="none"/>
              </w:rPr>
            </w:pPr>
          </w:p>
        </w:tc>
        <w:tc>
          <w:tcPr>
            <w:tcW w:w="880" w:type="dxa"/>
          </w:tcPr>
          <w:p w14:paraId="0510779B">
            <w:pPr>
              <w:rPr>
                <w:rFonts w:ascii="宋体" w:hAnsi="宋体"/>
                <w:color w:val="auto"/>
                <w:highlight w:val="none"/>
              </w:rPr>
            </w:pPr>
          </w:p>
        </w:tc>
        <w:tc>
          <w:tcPr>
            <w:tcW w:w="1020" w:type="dxa"/>
          </w:tcPr>
          <w:p w14:paraId="63C91B98">
            <w:pPr>
              <w:rPr>
                <w:rFonts w:ascii="宋体" w:hAnsi="宋体"/>
                <w:color w:val="auto"/>
                <w:highlight w:val="none"/>
              </w:rPr>
            </w:pPr>
          </w:p>
        </w:tc>
        <w:tc>
          <w:tcPr>
            <w:tcW w:w="1480" w:type="dxa"/>
          </w:tcPr>
          <w:p w14:paraId="35348F74">
            <w:pPr>
              <w:rPr>
                <w:rFonts w:ascii="宋体" w:hAnsi="宋体"/>
                <w:color w:val="auto"/>
                <w:highlight w:val="none"/>
              </w:rPr>
            </w:pPr>
          </w:p>
        </w:tc>
        <w:tc>
          <w:tcPr>
            <w:tcW w:w="1020" w:type="dxa"/>
          </w:tcPr>
          <w:p w14:paraId="3C702AEF">
            <w:pPr>
              <w:rPr>
                <w:rFonts w:ascii="宋体" w:hAnsi="宋体"/>
                <w:color w:val="auto"/>
                <w:highlight w:val="none"/>
              </w:rPr>
            </w:pPr>
          </w:p>
        </w:tc>
        <w:tc>
          <w:tcPr>
            <w:tcW w:w="921" w:type="dxa"/>
          </w:tcPr>
          <w:p w14:paraId="362BEBD7">
            <w:pPr>
              <w:rPr>
                <w:rFonts w:ascii="宋体" w:hAnsi="宋体"/>
                <w:color w:val="auto"/>
                <w:highlight w:val="none"/>
              </w:rPr>
            </w:pPr>
          </w:p>
        </w:tc>
      </w:tr>
      <w:tr w14:paraId="6F587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3DA538D">
            <w:pPr>
              <w:rPr>
                <w:rFonts w:ascii="宋体" w:hAnsi="宋体"/>
                <w:color w:val="auto"/>
                <w:highlight w:val="none"/>
              </w:rPr>
            </w:pPr>
          </w:p>
        </w:tc>
        <w:tc>
          <w:tcPr>
            <w:tcW w:w="1418" w:type="dxa"/>
          </w:tcPr>
          <w:p w14:paraId="19C438B1">
            <w:pPr>
              <w:rPr>
                <w:rFonts w:ascii="宋体" w:hAnsi="宋体"/>
                <w:color w:val="auto"/>
                <w:highlight w:val="none"/>
              </w:rPr>
            </w:pPr>
          </w:p>
        </w:tc>
        <w:tc>
          <w:tcPr>
            <w:tcW w:w="850" w:type="dxa"/>
          </w:tcPr>
          <w:p w14:paraId="17BFAA81">
            <w:pPr>
              <w:rPr>
                <w:rFonts w:ascii="宋体" w:hAnsi="宋体"/>
                <w:color w:val="auto"/>
                <w:highlight w:val="none"/>
              </w:rPr>
            </w:pPr>
          </w:p>
        </w:tc>
        <w:tc>
          <w:tcPr>
            <w:tcW w:w="1058" w:type="dxa"/>
          </w:tcPr>
          <w:p w14:paraId="2EFCE64A">
            <w:pPr>
              <w:rPr>
                <w:rFonts w:ascii="宋体" w:hAnsi="宋体"/>
                <w:color w:val="auto"/>
                <w:highlight w:val="none"/>
              </w:rPr>
            </w:pPr>
          </w:p>
        </w:tc>
        <w:tc>
          <w:tcPr>
            <w:tcW w:w="880" w:type="dxa"/>
          </w:tcPr>
          <w:p w14:paraId="371B6D0A">
            <w:pPr>
              <w:rPr>
                <w:rFonts w:ascii="宋体" w:hAnsi="宋体"/>
                <w:color w:val="auto"/>
                <w:highlight w:val="none"/>
              </w:rPr>
            </w:pPr>
          </w:p>
        </w:tc>
        <w:tc>
          <w:tcPr>
            <w:tcW w:w="1020" w:type="dxa"/>
          </w:tcPr>
          <w:p w14:paraId="3232EF67">
            <w:pPr>
              <w:rPr>
                <w:rFonts w:ascii="宋体" w:hAnsi="宋体"/>
                <w:color w:val="auto"/>
                <w:highlight w:val="none"/>
              </w:rPr>
            </w:pPr>
          </w:p>
        </w:tc>
        <w:tc>
          <w:tcPr>
            <w:tcW w:w="1480" w:type="dxa"/>
          </w:tcPr>
          <w:p w14:paraId="671702EE">
            <w:pPr>
              <w:rPr>
                <w:rFonts w:ascii="宋体" w:hAnsi="宋体"/>
                <w:color w:val="auto"/>
                <w:highlight w:val="none"/>
              </w:rPr>
            </w:pPr>
          </w:p>
        </w:tc>
        <w:tc>
          <w:tcPr>
            <w:tcW w:w="1020" w:type="dxa"/>
          </w:tcPr>
          <w:p w14:paraId="78D84D5B">
            <w:pPr>
              <w:rPr>
                <w:rFonts w:ascii="宋体" w:hAnsi="宋体"/>
                <w:color w:val="auto"/>
                <w:highlight w:val="none"/>
              </w:rPr>
            </w:pPr>
          </w:p>
        </w:tc>
        <w:tc>
          <w:tcPr>
            <w:tcW w:w="921" w:type="dxa"/>
          </w:tcPr>
          <w:p w14:paraId="1D1CA7A7">
            <w:pPr>
              <w:rPr>
                <w:rFonts w:ascii="宋体" w:hAnsi="宋体"/>
                <w:color w:val="auto"/>
                <w:highlight w:val="none"/>
              </w:rPr>
            </w:pPr>
          </w:p>
        </w:tc>
      </w:tr>
      <w:tr w14:paraId="5E839E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2F7773BB">
            <w:pPr>
              <w:rPr>
                <w:rFonts w:ascii="宋体" w:hAnsi="宋体"/>
                <w:color w:val="auto"/>
                <w:highlight w:val="none"/>
              </w:rPr>
            </w:pPr>
          </w:p>
        </w:tc>
        <w:tc>
          <w:tcPr>
            <w:tcW w:w="1418" w:type="dxa"/>
          </w:tcPr>
          <w:p w14:paraId="149FA9C6">
            <w:pPr>
              <w:rPr>
                <w:rFonts w:ascii="宋体" w:hAnsi="宋体"/>
                <w:color w:val="auto"/>
                <w:highlight w:val="none"/>
              </w:rPr>
            </w:pPr>
          </w:p>
        </w:tc>
        <w:tc>
          <w:tcPr>
            <w:tcW w:w="850" w:type="dxa"/>
          </w:tcPr>
          <w:p w14:paraId="4C40C66E">
            <w:pPr>
              <w:rPr>
                <w:rFonts w:ascii="宋体" w:hAnsi="宋体"/>
                <w:color w:val="auto"/>
                <w:highlight w:val="none"/>
              </w:rPr>
            </w:pPr>
          </w:p>
        </w:tc>
        <w:tc>
          <w:tcPr>
            <w:tcW w:w="1058" w:type="dxa"/>
          </w:tcPr>
          <w:p w14:paraId="6C0937F5">
            <w:pPr>
              <w:rPr>
                <w:rFonts w:ascii="宋体" w:hAnsi="宋体"/>
                <w:color w:val="auto"/>
                <w:highlight w:val="none"/>
              </w:rPr>
            </w:pPr>
          </w:p>
        </w:tc>
        <w:tc>
          <w:tcPr>
            <w:tcW w:w="880" w:type="dxa"/>
          </w:tcPr>
          <w:p w14:paraId="38B4B594">
            <w:pPr>
              <w:rPr>
                <w:rFonts w:ascii="宋体" w:hAnsi="宋体"/>
                <w:color w:val="auto"/>
                <w:highlight w:val="none"/>
              </w:rPr>
            </w:pPr>
          </w:p>
        </w:tc>
        <w:tc>
          <w:tcPr>
            <w:tcW w:w="1020" w:type="dxa"/>
          </w:tcPr>
          <w:p w14:paraId="07A6C71C">
            <w:pPr>
              <w:rPr>
                <w:rFonts w:ascii="宋体" w:hAnsi="宋体"/>
                <w:color w:val="auto"/>
                <w:highlight w:val="none"/>
              </w:rPr>
            </w:pPr>
          </w:p>
        </w:tc>
        <w:tc>
          <w:tcPr>
            <w:tcW w:w="1480" w:type="dxa"/>
          </w:tcPr>
          <w:p w14:paraId="24313692">
            <w:pPr>
              <w:rPr>
                <w:rFonts w:ascii="宋体" w:hAnsi="宋体"/>
                <w:color w:val="auto"/>
                <w:highlight w:val="none"/>
              </w:rPr>
            </w:pPr>
          </w:p>
        </w:tc>
        <w:tc>
          <w:tcPr>
            <w:tcW w:w="1020" w:type="dxa"/>
          </w:tcPr>
          <w:p w14:paraId="0F0737C3">
            <w:pPr>
              <w:rPr>
                <w:rFonts w:ascii="宋体" w:hAnsi="宋体"/>
                <w:color w:val="auto"/>
                <w:highlight w:val="none"/>
              </w:rPr>
            </w:pPr>
          </w:p>
        </w:tc>
        <w:tc>
          <w:tcPr>
            <w:tcW w:w="921" w:type="dxa"/>
          </w:tcPr>
          <w:p w14:paraId="22F2FA93">
            <w:pPr>
              <w:rPr>
                <w:rFonts w:ascii="宋体" w:hAnsi="宋体"/>
                <w:color w:val="auto"/>
                <w:highlight w:val="none"/>
              </w:rPr>
            </w:pPr>
          </w:p>
        </w:tc>
      </w:tr>
      <w:tr w14:paraId="071CC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A72465E">
            <w:pPr>
              <w:rPr>
                <w:rFonts w:ascii="宋体" w:hAnsi="宋体"/>
                <w:color w:val="auto"/>
                <w:highlight w:val="none"/>
              </w:rPr>
            </w:pPr>
          </w:p>
        </w:tc>
        <w:tc>
          <w:tcPr>
            <w:tcW w:w="1418" w:type="dxa"/>
          </w:tcPr>
          <w:p w14:paraId="0D028C4C">
            <w:pPr>
              <w:rPr>
                <w:rFonts w:ascii="宋体" w:hAnsi="宋体"/>
                <w:color w:val="auto"/>
                <w:highlight w:val="none"/>
              </w:rPr>
            </w:pPr>
          </w:p>
        </w:tc>
        <w:tc>
          <w:tcPr>
            <w:tcW w:w="850" w:type="dxa"/>
          </w:tcPr>
          <w:p w14:paraId="35CCF4BC">
            <w:pPr>
              <w:rPr>
                <w:rFonts w:ascii="宋体" w:hAnsi="宋体"/>
                <w:color w:val="auto"/>
                <w:highlight w:val="none"/>
              </w:rPr>
            </w:pPr>
          </w:p>
        </w:tc>
        <w:tc>
          <w:tcPr>
            <w:tcW w:w="1058" w:type="dxa"/>
          </w:tcPr>
          <w:p w14:paraId="12D5A1D2">
            <w:pPr>
              <w:rPr>
                <w:rFonts w:ascii="宋体" w:hAnsi="宋体"/>
                <w:color w:val="auto"/>
                <w:highlight w:val="none"/>
              </w:rPr>
            </w:pPr>
          </w:p>
        </w:tc>
        <w:tc>
          <w:tcPr>
            <w:tcW w:w="880" w:type="dxa"/>
          </w:tcPr>
          <w:p w14:paraId="28ADC0BE">
            <w:pPr>
              <w:rPr>
                <w:rFonts w:ascii="宋体" w:hAnsi="宋体"/>
                <w:color w:val="auto"/>
                <w:highlight w:val="none"/>
              </w:rPr>
            </w:pPr>
          </w:p>
        </w:tc>
        <w:tc>
          <w:tcPr>
            <w:tcW w:w="1020" w:type="dxa"/>
          </w:tcPr>
          <w:p w14:paraId="2CC80F7E">
            <w:pPr>
              <w:rPr>
                <w:rFonts w:ascii="宋体" w:hAnsi="宋体"/>
                <w:color w:val="auto"/>
                <w:highlight w:val="none"/>
              </w:rPr>
            </w:pPr>
          </w:p>
        </w:tc>
        <w:tc>
          <w:tcPr>
            <w:tcW w:w="1480" w:type="dxa"/>
          </w:tcPr>
          <w:p w14:paraId="12071FC8">
            <w:pPr>
              <w:rPr>
                <w:rFonts w:ascii="宋体" w:hAnsi="宋体"/>
                <w:color w:val="auto"/>
                <w:highlight w:val="none"/>
              </w:rPr>
            </w:pPr>
          </w:p>
        </w:tc>
        <w:tc>
          <w:tcPr>
            <w:tcW w:w="1020" w:type="dxa"/>
          </w:tcPr>
          <w:p w14:paraId="365AE850">
            <w:pPr>
              <w:rPr>
                <w:rFonts w:ascii="宋体" w:hAnsi="宋体"/>
                <w:color w:val="auto"/>
                <w:highlight w:val="none"/>
              </w:rPr>
            </w:pPr>
          </w:p>
        </w:tc>
        <w:tc>
          <w:tcPr>
            <w:tcW w:w="921" w:type="dxa"/>
          </w:tcPr>
          <w:p w14:paraId="588F28CA">
            <w:pPr>
              <w:rPr>
                <w:rFonts w:ascii="宋体" w:hAnsi="宋体"/>
                <w:color w:val="auto"/>
                <w:highlight w:val="none"/>
              </w:rPr>
            </w:pPr>
          </w:p>
        </w:tc>
      </w:tr>
      <w:tr w14:paraId="6904C4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5ABF4CF">
            <w:pPr>
              <w:rPr>
                <w:rFonts w:ascii="宋体" w:hAnsi="宋体"/>
                <w:color w:val="auto"/>
                <w:highlight w:val="none"/>
              </w:rPr>
            </w:pPr>
          </w:p>
        </w:tc>
        <w:tc>
          <w:tcPr>
            <w:tcW w:w="1418" w:type="dxa"/>
          </w:tcPr>
          <w:p w14:paraId="60DBA8E0">
            <w:pPr>
              <w:rPr>
                <w:rFonts w:ascii="宋体" w:hAnsi="宋体"/>
                <w:color w:val="auto"/>
                <w:highlight w:val="none"/>
              </w:rPr>
            </w:pPr>
          </w:p>
        </w:tc>
        <w:tc>
          <w:tcPr>
            <w:tcW w:w="850" w:type="dxa"/>
          </w:tcPr>
          <w:p w14:paraId="65EA86FE">
            <w:pPr>
              <w:rPr>
                <w:rFonts w:ascii="宋体" w:hAnsi="宋体"/>
                <w:color w:val="auto"/>
                <w:highlight w:val="none"/>
              </w:rPr>
            </w:pPr>
          </w:p>
        </w:tc>
        <w:tc>
          <w:tcPr>
            <w:tcW w:w="1058" w:type="dxa"/>
          </w:tcPr>
          <w:p w14:paraId="7149B482">
            <w:pPr>
              <w:rPr>
                <w:rFonts w:ascii="宋体" w:hAnsi="宋体"/>
                <w:color w:val="auto"/>
                <w:highlight w:val="none"/>
              </w:rPr>
            </w:pPr>
          </w:p>
        </w:tc>
        <w:tc>
          <w:tcPr>
            <w:tcW w:w="880" w:type="dxa"/>
          </w:tcPr>
          <w:p w14:paraId="339ED132">
            <w:pPr>
              <w:rPr>
                <w:rFonts w:ascii="宋体" w:hAnsi="宋体"/>
                <w:color w:val="auto"/>
                <w:highlight w:val="none"/>
              </w:rPr>
            </w:pPr>
          </w:p>
        </w:tc>
        <w:tc>
          <w:tcPr>
            <w:tcW w:w="1020" w:type="dxa"/>
          </w:tcPr>
          <w:p w14:paraId="6ECC2947">
            <w:pPr>
              <w:rPr>
                <w:rFonts w:ascii="宋体" w:hAnsi="宋体"/>
                <w:color w:val="auto"/>
                <w:highlight w:val="none"/>
              </w:rPr>
            </w:pPr>
          </w:p>
        </w:tc>
        <w:tc>
          <w:tcPr>
            <w:tcW w:w="1480" w:type="dxa"/>
          </w:tcPr>
          <w:p w14:paraId="295878E3">
            <w:pPr>
              <w:rPr>
                <w:rFonts w:ascii="宋体" w:hAnsi="宋体"/>
                <w:color w:val="auto"/>
                <w:highlight w:val="none"/>
              </w:rPr>
            </w:pPr>
          </w:p>
        </w:tc>
        <w:tc>
          <w:tcPr>
            <w:tcW w:w="1020" w:type="dxa"/>
          </w:tcPr>
          <w:p w14:paraId="42226C1D">
            <w:pPr>
              <w:rPr>
                <w:rFonts w:ascii="宋体" w:hAnsi="宋体"/>
                <w:color w:val="auto"/>
                <w:highlight w:val="none"/>
              </w:rPr>
            </w:pPr>
          </w:p>
        </w:tc>
        <w:tc>
          <w:tcPr>
            <w:tcW w:w="921" w:type="dxa"/>
          </w:tcPr>
          <w:p w14:paraId="3D9A7199">
            <w:pPr>
              <w:rPr>
                <w:rFonts w:ascii="宋体" w:hAnsi="宋体"/>
                <w:color w:val="auto"/>
                <w:highlight w:val="none"/>
              </w:rPr>
            </w:pPr>
          </w:p>
        </w:tc>
      </w:tr>
    </w:tbl>
    <w:p w14:paraId="7705DF8B">
      <w:pPr>
        <w:spacing w:line="440" w:lineRule="exact"/>
        <w:rPr>
          <w:rFonts w:ascii="宋体" w:hAnsi="宋体"/>
          <w:color w:val="auto"/>
          <w:highlight w:val="none"/>
        </w:rPr>
      </w:pPr>
    </w:p>
    <w:p w14:paraId="375DDC32">
      <w:pPr>
        <w:spacing w:line="440" w:lineRule="exact"/>
        <w:rPr>
          <w:rFonts w:ascii="宋体" w:hAnsi="宋体"/>
          <w:color w:val="auto"/>
          <w:highlight w:val="none"/>
        </w:rPr>
      </w:pPr>
      <w:r>
        <w:rPr>
          <w:rFonts w:ascii="宋体" w:hAnsi="宋体"/>
          <w:color w:val="auto"/>
          <w:highlight w:val="none"/>
        </w:rPr>
        <w:br w:type="page"/>
      </w:r>
      <w:r>
        <w:rPr>
          <w:rFonts w:ascii="宋体" w:hAnsi="宋体"/>
          <w:color w:val="auto"/>
          <w:highlight w:val="none"/>
        </w:rPr>
        <w:t>附件6：</w:t>
      </w:r>
    </w:p>
    <w:p w14:paraId="26D53804">
      <w:pPr>
        <w:spacing w:before="120" w:beforeLines="50" w:after="120" w:afterLines="50" w:line="440" w:lineRule="exact"/>
        <w:jc w:val="center"/>
        <w:rPr>
          <w:rFonts w:ascii="宋体" w:hAnsi="宋体"/>
          <w:color w:val="auto"/>
          <w:highlight w:val="none"/>
        </w:rPr>
      </w:pPr>
      <w:r>
        <w:rPr>
          <w:rFonts w:ascii="宋体" w:hAnsi="宋体"/>
          <w:color w:val="auto"/>
          <w:highlight w:val="none"/>
        </w:rPr>
        <w:t>承包人主要施工管理人员表</w:t>
      </w:r>
    </w:p>
    <w:tbl>
      <w:tblPr>
        <w:tblStyle w:val="29"/>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71746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5CD2C0BA">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名    称</w:t>
            </w:r>
          </w:p>
        </w:tc>
        <w:tc>
          <w:tcPr>
            <w:tcW w:w="1418" w:type="dxa"/>
            <w:tcBorders>
              <w:top w:val="single" w:color="auto" w:sz="12" w:space="0"/>
              <w:bottom w:val="double" w:color="auto" w:sz="6" w:space="0"/>
            </w:tcBorders>
            <w:vAlign w:val="center"/>
          </w:tcPr>
          <w:p w14:paraId="1C388028">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姓名</w:t>
            </w:r>
          </w:p>
        </w:tc>
        <w:tc>
          <w:tcPr>
            <w:tcW w:w="1134" w:type="dxa"/>
            <w:tcBorders>
              <w:top w:val="single" w:color="auto" w:sz="12" w:space="0"/>
              <w:bottom w:val="double" w:color="auto" w:sz="6" w:space="0"/>
            </w:tcBorders>
            <w:vAlign w:val="center"/>
          </w:tcPr>
          <w:p w14:paraId="3E99372D">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职务</w:t>
            </w:r>
          </w:p>
        </w:tc>
        <w:tc>
          <w:tcPr>
            <w:tcW w:w="1134" w:type="dxa"/>
            <w:tcBorders>
              <w:top w:val="single" w:color="auto" w:sz="12" w:space="0"/>
              <w:bottom w:val="double" w:color="auto" w:sz="6" w:space="0"/>
            </w:tcBorders>
            <w:vAlign w:val="center"/>
          </w:tcPr>
          <w:p w14:paraId="16E69F7A">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职称</w:t>
            </w:r>
          </w:p>
        </w:tc>
        <w:tc>
          <w:tcPr>
            <w:tcW w:w="4252" w:type="dxa"/>
            <w:tcBorders>
              <w:top w:val="single" w:color="auto" w:sz="12" w:space="0"/>
              <w:bottom w:val="double" w:color="auto" w:sz="6" w:space="0"/>
            </w:tcBorders>
            <w:vAlign w:val="center"/>
          </w:tcPr>
          <w:p w14:paraId="2880D4E7">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主要资历、经验及承担过的项目</w:t>
            </w:r>
          </w:p>
        </w:tc>
      </w:tr>
      <w:tr w14:paraId="54D4C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191EFCCB">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一、总部人员</w:t>
            </w:r>
          </w:p>
        </w:tc>
      </w:tr>
      <w:tr w14:paraId="58668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010C551A">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项目主管</w:t>
            </w:r>
          </w:p>
        </w:tc>
        <w:tc>
          <w:tcPr>
            <w:tcW w:w="1418" w:type="dxa"/>
            <w:tcBorders>
              <w:top w:val="nil"/>
            </w:tcBorders>
            <w:vAlign w:val="center"/>
          </w:tcPr>
          <w:p w14:paraId="51298143">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tcBorders>
              <w:top w:val="nil"/>
            </w:tcBorders>
            <w:vAlign w:val="center"/>
          </w:tcPr>
          <w:p w14:paraId="4050D7BC">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tcBorders>
              <w:top w:val="nil"/>
            </w:tcBorders>
            <w:vAlign w:val="center"/>
          </w:tcPr>
          <w:p w14:paraId="787117EB">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tcBorders>
              <w:top w:val="nil"/>
            </w:tcBorders>
            <w:vAlign w:val="center"/>
          </w:tcPr>
          <w:p w14:paraId="25AF7D4C">
            <w:pPr>
              <w:keepNext/>
              <w:adjustRightInd w:val="0"/>
              <w:spacing w:line="440" w:lineRule="exact"/>
              <w:ind w:left="63" w:leftChars="30" w:right="63" w:rightChars="30"/>
              <w:jc w:val="center"/>
              <w:textAlignment w:val="baseline"/>
              <w:rPr>
                <w:rFonts w:ascii="宋体" w:hAnsi="宋体"/>
                <w:color w:val="auto"/>
                <w:highlight w:val="none"/>
              </w:rPr>
            </w:pPr>
          </w:p>
        </w:tc>
      </w:tr>
      <w:tr w14:paraId="2D0FC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70779036">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vAlign w:val="center"/>
          </w:tcPr>
          <w:p w14:paraId="35E460C7">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15618132">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58A618E7">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77164987">
            <w:pPr>
              <w:keepNext/>
              <w:adjustRightInd w:val="0"/>
              <w:spacing w:line="440" w:lineRule="exact"/>
              <w:ind w:left="63" w:leftChars="30" w:right="63" w:rightChars="30"/>
              <w:jc w:val="center"/>
              <w:textAlignment w:val="baseline"/>
              <w:rPr>
                <w:rFonts w:ascii="宋体" w:hAnsi="宋体"/>
                <w:color w:val="auto"/>
                <w:highlight w:val="none"/>
              </w:rPr>
            </w:pPr>
          </w:p>
        </w:tc>
      </w:tr>
      <w:tr w14:paraId="585BD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51DE90BB">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其他人员</w:t>
            </w:r>
          </w:p>
        </w:tc>
        <w:tc>
          <w:tcPr>
            <w:tcW w:w="1418" w:type="dxa"/>
            <w:vAlign w:val="center"/>
          </w:tcPr>
          <w:p w14:paraId="62633FE1">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149694CD">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6FD72BD3">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2CB93610">
            <w:pPr>
              <w:keepNext/>
              <w:adjustRightInd w:val="0"/>
              <w:spacing w:line="440" w:lineRule="exact"/>
              <w:ind w:left="63" w:leftChars="30" w:right="63" w:rightChars="30"/>
              <w:jc w:val="center"/>
              <w:textAlignment w:val="baseline"/>
              <w:rPr>
                <w:rFonts w:ascii="宋体" w:hAnsi="宋体"/>
                <w:color w:val="auto"/>
                <w:highlight w:val="none"/>
              </w:rPr>
            </w:pPr>
          </w:p>
        </w:tc>
      </w:tr>
      <w:tr w14:paraId="2C6F5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56BDA810">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vAlign w:val="center"/>
          </w:tcPr>
          <w:p w14:paraId="44E55DAE">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2E47BD52">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1136B5DA">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7AEB3579">
            <w:pPr>
              <w:keepNext/>
              <w:adjustRightInd w:val="0"/>
              <w:spacing w:line="440" w:lineRule="exact"/>
              <w:ind w:left="63" w:leftChars="30" w:right="63" w:rightChars="30"/>
              <w:jc w:val="center"/>
              <w:textAlignment w:val="baseline"/>
              <w:rPr>
                <w:rFonts w:ascii="宋体" w:hAnsi="宋体"/>
                <w:color w:val="auto"/>
                <w:highlight w:val="none"/>
              </w:rPr>
            </w:pPr>
          </w:p>
        </w:tc>
      </w:tr>
      <w:tr w14:paraId="580944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4630C52E">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二、现场人员</w:t>
            </w:r>
          </w:p>
        </w:tc>
      </w:tr>
      <w:tr w14:paraId="4BA0A7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6A29863">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项目经理</w:t>
            </w:r>
          </w:p>
        </w:tc>
        <w:tc>
          <w:tcPr>
            <w:tcW w:w="1418" w:type="dxa"/>
            <w:vAlign w:val="center"/>
          </w:tcPr>
          <w:p w14:paraId="56BCF537">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2A182483">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7B3D6DC8">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7EA99AB2">
            <w:pPr>
              <w:keepNext/>
              <w:adjustRightInd w:val="0"/>
              <w:spacing w:line="440" w:lineRule="exact"/>
              <w:ind w:left="63" w:leftChars="30" w:right="63" w:rightChars="30"/>
              <w:jc w:val="center"/>
              <w:textAlignment w:val="baseline"/>
              <w:rPr>
                <w:rFonts w:ascii="宋体" w:hAnsi="宋体"/>
                <w:color w:val="auto"/>
                <w:highlight w:val="none"/>
              </w:rPr>
            </w:pPr>
          </w:p>
        </w:tc>
      </w:tr>
      <w:tr w14:paraId="1890C0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D432DA6">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技术负责人</w:t>
            </w:r>
          </w:p>
        </w:tc>
        <w:tc>
          <w:tcPr>
            <w:tcW w:w="1418" w:type="dxa"/>
            <w:vAlign w:val="center"/>
          </w:tcPr>
          <w:p w14:paraId="453B3696">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0BA9E6F2">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100D8C36">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72C8B33B">
            <w:pPr>
              <w:keepNext/>
              <w:adjustRightInd w:val="0"/>
              <w:spacing w:line="440" w:lineRule="exact"/>
              <w:ind w:left="63" w:leftChars="30" w:right="63" w:rightChars="30"/>
              <w:jc w:val="center"/>
              <w:textAlignment w:val="baseline"/>
              <w:rPr>
                <w:rFonts w:ascii="宋体" w:hAnsi="宋体"/>
                <w:color w:val="auto"/>
                <w:highlight w:val="none"/>
              </w:rPr>
            </w:pPr>
          </w:p>
        </w:tc>
      </w:tr>
      <w:tr w14:paraId="13E1B7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4337902">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造价管理</w:t>
            </w:r>
          </w:p>
        </w:tc>
        <w:tc>
          <w:tcPr>
            <w:tcW w:w="1418" w:type="dxa"/>
            <w:vAlign w:val="center"/>
          </w:tcPr>
          <w:p w14:paraId="45B5FFEB">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7227AB11">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76DA9D10">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3BC8729D">
            <w:pPr>
              <w:keepNext/>
              <w:adjustRightInd w:val="0"/>
              <w:spacing w:line="440" w:lineRule="exact"/>
              <w:ind w:left="63" w:leftChars="30" w:right="63" w:rightChars="30"/>
              <w:jc w:val="center"/>
              <w:textAlignment w:val="baseline"/>
              <w:rPr>
                <w:rFonts w:ascii="宋体" w:hAnsi="宋体"/>
                <w:color w:val="auto"/>
                <w:highlight w:val="none"/>
              </w:rPr>
            </w:pPr>
          </w:p>
        </w:tc>
      </w:tr>
      <w:tr w14:paraId="4FA8B1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55C65A3">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质量管理</w:t>
            </w:r>
          </w:p>
        </w:tc>
        <w:tc>
          <w:tcPr>
            <w:tcW w:w="1418" w:type="dxa"/>
            <w:vAlign w:val="center"/>
          </w:tcPr>
          <w:p w14:paraId="54B3FA4D">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17963EE1">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79F70E95">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15F769F6">
            <w:pPr>
              <w:keepNext/>
              <w:adjustRightInd w:val="0"/>
              <w:spacing w:line="440" w:lineRule="exact"/>
              <w:ind w:left="63" w:leftChars="30" w:right="63" w:rightChars="30"/>
              <w:jc w:val="center"/>
              <w:textAlignment w:val="baseline"/>
              <w:rPr>
                <w:rFonts w:ascii="宋体" w:hAnsi="宋体"/>
                <w:color w:val="auto"/>
                <w:highlight w:val="none"/>
              </w:rPr>
            </w:pPr>
          </w:p>
        </w:tc>
      </w:tr>
      <w:tr w14:paraId="476A2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5A878E7">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材料管理</w:t>
            </w:r>
          </w:p>
        </w:tc>
        <w:tc>
          <w:tcPr>
            <w:tcW w:w="1418" w:type="dxa"/>
            <w:vAlign w:val="center"/>
          </w:tcPr>
          <w:p w14:paraId="7B32FA06">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6DAEBCA7">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638831E6">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7AEF3FA9">
            <w:pPr>
              <w:keepNext/>
              <w:adjustRightInd w:val="0"/>
              <w:spacing w:line="440" w:lineRule="exact"/>
              <w:ind w:left="63" w:leftChars="30" w:right="63" w:rightChars="30"/>
              <w:jc w:val="center"/>
              <w:textAlignment w:val="baseline"/>
              <w:rPr>
                <w:rFonts w:ascii="宋体" w:hAnsi="宋体"/>
                <w:color w:val="auto"/>
                <w:highlight w:val="none"/>
              </w:rPr>
            </w:pPr>
          </w:p>
        </w:tc>
      </w:tr>
      <w:tr w14:paraId="596B4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D7EA2C7">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计划管理</w:t>
            </w:r>
          </w:p>
        </w:tc>
        <w:tc>
          <w:tcPr>
            <w:tcW w:w="1418" w:type="dxa"/>
            <w:vAlign w:val="center"/>
          </w:tcPr>
          <w:p w14:paraId="0E379559">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05691DC6">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2CA7EF60">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4197036D">
            <w:pPr>
              <w:keepNext/>
              <w:adjustRightInd w:val="0"/>
              <w:spacing w:line="440" w:lineRule="exact"/>
              <w:ind w:left="63" w:leftChars="30" w:right="63" w:rightChars="30"/>
              <w:jc w:val="center"/>
              <w:textAlignment w:val="baseline"/>
              <w:rPr>
                <w:rFonts w:ascii="宋体" w:hAnsi="宋体"/>
                <w:color w:val="auto"/>
                <w:highlight w:val="none"/>
              </w:rPr>
            </w:pPr>
          </w:p>
        </w:tc>
      </w:tr>
      <w:tr w14:paraId="6DA32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377287E">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安全管理</w:t>
            </w:r>
          </w:p>
        </w:tc>
        <w:tc>
          <w:tcPr>
            <w:tcW w:w="1418" w:type="dxa"/>
            <w:vAlign w:val="center"/>
          </w:tcPr>
          <w:p w14:paraId="0D5920ED">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2F50CB96">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499F08C4">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752027C8">
            <w:pPr>
              <w:keepNext/>
              <w:adjustRightInd w:val="0"/>
              <w:spacing w:line="440" w:lineRule="exact"/>
              <w:ind w:left="63" w:leftChars="30" w:right="63" w:rightChars="30"/>
              <w:jc w:val="center"/>
              <w:textAlignment w:val="baseline"/>
              <w:rPr>
                <w:rFonts w:ascii="宋体" w:hAnsi="宋体"/>
                <w:color w:val="auto"/>
                <w:highlight w:val="none"/>
              </w:rPr>
            </w:pPr>
          </w:p>
        </w:tc>
      </w:tr>
      <w:tr w14:paraId="1268E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2769D7AC">
            <w:pPr>
              <w:keepNext/>
              <w:adjustRightInd w:val="0"/>
              <w:spacing w:line="440" w:lineRule="exact"/>
              <w:ind w:left="63" w:leftChars="30" w:right="63" w:rightChars="30"/>
              <w:jc w:val="center"/>
              <w:textAlignment w:val="baseline"/>
              <w:rPr>
                <w:rFonts w:ascii="宋体" w:hAnsi="宋体"/>
                <w:color w:val="auto"/>
                <w:highlight w:val="none"/>
              </w:rPr>
            </w:pPr>
            <w:r>
              <w:rPr>
                <w:rFonts w:ascii="宋体" w:hAnsi="宋体"/>
                <w:color w:val="auto"/>
                <w:highlight w:val="none"/>
              </w:rPr>
              <w:t>其他人员</w:t>
            </w:r>
          </w:p>
        </w:tc>
        <w:tc>
          <w:tcPr>
            <w:tcW w:w="1418" w:type="dxa"/>
            <w:vAlign w:val="center"/>
          </w:tcPr>
          <w:p w14:paraId="2283AB24">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30494CC3">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07128FAA">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6E1E106C">
            <w:pPr>
              <w:keepNext/>
              <w:adjustRightInd w:val="0"/>
              <w:spacing w:line="440" w:lineRule="exact"/>
              <w:ind w:left="63" w:leftChars="30" w:right="63" w:rightChars="30"/>
              <w:jc w:val="center"/>
              <w:textAlignment w:val="baseline"/>
              <w:rPr>
                <w:rFonts w:ascii="宋体" w:hAnsi="宋体"/>
                <w:color w:val="auto"/>
                <w:highlight w:val="none"/>
              </w:rPr>
            </w:pPr>
          </w:p>
        </w:tc>
      </w:tr>
      <w:tr w14:paraId="52D61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5E02E120">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tcBorders>
              <w:bottom w:val="nil"/>
            </w:tcBorders>
            <w:vAlign w:val="center"/>
          </w:tcPr>
          <w:p w14:paraId="2F8381DC">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tcBorders>
              <w:bottom w:val="nil"/>
            </w:tcBorders>
            <w:vAlign w:val="center"/>
          </w:tcPr>
          <w:p w14:paraId="6319AAB7">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tcBorders>
              <w:bottom w:val="nil"/>
            </w:tcBorders>
            <w:vAlign w:val="center"/>
          </w:tcPr>
          <w:p w14:paraId="6AB7077E">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tcBorders>
              <w:bottom w:val="nil"/>
            </w:tcBorders>
            <w:vAlign w:val="center"/>
          </w:tcPr>
          <w:p w14:paraId="0AA764E3">
            <w:pPr>
              <w:keepNext/>
              <w:adjustRightInd w:val="0"/>
              <w:spacing w:line="440" w:lineRule="exact"/>
              <w:ind w:left="63" w:leftChars="30" w:right="63" w:rightChars="30"/>
              <w:jc w:val="center"/>
              <w:textAlignment w:val="baseline"/>
              <w:rPr>
                <w:rFonts w:ascii="宋体" w:hAnsi="宋体"/>
                <w:color w:val="auto"/>
                <w:highlight w:val="none"/>
              </w:rPr>
            </w:pPr>
          </w:p>
        </w:tc>
      </w:tr>
      <w:tr w14:paraId="2EF99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798F02F8">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vAlign w:val="center"/>
          </w:tcPr>
          <w:p w14:paraId="7E71D695">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704200F2">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2F2B36A1">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27DB9BED">
            <w:pPr>
              <w:keepNext/>
              <w:adjustRightInd w:val="0"/>
              <w:spacing w:line="440" w:lineRule="exact"/>
              <w:ind w:left="63" w:leftChars="30" w:right="63" w:rightChars="30"/>
              <w:jc w:val="center"/>
              <w:textAlignment w:val="baseline"/>
              <w:rPr>
                <w:rFonts w:ascii="宋体" w:hAnsi="宋体"/>
                <w:color w:val="auto"/>
                <w:highlight w:val="none"/>
              </w:rPr>
            </w:pPr>
          </w:p>
        </w:tc>
      </w:tr>
      <w:tr w14:paraId="13E60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38950594">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vAlign w:val="center"/>
          </w:tcPr>
          <w:p w14:paraId="4803DEF9">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578DD8FD">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77CA3647">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23912FDD">
            <w:pPr>
              <w:keepNext/>
              <w:adjustRightInd w:val="0"/>
              <w:spacing w:line="440" w:lineRule="exact"/>
              <w:ind w:left="63" w:leftChars="30" w:right="63" w:rightChars="30"/>
              <w:jc w:val="center"/>
              <w:textAlignment w:val="baseline"/>
              <w:rPr>
                <w:rFonts w:ascii="宋体" w:hAnsi="宋体"/>
                <w:color w:val="auto"/>
                <w:highlight w:val="none"/>
              </w:rPr>
            </w:pPr>
          </w:p>
        </w:tc>
      </w:tr>
      <w:tr w14:paraId="7847F8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7A4E676A">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vAlign w:val="center"/>
          </w:tcPr>
          <w:p w14:paraId="2CE25667">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021981DE">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vAlign w:val="center"/>
          </w:tcPr>
          <w:p w14:paraId="2797C9F6">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vAlign w:val="center"/>
          </w:tcPr>
          <w:p w14:paraId="052BB193">
            <w:pPr>
              <w:keepNext/>
              <w:adjustRightInd w:val="0"/>
              <w:spacing w:line="440" w:lineRule="exact"/>
              <w:ind w:left="63" w:leftChars="30" w:right="63" w:rightChars="30"/>
              <w:jc w:val="center"/>
              <w:textAlignment w:val="baseline"/>
              <w:rPr>
                <w:rFonts w:ascii="宋体" w:hAnsi="宋体"/>
                <w:color w:val="auto"/>
                <w:highlight w:val="none"/>
              </w:rPr>
            </w:pPr>
          </w:p>
        </w:tc>
      </w:tr>
      <w:tr w14:paraId="64D97C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7C0D2F4E">
            <w:pPr>
              <w:keepNext/>
              <w:adjustRightInd w:val="0"/>
              <w:spacing w:line="440" w:lineRule="exact"/>
              <w:ind w:left="63" w:leftChars="30" w:right="63" w:rightChars="30"/>
              <w:jc w:val="center"/>
              <w:textAlignment w:val="baseline"/>
              <w:rPr>
                <w:rFonts w:ascii="宋体" w:hAnsi="宋体"/>
                <w:color w:val="auto"/>
                <w:highlight w:val="none"/>
              </w:rPr>
            </w:pPr>
          </w:p>
        </w:tc>
        <w:tc>
          <w:tcPr>
            <w:tcW w:w="1418" w:type="dxa"/>
            <w:tcBorders>
              <w:bottom w:val="single" w:color="auto" w:sz="12" w:space="0"/>
            </w:tcBorders>
            <w:vAlign w:val="center"/>
          </w:tcPr>
          <w:p w14:paraId="20DCD06E">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tcBorders>
              <w:bottom w:val="single" w:color="auto" w:sz="12" w:space="0"/>
            </w:tcBorders>
            <w:vAlign w:val="center"/>
          </w:tcPr>
          <w:p w14:paraId="5234C0A2">
            <w:pPr>
              <w:keepNext/>
              <w:adjustRightInd w:val="0"/>
              <w:spacing w:line="440" w:lineRule="exact"/>
              <w:ind w:left="63" w:leftChars="30" w:right="63" w:rightChars="30"/>
              <w:jc w:val="center"/>
              <w:textAlignment w:val="baseline"/>
              <w:rPr>
                <w:rFonts w:ascii="宋体" w:hAnsi="宋体"/>
                <w:color w:val="auto"/>
                <w:highlight w:val="none"/>
              </w:rPr>
            </w:pPr>
          </w:p>
        </w:tc>
        <w:tc>
          <w:tcPr>
            <w:tcW w:w="1134" w:type="dxa"/>
            <w:tcBorders>
              <w:bottom w:val="single" w:color="auto" w:sz="12" w:space="0"/>
            </w:tcBorders>
            <w:vAlign w:val="center"/>
          </w:tcPr>
          <w:p w14:paraId="4CCEFB4A">
            <w:pPr>
              <w:keepNext/>
              <w:adjustRightInd w:val="0"/>
              <w:spacing w:line="440" w:lineRule="exact"/>
              <w:ind w:left="63" w:leftChars="30" w:right="63" w:rightChars="30"/>
              <w:jc w:val="center"/>
              <w:textAlignment w:val="baseline"/>
              <w:rPr>
                <w:rFonts w:ascii="宋体" w:hAnsi="宋体"/>
                <w:color w:val="auto"/>
                <w:highlight w:val="none"/>
              </w:rPr>
            </w:pPr>
          </w:p>
        </w:tc>
        <w:tc>
          <w:tcPr>
            <w:tcW w:w="4252" w:type="dxa"/>
            <w:tcBorders>
              <w:bottom w:val="single" w:color="auto" w:sz="12" w:space="0"/>
            </w:tcBorders>
            <w:vAlign w:val="center"/>
          </w:tcPr>
          <w:p w14:paraId="3B8B2A10">
            <w:pPr>
              <w:keepNext/>
              <w:adjustRightInd w:val="0"/>
              <w:spacing w:line="440" w:lineRule="exact"/>
              <w:ind w:left="63" w:leftChars="30" w:right="63" w:rightChars="30"/>
              <w:jc w:val="center"/>
              <w:textAlignment w:val="baseline"/>
              <w:rPr>
                <w:rFonts w:ascii="宋体" w:hAnsi="宋体"/>
                <w:color w:val="auto"/>
                <w:highlight w:val="none"/>
              </w:rPr>
            </w:pPr>
          </w:p>
        </w:tc>
      </w:tr>
    </w:tbl>
    <w:p w14:paraId="06781F0B">
      <w:pPr>
        <w:pStyle w:val="28"/>
        <w:ind w:firstLine="640"/>
        <w:rPr>
          <w:color w:val="auto"/>
          <w:highlight w:val="none"/>
        </w:rPr>
        <w:sectPr>
          <w:pgSz w:w="11911" w:h="16843"/>
          <w:pgMar w:top="1134" w:right="1434" w:bottom="1134" w:left="1434" w:header="0" w:footer="1191" w:gutter="0"/>
          <w:cols w:space="720" w:num="1"/>
        </w:sectPr>
      </w:pPr>
    </w:p>
    <w:p w14:paraId="494B9E32">
      <w:pPr>
        <w:spacing w:line="480" w:lineRule="exact"/>
        <w:rPr>
          <w:color w:val="auto"/>
          <w:szCs w:val="21"/>
          <w:highlight w:val="none"/>
        </w:rPr>
      </w:pPr>
    </w:p>
    <w:bookmarkEnd w:id="1150"/>
    <w:sectPr>
      <w:footerReference r:id="rId12" w:type="default"/>
      <w:type w:val="continuous"/>
      <w:pgSz w:w="11911" w:h="16843"/>
      <w:pgMar w:top="1134" w:right="1434" w:bottom="1134" w:left="1434" w:header="0" w:footer="11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A00002EF" w:usb1="4000204B" w:usb2="00000000" w:usb3="00000000" w:csb0="2000009F"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modern"/>
    <w:pitch w:val="default"/>
    <w:sig w:usb0="A00002FF" w:usb1="28CFFCFA" w:usb2="00000016" w:usb3="00000000" w:csb0="001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ingLiU_HKSCS">
    <w:panose1 w:val="02020500000000000000"/>
    <w:charset w:val="88"/>
    <w:family w:val="roman"/>
    <w:pitch w:val="default"/>
    <w:sig w:usb0="A00002FF" w:usb1="3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03536">
    <w:pPr>
      <w:pStyle w:val="2"/>
      <w:tabs>
        <w:tab w:val="center" w:pos="4439"/>
        <w:tab w:val="clear" w:pos="4153"/>
      </w:tabs>
      <w:jc w:val="both"/>
    </w:pPr>
  </w:p>
  <w:p w14:paraId="122662CA">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F3439">
    <w:pPr>
      <w:pStyle w:val="2"/>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026C5A"/>
                      </w:txbxContent>
                    </wps:txbx>
                    <wps:bodyPr wrap="none" lIns="0" tIns="0" rIns="0" bIns="0" upright="1">
                      <a:spAutoFit/>
                    </wps:bodyPr>
                  </wps:wsp>
                </a:graphicData>
              </a:graphic>
            </wp:anchor>
          </w:drawing>
        </mc:Choice>
        <mc:Fallback>
          <w:pict>
            <v:shape id="文本框 61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07ajcsBAACcAwAADgAAAGRycy9lMm9Eb2MueG1srVNLbtswEN0X6B0I&#10;7mPKBhI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iCEssNDvz0+9fpz7/T35/k&#10;Zn6dFeo8lJj44DE19h9cj3uTlEt+QGci3jfBpC9SIhhHfY9nfWUfiUiPlovlssCQwNh0QRx2ee4D&#10;xI/SGZKMigYcYNaVHz5DHFKnlFTNunuldR6itk8ciJk87NJjsmK/7cfGt64+Ip8OZ19Ri6tOif5k&#10;Udq0JpMRJmM7GXsf1K7F1ua5L/B3+4hN5N5ShQF2LIxDy+zGBUtb8fiesy4/1f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dO2o3LAQAAnAMAAA4AAAAAAAAAAQAgAAAAHgEAAGRycy9lMm9E&#10;b2MueG1sUEsFBgAAAAAGAAYAWQEAAFsFAAAAAA==&#10;">
              <v:fill on="f" focussize="0,0"/>
              <v:stroke on="f"/>
              <v:imagedata o:title=""/>
              <o:lock v:ext="edit" aspectratio="f"/>
              <v:textbox inset="0mm,0mm,0mm,0mm" style="mso-fit-shape-to-text:t;">
                <w:txbxContent>
                  <w:p w14:paraId="52026C5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E294D">
    <w:pPr>
      <w:pStyle w:val="2"/>
      <w:tabs>
        <w:tab w:val="center" w:pos="4439"/>
        <w:tab w:val="clear" w:pos="4153"/>
      </w:tabs>
      <w:jc w:val="both"/>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E8B127">
                          <w:pPr>
                            <w:pStyle w:val="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wg/p7sEBAACOAwAADgAAAAAAAAABACAAAAAeAQAAZHJzL2Uyb0RvYy54bWxQSwUG&#10;AAAAAAYABgBZAQAAUQUAAAAA&#10;">
              <v:fill on="f" focussize="0,0"/>
              <v:stroke on="f"/>
              <v:imagedata o:title=""/>
              <o:lock v:ext="edit" aspectratio="f"/>
              <v:textbox inset="0mm,0mm,0mm,0mm" style="mso-fit-shape-to-text:t;">
                <w:txbxContent>
                  <w:p w14:paraId="1CE8B127">
                    <w:pPr>
                      <w:pStyle w:val="2"/>
                    </w:pPr>
                    <w:r>
                      <w:fldChar w:fldCharType="begin"/>
                    </w:r>
                    <w:r>
                      <w:instrText xml:space="preserve"> PAGE  \* MERGEFORMAT </w:instrText>
                    </w:r>
                    <w:r>
                      <w:fldChar w:fldCharType="separate"/>
                    </w:r>
                    <w:r>
                      <w:t>1</w:t>
                    </w:r>
                    <w:r>
                      <w:fldChar w:fldCharType="end"/>
                    </w:r>
                  </w:p>
                </w:txbxContent>
              </v:textbox>
            </v:shape>
          </w:pict>
        </mc:Fallback>
      </mc:AlternateContent>
    </w:r>
  </w:p>
  <w:p w14:paraId="36A31B68">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09EE6">
    <w:pPr>
      <w:spacing w:line="186" w:lineRule="auto"/>
      <w:ind w:left="4410"/>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0BEAC8">
                          <w:pPr>
                            <w:pStyle w:val="2"/>
                          </w:pPr>
                          <w:r>
                            <w:fldChar w:fldCharType="begin"/>
                          </w:r>
                          <w:r>
                            <w:instrText xml:space="preserve"> PAGE  \* MERGEFORMAT </w:instrText>
                          </w:r>
                          <w:r>
                            <w:fldChar w:fldCharType="separate"/>
                          </w:r>
                          <w:r>
                            <w:t>16</w:t>
                          </w:r>
                          <w:r>
                            <w:fldChar w:fldCharType="end"/>
                          </w:r>
                        </w:p>
                      </w:txbxContent>
                    </wps:txbx>
                    <wps:bodyPr wrap="none" lIns="0" tIns="0" rIns="0" bIns="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mS9uMIBAACO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jy&#10;JuvTB6gx7T5gYhre+gG3ZvYDOjPtQUWbv0iIYBzVPV/VlUMiIj9ar9brCkMCY/MF8dnD8xAhvZPe&#10;kmw0NOL4iqr89AHSmDqn5GrO32ljygiN+8uBmNnDcu9jj9lKw36YCO19e0Y+PU6+oQ4XnRLz3qGw&#10;eUlmI87GfjJyDQhvjgkLl34y6gg1FcMxFUbTSuU9eHwvWQ+/0f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JkvbjCAQAAjgMAAA4AAAAAAAAAAQAgAAAAHgEAAGRycy9lMm9Eb2MueG1sUEsF&#10;BgAAAAAGAAYAWQEAAFIFAAAAAA==&#10;">
              <v:fill on="f" focussize="0,0"/>
              <v:stroke on="f"/>
              <v:imagedata o:title=""/>
              <o:lock v:ext="edit" aspectratio="f"/>
              <v:textbox inset="0mm,0mm,0mm,0mm" style="mso-fit-shape-to-text:t;">
                <w:txbxContent>
                  <w:p w14:paraId="400BEAC8">
                    <w:pPr>
                      <w:pStyle w:val="2"/>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0D85C2">
                          <w:pPr>
                            <w:pStyle w:val="2"/>
                          </w:pP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73GPsEBAACNAwAADgAAAGRycy9lMm9Eb2MueG1srVPNjtMwEL4j8Q6W&#10;79TZI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zkWtAeH1MWLj0k1EnqLkYTqkwmjcqr8Gf95L18Bd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373GPsEBAACNAwAADgAAAAAAAAABACAAAAAeAQAAZHJzL2Uyb0RvYy54bWxQSwUG&#10;AAAAAAYABgBZAQAAUQUAAAAA&#10;">
              <v:fill on="f" focussize="0,0"/>
              <v:stroke on="f"/>
              <v:imagedata o:title=""/>
              <o:lock v:ext="edit" aspectratio="f"/>
              <v:textbox inset="0mm,0mm,0mm,0mm" style="mso-fit-shape-to-text:t;">
                <w:txbxContent>
                  <w:p w14:paraId="020D85C2">
                    <w:pPr>
                      <w:pStyle w:val="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226D3">
    <w:pPr>
      <w:spacing w:line="186" w:lineRule="auto"/>
      <w:ind w:left="4410"/>
      <w:rPr>
        <w:rFonts w:eastAsia="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75DFCB">
                          <w:pPr>
                            <w:pStyle w:val="2"/>
                          </w:pPr>
                          <w:r>
                            <w:fldChar w:fldCharType="begin"/>
                          </w:r>
                          <w:r>
                            <w:instrText xml:space="preserve"> PAGE  \* MERGEFORMAT </w:instrText>
                          </w:r>
                          <w:r>
                            <w:fldChar w:fldCharType="separate"/>
                          </w:r>
                          <w:r>
                            <w:t>55</w:t>
                          </w:r>
                          <w:r>
                            <w:fldChar w:fldCharType="end"/>
                          </w:r>
                        </w:p>
                      </w:txbxContent>
                    </wps:txbx>
                    <wps:bodyPr wrap="none" lIns="0" tIns="0" rIns="0" bIns="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DjMIBAACO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jy&#10;JuvTB6gx7T5gYhre+gG3ZvYDOjPtQUWbv0iIYBzVPV/VlUMiIj9ar9brCkMCY/MF8dnD8xAhvZPe&#10;kmw0NOL4iqr89AHSmDqn5GrO32ljygiN+8uBmNnDcu9jj9lKw36YCO19e0Y+PU6+oQ4XnRLz3qGw&#10;eUlmI87GfjJyDQhvjgkLl34y6gg1FcMxFUbTSuU9eHwvWQ+/0f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qyg4zCAQAAjgMAAA4AAAAAAAAAAQAgAAAAHgEAAGRycy9lMm9Eb2MueG1sUEsF&#10;BgAAAAAGAAYAWQEAAFIFAAAAAA==&#10;">
              <v:fill on="f" focussize="0,0"/>
              <v:stroke on="f"/>
              <v:imagedata o:title=""/>
              <o:lock v:ext="edit" aspectratio="f"/>
              <v:textbox inset="0mm,0mm,0mm,0mm" style="mso-fit-shape-to-text:t;">
                <w:txbxContent>
                  <w:p w14:paraId="7F75DFCB">
                    <w:pPr>
                      <w:pStyle w:val="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65F4">
    <w:pPr>
      <w:pStyle w:val="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F10779">
                          <w:pPr>
                            <w:pStyle w:val="2"/>
                          </w:pPr>
                          <w:r>
                            <w:fldChar w:fldCharType="begin"/>
                          </w:r>
                          <w:r>
                            <w:instrText xml:space="preserve"> PAGE  \* MERGEFORMAT </w:instrText>
                          </w:r>
                          <w:r>
                            <w:fldChar w:fldCharType="separate"/>
                          </w:r>
                          <w:r>
                            <w:t>67</w:t>
                          </w:r>
                          <w:r>
                            <w:fldChar w:fldCharType="end"/>
                          </w:r>
                        </w:p>
                      </w:txbxContent>
                    </wps:txbx>
                    <wps:bodyPr wrap="none" lIns="0" tIns="0" rIns="0" bIns="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ZGRfcIBAACO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m+&#10;zvr0AWpMuw+YmIa3fsCtmf2Azkx7UNHmLxIiGEd1z1d15ZCIyI/Wq/W6wpDA2HxBfPbwPERI76S3&#10;JBsNjTi+oio/fYA0ps4puZrzd9qYMkLj/nIgZvaw3PvYY7bSsB8mQnvfnpFPj5NvqMNFp8S8dyhs&#10;XpLZiLOxn4xcA8KbY8LCpZ+MOkJNxXBMhdG0UnkPHt9L1sNvt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WRkX3CAQAAjgMAAA4AAAAAAAAAAQAgAAAAHgEAAGRycy9lMm9Eb2MueG1sUEsF&#10;BgAAAAAGAAYAWQEAAFIFAAAAAA==&#10;">
              <v:fill on="f" focussize="0,0"/>
              <v:stroke on="f"/>
              <v:imagedata o:title=""/>
              <o:lock v:ext="edit" aspectratio="f"/>
              <v:textbox inset="0mm,0mm,0mm,0mm" style="mso-fit-shape-to-text:t;">
                <w:txbxContent>
                  <w:p w14:paraId="66F10779">
                    <w:pPr>
                      <w:pStyle w:val="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32956">
    <w:pPr>
      <w:spacing w:line="186" w:lineRule="auto"/>
      <w:ind w:left="4411"/>
      <w:rPr>
        <w:rFonts w:eastAsia="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BE9EC6">
                          <w:pPr>
                            <w:pStyle w:val="2"/>
                          </w:pPr>
                          <w:r>
                            <w:fldChar w:fldCharType="begin"/>
                          </w:r>
                          <w:r>
                            <w:instrText xml:space="preserve"> PAGE  \* MERGEFORMAT </w:instrText>
                          </w:r>
                          <w:r>
                            <w:fldChar w:fldCharType="separate"/>
                          </w:r>
                          <w:r>
                            <w:t>110</w:t>
                          </w:r>
                          <w: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o3gsMBAACOAwAADgAAAGRycy9lMm9Eb2MueG1srVNLbtswEN0XyB0I&#10;7mPKXrSC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pORaoC/PUQsnPtJqCPUVAzHlBlNK5X24M97znr+jT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xCjeCwwEAAI4DAAAOAAAAAAAAAAEAIAAAAB4BAABkcnMvZTJvRG9jLnhtbFBL&#10;BQYAAAAABgAGAFkBAABTBQAAAAA=&#10;">
              <v:fill on="f" focussize="0,0"/>
              <v:stroke on="f"/>
              <v:imagedata o:title=""/>
              <o:lock v:ext="edit" aspectratio="f"/>
              <v:textbox inset="0mm,0mm,0mm,0mm" style="mso-fit-shape-to-text:t;">
                <w:txbxContent>
                  <w:p w14:paraId="0EBE9EC6">
                    <w:pPr>
                      <w:pStyle w:val="2"/>
                    </w:pPr>
                    <w:r>
                      <w:fldChar w:fldCharType="begin"/>
                    </w:r>
                    <w:r>
                      <w:instrText xml:space="preserve"> PAGE  \* MERGEFORMAT </w:instrText>
                    </w:r>
                    <w:r>
                      <w:fldChar w:fldCharType="separate"/>
                    </w:r>
                    <w:r>
                      <w:t>110</w:t>
                    </w:r>
                    <w:r>
                      <w:fldChar w:fldCharType="end"/>
                    </w:r>
                  </w:p>
                </w:txbxContent>
              </v:textbox>
            </v:shape>
          </w:pict>
        </mc:Fallback>
      </mc:AlternateContent>
    </w:r>
    <w:r>
      <w:rPr>
        <w:rFonts w:eastAsia="Times New Roman"/>
        <w:sz w:val="18"/>
        <w:szCs w:val="18"/>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7EA23">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65738">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B9E72">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E6ED2"/>
    <w:multiLevelType w:val="multilevel"/>
    <w:tmpl w:val="079E6ED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E6A01AB"/>
    <w:multiLevelType w:val="singleLevel"/>
    <w:tmpl w:val="3E6A01AB"/>
    <w:lvl w:ilvl="0" w:tentative="0">
      <w:start w:val="1"/>
      <w:numFmt w:val="decimal"/>
      <w:suff w:val="nothing"/>
      <w:lvlText w:val="%1、"/>
      <w:lvlJc w:val="left"/>
    </w:lvl>
  </w:abstractNum>
  <w:abstractNum w:abstractNumId="2">
    <w:nsid w:val="56C3DFB5"/>
    <w:multiLevelType w:val="singleLevel"/>
    <w:tmpl w:val="56C3DFB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cryptProviderType="rsaFull" w:cryptAlgorithmClass="hash" w:cryptAlgorithmType="typeAny" w:cryptAlgorithmSid="4" w:cryptSpinCount="0" w:hash="LYFPT0waSprrSWoUndLPCQwyy0c=" w:salt="MZjMnYpbqeZF8OIq0OPGeg=="/>
  <w:defaultTabStop w:val="420"/>
  <w:drawingGridHorizontalSpacing w:val="210"/>
  <w:drawingGridVerticalSpacing w:val="-794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lN2M0OWM1ZjIzNzRiNTgxMzQzZTVhMzQ4NzYxZTUifQ=="/>
  </w:docVars>
  <w:rsids>
    <w:rsidRoot w:val="00172A27"/>
    <w:rsid w:val="00000672"/>
    <w:rsid w:val="00000E80"/>
    <w:rsid w:val="00001013"/>
    <w:rsid w:val="00001799"/>
    <w:rsid w:val="00001AF2"/>
    <w:rsid w:val="00001ECA"/>
    <w:rsid w:val="0000239E"/>
    <w:rsid w:val="00002D29"/>
    <w:rsid w:val="00003B93"/>
    <w:rsid w:val="0000474D"/>
    <w:rsid w:val="00005FDF"/>
    <w:rsid w:val="000060B9"/>
    <w:rsid w:val="00006577"/>
    <w:rsid w:val="000070B3"/>
    <w:rsid w:val="000076B8"/>
    <w:rsid w:val="000109DC"/>
    <w:rsid w:val="00010D39"/>
    <w:rsid w:val="0001172C"/>
    <w:rsid w:val="00011BC9"/>
    <w:rsid w:val="00012854"/>
    <w:rsid w:val="00012EA6"/>
    <w:rsid w:val="00013359"/>
    <w:rsid w:val="000139CF"/>
    <w:rsid w:val="00013AA4"/>
    <w:rsid w:val="00013DFE"/>
    <w:rsid w:val="000141EA"/>
    <w:rsid w:val="00014CA1"/>
    <w:rsid w:val="00016ABC"/>
    <w:rsid w:val="00016DE6"/>
    <w:rsid w:val="000177DB"/>
    <w:rsid w:val="000179C9"/>
    <w:rsid w:val="00017CCC"/>
    <w:rsid w:val="00020227"/>
    <w:rsid w:val="00020263"/>
    <w:rsid w:val="00020455"/>
    <w:rsid w:val="000205F5"/>
    <w:rsid w:val="00020813"/>
    <w:rsid w:val="000220B2"/>
    <w:rsid w:val="0002264C"/>
    <w:rsid w:val="00022731"/>
    <w:rsid w:val="00022792"/>
    <w:rsid w:val="00024463"/>
    <w:rsid w:val="000248FD"/>
    <w:rsid w:val="00025461"/>
    <w:rsid w:val="00025636"/>
    <w:rsid w:val="00025E36"/>
    <w:rsid w:val="00026855"/>
    <w:rsid w:val="00026886"/>
    <w:rsid w:val="0002785D"/>
    <w:rsid w:val="000307BE"/>
    <w:rsid w:val="000329E0"/>
    <w:rsid w:val="00032FC4"/>
    <w:rsid w:val="000352E9"/>
    <w:rsid w:val="00035494"/>
    <w:rsid w:val="00036125"/>
    <w:rsid w:val="000365AC"/>
    <w:rsid w:val="00036A07"/>
    <w:rsid w:val="00036C95"/>
    <w:rsid w:val="0003780B"/>
    <w:rsid w:val="00040571"/>
    <w:rsid w:val="00040973"/>
    <w:rsid w:val="00041262"/>
    <w:rsid w:val="0004156E"/>
    <w:rsid w:val="00041713"/>
    <w:rsid w:val="000437B4"/>
    <w:rsid w:val="000441EB"/>
    <w:rsid w:val="00044263"/>
    <w:rsid w:val="0004440C"/>
    <w:rsid w:val="000451F1"/>
    <w:rsid w:val="00046B5E"/>
    <w:rsid w:val="000470CB"/>
    <w:rsid w:val="000479FF"/>
    <w:rsid w:val="000509D9"/>
    <w:rsid w:val="000512AF"/>
    <w:rsid w:val="00051ACB"/>
    <w:rsid w:val="000532A6"/>
    <w:rsid w:val="000533E7"/>
    <w:rsid w:val="00055D41"/>
    <w:rsid w:val="00056EF6"/>
    <w:rsid w:val="00057CD6"/>
    <w:rsid w:val="00060DCE"/>
    <w:rsid w:val="000610E3"/>
    <w:rsid w:val="000614F3"/>
    <w:rsid w:val="000623B4"/>
    <w:rsid w:val="00062405"/>
    <w:rsid w:val="00062B42"/>
    <w:rsid w:val="000634A7"/>
    <w:rsid w:val="00063B0B"/>
    <w:rsid w:val="00063CCD"/>
    <w:rsid w:val="00063F81"/>
    <w:rsid w:val="000644EE"/>
    <w:rsid w:val="00064847"/>
    <w:rsid w:val="00064F97"/>
    <w:rsid w:val="00065E08"/>
    <w:rsid w:val="000673E2"/>
    <w:rsid w:val="0007027E"/>
    <w:rsid w:val="0007063F"/>
    <w:rsid w:val="000707FD"/>
    <w:rsid w:val="00070949"/>
    <w:rsid w:val="00070DE0"/>
    <w:rsid w:val="000711E4"/>
    <w:rsid w:val="000720A1"/>
    <w:rsid w:val="000724D9"/>
    <w:rsid w:val="000726ED"/>
    <w:rsid w:val="00072AED"/>
    <w:rsid w:val="00073F47"/>
    <w:rsid w:val="0007492F"/>
    <w:rsid w:val="00074ED8"/>
    <w:rsid w:val="00075B7E"/>
    <w:rsid w:val="00076248"/>
    <w:rsid w:val="00077ACA"/>
    <w:rsid w:val="00077C70"/>
    <w:rsid w:val="0008050D"/>
    <w:rsid w:val="000813B5"/>
    <w:rsid w:val="0008191E"/>
    <w:rsid w:val="00081BA3"/>
    <w:rsid w:val="00081D2E"/>
    <w:rsid w:val="00081F89"/>
    <w:rsid w:val="00082619"/>
    <w:rsid w:val="00082D02"/>
    <w:rsid w:val="00083871"/>
    <w:rsid w:val="00083B91"/>
    <w:rsid w:val="0008473C"/>
    <w:rsid w:val="00084EEF"/>
    <w:rsid w:val="0008520B"/>
    <w:rsid w:val="000857DE"/>
    <w:rsid w:val="000860BD"/>
    <w:rsid w:val="000871B8"/>
    <w:rsid w:val="000879CA"/>
    <w:rsid w:val="00087B0A"/>
    <w:rsid w:val="00087D4E"/>
    <w:rsid w:val="000904D2"/>
    <w:rsid w:val="000916DA"/>
    <w:rsid w:val="00092442"/>
    <w:rsid w:val="000929EF"/>
    <w:rsid w:val="00092C26"/>
    <w:rsid w:val="000933BE"/>
    <w:rsid w:val="0009560F"/>
    <w:rsid w:val="0009588E"/>
    <w:rsid w:val="000959EE"/>
    <w:rsid w:val="00096DB9"/>
    <w:rsid w:val="00097183"/>
    <w:rsid w:val="000972CB"/>
    <w:rsid w:val="00097608"/>
    <w:rsid w:val="000A1175"/>
    <w:rsid w:val="000A13F3"/>
    <w:rsid w:val="000A23B1"/>
    <w:rsid w:val="000A2B0E"/>
    <w:rsid w:val="000A398F"/>
    <w:rsid w:val="000A448C"/>
    <w:rsid w:val="000A509C"/>
    <w:rsid w:val="000A54A7"/>
    <w:rsid w:val="000A5712"/>
    <w:rsid w:val="000A6007"/>
    <w:rsid w:val="000A65A6"/>
    <w:rsid w:val="000A70E3"/>
    <w:rsid w:val="000A7275"/>
    <w:rsid w:val="000A7A12"/>
    <w:rsid w:val="000A7A72"/>
    <w:rsid w:val="000A7D4C"/>
    <w:rsid w:val="000B0863"/>
    <w:rsid w:val="000B1202"/>
    <w:rsid w:val="000B1801"/>
    <w:rsid w:val="000B1D0C"/>
    <w:rsid w:val="000B1ED6"/>
    <w:rsid w:val="000B2273"/>
    <w:rsid w:val="000B2BC6"/>
    <w:rsid w:val="000B2D03"/>
    <w:rsid w:val="000B2D18"/>
    <w:rsid w:val="000B37F2"/>
    <w:rsid w:val="000B3815"/>
    <w:rsid w:val="000B3B10"/>
    <w:rsid w:val="000B3C7B"/>
    <w:rsid w:val="000B4321"/>
    <w:rsid w:val="000B623D"/>
    <w:rsid w:val="000B6A6B"/>
    <w:rsid w:val="000B6C95"/>
    <w:rsid w:val="000B6EDF"/>
    <w:rsid w:val="000B72EF"/>
    <w:rsid w:val="000B79FC"/>
    <w:rsid w:val="000C06E3"/>
    <w:rsid w:val="000C0BB6"/>
    <w:rsid w:val="000C1679"/>
    <w:rsid w:val="000C1EE3"/>
    <w:rsid w:val="000C3AE7"/>
    <w:rsid w:val="000C3CC9"/>
    <w:rsid w:val="000C6DE4"/>
    <w:rsid w:val="000C7202"/>
    <w:rsid w:val="000D09B4"/>
    <w:rsid w:val="000D0A89"/>
    <w:rsid w:val="000D1389"/>
    <w:rsid w:val="000D1798"/>
    <w:rsid w:val="000D214B"/>
    <w:rsid w:val="000D2314"/>
    <w:rsid w:val="000D2626"/>
    <w:rsid w:val="000D320C"/>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AD0"/>
    <w:rsid w:val="000F5F8B"/>
    <w:rsid w:val="000F6153"/>
    <w:rsid w:val="000F64AA"/>
    <w:rsid w:val="000F7AF4"/>
    <w:rsid w:val="000F7C33"/>
    <w:rsid w:val="000F7F0C"/>
    <w:rsid w:val="001004D6"/>
    <w:rsid w:val="00101D1B"/>
    <w:rsid w:val="00102676"/>
    <w:rsid w:val="00103646"/>
    <w:rsid w:val="00103918"/>
    <w:rsid w:val="00104897"/>
    <w:rsid w:val="00104EDE"/>
    <w:rsid w:val="00105B3A"/>
    <w:rsid w:val="00105CDA"/>
    <w:rsid w:val="00106BEE"/>
    <w:rsid w:val="0010711C"/>
    <w:rsid w:val="00107BDF"/>
    <w:rsid w:val="00107C74"/>
    <w:rsid w:val="0011091C"/>
    <w:rsid w:val="00111266"/>
    <w:rsid w:val="001112EB"/>
    <w:rsid w:val="00111A0F"/>
    <w:rsid w:val="0011247D"/>
    <w:rsid w:val="00112966"/>
    <w:rsid w:val="00112FFB"/>
    <w:rsid w:val="00113678"/>
    <w:rsid w:val="00113A7D"/>
    <w:rsid w:val="00113C3E"/>
    <w:rsid w:val="00115E11"/>
    <w:rsid w:val="00115EEE"/>
    <w:rsid w:val="00115F56"/>
    <w:rsid w:val="00116CA9"/>
    <w:rsid w:val="00116F38"/>
    <w:rsid w:val="001170A4"/>
    <w:rsid w:val="00117AE7"/>
    <w:rsid w:val="00117B85"/>
    <w:rsid w:val="00117CBD"/>
    <w:rsid w:val="0012006A"/>
    <w:rsid w:val="00120E95"/>
    <w:rsid w:val="00121979"/>
    <w:rsid w:val="00122064"/>
    <w:rsid w:val="00124341"/>
    <w:rsid w:val="00124492"/>
    <w:rsid w:val="00124B12"/>
    <w:rsid w:val="001250A0"/>
    <w:rsid w:val="001263B8"/>
    <w:rsid w:val="00130217"/>
    <w:rsid w:val="0013049F"/>
    <w:rsid w:val="00130783"/>
    <w:rsid w:val="00130A47"/>
    <w:rsid w:val="0013199A"/>
    <w:rsid w:val="00132B47"/>
    <w:rsid w:val="001337F8"/>
    <w:rsid w:val="00133C70"/>
    <w:rsid w:val="00133D01"/>
    <w:rsid w:val="00133DF3"/>
    <w:rsid w:val="001348B4"/>
    <w:rsid w:val="001351CB"/>
    <w:rsid w:val="00135530"/>
    <w:rsid w:val="00135947"/>
    <w:rsid w:val="001359A2"/>
    <w:rsid w:val="00135B49"/>
    <w:rsid w:val="00135F92"/>
    <w:rsid w:val="00136020"/>
    <w:rsid w:val="0013641C"/>
    <w:rsid w:val="00136445"/>
    <w:rsid w:val="00137389"/>
    <w:rsid w:val="00137BE7"/>
    <w:rsid w:val="00140132"/>
    <w:rsid w:val="001412CA"/>
    <w:rsid w:val="00141C9C"/>
    <w:rsid w:val="00142407"/>
    <w:rsid w:val="0014277F"/>
    <w:rsid w:val="00142844"/>
    <w:rsid w:val="001434BE"/>
    <w:rsid w:val="00143AAD"/>
    <w:rsid w:val="00144050"/>
    <w:rsid w:val="00144369"/>
    <w:rsid w:val="00144710"/>
    <w:rsid w:val="0014479F"/>
    <w:rsid w:val="00144E72"/>
    <w:rsid w:val="001452B4"/>
    <w:rsid w:val="00145320"/>
    <w:rsid w:val="001476D3"/>
    <w:rsid w:val="00147765"/>
    <w:rsid w:val="001509CF"/>
    <w:rsid w:val="00150D1D"/>
    <w:rsid w:val="001525AA"/>
    <w:rsid w:val="001528E0"/>
    <w:rsid w:val="00152A87"/>
    <w:rsid w:val="00152AC1"/>
    <w:rsid w:val="00152C05"/>
    <w:rsid w:val="00153417"/>
    <w:rsid w:val="00153B2E"/>
    <w:rsid w:val="00153BB5"/>
    <w:rsid w:val="00154518"/>
    <w:rsid w:val="00156359"/>
    <w:rsid w:val="00156DD6"/>
    <w:rsid w:val="0016086E"/>
    <w:rsid w:val="00160D0C"/>
    <w:rsid w:val="00160DD1"/>
    <w:rsid w:val="00161172"/>
    <w:rsid w:val="001613A7"/>
    <w:rsid w:val="00161998"/>
    <w:rsid w:val="00161E65"/>
    <w:rsid w:val="00162597"/>
    <w:rsid w:val="001627E6"/>
    <w:rsid w:val="001629AF"/>
    <w:rsid w:val="001629FD"/>
    <w:rsid w:val="0016428A"/>
    <w:rsid w:val="001647C9"/>
    <w:rsid w:val="001648DF"/>
    <w:rsid w:val="00165627"/>
    <w:rsid w:val="00165987"/>
    <w:rsid w:val="001661A3"/>
    <w:rsid w:val="00167226"/>
    <w:rsid w:val="0016782B"/>
    <w:rsid w:val="0016784D"/>
    <w:rsid w:val="00167853"/>
    <w:rsid w:val="00167887"/>
    <w:rsid w:val="00167D14"/>
    <w:rsid w:val="00172A27"/>
    <w:rsid w:val="00172CA8"/>
    <w:rsid w:val="00172E6E"/>
    <w:rsid w:val="00173256"/>
    <w:rsid w:val="00173B0E"/>
    <w:rsid w:val="00173E03"/>
    <w:rsid w:val="00174E14"/>
    <w:rsid w:val="0017512C"/>
    <w:rsid w:val="001756AF"/>
    <w:rsid w:val="0017586A"/>
    <w:rsid w:val="00175BA6"/>
    <w:rsid w:val="00175FDC"/>
    <w:rsid w:val="00176CA7"/>
    <w:rsid w:val="00176D0C"/>
    <w:rsid w:val="00176F8E"/>
    <w:rsid w:val="001778C5"/>
    <w:rsid w:val="00177E56"/>
    <w:rsid w:val="00177F0A"/>
    <w:rsid w:val="00180526"/>
    <w:rsid w:val="00180DA0"/>
    <w:rsid w:val="00180E67"/>
    <w:rsid w:val="00181E8C"/>
    <w:rsid w:val="00181EAD"/>
    <w:rsid w:val="00182862"/>
    <w:rsid w:val="00183996"/>
    <w:rsid w:val="00184F57"/>
    <w:rsid w:val="00185091"/>
    <w:rsid w:val="00185544"/>
    <w:rsid w:val="00185617"/>
    <w:rsid w:val="001859C4"/>
    <w:rsid w:val="00186FE1"/>
    <w:rsid w:val="0018762D"/>
    <w:rsid w:val="00187A14"/>
    <w:rsid w:val="001908D6"/>
    <w:rsid w:val="0019171E"/>
    <w:rsid w:val="00192368"/>
    <w:rsid w:val="001923A0"/>
    <w:rsid w:val="001928B1"/>
    <w:rsid w:val="001928E2"/>
    <w:rsid w:val="00193537"/>
    <w:rsid w:val="00193756"/>
    <w:rsid w:val="00193846"/>
    <w:rsid w:val="00193CA5"/>
    <w:rsid w:val="00193FD7"/>
    <w:rsid w:val="00195424"/>
    <w:rsid w:val="00195538"/>
    <w:rsid w:val="001955FF"/>
    <w:rsid w:val="00197656"/>
    <w:rsid w:val="00197EDD"/>
    <w:rsid w:val="001A02B3"/>
    <w:rsid w:val="001A04BB"/>
    <w:rsid w:val="001A08D0"/>
    <w:rsid w:val="001A1B39"/>
    <w:rsid w:val="001A2120"/>
    <w:rsid w:val="001A28C6"/>
    <w:rsid w:val="001A2E69"/>
    <w:rsid w:val="001A3C34"/>
    <w:rsid w:val="001A3EDE"/>
    <w:rsid w:val="001A4222"/>
    <w:rsid w:val="001A4716"/>
    <w:rsid w:val="001A47E9"/>
    <w:rsid w:val="001A50EA"/>
    <w:rsid w:val="001A5E24"/>
    <w:rsid w:val="001A6795"/>
    <w:rsid w:val="001A6B27"/>
    <w:rsid w:val="001A6D8B"/>
    <w:rsid w:val="001A6DAA"/>
    <w:rsid w:val="001A72C5"/>
    <w:rsid w:val="001A7717"/>
    <w:rsid w:val="001A793A"/>
    <w:rsid w:val="001B0428"/>
    <w:rsid w:val="001B125A"/>
    <w:rsid w:val="001B15EA"/>
    <w:rsid w:val="001B1EBA"/>
    <w:rsid w:val="001B2142"/>
    <w:rsid w:val="001B252A"/>
    <w:rsid w:val="001B2F2B"/>
    <w:rsid w:val="001B327A"/>
    <w:rsid w:val="001B35DE"/>
    <w:rsid w:val="001B3A13"/>
    <w:rsid w:val="001B3F5C"/>
    <w:rsid w:val="001B3F7F"/>
    <w:rsid w:val="001B57C9"/>
    <w:rsid w:val="001B59FF"/>
    <w:rsid w:val="001B6512"/>
    <w:rsid w:val="001B65D7"/>
    <w:rsid w:val="001B6752"/>
    <w:rsid w:val="001B6768"/>
    <w:rsid w:val="001B6F1F"/>
    <w:rsid w:val="001B79E3"/>
    <w:rsid w:val="001B7ECC"/>
    <w:rsid w:val="001C025B"/>
    <w:rsid w:val="001C115F"/>
    <w:rsid w:val="001C1EAB"/>
    <w:rsid w:val="001C25A7"/>
    <w:rsid w:val="001C318C"/>
    <w:rsid w:val="001C35C4"/>
    <w:rsid w:val="001C4287"/>
    <w:rsid w:val="001C4479"/>
    <w:rsid w:val="001C5190"/>
    <w:rsid w:val="001C6081"/>
    <w:rsid w:val="001C73EB"/>
    <w:rsid w:val="001C7B48"/>
    <w:rsid w:val="001D0291"/>
    <w:rsid w:val="001D0CFB"/>
    <w:rsid w:val="001D1A0D"/>
    <w:rsid w:val="001D343C"/>
    <w:rsid w:val="001D58A1"/>
    <w:rsid w:val="001D58C2"/>
    <w:rsid w:val="001D5A8A"/>
    <w:rsid w:val="001D5C41"/>
    <w:rsid w:val="001D5EEE"/>
    <w:rsid w:val="001D61CA"/>
    <w:rsid w:val="001D6E87"/>
    <w:rsid w:val="001D735E"/>
    <w:rsid w:val="001D73C8"/>
    <w:rsid w:val="001D7BC6"/>
    <w:rsid w:val="001E129E"/>
    <w:rsid w:val="001E175C"/>
    <w:rsid w:val="001E1B0E"/>
    <w:rsid w:val="001E3B63"/>
    <w:rsid w:val="001E58CE"/>
    <w:rsid w:val="001E5A94"/>
    <w:rsid w:val="001E73E0"/>
    <w:rsid w:val="001F1C45"/>
    <w:rsid w:val="001F2A2E"/>
    <w:rsid w:val="001F2FDF"/>
    <w:rsid w:val="001F3356"/>
    <w:rsid w:val="001F3C63"/>
    <w:rsid w:val="001F4460"/>
    <w:rsid w:val="001F711A"/>
    <w:rsid w:val="001F75B0"/>
    <w:rsid w:val="0020027D"/>
    <w:rsid w:val="0020057C"/>
    <w:rsid w:val="00200CE5"/>
    <w:rsid w:val="00200F7C"/>
    <w:rsid w:val="002014DB"/>
    <w:rsid w:val="0020150B"/>
    <w:rsid w:val="00201E12"/>
    <w:rsid w:val="00202295"/>
    <w:rsid w:val="002033B5"/>
    <w:rsid w:val="0020382C"/>
    <w:rsid w:val="0020437A"/>
    <w:rsid w:val="0020454C"/>
    <w:rsid w:val="00204740"/>
    <w:rsid w:val="00205129"/>
    <w:rsid w:val="0020521F"/>
    <w:rsid w:val="00205323"/>
    <w:rsid w:val="0020532C"/>
    <w:rsid w:val="00206564"/>
    <w:rsid w:val="00206785"/>
    <w:rsid w:val="00210A07"/>
    <w:rsid w:val="00210BEC"/>
    <w:rsid w:val="002114C7"/>
    <w:rsid w:val="0021302C"/>
    <w:rsid w:val="00213B1C"/>
    <w:rsid w:val="00213F1E"/>
    <w:rsid w:val="00214202"/>
    <w:rsid w:val="002148E3"/>
    <w:rsid w:val="0021552D"/>
    <w:rsid w:val="002156AE"/>
    <w:rsid w:val="00215E99"/>
    <w:rsid w:val="0022054D"/>
    <w:rsid w:val="00220959"/>
    <w:rsid w:val="00220A95"/>
    <w:rsid w:val="0022107B"/>
    <w:rsid w:val="00223DDB"/>
    <w:rsid w:val="00223FA4"/>
    <w:rsid w:val="00223FB0"/>
    <w:rsid w:val="00224067"/>
    <w:rsid w:val="0022421C"/>
    <w:rsid w:val="00224C4A"/>
    <w:rsid w:val="00224E83"/>
    <w:rsid w:val="00225664"/>
    <w:rsid w:val="0022663D"/>
    <w:rsid w:val="00227F2D"/>
    <w:rsid w:val="00231851"/>
    <w:rsid w:val="002319FB"/>
    <w:rsid w:val="00231B89"/>
    <w:rsid w:val="00231F11"/>
    <w:rsid w:val="00231F5E"/>
    <w:rsid w:val="00233B3D"/>
    <w:rsid w:val="00234546"/>
    <w:rsid w:val="002346B4"/>
    <w:rsid w:val="00234F6E"/>
    <w:rsid w:val="002355BE"/>
    <w:rsid w:val="002358EA"/>
    <w:rsid w:val="00236578"/>
    <w:rsid w:val="00236DE9"/>
    <w:rsid w:val="00237342"/>
    <w:rsid w:val="00237D5A"/>
    <w:rsid w:val="00240AEF"/>
    <w:rsid w:val="00240D75"/>
    <w:rsid w:val="002415AE"/>
    <w:rsid w:val="00241D3C"/>
    <w:rsid w:val="00242109"/>
    <w:rsid w:val="00243189"/>
    <w:rsid w:val="002439AB"/>
    <w:rsid w:val="00243C19"/>
    <w:rsid w:val="00244AE8"/>
    <w:rsid w:val="00244DC9"/>
    <w:rsid w:val="002450C2"/>
    <w:rsid w:val="00245587"/>
    <w:rsid w:val="002459B4"/>
    <w:rsid w:val="00245F2B"/>
    <w:rsid w:val="002466CD"/>
    <w:rsid w:val="00246F3B"/>
    <w:rsid w:val="00247021"/>
    <w:rsid w:val="00247F3A"/>
    <w:rsid w:val="00250122"/>
    <w:rsid w:val="00250755"/>
    <w:rsid w:val="00251043"/>
    <w:rsid w:val="00251C4A"/>
    <w:rsid w:val="0025271C"/>
    <w:rsid w:val="00252A60"/>
    <w:rsid w:val="002533CD"/>
    <w:rsid w:val="002535EA"/>
    <w:rsid w:val="002545F8"/>
    <w:rsid w:val="00254EAB"/>
    <w:rsid w:val="0025503A"/>
    <w:rsid w:val="002552E8"/>
    <w:rsid w:val="002557AF"/>
    <w:rsid w:val="0025589C"/>
    <w:rsid w:val="00255B62"/>
    <w:rsid w:val="002566B1"/>
    <w:rsid w:val="002575E3"/>
    <w:rsid w:val="00257A74"/>
    <w:rsid w:val="00257C5D"/>
    <w:rsid w:val="002603C1"/>
    <w:rsid w:val="00260613"/>
    <w:rsid w:val="002609A1"/>
    <w:rsid w:val="002612B1"/>
    <w:rsid w:val="00261517"/>
    <w:rsid w:val="0026230C"/>
    <w:rsid w:val="0026398B"/>
    <w:rsid w:val="0026601E"/>
    <w:rsid w:val="00266099"/>
    <w:rsid w:val="00266165"/>
    <w:rsid w:val="002665F2"/>
    <w:rsid w:val="00266F2C"/>
    <w:rsid w:val="00270A30"/>
    <w:rsid w:val="0027125E"/>
    <w:rsid w:val="00271767"/>
    <w:rsid w:val="00272293"/>
    <w:rsid w:val="002723C8"/>
    <w:rsid w:val="00273C2A"/>
    <w:rsid w:val="00273CBE"/>
    <w:rsid w:val="002746B1"/>
    <w:rsid w:val="00274BAD"/>
    <w:rsid w:val="00274F01"/>
    <w:rsid w:val="002756BF"/>
    <w:rsid w:val="00276E42"/>
    <w:rsid w:val="0027710E"/>
    <w:rsid w:val="00280F75"/>
    <w:rsid w:val="00281B0D"/>
    <w:rsid w:val="00282D56"/>
    <w:rsid w:val="0028352B"/>
    <w:rsid w:val="002835B0"/>
    <w:rsid w:val="00283BD5"/>
    <w:rsid w:val="00283C74"/>
    <w:rsid w:val="0028407E"/>
    <w:rsid w:val="0028410F"/>
    <w:rsid w:val="00284572"/>
    <w:rsid w:val="002850AA"/>
    <w:rsid w:val="00285221"/>
    <w:rsid w:val="002862DB"/>
    <w:rsid w:val="00286FB5"/>
    <w:rsid w:val="00287763"/>
    <w:rsid w:val="00290606"/>
    <w:rsid w:val="002909B2"/>
    <w:rsid w:val="0029198B"/>
    <w:rsid w:val="00291D6D"/>
    <w:rsid w:val="00291FF1"/>
    <w:rsid w:val="0029275C"/>
    <w:rsid w:val="00292AA2"/>
    <w:rsid w:val="00293361"/>
    <w:rsid w:val="00294961"/>
    <w:rsid w:val="00294F10"/>
    <w:rsid w:val="002952B1"/>
    <w:rsid w:val="00295D11"/>
    <w:rsid w:val="00296FB6"/>
    <w:rsid w:val="002A0001"/>
    <w:rsid w:val="002A0BD9"/>
    <w:rsid w:val="002A0C3A"/>
    <w:rsid w:val="002A0DF8"/>
    <w:rsid w:val="002A1130"/>
    <w:rsid w:val="002A1880"/>
    <w:rsid w:val="002A23B7"/>
    <w:rsid w:val="002A2722"/>
    <w:rsid w:val="002A3A57"/>
    <w:rsid w:val="002A4B4F"/>
    <w:rsid w:val="002A500F"/>
    <w:rsid w:val="002A57A8"/>
    <w:rsid w:val="002A6CB9"/>
    <w:rsid w:val="002A6DEF"/>
    <w:rsid w:val="002A770B"/>
    <w:rsid w:val="002B013E"/>
    <w:rsid w:val="002B058D"/>
    <w:rsid w:val="002B09A9"/>
    <w:rsid w:val="002B0C16"/>
    <w:rsid w:val="002B2AC5"/>
    <w:rsid w:val="002B3528"/>
    <w:rsid w:val="002B3539"/>
    <w:rsid w:val="002B3672"/>
    <w:rsid w:val="002B4532"/>
    <w:rsid w:val="002B5042"/>
    <w:rsid w:val="002B543A"/>
    <w:rsid w:val="002B612F"/>
    <w:rsid w:val="002B69CC"/>
    <w:rsid w:val="002B6D71"/>
    <w:rsid w:val="002C03AE"/>
    <w:rsid w:val="002C0C1C"/>
    <w:rsid w:val="002C17CB"/>
    <w:rsid w:val="002C40E2"/>
    <w:rsid w:val="002C431F"/>
    <w:rsid w:val="002C53AD"/>
    <w:rsid w:val="002C54C2"/>
    <w:rsid w:val="002C5826"/>
    <w:rsid w:val="002C5D34"/>
    <w:rsid w:val="002C60BB"/>
    <w:rsid w:val="002C661A"/>
    <w:rsid w:val="002C6F46"/>
    <w:rsid w:val="002C71F0"/>
    <w:rsid w:val="002D0B75"/>
    <w:rsid w:val="002D0D6F"/>
    <w:rsid w:val="002D17A3"/>
    <w:rsid w:val="002D25FC"/>
    <w:rsid w:val="002D477E"/>
    <w:rsid w:val="002D4AC6"/>
    <w:rsid w:val="002D5BF5"/>
    <w:rsid w:val="002D5EE8"/>
    <w:rsid w:val="002D60E7"/>
    <w:rsid w:val="002D701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F016E"/>
    <w:rsid w:val="002F0522"/>
    <w:rsid w:val="002F113C"/>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20C2"/>
    <w:rsid w:val="00302EFC"/>
    <w:rsid w:val="00303243"/>
    <w:rsid w:val="00303BCC"/>
    <w:rsid w:val="00303F2B"/>
    <w:rsid w:val="00303F8D"/>
    <w:rsid w:val="00304A29"/>
    <w:rsid w:val="00304CFF"/>
    <w:rsid w:val="0030572D"/>
    <w:rsid w:val="0030586A"/>
    <w:rsid w:val="0030622D"/>
    <w:rsid w:val="00306811"/>
    <w:rsid w:val="00306F32"/>
    <w:rsid w:val="003074C5"/>
    <w:rsid w:val="00307A3C"/>
    <w:rsid w:val="00307FA4"/>
    <w:rsid w:val="00310290"/>
    <w:rsid w:val="00310CC1"/>
    <w:rsid w:val="00311366"/>
    <w:rsid w:val="00312504"/>
    <w:rsid w:val="00312B89"/>
    <w:rsid w:val="00313026"/>
    <w:rsid w:val="00313913"/>
    <w:rsid w:val="0031421F"/>
    <w:rsid w:val="00314B31"/>
    <w:rsid w:val="00315A65"/>
    <w:rsid w:val="00315B15"/>
    <w:rsid w:val="003165D7"/>
    <w:rsid w:val="003166ED"/>
    <w:rsid w:val="0031787B"/>
    <w:rsid w:val="00317BA7"/>
    <w:rsid w:val="00320BE2"/>
    <w:rsid w:val="003215A2"/>
    <w:rsid w:val="00321886"/>
    <w:rsid w:val="00321EDC"/>
    <w:rsid w:val="00323694"/>
    <w:rsid w:val="00323BE7"/>
    <w:rsid w:val="00323F4F"/>
    <w:rsid w:val="00324C3A"/>
    <w:rsid w:val="00324D63"/>
    <w:rsid w:val="003255AF"/>
    <w:rsid w:val="003256EB"/>
    <w:rsid w:val="003259DB"/>
    <w:rsid w:val="00327E56"/>
    <w:rsid w:val="003314D9"/>
    <w:rsid w:val="00331653"/>
    <w:rsid w:val="00331A48"/>
    <w:rsid w:val="00331BCC"/>
    <w:rsid w:val="003330C9"/>
    <w:rsid w:val="0033364C"/>
    <w:rsid w:val="00333E2C"/>
    <w:rsid w:val="00334415"/>
    <w:rsid w:val="00335EA1"/>
    <w:rsid w:val="0033691E"/>
    <w:rsid w:val="00336A6A"/>
    <w:rsid w:val="00336CCB"/>
    <w:rsid w:val="00336F3B"/>
    <w:rsid w:val="00340255"/>
    <w:rsid w:val="003411D1"/>
    <w:rsid w:val="003416BA"/>
    <w:rsid w:val="00342148"/>
    <w:rsid w:val="003424BA"/>
    <w:rsid w:val="00342F99"/>
    <w:rsid w:val="0034575A"/>
    <w:rsid w:val="00345B2F"/>
    <w:rsid w:val="00345F57"/>
    <w:rsid w:val="0034727B"/>
    <w:rsid w:val="003500DF"/>
    <w:rsid w:val="00350458"/>
    <w:rsid w:val="00350DA9"/>
    <w:rsid w:val="00350E6C"/>
    <w:rsid w:val="003518A6"/>
    <w:rsid w:val="00351E7F"/>
    <w:rsid w:val="00352953"/>
    <w:rsid w:val="00354062"/>
    <w:rsid w:val="0035459E"/>
    <w:rsid w:val="00355216"/>
    <w:rsid w:val="00355C0D"/>
    <w:rsid w:val="003566A9"/>
    <w:rsid w:val="00356988"/>
    <w:rsid w:val="003569D3"/>
    <w:rsid w:val="00356CE9"/>
    <w:rsid w:val="003570BB"/>
    <w:rsid w:val="00357128"/>
    <w:rsid w:val="0035755E"/>
    <w:rsid w:val="00357A80"/>
    <w:rsid w:val="003610B9"/>
    <w:rsid w:val="00361441"/>
    <w:rsid w:val="00361B8B"/>
    <w:rsid w:val="00363F39"/>
    <w:rsid w:val="003640FC"/>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257"/>
    <w:rsid w:val="00376851"/>
    <w:rsid w:val="00376FA2"/>
    <w:rsid w:val="00377133"/>
    <w:rsid w:val="0037752E"/>
    <w:rsid w:val="00377A3B"/>
    <w:rsid w:val="00377E3C"/>
    <w:rsid w:val="00380874"/>
    <w:rsid w:val="00380BBE"/>
    <w:rsid w:val="00381D70"/>
    <w:rsid w:val="0038235E"/>
    <w:rsid w:val="003829D0"/>
    <w:rsid w:val="0038326A"/>
    <w:rsid w:val="0038444F"/>
    <w:rsid w:val="003861F0"/>
    <w:rsid w:val="00386C1D"/>
    <w:rsid w:val="00387051"/>
    <w:rsid w:val="003873BF"/>
    <w:rsid w:val="00387ECF"/>
    <w:rsid w:val="0039021B"/>
    <w:rsid w:val="003903F7"/>
    <w:rsid w:val="00390429"/>
    <w:rsid w:val="003906A0"/>
    <w:rsid w:val="00390ACD"/>
    <w:rsid w:val="003916F2"/>
    <w:rsid w:val="003931AF"/>
    <w:rsid w:val="0039366C"/>
    <w:rsid w:val="00393EC8"/>
    <w:rsid w:val="00395E42"/>
    <w:rsid w:val="00396409"/>
    <w:rsid w:val="00396A2D"/>
    <w:rsid w:val="00396FC3"/>
    <w:rsid w:val="00397050"/>
    <w:rsid w:val="003A1A94"/>
    <w:rsid w:val="003A204E"/>
    <w:rsid w:val="003A24FC"/>
    <w:rsid w:val="003A2D25"/>
    <w:rsid w:val="003A5728"/>
    <w:rsid w:val="003A60E7"/>
    <w:rsid w:val="003A7092"/>
    <w:rsid w:val="003A72A1"/>
    <w:rsid w:val="003A7611"/>
    <w:rsid w:val="003A7D1F"/>
    <w:rsid w:val="003B0A61"/>
    <w:rsid w:val="003B0B6A"/>
    <w:rsid w:val="003B1A79"/>
    <w:rsid w:val="003B22F7"/>
    <w:rsid w:val="003B29CF"/>
    <w:rsid w:val="003B3A90"/>
    <w:rsid w:val="003B3B8E"/>
    <w:rsid w:val="003B3D01"/>
    <w:rsid w:val="003B534F"/>
    <w:rsid w:val="003B751E"/>
    <w:rsid w:val="003B7A79"/>
    <w:rsid w:val="003C0FE1"/>
    <w:rsid w:val="003C151A"/>
    <w:rsid w:val="003C21AE"/>
    <w:rsid w:val="003C350C"/>
    <w:rsid w:val="003C3903"/>
    <w:rsid w:val="003C3BA0"/>
    <w:rsid w:val="003C4580"/>
    <w:rsid w:val="003C5C5E"/>
    <w:rsid w:val="003C6546"/>
    <w:rsid w:val="003C6746"/>
    <w:rsid w:val="003C6EFE"/>
    <w:rsid w:val="003C71F8"/>
    <w:rsid w:val="003C7555"/>
    <w:rsid w:val="003C7898"/>
    <w:rsid w:val="003C7B16"/>
    <w:rsid w:val="003D0040"/>
    <w:rsid w:val="003D0FF5"/>
    <w:rsid w:val="003D104E"/>
    <w:rsid w:val="003D11A3"/>
    <w:rsid w:val="003D1537"/>
    <w:rsid w:val="003D183C"/>
    <w:rsid w:val="003D2D1B"/>
    <w:rsid w:val="003D34A9"/>
    <w:rsid w:val="003D476C"/>
    <w:rsid w:val="003D48C7"/>
    <w:rsid w:val="003D4C27"/>
    <w:rsid w:val="003D7109"/>
    <w:rsid w:val="003D7C75"/>
    <w:rsid w:val="003D7CE8"/>
    <w:rsid w:val="003E0514"/>
    <w:rsid w:val="003E0B20"/>
    <w:rsid w:val="003E1032"/>
    <w:rsid w:val="003E12C8"/>
    <w:rsid w:val="003E1904"/>
    <w:rsid w:val="003E285E"/>
    <w:rsid w:val="003E2AE8"/>
    <w:rsid w:val="003E3124"/>
    <w:rsid w:val="003E3300"/>
    <w:rsid w:val="003E43D3"/>
    <w:rsid w:val="003E458E"/>
    <w:rsid w:val="003E48E1"/>
    <w:rsid w:val="003E50F4"/>
    <w:rsid w:val="003E59BB"/>
    <w:rsid w:val="003E6225"/>
    <w:rsid w:val="003E65AC"/>
    <w:rsid w:val="003E66AE"/>
    <w:rsid w:val="003E72B9"/>
    <w:rsid w:val="003E7612"/>
    <w:rsid w:val="003E7ED4"/>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59E9"/>
    <w:rsid w:val="003F6617"/>
    <w:rsid w:val="00402332"/>
    <w:rsid w:val="004025C2"/>
    <w:rsid w:val="00403195"/>
    <w:rsid w:val="004033A9"/>
    <w:rsid w:val="00403E55"/>
    <w:rsid w:val="0040407C"/>
    <w:rsid w:val="0040416C"/>
    <w:rsid w:val="00404681"/>
    <w:rsid w:val="00405445"/>
    <w:rsid w:val="00405AC1"/>
    <w:rsid w:val="00406923"/>
    <w:rsid w:val="0040763D"/>
    <w:rsid w:val="00407D79"/>
    <w:rsid w:val="00410D17"/>
    <w:rsid w:val="00412039"/>
    <w:rsid w:val="00412AA9"/>
    <w:rsid w:val="0041301C"/>
    <w:rsid w:val="00413442"/>
    <w:rsid w:val="00413821"/>
    <w:rsid w:val="00413BA5"/>
    <w:rsid w:val="004141A3"/>
    <w:rsid w:val="00414909"/>
    <w:rsid w:val="0041582F"/>
    <w:rsid w:val="00415A75"/>
    <w:rsid w:val="00416112"/>
    <w:rsid w:val="00416618"/>
    <w:rsid w:val="00417AE0"/>
    <w:rsid w:val="00417BAA"/>
    <w:rsid w:val="00417EAD"/>
    <w:rsid w:val="0042042B"/>
    <w:rsid w:val="00420B45"/>
    <w:rsid w:val="00420D7A"/>
    <w:rsid w:val="00421257"/>
    <w:rsid w:val="00422193"/>
    <w:rsid w:val="00422329"/>
    <w:rsid w:val="004223DE"/>
    <w:rsid w:val="00422A10"/>
    <w:rsid w:val="00424D17"/>
    <w:rsid w:val="00424DC5"/>
    <w:rsid w:val="00425DFD"/>
    <w:rsid w:val="004263A3"/>
    <w:rsid w:val="00427713"/>
    <w:rsid w:val="00427CCC"/>
    <w:rsid w:val="0043013A"/>
    <w:rsid w:val="00430421"/>
    <w:rsid w:val="004306A7"/>
    <w:rsid w:val="00430A36"/>
    <w:rsid w:val="00430B4F"/>
    <w:rsid w:val="00431084"/>
    <w:rsid w:val="004310D7"/>
    <w:rsid w:val="004322D6"/>
    <w:rsid w:val="00432589"/>
    <w:rsid w:val="00432A94"/>
    <w:rsid w:val="00432C95"/>
    <w:rsid w:val="00432EB1"/>
    <w:rsid w:val="00433827"/>
    <w:rsid w:val="00433A40"/>
    <w:rsid w:val="00434B70"/>
    <w:rsid w:val="0043520F"/>
    <w:rsid w:val="00435779"/>
    <w:rsid w:val="004360C8"/>
    <w:rsid w:val="00436823"/>
    <w:rsid w:val="004371D5"/>
    <w:rsid w:val="0044006B"/>
    <w:rsid w:val="0044033F"/>
    <w:rsid w:val="00440630"/>
    <w:rsid w:val="00440B89"/>
    <w:rsid w:val="00441F0F"/>
    <w:rsid w:val="00442965"/>
    <w:rsid w:val="004432B6"/>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2E3D"/>
    <w:rsid w:val="004535AE"/>
    <w:rsid w:val="0045444D"/>
    <w:rsid w:val="0045463A"/>
    <w:rsid w:val="00454A3B"/>
    <w:rsid w:val="00454AC9"/>
    <w:rsid w:val="00455050"/>
    <w:rsid w:val="004554A3"/>
    <w:rsid w:val="00455A6E"/>
    <w:rsid w:val="00455EAD"/>
    <w:rsid w:val="00456678"/>
    <w:rsid w:val="004578EB"/>
    <w:rsid w:val="004604D5"/>
    <w:rsid w:val="00460697"/>
    <w:rsid w:val="0046117B"/>
    <w:rsid w:val="00461FC2"/>
    <w:rsid w:val="00463BAA"/>
    <w:rsid w:val="00464AB7"/>
    <w:rsid w:val="00465DE5"/>
    <w:rsid w:val="00467EF8"/>
    <w:rsid w:val="00472429"/>
    <w:rsid w:val="004725E5"/>
    <w:rsid w:val="00472734"/>
    <w:rsid w:val="00472751"/>
    <w:rsid w:val="00473128"/>
    <w:rsid w:val="00475078"/>
    <w:rsid w:val="00475767"/>
    <w:rsid w:val="004761F7"/>
    <w:rsid w:val="004779A0"/>
    <w:rsid w:val="00477A19"/>
    <w:rsid w:val="004808E3"/>
    <w:rsid w:val="00481016"/>
    <w:rsid w:val="0048204C"/>
    <w:rsid w:val="004821BB"/>
    <w:rsid w:val="0048237A"/>
    <w:rsid w:val="004826FE"/>
    <w:rsid w:val="004827D5"/>
    <w:rsid w:val="00482AF2"/>
    <w:rsid w:val="004830C9"/>
    <w:rsid w:val="00483347"/>
    <w:rsid w:val="004838B1"/>
    <w:rsid w:val="00483E2E"/>
    <w:rsid w:val="00484B69"/>
    <w:rsid w:val="00485406"/>
    <w:rsid w:val="0048590F"/>
    <w:rsid w:val="004862ED"/>
    <w:rsid w:val="00486559"/>
    <w:rsid w:val="00486BDC"/>
    <w:rsid w:val="00486C77"/>
    <w:rsid w:val="00486D60"/>
    <w:rsid w:val="00491BB4"/>
    <w:rsid w:val="00491FA1"/>
    <w:rsid w:val="00492A25"/>
    <w:rsid w:val="004938A3"/>
    <w:rsid w:val="0049558B"/>
    <w:rsid w:val="00496350"/>
    <w:rsid w:val="0049797C"/>
    <w:rsid w:val="00497E76"/>
    <w:rsid w:val="004A1405"/>
    <w:rsid w:val="004A15A8"/>
    <w:rsid w:val="004A1FC6"/>
    <w:rsid w:val="004A2E5F"/>
    <w:rsid w:val="004A38C2"/>
    <w:rsid w:val="004A3C03"/>
    <w:rsid w:val="004A3DB7"/>
    <w:rsid w:val="004A463B"/>
    <w:rsid w:val="004A5088"/>
    <w:rsid w:val="004A5255"/>
    <w:rsid w:val="004A6CB0"/>
    <w:rsid w:val="004A70FF"/>
    <w:rsid w:val="004A7EDE"/>
    <w:rsid w:val="004B0D93"/>
    <w:rsid w:val="004B1FA4"/>
    <w:rsid w:val="004B23EC"/>
    <w:rsid w:val="004B29AC"/>
    <w:rsid w:val="004B31CD"/>
    <w:rsid w:val="004B358B"/>
    <w:rsid w:val="004B35DF"/>
    <w:rsid w:val="004B3627"/>
    <w:rsid w:val="004B4922"/>
    <w:rsid w:val="004B57DF"/>
    <w:rsid w:val="004B5976"/>
    <w:rsid w:val="004B6002"/>
    <w:rsid w:val="004B722E"/>
    <w:rsid w:val="004B72E8"/>
    <w:rsid w:val="004B7A1D"/>
    <w:rsid w:val="004C01A5"/>
    <w:rsid w:val="004C0412"/>
    <w:rsid w:val="004C2138"/>
    <w:rsid w:val="004C32A4"/>
    <w:rsid w:val="004C3940"/>
    <w:rsid w:val="004C51FD"/>
    <w:rsid w:val="004C65A8"/>
    <w:rsid w:val="004C6689"/>
    <w:rsid w:val="004C691F"/>
    <w:rsid w:val="004C6B3A"/>
    <w:rsid w:val="004D139A"/>
    <w:rsid w:val="004D14DC"/>
    <w:rsid w:val="004D17C6"/>
    <w:rsid w:val="004D1FFD"/>
    <w:rsid w:val="004D2858"/>
    <w:rsid w:val="004D2E49"/>
    <w:rsid w:val="004D35BA"/>
    <w:rsid w:val="004D38E5"/>
    <w:rsid w:val="004D3C5A"/>
    <w:rsid w:val="004D421F"/>
    <w:rsid w:val="004D423D"/>
    <w:rsid w:val="004D449A"/>
    <w:rsid w:val="004D4701"/>
    <w:rsid w:val="004D47C7"/>
    <w:rsid w:val="004D4B2B"/>
    <w:rsid w:val="004D4D75"/>
    <w:rsid w:val="004D4F35"/>
    <w:rsid w:val="004D51EE"/>
    <w:rsid w:val="004D5D45"/>
    <w:rsid w:val="004D618D"/>
    <w:rsid w:val="004D62A9"/>
    <w:rsid w:val="004D6F18"/>
    <w:rsid w:val="004D6FC3"/>
    <w:rsid w:val="004D7476"/>
    <w:rsid w:val="004D7716"/>
    <w:rsid w:val="004E0306"/>
    <w:rsid w:val="004E0572"/>
    <w:rsid w:val="004E1641"/>
    <w:rsid w:val="004E1686"/>
    <w:rsid w:val="004E1818"/>
    <w:rsid w:val="004E1990"/>
    <w:rsid w:val="004E25A8"/>
    <w:rsid w:val="004E28F9"/>
    <w:rsid w:val="004E3930"/>
    <w:rsid w:val="004E3D75"/>
    <w:rsid w:val="004E3ED9"/>
    <w:rsid w:val="004E5866"/>
    <w:rsid w:val="004E6097"/>
    <w:rsid w:val="004E61EF"/>
    <w:rsid w:val="004E63C6"/>
    <w:rsid w:val="004E76A7"/>
    <w:rsid w:val="004E7B03"/>
    <w:rsid w:val="004E7CE2"/>
    <w:rsid w:val="004E7D5C"/>
    <w:rsid w:val="004F0064"/>
    <w:rsid w:val="004F06AC"/>
    <w:rsid w:val="004F0E50"/>
    <w:rsid w:val="004F1D2A"/>
    <w:rsid w:val="004F243F"/>
    <w:rsid w:val="004F252C"/>
    <w:rsid w:val="004F36A3"/>
    <w:rsid w:val="004F3E0C"/>
    <w:rsid w:val="004F4308"/>
    <w:rsid w:val="004F4E21"/>
    <w:rsid w:val="004F7160"/>
    <w:rsid w:val="00500258"/>
    <w:rsid w:val="00500B2D"/>
    <w:rsid w:val="00501A99"/>
    <w:rsid w:val="00503180"/>
    <w:rsid w:val="005032C0"/>
    <w:rsid w:val="005038A4"/>
    <w:rsid w:val="00505450"/>
    <w:rsid w:val="005073E9"/>
    <w:rsid w:val="00507F2B"/>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608F"/>
    <w:rsid w:val="00516480"/>
    <w:rsid w:val="00520815"/>
    <w:rsid w:val="00520843"/>
    <w:rsid w:val="00520EF8"/>
    <w:rsid w:val="005210F7"/>
    <w:rsid w:val="00521753"/>
    <w:rsid w:val="0052223E"/>
    <w:rsid w:val="0052239D"/>
    <w:rsid w:val="005224EE"/>
    <w:rsid w:val="00522879"/>
    <w:rsid w:val="00522CFA"/>
    <w:rsid w:val="00523BB1"/>
    <w:rsid w:val="00524B23"/>
    <w:rsid w:val="0052570E"/>
    <w:rsid w:val="005260CD"/>
    <w:rsid w:val="00526265"/>
    <w:rsid w:val="0052655D"/>
    <w:rsid w:val="005265E0"/>
    <w:rsid w:val="005267E0"/>
    <w:rsid w:val="00526BC3"/>
    <w:rsid w:val="00531761"/>
    <w:rsid w:val="0053248F"/>
    <w:rsid w:val="005327AB"/>
    <w:rsid w:val="00532D98"/>
    <w:rsid w:val="0053332A"/>
    <w:rsid w:val="0053358A"/>
    <w:rsid w:val="00533676"/>
    <w:rsid w:val="00533E2C"/>
    <w:rsid w:val="00534668"/>
    <w:rsid w:val="00534DDD"/>
    <w:rsid w:val="00534E34"/>
    <w:rsid w:val="00535291"/>
    <w:rsid w:val="00535670"/>
    <w:rsid w:val="00535A94"/>
    <w:rsid w:val="00537874"/>
    <w:rsid w:val="0053795F"/>
    <w:rsid w:val="00537D3D"/>
    <w:rsid w:val="00540511"/>
    <w:rsid w:val="00540578"/>
    <w:rsid w:val="00540711"/>
    <w:rsid w:val="00540808"/>
    <w:rsid w:val="0054080E"/>
    <w:rsid w:val="00540D1A"/>
    <w:rsid w:val="00540EA1"/>
    <w:rsid w:val="00541E5A"/>
    <w:rsid w:val="00543263"/>
    <w:rsid w:val="0054358E"/>
    <w:rsid w:val="00543AF4"/>
    <w:rsid w:val="00543F53"/>
    <w:rsid w:val="00543FB8"/>
    <w:rsid w:val="00544191"/>
    <w:rsid w:val="0054440C"/>
    <w:rsid w:val="005448EC"/>
    <w:rsid w:val="00544C0A"/>
    <w:rsid w:val="00544F39"/>
    <w:rsid w:val="005457FB"/>
    <w:rsid w:val="005458CD"/>
    <w:rsid w:val="00546F90"/>
    <w:rsid w:val="00547EFB"/>
    <w:rsid w:val="0055057C"/>
    <w:rsid w:val="005522F2"/>
    <w:rsid w:val="005531DF"/>
    <w:rsid w:val="00553874"/>
    <w:rsid w:val="00554577"/>
    <w:rsid w:val="00554AD8"/>
    <w:rsid w:val="00554F78"/>
    <w:rsid w:val="00555DA1"/>
    <w:rsid w:val="005565DF"/>
    <w:rsid w:val="00556BF7"/>
    <w:rsid w:val="00556E53"/>
    <w:rsid w:val="00557D1B"/>
    <w:rsid w:val="00557D3A"/>
    <w:rsid w:val="00557F60"/>
    <w:rsid w:val="00561730"/>
    <w:rsid w:val="00561B97"/>
    <w:rsid w:val="00562149"/>
    <w:rsid w:val="005640EB"/>
    <w:rsid w:val="005662B0"/>
    <w:rsid w:val="00567B5D"/>
    <w:rsid w:val="00570757"/>
    <w:rsid w:val="0057137D"/>
    <w:rsid w:val="005725EB"/>
    <w:rsid w:val="00573733"/>
    <w:rsid w:val="00573F8B"/>
    <w:rsid w:val="00574528"/>
    <w:rsid w:val="00574554"/>
    <w:rsid w:val="00574737"/>
    <w:rsid w:val="00574E06"/>
    <w:rsid w:val="005751BB"/>
    <w:rsid w:val="00576089"/>
    <w:rsid w:val="005764B1"/>
    <w:rsid w:val="00576852"/>
    <w:rsid w:val="00576D06"/>
    <w:rsid w:val="00577430"/>
    <w:rsid w:val="00577458"/>
    <w:rsid w:val="005779E4"/>
    <w:rsid w:val="00580EC7"/>
    <w:rsid w:val="00581A3E"/>
    <w:rsid w:val="0058289C"/>
    <w:rsid w:val="005835A5"/>
    <w:rsid w:val="005836C7"/>
    <w:rsid w:val="0058385C"/>
    <w:rsid w:val="0058408E"/>
    <w:rsid w:val="00584A5A"/>
    <w:rsid w:val="00585374"/>
    <w:rsid w:val="005854CA"/>
    <w:rsid w:val="00585FAB"/>
    <w:rsid w:val="005900C6"/>
    <w:rsid w:val="00590B77"/>
    <w:rsid w:val="00590D9A"/>
    <w:rsid w:val="005913A3"/>
    <w:rsid w:val="005918A6"/>
    <w:rsid w:val="0059257D"/>
    <w:rsid w:val="005940D4"/>
    <w:rsid w:val="00594A7B"/>
    <w:rsid w:val="00594C2B"/>
    <w:rsid w:val="0059580E"/>
    <w:rsid w:val="00595D90"/>
    <w:rsid w:val="00596A6F"/>
    <w:rsid w:val="00596D75"/>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3A1"/>
    <w:rsid w:val="005B3852"/>
    <w:rsid w:val="005B3BAF"/>
    <w:rsid w:val="005B4DA3"/>
    <w:rsid w:val="005B5A09"/>
    <w:rsid w:val="005B5BEE"/>
    <w:rsid w:val="005B77D2"/>
    <w:rsid w:val="005C019B"/>
    <w:rsid w:val="005C08D0"/>
    <w:rsid w:val="005C15CC"/>
    <w:rsid w:val="005C163E"/>
    <w:rsid w:val="005C1AED"/>
    <w:rsid w:val="005C2136"/>
    <w:rsid w:val="005C30F5"/>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58D6"/>
    <w:rsid w:val="005D6B59"/>
    <w:rsid w:val="005D6FB2"/>
    <w:rsid w:val="005D784B"/>
    <w:rsid w:val="005E03E4"/>
    <w:rsid w:val="005E0454"/>
    <w:rsid w:val="005E05F6"/>
    <w:rsid w:val="005E2442"/>
    <w:rsid w:val="005E3111"/>
    <w:rsid w:val="005E33ED"/>
    <w:rsid w:val="005E3CA0"/>
    <w:rsid w:val="005E3F85"/>
    <w:rsid w:val="005E4A5F"/>
    <w:rsid w:val="005E5356"/>
    <w:rsid w:val="005E57B0"/>
    <w:rsid w:val="005E5B01"/>
    <w:rsid w:val="005E62E2"/>
    <w:rsid w:val="005E6D3B"/>
    <w:rsid w:val="005F009E"/>
    <w:rsid w:val="005F0DF1"/>
    <w:rsid w:val="005F1516"/>
    <w:rsid w:val="005F2039"/>
    <w:rsid w:val="005F229E"/>
    <w:rsid w:val="005F2564"/>
    <w:rsid w:val="005F3822"/>
    <w:rsid w:val="005F4635"/>
    <w:rsid w:val="005F4900"/>
    <w:rsid w:val="005F4E52"/>
    <w:rsid w:val="005F572D"/>
    <w:rsid w:val="005F6181"/>
    <w:rsid w:val="005F6D58"/>
    <w:rsid w:val="005F7383"/>
    <w:rsid w:val="005F769F"/>
    <w:rsid w:val="005F7C1A"/>
    <w:rsid w:val="0060058E"/>
    <w:rsid w:val="0060209A"/>
    <w:rsid w:val="00602A3C"/>
    <w:rsid w:val="00603EFD"/>
    <w:rsid w:val="0060475B"/>
    <w:rsid w:val="00604BED"/>
    <w:rsid w:val="00604FB6"/>
    <w:rsid w:val="00605387"/>
    <w:rsid w:val="00605B8B"/>
    <w:rsid w:val="00606302"/>
    <w:rsid w:val="00606D8C"/>
    <w:rsid w:val="00606D95"/>
    <w:rsid w:val="006076FD"/>
    <w:rsid w:val="0061143F"/>
    <w:rsid w:val="006114D8"/>
    <w:rsid w:val="006125D1"/>
    <w:rsid w:val="00613553"/>
    <w:rsid w:val="00613601"/>
    <w:rsid w:val="00613791"/>
    <w:rsid w:val="00614AF6"/>
    <w:rsid w:val="006150D6"/>
    <w:rsid w:val="00615245"/>
    <w:rsid w:val="0061590D"/>
    <w:rsid w:val="00616EBC"/>
    <w:rsid w:val="00617920"/>
    <w:rsid w:val="00617EEE"/>
    <w:rsid w:val="00620A1F"/>
    <w:rsid w:val="0062169D"/>
    <w:rsid w:val="0062181E"/>
    <w:rsid w:val="0062211B"/>
    <w:rsid w:val="00622BB7"/>
    <w:rsid w:val="00622C1E"/>
    <w:rsid w:val="00623389"/>
    <w:rsid w:val="00623DAA"/>
    <w:rsid w:val="00623FAF"/>
    <w:rsid w:val="006265C4"/>
    <w:rsid w:val="0062670C"/>
    <w:rsid w:val="0062678A"/>
    <w:rsid w:val="006269B8"/>
    <w:rsid w:val="006270AF"/>
    <w:rsid w:val="00630B15"/>
    <w:rsid w:val="006311E2"/>
    <w:rsid w:val="00632F25"/>
    <w:rsid w:val="00633C69"/>
    <w:rsid w:val="00634367"/>
    <w:rsid w:val="0063765F"/>
    <w:rsid w:val="00640082"/>
    <w:rsid w:val="00640291"/>
    <w:rsid w:val="00640EFE"/>
    <w:rsid w:val="00641274"/>
    <w:rsid w:val="00641D6D"/>
    <w:rsid w:val="00641FAC"/>
    <w:rsid w:val="00642098"/>
    <w:rsid w:val="00643664"/>
    <w:rsid w:val="00643CAA"/>
    <w:rsid w:val="00644F16"/>
    <w:rsid w:val="006453F1"/>
    <w:rsid w:val="006455EB"/>
    <w:rsid w:val="006455F4"/>
    <w:rsid w:val="006456C2"/>
    <w:rsid w:val="00645A65"/>
    <w:rsid w:val="0064668C"/>
    <w:rsid w:val="006472E4"/>
    <w:rsid w:val="006477F0"/>
    <w:rsid w:val="006478E4"/>
    <w:rsid w:val="006513B1"/>
    <w:rsid w:val="0065171A"/>
    <w:rsid w:val="00652680"/>
    <w:rsid w:val="00652FF2"/>
    <w:rsid w:val="00653CDE"/>
    <w:rsid w:val="00654585"/>
    <w:rsid w:val="0065566E"/>
    <w:rsid w:val="00655AB6"/>
    <w:rsid w:val="00656061"/>
    <w:rsid w:val="00656281"/>
    <w:rsid w:val="0065636A"/>
    <w:rsid w:val="006564C0"/>
    <w:rsid w:val="00657003"/>
    <w:rsid w:val="006600C7"/>
    <w:rsid w:val="00660238"/>
    <w:rsid w:val="006602EF"/>
    <w:rsid w:val="00661277"/>
    <w:rsid w:val="00661886"/>
    <w:rsid w:val="006619E0"/>
    <w:rsid w:val="0066246B"/>
    <w:rsid w:val="00663765"/>
    <w:rsid w:val="00663FEA"/>
    <w:rsid w:val="00664803"/>
    <w:rsid w:val="006657C5"/>
    <w:rsid w:val="006661A4"/>
    <w:rsid w:val="0066628B"/>
    <w:rsid w:val="00666AC0"/>
    <w:rsid w:val="00666F2F"/>
    <w:rsid w:val="006670E0"/>
    <w:rsid w:val="006671B8"/>
    <w:rsid w:val="00667275"/>
    <w:rsid w:val="00667532"/>
    <w:rsid w:val="0066783E"/>
    <w:rsid w:val="00667E53"/>
    <w:rsid w:val="006711C4"/>
    <w:rsid w:val="006713AB"/>
    <w:rsid w:val="00672310"/>
    <w:rsid w:val="00672CA5"/>
    <w:rsid w:val="00673711"/>
    <w:rsid w:val="00673F82"/>
    <w:rsid w:val="00674F74"/>
    <w:rsid w:val="0067508F"/>
    <w:rsid w:val="00677576"/>
    <w:rsid w:val="00677E20"/>
    <w:rsid w:val="0068051E"/>
    <w:rsid w:val="00680B9D"/>
    <w:rsid w:val="00681F13"/>
    <w:rsid w:val="0068231B"/>
    <w:rsid w:val="0068231C"/>
    <w:rsid w:val="00682344"/>
    <w:rsid w:val="00682F28"/>
    <w:rsid w:val="00683515"/>
    <w:rsid w:val="006841D9"/>
    <w:rsid w:val="00684842"/>
    <w:rsid w:val="006859AA"/>
    <w:rsid w:val="00685BD6"/>
    <w:rsid w:val="00687116"/>
    <w:rsid w:val="006878A6"/>
    <w:rsid w:val="00687D5F"/>
    <w:rsid w:val="00690437"/>
    <w:rsid w:val="0069046B"/>
    <w:rsid w:val="00690DC3"/>
    <w:rsid w:val="00690E65"/>
    <w:rsid w:val="006911B7"/>
    <w:rsid w:val="00691387"/>
    <w:rsid w:val="0069188E"/>
    <w:rsid w:val="00691974"/>
    <w:rsid w:val="00691E6E"/>
    <w:rsid w:val="00692BF6"/>
    <w:rsid w:val="00692CE6"/>
    <w:rsid w:val="00692DA7"/>
    <w:rsid w:val="00693186"/>
    <w:rsid w:val="00693381"/>
    <w:rsid w:val="006933D8"/>
    <w:rsid w:val="00693B6C"/>
    <w:rsid w:val="006942AE"/>
    <w:rsid w:val="00694933"/>
    <w:rsid w:val="00695421"/>
    <w:rsid w:val="006956FF"/>
    <w:rsid w:val="00697BD3"/>
    <w:rsid w:val="00697DFA"/>
    <w:rsid w:val="006A16D5"/>
    <w:rsid w:val="006A1772"/>
    <w:rsid w:val="006A1780"/>
    <w:rsid w:val="006A21DD"/>
    <w:rsid w:val="006A26C6"/>
    <w:rsid w:val="006A3302"/>
    <w:rsid w:val="006A3B28"/>
    <w:rsid w:val="006A3F83"/>
    <w:rsid w:val="006A4D81"/>
    <w:rsid w:val="006A4FEE"/>
    <w:rsid w:val="006A5081"/>
    <w:rsid w:val="006A542B"/>
    <w:rsid w:val="006A5549"/>
    <w:rsid w:val="006A703E"/>
    <w:rsid w:val="006A7BE3"/>
    <w:rsid w:val="006A7D32"/>
    <w:rsid w:val="006B01D1"/>
    <w:rsid w:val="006B0DF4"/>
    <w:rsid w:val="006B16EA"/>
    <w:rsid w:val="006B1780"/>
    <w:rsid w:val="006B1D9B"/>
    <w:rsid w:val="006B224E"/>
    <w:rsid w:val="006B376E"/>
    <w:rsid w:val="006B4589"/>
    <w:rsid w:val="006B4A81"/>
    <w:rsid w:val="006B5157"/>
    <w:rsid w:val="006B5E86"/>
    <w:rsid w:val="006B610E"/>
    <w:rsid w:val="006B61B3"/>
    <w:rsid w:val="006B6805"/>
    <w:rsid w:val="006B6C07"/>
    <w:rsid w:val="006B6DE0"/>
    <w:rsid w:val="006B6FE6"/>
    <w:rsid w:val="006C16C3"/>
    <w:rsid w:val="006C2187"/>
    <w:rsid w:val="006C32F4"/>
    <w:rsid w:val="006C3C54"/>
    <w:rsid w:val="006C4B6B"/>
    <w:rsid w:val="006C4CE1"/>
    <w:rsid w:val="006C4F9F"/>
    <w:rsid w:val="006C52D8"/>
    <w:rsid w:val="006C653C"/>
    <w:rsid w:val="006C71A2"/>
    <w:rsid w:val="006C73EC"/>
    <w:rsid w:val="006C7E3D"/>
    <w:rsid w:val="006D0C1D"/>
    <w:rsid w:val="006D1908"/>
    <w:rsid w:val="006D2E9D"/>
    <w:rsid w:val="006D3965"/>
    <w:rsid w:val="006D3A3B"/>
    <w:rsid w:val="006D4A4E"/>
    <w:rsid w:val="006D4C42"/>
    <w:rsid w:val="006D5389"/>
    <w:rsid w:val="006D53A2"/>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0DF"/>
    <w:rsid w:val="006E6DEE"/>
    <w:rsid w:val="006E7D4B"/>
    <w:rsid w:val="006F0527"/>
    <w:rsid w:val="006F0760"/>
    <w:rsid w:val="006F11E2"/>
    <w:rsid w:val="006F2574"/>
    <w:rsid w:val="006F3231"/>
    <w:rsid w:val="006F3DE3"/>
    <w:rsid w:val="006F4787"/>
    <w:rsid w:val="006F4BE6"/>
    <w:rsid w:val="006F61D8"/>
    <w:rsid w:val="006F62B7"/>
    <w:rsid w:val="006F70BC"/>
    <w:rsid w:val="006F7231"/>
    <w:rsid w:val="006F726C"/>
    <w:rsid w:val="006F7E7C"/>
    <w:rsid w:val="0070174E"/>
    <w:rsid w:val="007018DB"/>
    <w:rsid w:val="00701DE6"/>
    <w:rsid w:val="00702740"/>
    <w:rsid w:val="0070381B"/>
    <w:rsid w:val="00706A60"/>
    <w:rsid w:val="007072BC"/>
    <w:rsid w:val="0070796C"/>
    <w:rsid w:val="007109BB"/>
    <w:rsid w:val="00710EBF"/>
    <w:rsid w:val="007110B8"/>
    <w:rsid w:val="0071209F"/>
    <w:rsid w:val="007121DA"/>
    <w:rsid w:val="007125A2"/>
    <w:rsid w:val="00713DD9"/>
    <w:rsid w:val="00713F79"/>
    <w:rsid w:val="007148A8"/>
    <w:rsid w:val="00714F22"/>
    <w:rsid w:val="00716AC8"/>
    <w:rsid w:val="00716E54"/>
    <w:rsid w:val="0072033C"/>
    <w:rsid w:val="00720B1B"/>
    <w:rsid w:val="00720EDC"/>
    <w:rsid w:val="00721062"/>
    <w:rsid w:val="00721E5D"/>
    <w:rsid w:val="00722438"/>
    <w:rsid w:val="007229D4"/>
    <w:rsid w:val="007230F8"/>
    <w:rsid w:val="0072318A"/>
    <w:rsid w:val="007233F4"/>
    <w:rsid w:val="00724044"/>
    <w:rsid w:val="007248D3"/>
    <w:rsid w:val="00724DF8"/>
    <w:rsid w:val="00725137"/>
    <w:rsid w:val="00725378"/>
    <w:rsid w:val="00726405"/>
    <w:rsid w:val="00727A43"/>
    <w:rsid w:val="00727C09"/>
    <w:rsid w:val="00727FF2"/>
    <w:rsid w:val="00730550"/>
    <w:rsid w:val="00730C2A"/>
    <w:rsid w:val="00731434"/>
    <w:rsid w:val="00731E59"/>
    <w:rsid w:val="00731F63"/>
    <w:rsid w:val="007323E0"/>
    <w:rsid w:val="007326C1"/>
    <w:rsid w:val="00732911"/>
    <w:rsid w:val="00733721"/>
    <w:rsid w:val="00733DE2"/>
    <w:rsid w:val="00734142"/>
    <w:rsid w:val="007352EA"/>
    <w:rsid w:val="00736EC9"/>
    <w:rsid w:val="0073792F"/>
    <w:rsid w:val="00740481"/>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1B1"/>
    <w:rsid w:val="00747295"/>
    <w:rsid w:val="00747386"/>
    <w:rsid w:val="00747829"/>
    <w:rsid w:val="00747DE2"/>
    <w:rsid w:val="007502D0"/>
    <w:rsid w:val="007504BF"/>
    <w:rsid w:val="007506CD"/>
    <w:rsid w:val="0075267F"/>
    <w:rsid w:val="007526EC"/>
    <w:rsid w:val="00753C48"/>
    <w:rsid w:val="00754250"/>
    <w:rsid w:val="00754FE4"/>
    <w:rsid w:val="00755216"/>
    <w:rsid w:val="007558B7"/>
    <w:rsid w:val="00756236"/>
    <w:rsid w:val="00756271"/>
    <w:rsid w:val="00756348"/>
    <w:rsid w:val="00756521"/>
    <w:rsid w:val="00756AB7"/>
    <w:rsid w:val="00757673"/>
    <w:rsid w:val="00760DAB"/>
    <w:rsid w:val="0076106D"/>
    <w:rsid w:val="007623FB"/>
    <w:rsid w:val="00762517"/>
    <w:rsid w:val="00763240"/>
    <w:rsid w:val="0076354C"/>
    <w:rsid w:val="0076376A"/>
    <w:rsid w:val="00764653"/>
    <w:rsid w:val="00764696"/>
    <w:rsid w:val="007648AD"/>
    <w:rsid w:val="0076504E"/>
    <w:rsid w:val="00767BFD"/>
    <w:rsid w:val="00767EA0"/>
    <w:rsid w:val="0077024E"/>
    <w:rsid w:val="0077068F"/>
    <w:rsid w:val="00771EDF"/>
    <w:rsid w:val="00772A90"/>
    <w:rsid w:val="00772F8D"/>
    <w:rsid w:val="0077408D"/>
    <w:rsid w:val="00774270"/>
    <w:rsid w:val="007743F6"/>
    <w:rsid w:val="00775679"/>
    <w:rsid w:val="0077574F"/>
    <w:rsid w:val="00775823"/>
    <w:rsid w:val="007759E0"/>
    <w:rsid w:val="00777153"/>
    <w:rsid w:val="007777CC"/>
    <w:rsid w:val="00777B32"/>
    <w:rsid w:val="0078051E"/>
    <w:rsid w:val="00780580"/>
    <w:rsid w:val="00781089"/>
    <w:rsid w:val="00781B6F"/>
    <w:rsid w:val="00781F2C"/>
    <w:rsid w:val="007825A9"/>
    <w:rsid w:val="00782B6A"/>
    <w:rsid w:val="00783506"/>
    <w:rsid w:val="007838F3"/>
    <w:rsid w:val="007856FE"/>
    <w:rsid w:val="00785F46"/>
    <w:rsid w:val="007865F4"/>
    <w:rsid w:val="00786D5C"/>
    <w:rsid w:val="00786E96"/>
    <w:rsid w:val="00787BB6"/>
    <w:rsid w:val="00787DFF"/>
    <w:rsid w:val="00787F93"/>
    <w:rsid w:val="00791E6D"/>
    <w:rsid w:val="00791EB5"/>
    <w:rsid w:val="00793307"/>
    <w:rsid w:val="0079343F"/>
    <w:rsid w:val="00793696"/>
    <w:rsid w:val="007955DA"/>
    <w:rsid w:val="00796F65"/>
    <w:rsid w:val="007A11C2"/>
    <w:rsid w:val="007A18BB"/>
    <w:rsid w:val="007A27DD"/>
    <w:rsid w:val="007A3ED4"/>
    <w:rsid w:val="007A41BF"/>
    <w:rsid w:val="007A490A"/>
    <w:rsid w:val="007A6268"/>
    <w:rsid w:val="007A7B95"/>
    <w:rsid w:val="007B0297"/>
    <w:rsid w:val="007B02FA"/>
    <w:rsid w:val="007B0F53"/>
    <w:rsid w:val="007B21AE"/>
    <w:rsid w:val="007B2570"/>
    <w:rsid w:val="007B2E64"/>
    <w:rsid w:val="007B3113"/>
    <w:rsid w:val="007B3304"/>
    <w:rsid w:val="007B3415"/>
    <w:rsid w:val="007B3BF0"/>
    <w:rsid w:val="007B7490"/>
    <w:rsid w:val="007C0525"/>
    <w:rsid w:val="007C13F7"/>
    <w:rsid w:val="007C152F"/>
    <w:rsid w:val="007C218D"/>
    <w:rsid w:val="007C2D28"/>
    <w:rsid w:val="007C3E22"/>
    <w:rsid w:val="007C4E19"/>
    <w:rsid w:val="007C5404"/>
    <w:rsid w:val="007C58C1"/>
    <w:rsid w:val="007C6218"/>
    <w:rsid w:val="007C6484"/>
    <w:rsid w:val="007C67C6"/>
    <w:rsid w:val="007C78BE"/>
    <w:rsid w:val="007C7A5D"/>
    <w:rsid w:val="007C7E59"/>
    <w:rsid w:val="007D0476"/>
    <w:rsid w:val="007D0B91"/>
    <w:rsid w:val="007D1452"/>
    <w:rsid w:val="007D1563"/>
    <w:rsid w:val="007D3DCB"/>
    <w:rsid w:val="007D460C"/>
    <w:rsid w:val="007D4996"/>
    <w:rsid w:val="007D4AD3"/>
    <w:rsid w:val="007D4B4D"/>
    <w:rsid w:val="007D5D19"/>
    <w:rsid w:val="007D5FDC"/>
    <w:rsid w:val="007D6176"/>
    <w:rsid w:val="007D69CD"/>
    <w:rsid w:val="007D6D68"/>
    <w:rsid w:val="007E1D01"/>
    <w:rsid w:val="007E2FB2"/>
    <w:rsid w:val="007E32DA"/>
    <w:rsid w:val="007E4998"/>
    <w:rsid w:val="007E4A9C"/>
    <w:rsid w:val="007E6914"/>
    <w:rsid w:val="007E7F53"/>
    <w:rsid w:val="007E7F78"/>
    <w:rsid w:val="007F0179"/>
    <w:rsid w:val="007F0C05"/>
    <w:rsid w:val="007F2C13"/>
    <w:rsid w:val="007F2CEC"/>
    <w:rsid w:val="007F3435"/>
    <w:rsid w:val="007F4251"/>
    <w:rsid w:val="007F531B"/>
    <w:rsid w:val="007F55DE"/>
    <w:rsid w:val="007F592F"/>
    <w:rsid w:val="007F6BD6"/>
    <w:rsid w:val="007F762D"/>
    <w:rsid w:val="007F76F0"/>
    <w:rsid w:val="007F78F0"/>
    <w:rsid w:val="007F78FF"/>
    <w:rsid w:val="007F7D87"/>
    <w:rsid w:val="008001C5"/>
    <w:rsid w:val="00800F6C"/>
    <w:rsid w:val="00801065"/>
    <w:rsid w:val="00802C0B"/>
    <w:rsid w:val="00805040"/>
    <w:rsid w:val="008051FC"/>
    <w:rsid w:val="008055A9"/>
    <w:rsid w:val="008056C4"/>
    <w:rsid w:val="008057FD"/>
    <w:rsid w:val="00805D8B"/>
    <w:rsid w:val="0081010F"/>
    <w:rsid w:val="00810ADE"/>
    <w:rsid w:val="00810BB6"/>
    <w:rsid w:val="00810E1F"/>
    <w:rsid w:val="00810E8E"/>
    <w:rsid w:val="00811B35"/>
    <w:rsid w:val="00812319"/>
    <w:rsid w:val="00812C44"/>
    <w:rsid w:val="008135E1"/>
    <w:rsid w:val="00813779"/>
    <w:rsid w:val="0081393F"/>
    <w:rsid w:val="00813E26"/>
    <w:rsid w:val="0081481D"/>
    <w:rsid w:val="00814BE8"/>
    <w:rsid w:val="00814F6E"/>
    <w:rsid w:val="0081598B"/>
    <w:rsid w:val="00815B84"/>
    <w:rsid w:val="008166F6"/>
    <w:rsid w:val="00816BE9"/>
    <w:rsid w:val="00817D10"/>
    <w:rsid w:val="00822518"/>
    <w:rsid w:val="008226F5"/>
    <w:rsid w:val="00823FC6"/>
    <w:rsid w:val="00824306"/>
    <w:rsid w:val="0082442E"/>
    <w:rsid w:val="008257E6"/>
    <w:rsid w:val="00825C74"/>
    <w:rsid w:val="00825CFA"/>
    <w:rsid w:val="00826AB9"/>
    <w:rsid w:val="00826E0E"/>
    <w:rsid w:val="00827D11"/>
    <w:rsid w:val="00827E0F"/>
    <w:rsid w:val="00827F6E"/>
    <w:rsid w:val="008306C5"/>
    <w:rsid w:val="00831758"/>
    <w:rsid w:val="008317D9"/>
    <w:rsid w:val="00831ACA"/>
    <w:rsid w:val="0083279F"/>
    <w:rsid w:val="00833344"/>
    <w:rsid w:val="008334DB"/>
    <w:rsid w:val="00833B7F"/>
    <w:rsid w:val="00833E8E"/>
    <w:rsid w:val="00834906"/>
    <w:rsid w:val="00836075"/>
    <w:rsid w:val="00836417"/>
    <w:rsid w:val="00837526"/>
    <w:rsid w:val="008407A7"/>
    <w:rsid w:val="0084322B"/>
    <w:rsid w:val="008432C6"/>
    <w:rsid w:val="0084341D"/>
    <w:rsid w:val="00843F81"/>
    <w:rsid w:val="00844087"/>
    <w:rsid w:val="008448F1"/>
    <w:rsid w:val="0084519E"/>
    <w:rsid w:val="00845CAE"/>
    <w:rsid w:val="008462C5"/>
    <w:rsid w:val="00846370"/>
    <w:rsid w:val="00846873"/>
    <w:rsid w:val="008477E7"/>
    <w:rsid w:val="00847C2B"/>
    <w:rsid w:val="00850272"/>
    <w:rsid w:val="0085050C"/>
    <w:rsid w:val="008506B9"/>
    <w:rsid w:val="0085086F"/>
    <w:rsid w:val="00851822"/>
    <w:rsid w:val="00851C16"/>
    <w:rsid w:val="008532BF"/>
    <w:rsid w:val="008539B2"/>
    <w:rsid w:val="00853BF4"/>
    <w:rsid w:val="00854294"/>
    <w:rsid w:val="00854295"/>
    <w:rsid w:val="0085572E"/>
    <w:rsid w:val="008570F7"/>
    <w:rsid w:val="0085788B"/>
    <w:rsid w:val="00857A9E"/>
    <w:rsid w:val="00857DE2"/>
    <w:rsid w:val="0086003D"/>
    <w:rsid w:val="008607CC"/>
    <w:rsid w:val="00863A8E"/>
    <w:rsid w:val="00864025"/>
    <w:rsid w:val="0086407F"/>
    <w:rsid w:val="008645E3"/>
    <w:rsid w:val="00864E79"/>
    <w:rsid w:val="0086661F"/>
    <w:rsid w:val="00866A0D"/>
    <w:rsid w:val="00866DB5"/>
    <w:rsid w:val="0086701D"/>
    <w:rsid w:val="0086702B"/>
    <w:rsid w:val="008672E2"/>
    <w:rsid w:val="008674B0"/>
    <w:rsid w:val="0086784E"/>
    <w:rsid w:val="0087121C"/>
    <w:rsid w:val="008719D4"/>
    <w:rsid w:val="00871FD2"/>
    <w:rsid w:val="00872084"/>
    <w:rsid w:val="00872827"/>
    <w:rsid w:val="00872A32"/>
    <w:rsid w:val="00874911"/>
    <w:rsid w:val="008754E4"/>
    <w:rsid w:val="00876EAE"/>
    <w:rsid w:val="008772D4"/>
    <w:rsid w:val="00880106"/>
    <w:rsid w:val="00880F95"/>
    <w:rsid w:val="00882B44"/>
    <w:rsid w:val="008838AD"/>
    <w:rsid w:val="00885657"/>
    <w:rsid w:val="00885BC9"/>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248"/>
    <w:rsid w:val="008A0FC9"/>
    <w:rsid w:val="008A1956"/>
    <w:rsid w:val="008A1A66"/>
    <w:rsid w:val="008A1A7C"/>
    <w:rsid w:val="008A1E56"/>
    <w:rsid w:val="008A2CE2"/>
    <w:rsid w:val="008A40D3"/>
    <w:rsid w:val="008A469C"/>
    <w:rsid w:val="008A51D1"/>
    <w:rsid w:val="008A5DCE"/>
    <w:rsid w:val="008A75D3"/>
    <w:rsid w:val="008B05DD"/>
    <w:rsid w:val="008B07B8"/>
    <w:rsid w:val="008B14F4"/>
    <w:rsid w:val="008B17E8"/>
    <w:rsid w:val="008B2E7C"/>
    <w:rsid w:val="008B399A"/>
    <w:rsid w:val="008B45F0"/>
    <w:rsid w:val="008B4A70"/>
    <w:rsid w:val="008B4DD7"/>
    <w:rsid w:val="008B502F"/>
    <w:rsid w:val="008B5C9D"/>
    <w:rsid w:val="008B6DFC"/>
    <w:rsid w:val="008B719B"/>
    <w:rsid w:val="008B7227"/>
    <w:rsid w:val="008C02FB"/>
    <w:rsid w:val="008C04E0"/>
    <w:rsid w:val="008C191C"/>
    <w:rsid w:val="008C1DA4"/>
    <w:rsid w:val="008C2138"/>
    <w:rsid w:val="008C29B0"/>
    <w:rsid w:val="008C2BAC"/>
    <w:rsid w:val="008C2CD5"/>
    <w:rsid w:val="008C3618"/>
    <w:rsid w:val="008C39E7"/>
    <w:rsid w:val="008C43AD"/>
    <w:rsid w:val="008C4AC7"/>
    <w:rsid w:val="008C4D78"/>
    <w:rsid w:val="008C6118"/>
    <w:rsid w:val="008C6341"/>
    <w:rsid w:val="008C653D"/>
    <w:rsid w:val="008C731F"/>
    <w:rsid w:val="008C74D9"/>
    <w:rsid w:val="008C7B1D"/>
    <w:rsid w:val="008D00B4"/>
    <w:rsid w:val="008D2050"/>
    <w:rsid w:val="008D27E7"/>
    <w:rsid w:val="008D3AE4"/>
    <w:rsid w:val="008D3B2D"/>
    <w:rsid w:val="008D4123"/>
    <w:rsid w:val="008D58D9"/>
    <w:rsid w:val="008D5AD4"/>
    <w:rsid w:val="008D642B"/>
    <w:rsid w:val="008D695E"/>
    <w:rsid w:val="008D6DD5"/>
    <w:rsid w:val="008D6E59"/>
    <w:rsid w:val="008D7155"/>
    <w:rsid w:val="008D76E0"/>
    <w:rsid w:val="008E0B29"/>
    <w:rsid w:val="008E141A"/>
    <w:rsid w:val="008E1A44"/>
    <w:rsid w:val="008E211F"/>
    <w:rsid w:val="008E28E6"/>
    <w:rsid w:val="008E3232"/>
    <w:rsid w:val="008E3674"/>
    <w:rsid w:val="008E3B6C"/>
    <w:rsid w:val="008E3DE7"/>
    <w:rsid w:val="008E5227"/>
    <w:rsid w:val="008E562C"/>
    <w:rsid w:val="008E6540"/>
    <w:rsid w:val="008E77D4"/>
    <w:rsid w:val="008E7ADD"/>
    <w:rsid w:val="008F06C9"/>
    <w:rsid w:val="008F091F"/>
    <w:rsid w:val="008F1790"/>
    <w:rsid w:val="008F17B2"/>
    <w:rsid w:val="008F22B3"/>
    <w:rsid w:val="008F357B"/>
    <w:rsid w:val="008F3C3E"/>
    <w:rsid w:val="008F44CA"/>
    <w:rsid w:val="008F49D3"/>
    <w:rsid w:val="008F6519"/>
    <w:rsid w:val="008F7012"/>
    <w:rsid w:val="008F7ADA"/>
    <w:rsid w:val="008F7B17"/>
    <w:rsid w:val="00900042"/>
    <w:rsid w:val="009002C8"/>
    <w:rsid w:val="0090034B"/>
    <w:rsid w:val="0090052E"/>
    <w:rsid w:val="0090087C"/>
    <w:rsid w:val="00901121"/>
    <w:rsid w:val="00901B35"/>
    <w:rsid w:val="00902623"/>
    <w:rsid w:val="00902A67"/>
    <w:rsid w:val="00902C5E"/>
    <w:rsid w:val="00903411"/>
    <w:rsid w:val="00903CF9"/>
    <w:rsid w:val="00904BE4"/>
    <w:rsid w:val="0090504A"/>
    <w:rsid w:val="00905106"/>
    <w:rsid w:val="009051F5"/>
    <w:rsid w:val="00905221"/>
    <w:rsid w:val="0090543B"/>
    <w:rsid w:val="00905A7C"/>
    <w:rsid w:val="00905AFC"/>
    <w:rsid w:val="00905D7E"/>
    <w:rsid w:val="00906669"/>
    <w:rsid w:val="00907037"/>
    <w:rsid w:val="0091112C"/>
    <w:rsid w:val="0091160A"/>
    <w:rsid w:val="00912E04"/>
    <w:rsid w:val="00913258"/>
    <w:rsid w:val="00913851"/>
    <w:rsid w:val="0091389B"/>
    <w:rsid w:val="00913BB0"/>
    <w:rsid w:val="0091456C"/>
    <w:rsid w:val="00914C58"/>
    <w:rsid w:val="00914D78"/>
    <w:rsid w:val="0091564D"/>
    <w:rsid w:val="009156DA"/>
    <w:rsid w:val="00915774"/>
    <w:rsid w:val="00916518"/>
    <w:rsid w:val="00916BC5"/>
    <w:rsid w:val="0091726A"/>
    <w:rsid w:val="009172F3"/>
    <w:rsid w:val="00917C01"/>
    <w:rsid w:val="00920184"/>
    <w:rsid w:val="00920EA4"/>
    <w:rsid w:val="00921792"/>
    <w:rsid w:val="0092181D"/>
    <w:rsid w:val="00921BEA"/>
    <w:rsid w:val="00921FF2"/>
    <w:rsid w:val="009227BE"/>
    <w:rsid w:val="009238FD"/>
    <w:rsid w:val="00923998"/>
    <w:rsid w:val="00923DB4"/>
    <w:rsid w:val="0092420B"/>
    <w:rsid w:val="0092430E"/>
    <w:rsid w:val="00924B40"/>
    <w:rsid w:val="0092514E"/>
    <w:rsid w:val="00926112"/>
    <w:rsid w:val="0092625F"/>
    <w:rsid w:val="00926B28"/>
    <w:rsid w:val="00926D9C"/>
    <w:rsid w:val="00927028"/>
    <w:rsid w:val="00927763"/>
    <w:rsid w:val="00927A2D"/>
    <w:rsid w:val="00927B37"/>
    <w:rsid w:val="0093183B"/>
    <w:rsid w:val="009321B1"/>
    <w:rsid w:val="00932ED7"/>
    <w:rsid w:val="00933EB3"/>
    <w:rsid w:val="0093422D"/>
    <w:rsid w:val="0093483B"/>
    <w:rsid w:val="00934CF9"/>
    <w:rsid w:val="00934DD7"/>
    <w:rsid w:val="00935CB2"/>
    <w:rsid w:val="009369A9"/>
    <w:rsid w:val="00936CF7"/>
    <w:rsid w:val="00937783"/>
    <w:rsid w:val="00937EAD"/>
    <w:rsid w:val="00937F28"/>
    <w:rsid w:val="00940FE1"/>
    <w:rsid w:val="00942306"/>
    <w:rsid w:val="009424B8"/>
    <w:rsid w:val="009432E2"/>
    <w:rsid w:val="00944668"/>
    <w:rsid w:val="00944DC6"/>
    <w:rsid w:val="00944F3C"/>
    <w:rsid w:val="009458B0"/>
    <w:rsid w:val="00945B52"/>
    <w:rsid w:val="00945B7A"/>
    <w:rsid w:val="00945F05"/>
    <w:rsid w:val="00946348"/>
    <w:rsid w:val="00947224"/>
    <w:rsid w:val="00947503"/>
    <w:rsid w:val="00947797"/>
    <w:rsid w:val="009478A2"/>
    <w:rsid w:val="00951EC8"/>
    <w:rsid w:val="009520DE"/>
    <w:rsid w:val="009533BD"/>
    <w:rsid w:val="00953808"/>
    <w:rsid w:val="009539A6"/>
    <w:rsid w:val="00953CC3"/>
    <w:rsid w:val="00954032"/>
    <w:rsid w:val="00954211"/>
    <w:rsid w:val="00954537"/>
    <w:rsid w:val="0095472D"/>
    <w:rsid w:val="00955342"/>
    <w:rsid w:val="00955FBB"/>
    <w:rsid w:val="0095694B"/>
    <w:rsid w:val="00956BD5"/>
    <w:rsid w:val="00956D84"/>
    <w:rsid w:val="009577B5"/>
    <w:rsid w:val="00960861"/>
    <w:rsid w:val="009608E6"/>
    <w:rsid w:val="00960F57"/>
    <w:rsid w:val="00961C90"/>
    <w:rsid w:val="0096250B"/>
    <w:rsid w:val="00962E64"/>
    <w:rsid w:val="00965443"/>
    <w:rsid w:val="00965461"/>
    <w:rsid w:val="00965954"/>
    <w:rsid w:val="00965A21"/>
    <w:rsid w:val="00965E55"/>
    <w:rsid w:val="00965EE4"/>
    <w:rsid w:val="0096608E"/>
    <w:rsid w:val="00966522"/>
    <w:rsid w:val="00966C33"/>
    <w:rsid w:val="009709E9"/>
    <w:rsid w:val="00970F18"/>
    <w:rsid w:val="00971229"/>
    <w:rsid w:val="00971CF1"/>
    <w:rsid w:val="00971F5D"/>
    <w:rsid w:val="009721E9"/>
    <w:rsid w:val="00973772"/>
    <w:rsid w:val="0097560A"/>
    <w:rsid w:val="00975E1E"/>
    <w:rsid w:val="00975E70"/>
    <w:rsid w:val="009761DE"/>
    <w:rsid w:val="009766AC"/>
    <w:rsid w:val="009766FA"/>
    <w:rsid w:val="00977CD6"/>
    <w:rsid w:val="009802AD"/>
    <w:rsid w:val="0098048B"/>
    <w:rsid w:val="00980908"/>
    <w:rsid w:val="00980DF9"/>
    <w:rsid w:val="00981CD8"/>
    <w:rsid w:val="0098243D"/>
    <w:rsid w:val="00982D26"/>
    <w:rsid w:val="00983186"/>
    <w:rsid w:val="00983B6E"/>
    <w:rsid w:val="00983FE5"/>
    <w:rsid w:val="009849E9"/>
    <w:rsid w:val="00984AFF"/>
    <w:rsid w:val="00984E4B"/>
    <w:rsid w:val="009859E4"/>
    <w:rsid w:val="00987812"/>
    <w:rsid w:val="00990225"/>
    <w:rsid w:val="00991307"/>
    <w:rsid w:val="00991778"/>
    <w:rsid w:val="00992A13"/>
    <w:rsid w:val="00994262"/>
    <w:rsid w:val="00994AAD"/>
    <w:rsid w:val="00995150"/>
    <w:rsid w:val="00995D67"/>
    <w:rsid w:val="00997613"/>
    <w:rsid w:val="009A013B"/>
    <w:rsid w:val="009A02F4"/>
    <w:rsid w:val="009A06BF"/>
    <w:rsid w:val="009A09B3"/>
    <w:rsid w:val="009A0D17"/>
    <w:rsid w:val="009A163B"/>
    <w:rsid w:val="009A1F2D"/>
    <w:rsid w:val="009A2494"/>
    <w:rsid w:val="009A32B1"/>
    <w:rsid w:val="009A33A3"/>
    <w:rsid w:val="009A36F2"/>
    <w:rsid w:val="009A40C3"/>
    <w:rsid w:val="009A40D5"/>
    <w:rsid w:val="009A5268"/>
    <w:rsid w:val="009A57D0"/>
    <w:rsid w:val="009A5F00"/>
    <w:rsid w:val="009A60B4"/>
    <w:rsid w:val="009A6559"/>
    <w:rsid w:val="009A68FC"/>
    <w:rsid w:val="009A6CE4"/>
    <w:rsid w:val="009A7514"/>
    <w:rsid w:val="009A7E7A"/>
    <w:rsid w:val="009B0925"/>
    <w:rsid w:val="009B1581"/>
    <w:rsid w:val="009B1584"/>
    <w:rsid w:val="009B18F0"/>
    <w:rsid w:val="009B1F4C"/>
    <w:rsid w:val="009B2471"/>
    <w:rsid w:val="009B314F"/>
    <w:rsid w:val="009B439C"/>
    <w:rsid w:val="009B4477"/>
    <w:rsid w:val="009B49A1"/>
    <w:rsid w:val="009B4A6C"/>
    <w:rsid w:val="009B4DA8"/>
    <w:rsid w:val="009B519A"/>
    <w:rsid w:val="009B620C"/>
    <w:rsid w:val="009B6753"/>
    <w:rsid w:val="009B676C"/>
    <w:rsid w:val="009B6A26"/>
    <w:rsid w:val="009C079D"/>
    <w:rsid w:val="009C0D70"/>
    <w:rsid w:val="009C13D1"/>
    <w:rsid w:val="009C2913"/>
    <w:rsid w:val="009C2BD4"/>
    <w:rsid w:val="009C41F7"/>
    <w:rsid w:val="009C4DAF"/>
    <w:rsid w:val="009C5AFE"/>
    <w:rsid w:val="009C6606"/>
    <w:rsid w:val="009C6CE5"/>
    <w:rsid w:val="009C6D50"/>
    <w:rsid w:val="009C7547"/>
    <w:rsid w:val="009D05EC"/>
    <w:rsid w:val="009D18D4"/>
    <w:rsid w:val="009D2F60"/>
    <w:rsid w:val="009D3A2E"/>
    <w:rsid w:val="009D3C17"/>
    <w:rsid w:val="009D5ADE"/>
    <w:rsid w:val="009D5BAC"/>
    <w:rsid w:val="009D5C56"/>
    <w:rsid w:val="009D6265"/>
    <w:rsid w:val="009D64BD"/>
    <w:rsid w:val="009D6CB1"/>
    <w:rsid w:val="009D7F34"/>
    <w:rsid w:val="009E0286"/>
    <w:rsid w:val="009E153F"/>
    <w:rsid w:val="009E18C5"/>
    <w:rsid w:val="009E322A"/>
    <w:rsid w:val="009E393E"/>
    <w:rsid w:val="009E3A62"/>
    <w:rsid w:val="009E444E"/>
    <w:rsid w:val="009E4968"/>
    <w:rsid w:val="009E663C"/>
    <w:rsid w:val="009E684A"/>
    <w:rsid w:val="009E6BB1"/>
    <w:rsid w:val="009E6E14"/>
    <w:rsid w:val="009E709F"/>
    <w:rsid w:val="009E794A"/>
    <w:rsid w:val="009E7C14"/>
    <w:rsid w:val="009F0494"/>
    <w:rsid w:val="009F060A"/>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4AC"/>
    <w:rsid w:val="00A02C66"/>
    <w:rsid w:val="00A02C84"/>
    <w:rsid w:val="00A0464C"/>
    <w:rsid w:val="00A050BB"/>
    <w:rsid w:val="00A0521B"/>
    <w:rsid w:val="00A054E0"/>
    <w:rsid w:val="00A05D91"/>
    <w:rsid w:val="00A0621A"/>
    <w:rsid w:val="00A0740B"/>
    <w:rsid w:val="00A07ED3"/>
    <w:rsid w:val="00A105BF"/>
    <w:rsid w:val="00A10CA8"/>
    <w:rsid w:val="00A10F9B"/>
    <w:rsid w:val="00A11042"/>
    <w:rsid w:val="00A11AB6"/>
    <w:rsid w:val="00A12579"/>
    <w:rsid w:val="00A12CDC"/>
    <w:rsid w:val="00A12E5F"/>
    <w:rsid w:val="00A133D8"/>
    <w:rsid w:val="00A15655"/>
    <w:rsid w:val="00A160B0"/>
    <w:rsid w:val="00A16B36"/>
    <w:rsid w:val="00A1740C"/>
    <w:rsid w:val="00A17904"/>
    <w:rsid w:val="00A20069"/>
    <w:rsid w:val="00A2244D"/>
    <w:rsid w:val="00A2253D"/>
    <w:rsid w:val="00A2267F"/>
    <w:rsid w:val="00A22CDB"/>
    <w:rsid w:val="00A22E56"/>
    <w:rsid w:val="00A23C18"/>
    <w:rsid w:val="00A247B8"/>
    <w:rsid w:val="00A2495A"/>
    <w:rsid w:val="00A24C7A"/>
    <w:rsid w:val="00A24D8F"/>
    <w:rsid w:val="00A25B8B"/>
    <w:rsid w:val="00A25BA5"/>
    <w:rsid w:val="00A26792"/>
    <w:rsid w:val="00A2689F"/>
    <w:rsid w:val="00A26ECA"/>
    <w:rsid w:val="00A27461"/>
    <w:rsid w:val="00A27910"/>
    <w:rsid w:val="00A27A2B"/>
    <w:rsid w:val="00A27B41"/>
    <w:rsid w:val="00A27D67"/>
    <w:rsid w:val="00A30ABC"/>
    <w:rsid w:val="00A33B74"/>
    <w:rsid w:val="00A3467F"/>
    <w:rsid w:val="00A34B4C"/>
    <w:rsid w:val="00A35030"/>
    <w:rsid w:val="00A354BD"/>
    <w:rsid w:val="00A3551A"/>
    <w:rsid w:val="00A366A0"/>
    <w:rsid w:val="00A3699A"/>
    <w:rsid w:val="00A37209"/>
    <w:rsid w:val="00A37584"/>
    <w:rsid w:val="00A37622"/>
    <w:rsid w:val="00A376E8"/>
    <w:rsid w:val="00A37F8E"/>
    <w:rsid w:val="00A40505"/>
    <w:rsid w:val="00A40538"/>
    <w:rsid w:val="00A41537"/>
    <w:rsid w:val="00A41737"/>
    <w:rsid w:val="00A42B8F"/>
    <w:rsid w:val="00A42D8E"/>
    <w:rsid w:val="00A43254"/>
    <w:rsid w:val="00A43896"/>
    <w:rsid w:val="00A43A26"/>
    <w:rsid w:val="00A447A0"/>
    <w:rsid w:val="00A45820"/>
    <w:rsid w:val="00A459F5"/>
    <w:rsid w:val="00A45FC0"/>
    <w:rsid w:val="00A46B74"/>
    <w:rsid w:val="00A47BF7"/>
    <w:rsid w:val="00A47ECC"/>
    <w:rsid w:val="00A50171"/>
    <w:rsid w:val="00A504FA"/>
    <w:rsid w:val="00A5102E"/>
    <w:rsid w:val="00A5129F"/>
    <w:rsid w:val="00A5132E"/>
    <w:rsid w:val="00A51375"/>
    <w:rsid w:val="00A51533"/>
    <w:rsid w:val="00A521BC"/>
    <w:rsid w:val="00A531D4"/>
    <w:rsid w:val="00A54572"/>
    <w:rsid w:val="00A575B8"/>
    <w:rsid w:val="00A5787A"/>
    <w:rsid w:val="00A615E7"/>
    <w:rsid w:val="00A61C60"/>
    <w:rsid w:val="00A61ECB"/>
    <w:rsid w:val="00A638A0"/>
    <w:rsid w:val="00A63B10"/>
    <w:rsid w:val="00A6410C"/>
    <w:rsid w:val="00A647B1"/>
    <w:rsid w:val="00A64DEF"/>
    <w:rsid w:val="00A654D2"/>
    <w:rsid w:val="00A657A9"/>
    <w:rsid w:val="00A665DF"/>
    <w:rsid w:val="00A6699F"/>
    <w:rsid w:val="00A66B41"/>
    <w:rsid w:val="00A67FCC"/>
    <w:rsid w:val="00A70AA5"/>
    <w:rsid w:val="00A70C03"/>
    <w:rsid w:val="00A70D0D"/>
    <w:rsid w:val="00A71256"/>
    <w:rsid w:val="00A7217B"/>
    <w:rsid w:val="00A73861"/>
    <w:rsid w:val="00A739A6"/>
    <w:rsid w:val="00A740ED"/>
    <w:rsid w:val="00A74C29"/>
    <w:rsid w:val="00A74C62"/>
    <w:rsid w:val="00A75EF9"/>
    <w:rsid w:val="00A7657C"/>
    <w:rsid w:val="00A8006F"/>
    <w:rsid w:val="00A81592"/>
    <w:rsid w:val="00A82486"/>
    <w:rsid w:val="00A8311C"/>
    <w:rsid w:val="00A835D0"/>
    <w:rsid w:val="00A84904"/>
    <w:rsid w:val="00A84C5F"/>
    <w:rsid w:val="00A857BF"/>
    <w:rsid w:val="00A85930"/>
    <w:rsid w:val="00A863F7"/>
    <w:rsid w:val="00A86604"/>
    <w:rsid w:val="00A87519"/>
    <w:rsid w:val="00A87956"/>
    <w:rsid w:val="00A87CB4"/>
    <w:rsid w:val="00A91F06"/>
    <w:rsid w:val="00A9246D"/>
    <w:rsid w:val="00A92CCA"/>
    <w:rsid w:val="00A93BD0"/>
    <w:rsid w:val="00A93CC2"/>
    <w:rsid w:val="00A94D4B"/>
    <w:rsid w:val="00A961B1"/>
    <w:rsid w:val="00A96B2D"/>
    <w:rsid w:val="00A974CC"/>
    <w:rsid w:val="00A97D0C"/>
    <w:rsid w:val="00AA0227"/>
    <w:rsid w:val="00AA2001"/>
    <w:rsid w:val="00AA249E"/>
    <w:rsid w:val="00AA2833"/>
    <w:rsid w:val="00AA2B5C"/>
    <w:rsid w:val="00AA32D2"/>
    <w:rsid w:val="00AA3B8B"/>
    <w:rsid w:val="00AA4016"/>
    <w:rsid w:val="00AA4C1F"/>
    <w:rsid w:val="00AA51DE"/>
    <w:rsid w:val="00AA5328"/>
    <w:rsid w:val="00AA5393"/>
    <w:rsid w:val="00AA63D4"/>
    <w:rsid w:val="00AA7750"/>
    <w:rsid w:val="00AB03FD"/>
    <w:rsid w:val="00AB2000"/>
    <w:rsid w:val="00AB38CB"/>
    <w:rsid w:val="00AB3BEC"/>
    <w:rsid w:val="00AB42B0"/>
    <w:rsid w:val="00AB44E4"/>
    <w:rsid w:val="00AB4AEB"/>
    <w:rsid w:val="00AB4E5F"/>
    <w:rsid w:val="00AB5352"/>
    <w:rsid w:val="00AB56AE"/>
    <w:rsid w:val="00AB609C"/>
    <w:rsid w:val="00AB62D5"/>
    <w:rsid w:val="00AB65B5"/>
    <w:rsid w:val="00AB6DCD"/>
    <w:rsid w:val="00AB6EE0"/>
    <w:rsid w:val="00AB73DC"/>
    <w:rsid w:val="00AB7910"/>
    <w:rsid w:val="00AB7AB1"/>
    <w:rsid w:val="00AC17A2"/>
    <w:rsid w:val="00AC3834"/>
    <w:rsid w:val="00AC40B7"/>
    <w:rsid w:val="00AC4680"/>
    <w:rsid w:val="00AC516B"/>
    <w:rsid w:val="00AC531F"/>
    <w:rsid w:val="00AC56B1"/>
    <w:rsid w:val="00AC5B36"/>
    <w:rsid w:val="00AC6377"/>
    <w:rsid w:val="00AC66A4"/>
    <w:rsid w:val="00AC66FE"/>
    <w:rsid w:val="00AC6CB1"/>
    <w:rsid w:val="00AC7106"/>
    <w:rsid w:val="00AC75E9"/>
    <w:rsid w:val="00AC7D6D"/>
    <w:rsid w:val="00AD0091"/>
    <w:rsid w:val="00AD0772"/>
    <w:rsid w:val="00AD0F26"/>
    <w:rsid w:val="00AD15B0"/>
    <w:rsid w:val="00AD23EF"/>
    <w:rsid w:val="00AD2662"/>
    <w:rsid w:val="00AD307B"/>
    <w:rsid w:val="00AD4014"/>
    <w:rsid w:val="00AD41B3"/>
    <w:rsid w:val="00AD5609"/>
    <w:rsid w:val="00AD5721"/>
    <w:rsid w:val="00AD69F0"/>
    <w:rsid w:val="00AD7127"/>
    <w:rsid w:val="00AD730C"/>
    <w:rsid w:val="00AE091C"/>
    <w:rsid w:val="00AE123A"/>
    <w:rsid w:val="00AE1539"/>
    <w:rsid w:val="00AE28A7"/>
    <w:rsid w:val="00AE2A98"/>
    <w:rsid w:val="00AE2CF2"/>
    <w:rsid w:val="00AE3012"/>
    <w:rsid w:val="00AE3297"/>
    <w:rsid w:val="00AE33A6"/>
    <w:rsid w:val="00AE3729"/>
    <w:rsid w:val="00AE4CCE"/>
    <w:rsid w:val="00AE5C6A"/>
    <w:rsid w:val="00AE7280"/>
    <w:rsid w:val="00AF01FA"/>
    <w:rsid w:val="00AF033A"/>
    <w:rsid w:val="00AF1699"/>
    <w:rsid w:val="00AF1FD3"/>
    <w:rsid w:val="00AF2910"/>
    <w:rsid w:val="00AF34B8"/>
    <w:rsid w:val="00AF3896"/>
    <w:rsid w:val="00AF3FC2"/>
    <w:rsid w:val="00AF493A"/>
    <w:rsid w:val="00AF4D55"/>
    <w:rsid w:val="00AF4DEC"/>
    <w:rsid w:val="00AF641B"/>
    <w:rsid w:val="00AF7409"/>
    <w:rsid w:val="00B0098A"/>
    <w:rsid w:val="00B00A5F"/>
    <w:rsid w:val="00B029B8"/>
    <w:rsid w:val="00B02F60"/>
    <w:rsid w:val="00B02F94"/>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1DF2"/>
    <w:rsid w:val="00B12F43"/>
    <w:rsid w:val="00B12FE6"/>
    <w:rsid w:val="00B1303F"/>
    <w:rsid w:val="00B1364A"/>
    <w:rsid w:val="00B13696"/>
    <w:rsid w:val="00B13733"/>
    <w:rsid w:val="00B13859"/>
    <w:rsid w:val="00B13EC9"/>
    <w:rsid w:val="00B14319"/>
    <w:rsid w:val="00B14A06"/>
    <w:rsid w:val="00B158DD"/>
    <w:rsid w:val="00B158E1"/>
    <w:rsid w:val="00B16439"/>
    <w:rsid w:val="00B16715"/>
    <w:rsid w:val="00B1768E"/>
    <w:rsid w:val="00B17910"/>
    <w:rsid w:val="00B20F18"/>
    <w:rsid w:val="00B21516"/>
    <w:rsid w:val="00B219AD"/>
    <w:rsid w:val="00B21A37"/>
    <w:rsid w:val="00B21D23"/>
    <w:rsid w:val="00B21F62"/>
    <w:rsid w:val="00B22889"/>
    <w:rsid w:val="00B22CE0"/>
    <w:rsid w:val="00B23738"/>
    <w:rsid w:val="00B23BEF"/>
    <w:rsid w:val="00B243D5"/>
    <w:rsid w:val="00B247BB"/>
    <w:rsid w:val="00B2504A"/>
    <w:rsid w:val="00B25EE6"/>
    <w:rsid w:val="00B2685C"/>
    <w:rsid w:val="00B30CD6"/>
    <w:rsid w:val="00B3115A"/>
    <w:rsid w:val="00B31825"/>
    <w:rsid w:val="00B31A5C"/>
    <w:rsid w:val="00B32265"/>
    <w:rsid w:val="00B3276D"/>
    <w:rsid w:val="00B32B14"/>
    <w:rsid w:val="00B33B06"/>
    <w:rsid w:val="00B33C19"/>
    <w:rsid w:val="00B35A15"/>
    <w:rsid w:val="00B35B45"/>
    <w:rsid w:val="00B36A99"/>
    <w:rsid w:val="00B371D0"/>
    <w:rsid w:val="00B40143"/>
    <w:rsid w:val="00B418E8"/>
    <w:rsid w:val="00B42264"/>
    <w:rsid w:val="00B42FE7"/>
    <w:rsid w:val="00B434B2"/>
    <w:rsid w:val="00B43D45"/>
    <w:rsid w:val="00B44FC5"/>
    <w:rsid w:val="00B459AF"/>
    <w:rsid w:val="00B468F2"/>
    <w:rsid w:val="00B469DE"/>
    <w:rsid w:val="00B47286"/>
    <w:rsid w:val="00B47EB4"/>
    <w:rsid w:val="00B50234"/>
    <w:rsid w:val="00B51BF4"/>
    <w:rsid w:val="00B52C68"/>
    <w:rsid w:val="00B5372B"/>
    <w:rsid w:val="00B539D0"/>
    <w:rsid w:val="00B542FE"/>
    <w:rsid w:val="00B54566"/>
    <w:rsid w:val="00B5580D"/>
    <w:rsid w:val="00B55A1B"/>
    <w:rsid w:val="00B561DB"/>
    <w:rsid w:val="00B5692B"/>
    <w:rsid w:val="00B56DF9"/>
    <w:rsid w:val="00B56E80"/>
    <w:rsid w:val="00B57224"/>
    <w:rsid w:val="00B600BD"/>
    <w:rsid w:val="00B60C4A"/>
    <w:rsid w:val="00B61274"/>
    <w:rsid w:val="00B61DCE"/>
    <w:rsid w:val="00B62188"/>
    <w:rsid w:val="00B62F79"/>
    <w:rsid w:val="00B62F82"/>
    <w:rsid w:val="00B6306A"/>
    <w:rsid w:val="00B635E3"/>
    <w:rsid w:val="00B662FF"/>
    <w:rsid w:val="00B66422"/>
    <w:rsid w:val="00B66679"/>
    <w:rsid w:val="00B70145"/>
    <w:rsid w:val="00B70442"/>
    <w:rsid w:val="00B71A92"/>
    <w:rsid w:val="00B721D8"/>
    <w:rsid w:val="00B72428"/>
    <w:rsid w:val="00B730CA"/>
    <w:rsid w:val="00B732EA"/>
    <w:rsid w:val="00B7390A"/>
    <w:rsid w:val="00B73AF9"/>
    <w:rsid w:val="00B741DD"/>
    <w:rsid w:val="00B747C5"/>
    <w:rsid w:val="00B74F2F"/>
    <w:rsid w:val="00B753ED"/>
    <w:rsid w:val="00B7665F"/>
    <w:rsid w:val="00B769BC"/>
    <w:rsid w:val="00B77349"/>
    <w:rsid w:val="00B7761E"/>
    <w:rsid w:val="00B80A3D"/>
    <w:rsid w:val="00B80B04"/>
    <w:rsid w:val="00B81A9B"/>
    <w:rsid w:val="00B821E4"/>
    <w:rsid w:val="00B823E0"/>
    <w:rsid w:val="00B8260D"/>
    <w:rsid w:val="00B82B78"/>
    <w:rsid w:val="00B845B4"/>
    <w:rsid w:val="00B84662"/>
    <w:rsid w:val="00B84C74"/>
    <w:rsid w:val="00B85191"/>
    <w:rsid w:val="00B858A1"/>
    <w:rsid w:val="00B85FEC"/>
    <w:rsid w:val="00B86130"/>
    <w:rsid w:val="00B864A3"/>
    <w:rsid w:val="00B8659A"/>
    <w:rsid w:val="00B86C2A"/>
    <w:rsid w:val="00B902A5"/>
    <w:rsid w:val="00B90420"/>
    <w:rsid w:val="00B90848"/>
    <w:rsid w:val="00B91146"/>
    <w:rsid w:val="00B913E4"/>
    <w:rsid w:val="00B91DB9"/>
    <w:rsid w:val="00B91FF3"/>
    <w:rsid w:val="00B925F8"/>
    <w:rsid w:val="00B9370E"/>
    <w:rsid w:val="00B93EFE"/>
    <w:rsid w:val="00B944B9"/>
    <w:rsid w:val="00B94956"/>
    <w:rsid w:val="00B94C7F"/>
    <w:rsid w:val="00B94E93"/>
    <w:rsid w:val="00B956B5"/>
    <w:rsid w:val="00B96DF2"/>
    <w:rsid w:val="00B96E18"/>
    <w:rsid w:val="00B96F5A"/>
    <w:rsid w:val="00BA0B39"/>
    <w:rsid w:val="00BA0CB2"/>
    <w:rsid w:val="00BA0E26"/>
    <w:rsid w:val="00BA138B"/>
    <w:rsid w:val="00BA1AFC"/>
    <w:rsid w:val="00BA2AFE"/>
    <w:rsid w:val="00BA2BDD"/>
    <w:rsid w:val="00BA305B"/>
    <w:rsid w:val="00BA31BF"/>
    <w:rsid w:val="00BA3C0F"/>
    <w:rsid w:val="00BA3FC7"/>
    <w:rsid w:val="00BA478B"/>
    <w:rsid w:val="00BA5224"/>
    <w:rsid w:val="00BA575E"/>
    <w:rsid w:val="00BA6FC5"/>
    <w:rsid w:val="00BA76B7"/>
    <w:rsid w:val="00BA7DDB"/>
    <w:rsid w:val="00BA7E3B"/>
    <w:rsid w:val="00BB078D"/>
    <w:rsid w:val="00BB079C"/>
    <w:rsid w:val="00BB0D7A"/>
    <w:rsid w:val="00BB10E1"/>
    <w:rsid w:val="00BB2471"/>
    <w:rsid w:val="00BB3035"/>
    <w:rsid w:val="00BB3633"/>
    <w:rsid w:val="00BB39C1"/>
    <w:rsid w:val="00BB3DF5"/>
    <w:rsid w:val="00BB3EA7"/>
    <w:rsid w:val="00BB5D16"/>
    <w:rsid w:val="00BB614A"/>
    <w:rsid w:val="00BB6180"/>
    <w:rsid w:val="00BB69E6"/>
    <w:rsid w:val="00BB7323"/>
    <w:rsid w:val="00BB7BE5"/>
    <w:rsid w:val="00BC0139"/>
    <w:rsid w:val="00BC08BD"/>
    <w:rsid w:val="00BC11E8"/>
    <w:rsid w:val="00BC1B7A"/>
    <w:rsid w:val="00BC2827"/>
    <w:rsid w:val="00BC2C17"/>
    <w:rsid w:val="00BC3ACD"/>
    <w:rsid w:val="00BC3B20"/>
    <w:rsid w:val="00BC3BBE"/>
    <w:rsid w:val="00BC3EE4"/>
    <w:rsid w:val="00BC401F"/>
    <w:rsid w:val="00BC588C"/>
    <w:rsid w:val="00BC6E73"/>
    <w:rsid w:val="00BC74D3"/>
    <w:rsid w:val="00BD0014"/>
    <w:rsid w:val="00BD01D8"/>
    <w:rsid w:val="00BD255F"/>
    <w:rsid w:val="00BD2895"/>
    <w:rsid w:val="00BD4236"/>
    <w:rsid w:val="00BD483B"/>
    <w:rsid w:val="00BD5CD4"/>
    <w:rsid w:val="00BD65D9"/>
    <w:rsid w:val="00BD6B2E"/>
    <w:rsid w:val="00BD6DF3"/>
    <w:rsid w:val="00BD6E09"/>
    <w:rsid w:val="00BD6EF9"/>
    <w:rsid w:val="00BD7051"/>
    <w:rsid w:val="00BD72B5"/>
    <w:rsid w:val="00BE0A48"/>
    <w:rsid w:val="00BE0ACB"/>
    <w:rsid w:val="00BE180B"/>
    <w:rsid w:val="00BE2260"/>
    <w:rsid w:val="00BE3917"/>
    <w:rsid w:val="00BE4C1F"/>
    <w:rsid w:val="00BE4D86"/>
    <w:rsid w:val="00BE50FD"/>
    <w:rsid w:val="00BE51CA"/>
    <w:rsid w:val="00BE537F"/>
    <w:rsid w:val="00BE5AA1"/>
    <w:rsid w:val="00BE5D77"/>
    <w:rsid w:val="00BE6D47"/>
    <w:rsid w:val="00BE7032"/>
    <w:rsid w:val="00BE7330"/>
    <w:rsid w:val="00BE7A84"/>
    <w:rsid w:val="00BF01C5"/>
    <w:rsid w:val="00BF03D7"/>
    <w:rsid w:val="00BF061A"/>
    <w:rsid w:val="00BF066A"/>
    <w:rsid w:val="00BF14CC"/>
    <w:rsid w:val="00BF1821"/>
    <w:rsid w:val="00BF1A4E"/>
    <w:rsid w:val="00BF30B3"/>
    <w:rsid w:val="00BF4342"/>
    <w:rsid w:val="00BF4704"/>
    <w:rsid w:val="00BF4FFC"/>
    <w:rsid w:val="00BF5050"/>
    <w:rsid w:val="00BF50D1"/>
    <w:rsid w:val="00BF5422"/>
    <w:rsid w:val="00BF59B1"/>
    <w:rsid w:val="00BF6625"/>
    <w:rsid w:val="00BF6A78"/>
    <w:rsid w:val="00BF7695"/>
    <w:rsid w:val="00BF78C3"/>
    <w:rsid w:val="00BF79B4"/>
    <w:rsid w:val="00BF7C61"/>
    <w:rsid w:val="00C01427"/>
    <w:rsid w:val="00C014C7"/>
    <w:rsid w:val="00C01CE8"/>
    <w:rsid w:val="00C04641"/>
    <w:rsid w:val="00C047AB"/>
    <w:rsid w:val="00C04D0C"/>
    <w:rsid w:val="00C058AF"/>
    <w:rsid w:val="00C05D1E"/>
    <w:rsid w:val="00C075B6"/>
    <w:rsid w:val="00C110E3"/>
    <w:rsid w:val="00C110FD"/>
    <w:rsid w:val="00C124C1"/>
    <w:rsid w:val="00C128AE"/>
    <w:rsid w:val="00C12BA8"/>
    <w:rsid w:val="00C13094"/>
    <w:rsid w:val="00C136D6"/>
    <w:rsid w:val="00C13D5B"/>
    <w:rsid w:val="00C141D7"/>
    <w:rsid w:val="00C14B3C"/>
    <w:rsid w:val="00C16EB9"/>
    <w:rsid w:val="00C1711B"/>
    <w:rsid w:val="00C17A61"/>
    <w:rsid w:val="00C17AE2"/>
    <w:rsid w:val="00C20140"/>
    <w:rsid w:val="00C20F27"/>
    <w:rsid w:val="00C215CF"/>
    <w:rsid w:val="00C2244B"/>
    <w:rsid w:val="00C22711"/>
    <w:rsid w:val="00C2280A"/>
    <w:rsid w:val="00C22B0D"/>
    <w:rsid w:val="00C22BFF"/>
    <w:rsid w:val="00C23281"/>
    <w:rsid w:val="00C23522"/>
    <w:rsid w:val="00C240C1"/>
    <w:rsid w:val="00C24AED"/>
    <w:rsid w:val="00C24D05"/>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0CF"/>
    <w:rsid w:val="00C33201"/>
    <w:rsid w:val="00C33A39"/>
    <w:rsid w:val="00C34619"/>
    <w:rsid w:val="00C348D9"/>
    <w:rsid w:val="00C34AF0"/>
    <w:rsid w:val="00C35A41"/>
    <w:rsid w:val="00C35D01"/>
    <w:rsid w:val="00C360B3"/>
    <w:rsid w:val="00C36B21"/>
    <w:rsid w:val="00C37027"/>
    <w:rsid w:val="00C37B19"/>
    <w:rsid w:val="00C413CB"/>
    <w:rsid w:val="00C42752"/>
    <w:rsid w:val="00C42973"/>
    <w:rsid w:val="00C43D4B"/>
    <w:rsid w:val="00C44206"/>
    <w:rsid w:val="00C45704"/>
    <w:rsid w:val="00C46B95"/>
    <w:rsid w:val="00C4712A"/>
    <w:rsid w:val="00C5034F"/>
    <w:rsid w:val="00C50830"/>
    <w:rsid w:val="00C52479"/>
    <w:rsid w:val="00C5266E"/>
    <w:rsid w:val="00C52C59"/>
    <w:rsid w:val="00C5349E"/>
    <w:rsid w:val="00C53813"/>
    <w:rsid w:val="00C539FF"/>
    <w:rsid w:val="00C544BD"/>
    <w:rsid w:val="00C548C6"/>
    <w:rsid w:val="00C54D3D"/>
    <w:rsid w:val="00C55A30"/>
    <w:rsid w:val="00C56384"/>
    <w:rsid w:val="00C568B6"/>
    <w:rsid w:val="00C60F8C"/>
    <w:rsid w:val="00C61794"/>
    <w:rsid w:val="00C6252E"/>
    <w:rsid w:val="00C62845"/>
    <w:rsid w:val="00C62A48"/>
    <w:rsid w:val="00C62AC4"/>
    <w:rsid w:val="00C62B59"/>
    <w:rsid w:val="00C62DD3"/>
    <w:rsid w:val="00C62F96"/>
    <w:rsid w:val="00C631E1"/>
    <w:rsid w:val="00C638D8"/>
    <w:rsid w:val="00C63AE7"/>
    <w:rsid w:val="00C63D26"/>
    <w:rsid w:val="00C6478C"/>
    <w:rsid w:val="00C6540A"/>
    <w:rsid w:val="00C668A1"/>
    <w:rsid w:val="00C67223"/>
    <w:rsid w:val="00C707B8"/>
    <w:rsid w:val="00C70DC1"/>
    <w:rsid w:val="00C712AC"/>
    <w:rsid w:val="00C71C15"/>
    <w:rsid w:val="00C71F3D"/>
    <w:rsid w:val="00C72F53"/>
    <w:rsid w:val="00C74035"/>
    <w:rsid w:val="00C748EA"/>
    <w:rsid w:val="00C75531"/>
    <w:rsid w:val="00C763E7"/>
    <w:rsid w:val="00C77818"/>
    <w:rsid w:val="00C8063F"/>
    <w:rsid w:val="00C81282"/>
    <w:rsid w:val="00C827B4"/>
    <w:rsid w:val="00C82B40"/>
    <w:rsid w:val="00C83214"/>
    <w:rsid w:val="00C8329F"/>
    <w:rsid w:val="00C84124"/>
    <w:rsid w:val="00C84F8A"/>
    <w:rsid w:val="00C85BA4"/>
    <w:rsid w:val="00C8618F"/>
    <w:rsid w:val="00C8625D"/>
    <w:rsid w:val="00C87F3F"/>
    <w:rsid w:val="00C90372"/>
    <w:rsid w:val="00C9041F"/>
    <w:rsid w:val="00C9161B"/>
    <w:rsid w:val="00C9166B"/>
    <w:rsid w:val="00C91945"/>
    <w:rsid w:val="00C91A45"/>
    <w:rsid w:val="00C91C98"/>
    <w:rsid w:val="00C91FB4"/>
    <w:rsid w:val="00C92150"/>
    <w:rsid w:val="00C92328"/>
    <w:rsid w:val="00C92C8A"/>
    <w:rsid w:val="00C92D42"/>
    <w:rsid w:val="00C938C2"/>
    <w:rsid w:val="00C93F8A"/>
    <w:rsid w:val="00C94EA1"/>
    <w:rsid w:val="00C95745"/>
    <w:rsid w:val="00C95902"/>
    <w:rsid w:val="00C962C8"/>
    <w:rsid w:val="00C962E3"/>
    <w:rsid w:val="00C96E4C"/>
    <w:rsid w:val="00C978E2"/>
    <w:rsid w:val="00C97997"/>
    <w:rsid w:val="00CA10A2"/>
    <w:rsid w:val="00CA1D83"/>
    <w:rsid w:val="00CA25C0"/>
    <w:rsid w:val="00CA3451"/>
    <w:rsid w:val="00CA35C6"/>
    <w:rsid w:val="00CA4948"/>
    <w:rsid w:val="00CA52F9"/>
    <w:rsid w:val="00CA5368"/>
    <w:rsid w:val="00CA568B"/>
    <w:rsid w:val="00CA56A9"/>
    <w:rsid w:val="00CA573A"/>
    <w:rsid w:val="00CA584D"/>
    <w:rsid w:val="00CA5C58"/>
    <w:rsid w:val="00CA6059"/>
    <w:rsid w:val="00CB19D7"/>
    <w:rsid w:val="00CB19FE"/>
    <w:rsid w:val="00CB1C3F"/>
    <w:rsid w:val="00CB2131"/>
    <w:rsid w:val="00CB2364"/>
    <w:rsid w:val="00CB304C"/>
    <w:rsid w:val="00CB3933"/>
    <w:rsid w:val="00CB5010"/>
    <w:rsid w:val="00CB53E8"/>
    <w:rsid w:val="00CB594A"/>
    <w:rsid w:val="00CB5CB2"/>
    <w:rsid w:val="00CB60E4"/>
    <w:rsid w:val="00CB6979"/>
    <w:rsid w:val="00CB7461"/>
    <w:rsid w:val="00CB7DDE"/>
    <w:rsid w:val="00CC055B"/>
    <w:rsid w:val="00CC0A3D"/>
    <w:rsid w:val="00CC3C53"/>
    <w:rsid w:val="00CC3D24"/>
    <w:rsid w:val="00CC3F91"/>
    <w:rsid w:val="00CC4ACD"/>
    <w:rsid w:val="00CC4B0A"/>
    <w:rsid w:val="00CC544A"/>
    <w:rsid w:val="00CC57EA"/>
    <w:rsid w:val="00CC5954"/>
    <w:rsid w:val="00CC629B"/>
    <w:rsid w:val="00CC6C4E"/>
    <w:rsid w:val="00CD009D"/>
    <w:rsid w:val="00CD05A2"/>
    <w:rsid w:val="00CD180F"/>
    <w:rsid w:val="00CD2631"/>
    <w:rsid w:val="00CD29D4"/>
    <w:rsid w:val="00CD2B5C"/>
    <w:rsid w:val="00CD2FF3"/>
    <w:rsid w:val="00CD3323"/>
    <w:rsid w:val="00CD3701"/>
    <w:rsid w:val="00CD38F5"/>
    <w:rsid w:val="00CD3BF2"/>
    <w:rsid w:val="00CD437E"/>
    <w:rsid w:val="00CD540B"/>
    <w:rsid w:val="00CD5DAD"/>
    <w:rsid w:val="00CD72C5"/>
    <w:rsid w:val="00CD79A7"/>
    <w:rsid w:val="00CE0789"/>
    <w:rsid w:val="00CE0E8D"/>
    <w:rsid w:val="00CE1A03"/>
    <w:rsid w:val="00CE2346"/>
    <w:rsid w:val="00CE25B2"/>
    <w:rsid w:val="00CE3529"/>
    <w:rsid w:val="00CE35C8"/>
    <w:rsid w:val="00CE3962"/>
    <w:rsid w:val="00CE4D0A"/>
    <w:rsid w:val="00CE4D1A"/>
    <w:rsid w:val="00CE4E8A"/>
    <w:rsid w:val="00CE5105"/>
    <w:rsid w:val="00CE56BD"/>
    <w:rsid w:val="00CE5EC0"/>
    <w:rsid w:val="00CE68AD"/>
    <w:rsid w:val="00CE6F9F"/>
    <w:rsid w:val="00CE781A"/>
    <w:rsid w:val="00CE7B08"/>
    <w:rsid w:val="00CE7D52"/>
    <w:rsid w:val="00CF0AB7"/>
    <w:rsid w:val="00CF1D74"/>
    <w:rsid w:val="00CF2BE2"/>
    <w:rsid w:val="00CF3DEB"/>
    <w:rsid w:val="00CF4FDB"/>
    <w:rsid w:val="00CF55F9"/>
    <w:rsid w:val="00CF7074"/>
    <w:rsid w:val="00CF7495"/>
    <w:rsid w:val="00CF7903"/>
    <w:rsid w:val="00D00E12"/>
    <w:rsid w:val="00D01CF9"/>
    <w:rsid w:val="00D0334D"/>
    <w:rsid w:val="00D03522"/>
    <w:rsid w:val="00D0374D"/>
    <w:rsid w:val="00D06D7B"/>
    <w:rsid w:val="00D06DA5"/>
    <w:rsid w:val="00D07191"/>
    <w:rsid w:val="00D07653"/>
    <w:rsid w:val="00D07F1D"/>
    <w:rsid w:val="00D10558"/>
    <w:rsid w:val="00D11D4D"/>
    <w:rsid w:val="00D126DC"/>
    <w:rsid w:val="00D12B03"/>
    <w:rsid w:val="00D13E70"/>
    <w:rsid w:val="00D15FCD"/>
    <w:rsid w:val="00D16378"/>
    <w:rsid w:val="00D16C58"/>
    <w:rsid w:val="00D16FC9"/>
    <w:rsid w:val="00D17019"/>
    <w:rsid w:val="00D17FC8"/>
    <w:rsid w:val="00D20B44"/>
    <w:rsid w:val="00D20C0B"/>
    <w:rsid w:val="00D21168"/>
    <w:rsid w:val="00D2339B"/>
    <w:rsid w:val="00D240C6"/>
    <w:rsid w:val="00D2432B"/>
    <w:rsid w:val="00D2438C"/>
    <w:rsid w:val="00D2585A"/>
    <w:rsid w:val="00D259B0"/>
    <w:rsid w:val="00D26C3F"/>
    <w:rsid w:val="00D27185"/>
    <w:rsid w:val="00D3028A"/>
    <w:rsid w:val="00D313D1"/>
    <w:rsid w:val="00D31C7B"/>
    <w:rsid w:val="00D33488"/>
    <w:rsid w:val="00D33AB3"/>
    <w:rsid w:val="00D33F24"/>
    <w:rsid w:val="00D340E4"/>
    <w:rsid w:val="00D34160"/>
    <w:rsid w:val="00D346B8"/>
    <w:rsid w:val="00D34DCA"/>
    <w:rsid w:val="00D3575F"/>
    <w:rsid w:val="00D35AC8"/>
    <w:rsid w:val="00D36F87"/>
    <w:rsid w:val="00D37E4E"/>
    <w:rsid w:val="00D402BC"/>
    <w:rsid w:val="00D4056F"/>
    <w:rsid w:val="00D417D8"/>
    <w:rsid w:val="00D41F78"/>
    <w:rsid w:val="00D42E6C"/>
    <w:rsid w:val="00D42EC8"/>
    <w:rsid w:val="00D4351C"/>
    <w:rsid w:val="00D43B80"/>
    <w:rsid w:val="00D44988"/>
    <w:rsid w:val="00D45B4C"/>
    <w:rsid w:val="00D45BA4"/>
    <w:rsid w:val="00D471AF"/>
    <w:rsid w:val="00D471E2"/>
    <w:rsid w:val="00D4724F"/>
    <w:rsid w:val="00D50519"/>
    <w:rsid w:val="00D50614"/>
    <w:rsid w:val="00D51601"/>
    <w:rsid w:val="00D51ECB"/>
    <w:rsid w:val="00D5264C"/>
    <w:rsid w:val="00D52BBC"/>
    <w:rsid w:val="00D53747"/>
    <w:rsid w:val="00D537FE"/>
    <w:rsid w:val="00D53CC9"/>
    <w:rsid w:val="00D54A6A"/>
    <w:rsid w:val="00D54B8F"/>
    <w:rsid w:val="00D55848"/>
    <w:rsid w:val="00D558F6"/>
    <w:rsid w:val="00D55951"/>
    <w:rsid w:val="00D559F0"/>
    <w:rsid w:val="00D57EB6"/>
    <w:rsid w:val="00D608C0"/>
    <w:rsid w:val="00D60D6D"/>
    <w:rsid w:val="00D6128C"/>
    <w:rsid w:val="00D6626A"/>
    <w:rsid w:val="00D66D8B"/>
    <w:rsid w:val="00D672EF"/>
    <w:rsid w:val="00D67909"/>
    <w:rsid w:val="00D67A4E"/>
    <w:rsid w:val="00D70849"/>
    <w:rsid w:val="00D72297"/>
    <w:rsid w:val="00D72A1C"/>
    <w:rsid w:val="00D7308F"/>
    <w:rsid w:val="00D7313E"/>
    <w:rsid w:val="00D73580"/>
    <w:rsid w:val="00D73802"/>
    <w:rsid w:val="00D73C2C"/>
    <w:rsid w:val="00D73D52"/>
    <w:rsid w:val="00D745E7"/>
    <w:rsid w:val="00D76C73"/>
    <w:rsid w:val="00D774ED"/>
    <w:rsid w:val="00D777C3"/>
    <w:rsid w:val="00D7797C"/>
    <w:rsid w:val="00D77C44"/>
    <w:rsid w:val="00D77F88"/>
    <w:rsid w:val="00D81AFA"/>
    <w:rsid w:val="00D81E47"/>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39E"/>
    <w:rsid w:val="00D9193A"/>
    <w:rsid w:val="00D923B2"/>
    <w:rsid w:val="00D92463"/>
    <w:rsid w:val="00D93E64"/>
    <w:rsid w:val="00D93F64"/>
    <w:rsid w:val="00D94CA4"/>
    <w:rsid w:val="00D94F06"/>
    <w:rsid w:val="00D954D6"/>
    <w:rsid w:val="00D95D8C"/>
    <w:rsid w:val="00D95E99"/>
    <w:rsid w:val="00D965D5"/>
    <w:rsid w:val="00D97DA2"/>
    <w:rsid w:val="00DA0485"/>
    <w:rsid w:val="00DA1A3A"/>
    <w:rsid w:val="00DA2351"/>
    <w:rsid w:val="00DA249E"/>
    <w:rsid w:val="00DA2D3D"/>
    <w:rsid w:val="00DA3855"/>
    <w:rsid w:val="00DA394A"/>
    <w:rsid w:val="00DA4C30"/>
    <w:rsid w:val="00DA4C5A"/>
    <w:rsid w:val="00DA6A44"/>
    <w:rsid w:val="00DA7A3C"/>
    <w:rsid w:val="00DB145E"/>
    <w:rsid w:val="00DB1A94"/>
    <w:rsid w:val="00DB1D52"/>
    <w:rsid w:val="00DB1E2B"/>
    <w:rsid w:val="00DB1F62"/>
    <w:rsid w:val="00DB21E7"/>
    <w:rsid w:val="00DB2E03"/>
    <w:rsid w:val="00DB3742"/>
    <w:rsid w:val="00DB3E9B"/>
    <w:rsid w:val="00DB3F4B"/>
    <w:rsid w:val="00DB5375"/>
    <w:rsid w:val="00DB60FF"/>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249"/>
    <w:rsid w:val="00DC67B1"/>
    <w:rsid w:val="00DC6DAF"/>
    <w:rsid w:val="00DC7FBC"/>
    <w:rsid w:val="00DD0019"/>
    <w:rsid w:val="00DD10F5"/>
    <w:rsid w:val="00DD132B"/>
    <w:rsid w:val="00DD1725"/>
    <w:rsid w:val="00DD1BE5"/>
    <w:rsid w:val="00DD2159"/>
    <w:rsid w:val="00DD218B"/>
    <w:rsid w:val="00DD2A18"/>
    <w:rsid w:val="00DD2AED"/>
    <w:rsid w:val="00DD3044"/>
    <w:rsid w:val="00DD3985"/>
    <w:rsid w:val="00DD61E8"/>
    <w:rsid w:val="00DD62C0"/>
    <w:rsid w:val="00DD64DE"/>
    <w:rsid w:val="00DD688D"/>
    <w:rsid w:val="00DD7859"/>
    <w:rsid w:val="00DD7B41"/>
    <w:rsid w:val="00DE0784"/>
    <w:rsid w:val="00DE0A1D"/>
    <w:rsid w:val="00DE15B2"/>
    <w:rsid w:val="00DE178C"/>
    <w:rsid w:val="00DE1A91"/>
    <w:rsid w:val="00DE1A9A"/>
    <w:rsid w:val="00DE3D2C"/>
    <w:rsid w:val="00DE4396"/>
    <w:rsid w:val="00DE5E82"/>
    <w:rsid w:val="00DE5FA6"/>
    <w:rsid w:val="00DE60B0"/>
    <w:rsid w:val="00DE6792"/>
    <w:rsid w:val="00DE67ED"/>
    <w:rsid w:val="00DE6AA1"/>
    <w:rsid w:val="00DE7EF7"/>
    <w:rsid w:val="00DE7F92"/>
    <w:rsid w:val="00DF015B"/>
    <w:rsid w:val="00DF02EC"/>
    <w:rsid w:val="00DF089C"/>
    <w:rsid w:val="00DF10FC"/>
    <w:rsid w:val="00DF1185"/>
    <w:rsid w:val="00DF1299"/>
    <w:rsid w:val="00DF1A70"/>
    <w:rsid w:val="00DF1E5F"/>
    <w:rsid w:val="00DF23A8"/>
    <w:rsid w:val="00DF2F27"/>
    <w:rsid w:val="00DF330E"/>
    <w:rsid w:val="00DF36B6"/>
    <w:rsid w:val="00DF4296"/>
    <w:rsid w:val="00DF5267"/>
    <w:rsid w:val="00DF53F0"/>
    <w:rsid w:val="00DF5F38"/>
    <w:rsid w:val="00DF6608"/>
    <w:rsid w:val="00DF6CCC"/>
    <w:rsid w:val="00DF6D0C"/>
    <w:rsid w:val="00DF6F64"/>
    <w:rsid w:val="00DF721E"/>
    <w:rsid w:val="00DF7549"/>
    <w:rsid w:val="00DF7B8A"/>
    <w:rsid w:val="00DF7BFC"/>
    <w:rsid w:val="00DF7C87"/>
    <w:rsid w:val="00DF7FB8"/>
    <w:rsid w:val="00E009B0"/>
    <w:rsid w:val="00E00A12"/>
    <w:rsid w:val="00E00B39"/>
    <w:rsid w:val="00E00C49"/>
    <w:rsid w:val="00E00DB6"/>
    <w:rsid w:val="00E01C9C"/>
    <w:rsid w:val="00E0219D"/>
    <w:rsid w:val="00E04C0F"/>
    <w:rsid w:val="00E05553"/>
    <w:rsid w:val="00E0570B"/>
    <w:rsid w:val="00E10913"/>
    <w:rsid w:val="00E10B87"/>
    <w:rsid w:val="00E121CE"/>
    <w:rsid w:val="00E12209"/>
    <w:rsid w:val="00E13467"/>
    <w:rsid w:val="00E14593"/>
    <w:rsid w:val="00E1478B"/>
    <w:rsid w:val="00E14FAC"/>
    <w:rsid w:val="00E15007"/>
    <w:rsid w:val="00E16277"/>
    <w:rsid w:val="00E16D2F"/>
    <w:rsid w:val="00E16EC7"/>
    <w:rsid w:val="00E17B73"/>
    <w:rsid w:val="00E17DCC"/>
    <w:rsid w:val="00E2176F"/>
    <w:rsid w:val="00E219CE"/>
    <w:rsid w:val="00E21D93"/>
    <w:rsid w:val="00E2305F"/>
    <w:rsid w:val="00E2395B"/>
    <w:rsid w:val="00E24071"/>
    <w:rsid w:val="00E24EBC"/>
    <w:rsid w:val="00E2522C"/>
    <w:rsid w:val="00E2552F"/>
    <w:rsid w:val="00E2599B"/>
    <w:rsid w:val="00E26BF7"/>
    <w:rsid w:val="00E2710C"/>
    <w:rsid w:val="00E272BD"/>
    <w:rsid w:val="00E27428"/>
    <w:rsid w:val="00E27A32"/>
    <w:rsid w:val="00E27C39"/>
    <w:rsid w:val="00E305B4"/>
    <w:rsid w:val="00E31AFA"/>
    <w:rsid w:val="00E31BD7"/>
    <w:rsid w:val="00E31CB7"/>
    <w:rsid w:val="00E324EE"/>
    <w:rsid w:val="00E34DB1"/>
    <w:rsid w:val="00E35931"/>
    <w:rsid w:val="00E359FF"/>
    <w:rsid w:val="00E36866"/>
    <w:rsid w:val="00E3699A"/>
    <w:rsid w:val="00E402C5"/>
    <w:rsid w:val="00E402F4"/>
    <w:rsid w:val="00E405F1"/>
    <w:rsid w:val="00E417DB"/>
    <w:rsid w:val="00E4198D"/>
    <w:rsid w:val="00E43054"/>
    <w:rsid w:val="00E43655"/>
    <w:rsid w:val="00E44440"/>
    <w:rsid w:val="00E46013"/>
    <w:rsid w:val="00E46D83"/>
    <w:rsid w:val="00E47099"/>
    <w:rsid w:val="00E47284"/>
    <w:rsid w:val="00E477C3"/>
    <w:rsid w:val="00E51E16"/>
    <w:rsid w:val="00E52DED"/>
    <w:rsid w:val="00E53730"/>
    <w:rsid w:val="00E54330"/>
    <w:rsid w:val="00E5438D"/>
    <w:rsid w:val="00E54511"/>
    <w:rsid w:val="00E54E50"/>
    <w:rsid w:val="00E55288"/>
    <w:rsid w:val="00E55523"/>
    <w:rsid w:val="00E55E82"/>
    <w:rsid w:val="00E57577"/>
    <w:rsid w:val="00E62043"/>
    <w:rsid w:val="00E626B9"/>
    <w:rsid w:val="00E627C9"/>
    <w:rsid w:val="00E630F3"/>
    <w:rsid w:val="00E6332F"/>
    <w:rsid w:val="00E637C9"/>
    <w:rsid w:val="00E6402D"/>
    <w:rsid w:val="00E6680A"/>
    <w:rsid w:val="00E66F0D"/>
    <w:rsid w:val="00E67741"/>
    <w:rsid w:val="00E67C08"/>
    <w:rsid w:val="00E67CAE"/>
    <w:rsid w:val="00E70615"/>
    <w:rsid w:val="00E7161E"/>
    <w:rsid w:val="00E71B40"/>
    <w:rsid w:val="00E7207B"/>
    <w:rsid w:val="00E7347A"/>
    <w:rsid w:val="00E75A47"/>
    <w:rsid w:val="00E75BB6"/>
    <w:rsid w:val="00E75D8C"/>
    <w:rsid w:val="00E75F8C"/>
    <w:rsid w:val="00E777F2"/>
    <w:rsid w:val="00E802C9"/>
    <w:rsid w:val="00E80BFB"/>
    <w:rsid w:val="00E80F0A"/>
    <w:rsid w:val="00E815D4"/>
    <w:rsid w:val="00E817CA"/>
    <w:rsid w:val="00E81EF4"/>
    <w:rsid w:val="00E82006"/>
    <w:rsid w:val="00E8291B"/>
    <w:rsid w:val="00E82E70"/>
    <w:rsid w:val="00E82F92"/>
    <w:rsid w:val="00E8395F"/>
    <w:rsid w:val="00E8410F"/>
    <w:rsid w:val="00E849D7"/>
    <w:rsid w:val="00E85E41"/>
    <w:rsid w:val="00E85EA1"/>
    <w:rsid w:val="00E86030"/>
    <w:rsid w:val="00E86703"/>
    <w:rsid w:val="00E900DA"/>
    <w:rsid w:val="00E91044"/>
    <w:rsid w:val="00E910D3"/>
    <w:rsid w:val="00E92154"/>
    <w:rsid w:val="00E923CF"/>
    <w:rsid w:val="00E925CE"/>
    <w:rsid w:val="00E93685"/>
    <w:rsid w:val="00E93B65"/>
    <w:rsid w:val="00E93C8C"/>
    <w:rsid w:val="00E95111"/>
    <w:rsid w:val="00E95FDF"/>
    <w:rsid w:val="00EA04EF"/>
    <w:rsid w:val="00EA1198"/>
    <w:rsid w:val="00EA14C8"/>
    <w:rsid w:val="00EA2110"/>
    <w:rsid w:val="00EA283A"/>
    <w:rsid w:val="00EA2C90"/>
    <w:rsid w:val="00EA2E07"/>
    <w:rsid w:val="00EA383B"/>
    <w:rsid w:val="00EA40E8"/>
    <w:rsid w:val="00EA48F3"/>
    <w:rsid w:val="00EA60BF"/>
    <w:rsid w:val="00EA71B4"/>
    <w:rsid w:val="00EA7365"/>
    <w:rsid w:val="00EA763F"/>
    <w:rsid w:val="00EA77E9"/>
    <w:rsid w:val="00EB05D0"/>
    <w:rsid w:val="00EB1151"/>
    <w:rsid w:val="00EB11FE"/>
    <w:rsid w:val="00EB1D49"/>
    <w:rsid w:val="00EB23D9"/>
    <w:rsid w:val="00EB36E3"/>
    <w:rsid w:val="00EB39A0"/>
    <w:rsid w:val="00EB559F"/>
    <w:rsid w:val="00EB566C"/>
    <w:rsid w:val="00EB5A18"/>
    <w:rsid w:val="00EB5F3D"/>
    <w:rsid w:val="00EB6B14"/>
    <w:rsid w:val="00EB6C97"/>
    <w:rsid w:val="00EC0C95"/>
    <w:rsid w:val="00EC1CEB"/>
    <w:rsid w:val="00EC1DC0"/>
    <w:rsid w:val="00EC1DC2"/>
    <w:rsid w:val="00EC1E09"/>
    <w:rsid w:val="00EC21EC"/>
    <w:rsid w:val="00EC24B8"/>
    <w:rsid w:val="00EC268C"/>
    <w:rsid w:val="00EC2D9A"/>
    <w:rsid w:val="00EC3753"/>
    <w:rsid w:val="00EC4E71"/>
    <w:rsid w:val="00EC5F1C"/>
    <w:rsid w:val="00EC7616"/>
    <w:rsid w:val="00ED0365"/>
    <w:rsid w:val="00ED0865"/>
    <w:rsid w:val="00ED1C60"/>
    <w:rsid w:val="00ED2E25"/>
    <w:rsid w:val="00ED2EB9"/>
    <w:rsid w:val="00ED3722"/>
    <w:rsid w:val="00ED38B7"/>
    <w:rsid w:val="00ED3A31"/>
    <w:rsid w:val="00ED4469"/>
    <w:rsid w:val="00ED44F6"/>
    <w:rsid w:val="00ED5424"/>
    <w:rsid w:val="00ED557C"/>
    <w:rsid w:val="00ED5F23"/>
    <w:rsid w:val="00ED6DC0"/>
    <w:rsid w:val="00ED7A7A"/>
    <w:rsid w:val="00EE0327"/>
    <w:rsid w:val="00EE038C"/>
    <w:rsid w:val="00EE2452"/>
    <w:rsid w:val="00EE28C5"/>
    <w:rsid w:val="00EE2F09"/>
    <w:rsid w:val="00EE44CD"/>
    <w:rsid w:val="00EE47C5"/>
    <w:rsid w:val="00EE490C"/>
    <w:rsid w:val="00EE49E3"/>
    <w:rsid w:val="00EE4E57"/>
    <w:rsid w:val="00EE516C"/>
    <w:rsid w:val="00EE5415"/>
    <w:rsid w:val="00EE5738"/>
    <w:rsid w:val="00EE58BD"/>
    <w:rsid w:val="00EE5A80"/>
    <w:rsid w:val="00EE5E59"/>
    <w:rsid w:val="00EE6226"/>
    <w:rsid w:val="00EE73D0"/>
    <w:rsid w:val="00EE7CB0"/>
    <w:rsid w:val="00EF08A8"/>
    <w:rsid w:val="00EF167B"/>
    <w:rsid w:val="00EF2623"/>
    <w:rsid w:val="00EF41A8"/>
    <w:rsid w:val="00EF44FB"/>
    <w:rsid w:val="00EF4DF5"/>
    <w:rsid w:val="00EF5122"/>
    <w:rsid w:val="00EF5554"/>
    <w:rsid w:val="00EF5AD8"/>
    <w:rsid w:val="00EF6524"/>
    <w:rsid w:val="00EF6B90"/>
    <w:rsid w:val="00EF7807"/>
    <w:rsid w:val="00EF79F7"/>
    <w:rsid w:val="00F006C0"/>
    <w:rsid w:val="00F0079C"/>
    <w:rsid w:val="00F0125F"/>
    <w:rsid w:val="00F019AA"/>
    <w:rsid w:val="00F0267E"/>
    <w:rsid w:val="00F02686"/>
    <w:rsid w:val="00F030C0"/>
    <w:rsid w:val="00F03291"/>
    <w:rsid w:val="00F03A85"/>
    <w:rsid w:val="00F0459B"/>
    <w:rsid w:val="00F04E15"/>
    <w:rsid w:val="00F05DF3"/>
    <w:rsid w:val="00F069EA"/>
    <w:rsid w:val="00F070E5"/>
    <w:rsid w:val="00F07DDE"/>
    <w:rsid w:val="00F11675"/>
    <w:rsid w:val="00F120E8"/>
    <w:rsid w:val="00F12557"/>
    <w:rsid w:val="00F12B0F"/>
    <w:rsid w:val="00F13599"/>
    <w:rsid w:val="00F13B28"/>
    <w:rsid w:val="00F14542"/>
    <w:rsid w:val="00F14C7E"/>
    <w:rsid w:val="00F156A0"/>
    <w:rsid w:val="00F15730"/>
    <w:rsid w:val="00F176A6"/>
    <w:rsid w:val="00F202C2"/>
    <w:rsid w:val="00F208BE"/>
    <w:rsid w:val="00F212A8"/>
    <w:rsid w:val="00F212F6"/>
    <w:rsid w:val="00F22756"/>
    <w:rsid w:val="00F23248"/>
    <w:rsid w:val="00F23890"/>
    <w:rsid w:val="00F24E21"/>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5FFC"/>
    <w:rsid w:val="00F36A6A"/>
    <w:rsid w:val="00F40101"/>
    <w:rsid w:val="00F404F7"/>
    <w:rsid w:val="00F40941"/>
    <w:rsid w:val="00F40CCA"/>
    <w:rsid w:val="00F42D97"/>
    <w:rsid w:val="00F436B2"/>
    <w:rsid w:val="00F43813"/>
    <w:rsid w:val="00F43FEE"/>
    <w:rsid w:val="00F4492F"/>
    <w:rsid w:val="00F4551D"/>
    <w:rsid w:val="00F45A72"/>
    <w:rsid w:val="00F46723"/>
    <w:rsid w:val="00F4706D"/>
    <w:rsid w:val="00F474A9"/>
    <w:rsid w:val="00F476E1"/>
    <w:rsid w:val="00F47D1D"/>
    <w:rsid w:val="00F47F29"/>
    <w:rsid w:val="00F50016"/>
    <w:rsid w:val="00F50A80"/>
    <w:rsid w:val="00F5118A"/>
    <w:rsid w:val="00F51A21"/>
    <w:rsid w:val="00F52614"/>
    <w:rsid w:val="00F5276E"/>
    <w:rsid w:val="00F52D16"/>
    <w:rsid w:val="00F52E9F"/>
    <w:rsid w:val="00F53304"/>
    <w:rsid w:val="00F53B81"/>
    <w:rsid w:val="00F540FE"/>
    <w:rsid w:val="00F556FF"/>
    <w:rsid w:val="00F55D12"/>
    <w:rsid w:val="00F56101"/>
    <w:rsid w:val="00F5687F"/>
    <w:rsid w:val="00F56D3F"/>
    <w:rsid w:val="00F575C7"/>
    <w:rsid w:val="00F57FD0"/>
    <w:rsid w:val="00F60305"/>
    <w:rsid w:val="00F60611"/>
    <w:rsid w:val="00F606FD"/>
    <w:rsid w:val="00F61B12"/>
    <w:rsid w:val="00F61C70"/>
    <w:rsid w:val="00F63264"/>
    <w:rsid w:val="00F634E4"/>
    <w:rsid w:val="00F6379E"/>
    <w:rsid w:val="00F64047"/>
    <w:rsid w:val="00F65104"/>
    <w:rsid w:val="00F65171"/>
    <w:rsid w:val="00F6560D"/>
    <w:rsid w:val="00F66793"/>
    <w:rsid w:val="00F67844"/>
    <w:rsid w:val="00F70799"/>
    <w:rsid w:val="00F70A8B"/>
    <w:rsid w:val="00F70B8D"/>
    <w:rsid w:val="00F71616"/>
    <w:rsid w:val="00F71936"/>
    <w:rsid w:val="00F724FB"/>
    <w:rsid w:val="00F726B8"/>
    <w:rsid w:val="00F72A26"/>
    <w:rsid w:val="00F733C3"/>
    <w:rsid w:val="00F746A1"/>
    <w:rsid w:val="00F74820"/>
    <w:rsid w:val="00F75282"/>
    <w:rsid w:val="00F756DD"/>
    <w:rsid w:val="00F77F4E"/>
    <w:rsid w:val="00F80047"/>
    <w:rsid w:val="00F800C7"/>
    <w:rsid w:val="00F8104D"/>
    <w:rsid w:val="00F8153F"/>
    <w:rsid w:val="00F81587"/>
    <w:rsid w:val="00F8258A"/>
    <w:rsid w:val="00F8288F"/>
    <w:rsid w:val="00F8376E"/>
    <w:rsid w:val="00F84479"/>
    <w:rsid w:val="00F84802"/>
    <w:rsid w:val="00F85B72"/>
    <w:rsid w:val="00F86540"/>
    <w:rsid w:val="00F865CE"/>
    <w:rsid w:val="00F8766F"/>
    <w:rsid w:val="00F90282"/>
    <w:rsid w:val="00F91082"/>
    <w:rsid w:val="00F9116D"/>
    <w:rsid w:val="00F91342"/>
    <w:rsid w:val="00F91A9A"/>
    <w:rsid w:val="00F9257D"/>
    <w:rsid w:val="00F92634"/>
    <w:rsid w:val="00F933F3"/>
    <w:rsid w:val="00F93ABB"/>
    <w:rsid w:val="00F941BF"/>
    <w:rsid w:val="00F94D79"/>
    <w:rsid w:val="00F951F4"/>
    <w:rsid w:val="00F954FC"/>
    <w:rsid w:val="00F9658C"/>
    <w:rsid w:val="00F96E05"/>
    <w:rsid w:val="00F97A7F"/>
    <w:rsid w:val="00FA0345"/>
    <w:rsid w:val="00FA0889"/>
    <w:rsid w:val="00FA16E7"/>
    <w:rsid w:val="00FA225F"/>
    <w:rsid w:val="00FA292B"/>
    <w:rsid w:val="00FA31C7"/>
    <w:rsid w:val="00FA3CED"/>
    <w:rsid w:val="00FA472D"/>
    <w:rsid w:val="00FA5DEC"/>
    <w:rsid w:val="00FA681F"/>
    <w:rsid w:val="00FB0CBF"/>
    <w:rsid w:val="00FB18F6"/>
    <w:rsid w:val="00FB2A52"/>
    <w:rsid w:val="00FB2B7B"/>
    <w:rsid w:val="00FB3F92"/>
    <w:rsid w:val="00FB52C7"/>
    <w:rsid w:val="00FB57DC"/>
    <w:rsid w:val="00FB589D"/>
    <w:rsid w:val="00FB6E19"/>
    <w:rsid w:val="00FB71F6"/>
    <w:rsid w:val="00FB7283"/>
    <w:rsid w:val="00FB78C5"/>
    <w:rsid w:val="00FB7CF2"/>
    <w:rsid w:val="00FC07AF"/>
    <w:rsid w:val="00FC08EA"/>
    <w:rsid w:val="00FC0AF8"/>
    <w:rsid w:val="00FC0B69"/>
    <w:rsid w:val="00FC1483"/>
    <w:rsid w:val="00FC1C47"/>
    <w:rsid w:val="00FC2026"/>
    <w:rsid w:val="00FC3102"/>
    <w:rsid w:val="00FC371D"/>
    <w:rsid w:val="00FC39ED"/>
    <w:rsid w:val="00FC4419"/>
    <w:rsid w:val="00FC47E2"/>
    <w:rsid w:val="00FC4AA5"/>
    <w:rsid w:val="00FC4B88"/>
    <w:rsid w:val="00FC4BB8"/>
    <w:rsid w:val="00FC5148"/>
    <w:rsid w:val="00FC6524"/>
    <w:rsid w:val="00FC6B58"/>
    <w:rsid w:val="00FC75AC"/>
    <w:rsid w:val="00FC7984"/>
    <w:rsid w:val="00FD01BF"/>
    <w:rsid w:val="00FD0525"/>
    <w:rsid w:val="00FD0AB7"/>
    <w:rsid w:val="00FD13D9"/>
    <w:rsid w:val="00FD297D"/>
    <w:rsid w:val="00FD2D13"/>
    <w:rsid w:val="00FD374D"/>
    <w:rsid w:val="00FD6071"/>
    <w:rsid w:val="00FD633B"/>
    <w:rsid w:val="00FE0794"/>
    <w:rsid w:val="00FE1041"/>
    <w:rsid w:val="00FE1A47"/>
    <w:rsid w:val="00FE24CB"/>
    <w:rsid w:val="00FE323F"/>
    <w:rsid w:val="00FE3473"/>
    <w:rsid w:val="00FE3E4F"/>
    <w:rsid w:val="00FE4049"/>
    <w:rsid w:val="00FE4794"/>
    <w:rsid w:val="00FE480F"/>
    <w:rsid w:val="00FE4998"/>
    <w:rsid w:val="00FE56B7"/>
    <w:rsid w:val="00FE57DE"/>
    <w:rsid w:val="00FE7A68"/>
    <w:rsid w:val="00FF0231"/>
    <w:rsid w:val="00FF1C9B"/>
    <w:rsid w:val="00FF1D49"/>
    <w:rsid w:val="00FF203B"/>
    <w:rsid w:val="00FF2562"/>
    <w:rsid w:val="00FF2B6C"/>
    <w:rsid w:val="00FF3A41"/>
    <w:rsid w:val="00FF3E5B"/>
    <w:rsid w:val="00FF4C8E"/>
    <w:rsid w:val="00FF52D5"/>
    <w:rsid w:val="00FF53BF"/>
    <w:rsid w:val="00FF57E4"/>
    <w:rsid w:val="00FF623F"/>
    <w:rsid w:val="00FF62AA"/>
    <w:rsid w:val="00FF6B50"/>
    <w:rsid w:val="00FF78E5"/>
    <w:rsid w:val="012C5FAF"/>
    <w:rsid w:val="014C6B51"/>
    <w:rsid w:val="017A355E"/>
    <w:rsid w:val="01A4698D"/>
    <w:rsid w:val="01AF3D99"/>
    <w:rsid w:val="01FD42EF"/>
    <w:rsid w:val="02104DC9"/>
    <w:rsid w:val="023C4E17"/>
    <w:rsid w:val="024453F9"/>
    <w:rsid w:val="024C492F"/>
    <w:rsid w:val="02511F9D"/>
    <w:rsid w:val="02754B8D"/>
    <w:rsid w:val="02785724"/>
    <w:rsid w:val="02987B74"/>
    <w:rsid w:val="02B80675"/>
    <w:rsid w:val="02BF7E78"/>
    <w:rsid w:val="02D23086"/>
    <w:rsid w:val="02EE5D7F"/>
    <w:rsid w:val="030B1166"/>
    <w:rsid w:val="0314369E"/>
    <w:rsid w:val="03250C7E"/>
    <w:rsid w:val="03483413"/>
    <w:rsid w:val="035F6E36"/>
    <w:rsid w:val="03A314B8"/>
    <w:rsid w:val="03C9092D"/>
    <w:rsid w:val="03D82B98"/>
    <w:rsid w:val="03F83E8B"/>
    <w:rsid w:val="0405748B"/>
    <w:rsid w:val="04206073"/>
    <w:rsid w:val="044B6A15"/>
    <w:rsid w:val="04515FC1"/>
    <w:rsid w:val="04637C2E"/>
    <w:rsid w:val="04BD1B14"/>
    <w:rsid w:val="04D1736D"/>
    <w:rsid w:val="04E35A1E"/>
    <w:rsid w:val="05030478"/>
    <w:rsid w:val="05067536"/>
    <w:rsid w:val="05111F73"/>
    <w:rsid w:val="052940F9"/>
    <w:rsid w:val="05412745"/>
    <w:rsid w:val="05634469"/>
    <w:rsid w:val="05676E89"/>
    <w:rsid w:val="056B57EE"/>
    <w:rsid w:val="05860158"/>
    <w:rsid w:val="05C56868"/>
    <w:rsid w:val="05C72C4A"/>
    <w:rsid w:val="05E732EC"/>
    <w:rsid w:val="06472F82"/>
    <w:rsid w:val="064A73D7"/>
    <w:rsid w:val="064F2C3F"/>
    <w:rsid w:val="066E1B38"/>
    <w:rsid w:val="067D4F16"/>
    <w:rsid w:val="069D556B"/>
    <w:rsid w:val="06A74829"/>
    <w:rsid w:val="06A92474"/>
    <w:rsid w:val="06AB431A"/>
    <w:rsid w:val="06B502A7"/>
    <w:rsid w:val="06EF31F8"/>
    <w:rsid w:val="07035F04"/>
    <w:rsid w:val="0725549D"/>
    <w:rsid w:val="07375BAD"/>
    <w:rsid w:val="073E1554"/>
    <w:rsid w:val="075C5614"/>
    <w:rsid w:val="07634BF4"/>
    <w:rsid w:val="07680464"/>
    <w:rsid w:val="07B72767"/>
    <w:rsid w:val="07DD026A"/>
    <w:rsid w:val="08077E72"/>
    <w:rsid w:val="08163393"/>
    <w:rsid w:val="086026EA"/>
    <w:rsid w:val="088272FC"/>
    <w:rsid w:val="08882DD0"/>
    <w:rsid w:val="08A2174C"/>
    <w:rsid w:val="08D54095"/>
    <w:rsid w:val="08E13F7A"/>
    <w:rsid w:val="08FD17C0"/>
    <w:rsid w:val="09364131"/>
    <w:rsid w:val="09644C54"/>
    <w:rsid w:val="09806BB8"/>
    <w:rsid w:val="0981726F"/>
    <w:rsid w:val="0988000E"/>
    <w:rsid w:val="098D41AA"/>
    <w:rsid w:val="09B23531"/>
    <w:rsid w:val="09CC2AAC"/>
    <w:rsid w:val="09E75FE1"/>
    <w:rsid w:val="09E76094"/>
    <w:rsid w:val="0A232419"/>
    <w:rsid w:val="0A2F1614"/>
    <w:rsid w:val="0A342878"/>
    <w:rsid w:val="0A652D3E"/>
    <w:rsid w:val="0AA90B70"/>
    <w:rsid w:val="0AD876A7"/>
    <w:rsid w:val="0B220922"/>
    <w:rsid w:val="0B326F2A"/>
    <w:rsid w:val="0B494101"/>
    <w:rsid w:val="0B9F01C5"/>
    <w:rsid w:val="0BCB720C"/>
    <w:rsid w:val="0C0A1AE2"/>
    <w:rsid w:val="0C1E2888"/>
    <w:rsid w:val="0C1F39AA"/>
    <w:rsid w:val="0C201336"/>
    <w:rsid w:val="0C252478"/>
    <w:rsid w:val="0C662A91"/>
    <w:rsid w:val="0C831DFB"/>
    <w:rsid w:val="0C92213C"/>
    <w:rsid w:val="0C9D19FC"/>
    <w:rsid w:val="0CC2027E"/>
    <w:rsid w:val="0CC53C5B"/>
    <w:rsid w:val="0CCA29EF"/>
    <w:rsid w:val="0CDD71F7"/>
    <w:rsid w:val="0D0A78C0"/>
    <w:rsid w:val="0D0D298F"/>
    <w:rsid w:val="0D5448F5"/>
    <w:rsid w:val="0D5D20E6"/>
    <w:rsid w:val="0D5F19BA"/>
    <w:rsid w:val="0D65084A"/>
    <w:rsid w:val="0D821B4C"/>
    <w:rsid w:val="0D84032B"/>
    <w:rsid w:val="0D8B3E92"/>
    <w:rsid w:val="0D984DF0"/>
    <w:rsid w:val="0DA16476"/>
    <w:rsid w:val="0DA66BC0"/>
    <w:rsid w:val="0DA675E9"/>
    <w:rsid w:val="0DB13EEB"/>
    <w:rsid w:val="0DB717F6"/>
    <w:rsid w:val="0DE1556F"/>
    <w:rsid w:val="0DF06AB6"/>
    <w:rsid w:val="0E116BEA"/>
    <w:rsid w:val="0E27335E"/>
    <w:rsid w:val="0E3E0206"/>
    <w:rsid w:val="0E6C0832"/>
    <w:rsid w:val="0E8536A2"/>
    <w:rsid w:val="0E981627"/>
    <w:rsid w:val="0EB83A78"/>
    <w:rsid w:val="0EF77800"/>
    <w:rsid w:val="0F2612F2"/>
    <w:rsid w:val="0F2A74C4"/>
    <w:rsid w:val="0F307AB2"/>
    <w:rsid w:val="0F3E7AEC"/>
    <w:rsid w:val="0F5C24F2"/>
    <w:rsid w:val="0F5D5A81"/>
    <w:rsid w:val="0F680533"/>
    <w:rsid w:val="0F696B20"/>
    <w:rsid w:val="0F704352"/>
    <w:rsid w:val="0F9022FF"/>
    <w:rsid w:val="0F987405"/>
    <w:rsid w:val="0FA14F53"/>
    <w:rsid w:val="0FB51D65"/>
    <w:rsid w:val="0FDF6DE2"/>
    <w:rsid w:val="0FE60171"/>
    <w:rsid w:val="0FF7237E"/>
    <w:rsid w:val="0FFE060C"/>
    <w:rsid w:val="10091618"/>
    <w:rsid w:val="103F1AE1"/>
    <w:rsid w:val="10494F08"/>
    <w:rsid w:val="105670B2"/>
    <w:rsid w:val="105E051F"/>
    <w:rsid w:val="106A0DA2"/>
    <w:rsid w:val="109E6D51"/>
    <w:rsid w:val="10A27F31"/>
    <w:rsid w:val="10A32F80"/>
    <w:rsid w:val="10F22B45"/>
    <w:rsid w:val="10F44B0F"/>
    <w:rsid w:val="10FF1D02"/>
    <w:rsid w:val="11140D0D"/>
    <w:rsid w:val="112C70B4"/>
    <w:rsid w:val="112E1DCF"/>
    <w:rsid w:val="11317B11"/>
    <w:rsid w:val="11405FA6"/>
    <w:rsid w:val="11634B2D"/>
    <w:rsid w:val="11743EDB"/>
    <w:rsid w:val="118D733C"/>
    <w:rsid w:val="11927058"/>
    <w:rsid w:val="11A2594D"/>
    <w:rsid w:val="11F456DF"/>
    <w:rsid w:val="12130ED5"/>
    <w:rsid w:val="1232090E"/>
    <w:rsid w:val="125E0D24"/>
    <w:rsid w:val="12937C8C"/>
    <w:rsid w:val="12972B11"/>
    <w:rsid w:val="12FE3A23"/>
    <w:rsid w:val="133E63BF"/>
    <w:rsid w:val="13441DD6"/>
    <w:rsid w:val="13441E3C"/>
    <w:rsid w:val="13641967"/>
    <w:rsid w:val="13673B1E"/>
    <w:rsid w:val="137A57A0"/>
    <w:rsid w:val="13A7230D"/>
    <w:rsid w:val="13AF4F03"/>
    <w:rsid w:val="13FA43A9"/>
    <w:rsid w:val="140C2170"/>
    <w:rsid w:val="1412618B"/>
    <w:rsid w:val="142E34E7"/>
    <w:rsid w:val="142E67E6"/>
    <w:rsid w:val="145347B1"/>
    <w:rsid w:val="145B75D5"/>
    <w:rsid w:val="146464BB"/>
    <w:rsid w:val="14672882"/>
    <w:rsid w:val="14710F49"/>
    <w:rsid w:val="14736E66"/>
    <w:rsid w:val="1476335E"/>
    <w:rsid w:val="147F458F"/>
    <w:rsid w:val="14997156"/>
    <w:rsid w:val="149A00A4"/>
    <w:rsid w:val="14C173FE"/>
    <w:rsid w:val="1517045B"/>
    <w:rsid w:val="15171E3E"/>
    <w:rsid w:val="15205ED3"/>
    <w:rsid w:val="1534169A"/>
    <w:rsid w:val="153D0F09"/>
    <w:rsid w:val="15436FFB"/>
    <w:rsid w:val="1571672E"/>
    <w:rsid w:val="157E577E"/>
    <w:rsid w:val="1594409D"/>
    <w:rsid w:val="15B36D47"/>
    <w:rsid w:val="15B744CC"/>
    <w:rsid w:val="15C03E03"/>
    <w:rsid w:val="15C103BC"/>
    <w:rsid w:val="15DB34C6"/>
    <w:rsid w:val="15E844C3"/>
    <w:rsid w:val="15EA1883"/>
    <w:rsid w:val="160B6B83"/>
    <w:rsid w:val="161E3BAC"/>
    <w:rsid w:val="162A25EB"/>
    <w:rsid w:val="16442095"/>
    <w:rsid w:val="164F0B7E"/>
    <w:rsid w:val="166313A9"/>
    <w:rsid w:val="16735895"/>
    <w:rsid w:val="16AB3EC2"/>
    <w:rsid w:val="16E3540A"/>
    <w:rsid w:val="16F8414B"/>
    <w:rsid w:val="16FC296F"/>
    <w:rsid w:val="16FD2A55"/>
    <w:rsid w:val="17067C1A"/>
    <w:rsid w:val="170F4210"/>
    <w:rsid w:val="17123F41"/>
    <w:rsid w:val="172A040E"/>
    <w:rsid w:val="17306175"/>
    <w:rsid w:val="17366761"/>
    <w:rsid w:val="17667DE9"/>
    <w:rsid w:val="177C01F0"/>
    <w:rsid w:val="179E3EFA"/>
    <w:rsid w:val="17B117AC"/>
    <w:rsid w:val="17CE6630"/>
    <w:rsid w:val="17FE0021"/>
    <w:rsid w:val="180669B0"/>
    <w:rsid w:val="1819351B"/>
    <w:rsid w:val="181B2B48"/>
    <w:rsid w:val="184400AB"/>
    <w:rsid w:val="185C1918"/>
    <w:rsid w:val="18643D3F"/>
    <w:rsid w:val="189D783A"/>
    <w:rsid w:val="18A136C6"/>
    <w:rsid w:val="18E4227A"/>
    <w:rsid w:val="190938C6"/>
    <w:rsid w:val="19375EE1"/>
    <w:rsid w:val="19940109"/>
    <w:rsid w:val="19AA66B3"/>
    <w:rsid w:val="19CD414F"/>
    <w:rsid w:val="19F16090"/>
    <w:rsid w:val="19F65454"/>
    <w:rsid w:val="1A1A55E6"/>
    <w:rsid w:val="1A5D3725"/>
    <w:rsid w:val="1A5D7FC5"/>
    <w:rsid w:val="1A765EA6"/>
    <w:rsid w:val="1A8A6438"/>
    <w:rsid w:val="1A8C6C9A"/>
    <w:rsid w:val="1A92257F"/>
    <w:rsid w:val="1AA57FC0"/>
    <w:rsid w:val="1AB21997"/>
    <w:rsid w:val="1AD2194F"/>
    <w:rsid w:val="1AFF0AFE"/>
    <w:rsid w:val="1B4F19F8"/>
    <w:rsid w:val="1B543BC9"/>
    <w:rsid w:val="1B7915F2"/>
    <w:rsid w:val="1B8340B2"/>
    <w:rsid w:val="1B8E61F9"/>
    <w:rsid w:val="1B9413C8"/>
    <w:rsid w:val="1BB6133F"/>
    <w:rsid w:val="1BC51582"/>
    <w:rsid w:val="1BCE3182"/>
    <w:rsid w:val="1BD06D0C"/>
    <w:rsid w:val="1BDD7243"/>
    <w:rsid w:val="1BEC4B29"/>
    <w:rsid w:val="1C0876C1"/>
    <w:rsid w:val="1C3343D1"/>
    <w:rsid w:val="1C637351"/>
    <w:rsid w:val="1C7A65D5"/>
    <w:rsid w:val="1C82296C"/>
    <w:rsid w:val="1C9378D2"/>
    <w:rsid w:val="1CAF0249"/>
    <w:rsid w:val="1CB734D0"/>
    <w:rsid w:val="1CE4012E"/>
    <w:rsid w:val="1CFD2174"/>
    <w:rsid w:val="1CFF2872"/>
    <w:rsid w:val="1D0B7468"/>
    <w:rsid w:val="1D3E7F00"/>
    <w:rsid w:val="1D631052"/>
    <w:rsid w:val="1DB95116"/>
    <w:rsid w:val="1DED3012"/>
    <w:rsid w:val="1E114F52"/>
    <w:rsid w:val="1E27531B"/>
    <w:rsid w:val="1E593087"/>
    <w:rsid w:val="1E5B2D6F"/>
    <w:rsid w:val="1ECC44FA"/>
    <w:rsid w:val="1EDA17E8"/>
    <w:rsid w:val="1EE06A83"/>
    <w:rsid w:val="1EFD54D7"/>
    <w:rsid w:val="1F016D75"/>
    <w:rsid w:val="1F063325"/>
    <w:rsid w:val="1F332CA6"/>
    <w:rsid w:val="1F5D0F05"/>
    <w:rsid w:val="1F7F2436"/>
    <w:rsid w:val="1F8C3E0D"/>
    <w:rsid w:val="1FA77D59"/>
    <w:rsid w:val="1FBC5DF5"/>
    <w:rsid w:val="1FC45AFF"/>
    <w:rsid w:val="1FCD30FB"/>
    <w:rsid w:val="1FEC0188"/>
    <w:rsid w:val="1FF90588"/>
    <w:rsid w:val="1FFF6CC7"/>
    <w:rsid w:val="20020FF7"/>
    <w:rsid w:val="20052895"/>
    <w:rsid w:val="20235429"/>
    <w:rsid w:val="202F590E"/>
    <w:rsid w:val="204C4020"/>
    <w:rsid w:val="2056255B"/>
    <w:rsid w:val="206879C3"/>
    <w:rsid w:val="20690EED"/>
    <w:rsid w:val="206E043A"/>
    <w:rsid w:val="208A696D"/>
    <w:rsid w:val="20C3623F"/>
    <w:rsid w:val="20D567A1"/>
    <w:rsid w:val="20D83B05"/>
    <w:rsid w:val="20EA0E7A"/>
    <w:rsid w:val="20EC607E"/>
    <w:rsid w:val="20F8473F"/>
    <w:rsid w:val="21143A54"/>
    <w:rsid w:val="21204E2B"/>
    <w:rsid w:val="213B08EF"/>
    <w:rsid w:val="214116AB"/>
    <w:rsid w:val="21553F62"/>
    <w:rsid w:val="216A30E1"/>
    <w:rsid w:val="21715D2F"/>
    <w:rsid w:val="21781212"/>
    <w:rsid w:val="21837F15"/>
    <w:rsid w:val="219537A4"/>
    <w:rsid w:val="21AB121A"/>
    <w:rsid w:val="21B15B0B"/>
    <w:rsid w:val="21B83F86"/>
    <w:rsid w:val="21DE339D"/>
    <w:rsid w:val="21EA7F94"/>
    <w:rsid w:val="21F93D33"/>
    <w:rsid w:val="220152DE"/>
    <w:rsid w:val="221178A8"/>
    <w:rsid w:val="221213CF"/>
    <w:rsid w:val="22235254"/>
    <w:rsid w:val="22327A92"/>
    <w:rsid w:val="22A80FA4"/>
    <w:rsid w:val="22AC2B3C"/>
    <w:rsid w:val="22DF686F"/>
    <w:rsid w:val="22F22C45"/>
    <w:rsid w:val="22FF35CB"/>
    <w:rsid w:val="231D53A2"/>
    <w:rsid w:val="23454050"/>
    <w:rsid w:val="236D5383"/>
    <w:rsid w:val="237044C9"/>
    <w:rsid w:val="23790749"/>
    <w:rsid w:val="237D2742"/>
    <w:rsid w:val="23814F05"/>
    <w:rsid w:val="239006C7"/>
    <w:rsid w:val="23B02B18"/>
    <w:rsid w:val="23B7504C"/>
    <w:rsid w:val="23F95523"/>
    <w:rsid w:val="240864B0"/>
    <w:rsid w:val="24101808"/>
    <w:rsid w:val="243E6375"/>
    <w:rsid w:val="2446347C"/>
    <w:rsid w:val="245142FB"/>
    <w:rsid w:val="24571307"/>
    <w:rsid w:val="245F19BC"/>
    <w:rsid w:val="246F652F"/>
    <w:rsid w:val="248F4E23"/>
    <w:rsid w:val="24A87C93"/>
    <w:rsid w:val="24AE34FB"/>
    <w:rsid w:val="24D434BF"/>
    <w:rsid w:val="24DD793C"/>
    <w:rsid w:val="24F66C50"/>
    <w:rsid w:val="25110A2A"/>
    <w:rsid w:val="25210B88"/>
    <w:rsid w:val="25333A00"/>
    <w:rsid w:val="2560231B"/>
    <w:rsid w:val="256C0944"/>
    <w:rsid w:val="25861231"/>
    <w:rsid w:val="25965D3D"/>
    <w:rsid w:val="25A162AA"/>
    <w:rsid w:val="25BF7042"/>
    <w:rsid w:val="26020A04"/>
    <w:rsid w:val="260E1D77"/>
    <w:rsid w:val="2624159B"/>
    <w:rsid w:val="26252D3B"/>
    <w:rsid w:val="26446DE3"/>
    <w:rsid w:val="26492DAF"/>
    <w:rsid w:val="26537C28"/>
    <w:rsid w:val="267A11BB"/>
    <w:rsid w:val="269669E7"/>
    <w:rsid w:val="269E4D4F"/>
    <w:rsid w:val="26A270C1"/>
    <w:rsid w:val="26A71BA4"/>
    <w:rsid w:val="26C757BD"/>
    <w:rsid w:val="26D7699F"/>
    <w:rsid w:val="26E15679"/>
    <w:rsid w:val="27315D1D"/>
    <w:rsid w:val="274E2D73"/>
    <w:rsid w:val="27653C19"/>
    <w:rsid w:val="27DF28A8"/>
    <w:rsid w:val="28006643"/>
    <w:rsid w:val="28197114"/>
    <w:rsid w:val="282A5766"/>
    <w:rsid w:val="28343DE8"/>
    <w:rsid w:val="283E6450"/>
    <w:rsid w:val="287A2630"/>
    <w:rsid w:val="289017FF"/>
    <w:rsid w:val="28B847A0"/>
    <w:rsid w:val="28FE4325"/>
    <w:rsid w:val="290A5ABA"/>
    <w:rsid w:val="291C72AD"/>
    <w:rsid w:val="295E0B87"/>
    <w:rsid w:val="296744C1"/>
    <w:rsid w:val="296E1870"/>
    <w:rsid w:val="299403B5"/>
    <w:rsid w:val="29CA4207"/>
    <w:rsid w:val="29D75F7F"/>
    <w:rsid w:val="29E57683"/>
    <w:rsid w:val="29F15C38"/>
    <w:rsid w:val="2A2102CB"/>
    <w:rsid w:val="2A3873C3"/>
    <w:rsid w:val="2A3D1EA3"/>
    <w:rsid w:val="2A636B36"/>
    <w:rsid w:val="2AA64BC9"/>
    <w:rsid w:val="2AB033FD"/>
    <w:rsid w:val="2ABD2585"/>
    <w:rsid w:val="2AFE685E"/>
    <w:rsid w:val="2B2067D5"/>
    <w:rsid w:val="2B592314"/>
    <w:rsid w:val="2B774624"/>
    <w:rsid w:val="2B8A1EA0"/>
    <w:rsid w:val="2B986184"/>
    <w:rsid w:val="2B9C16CF"/>
    <w:rsid w:val="2BAD5B8F"/>
    <w:rsid w:val="2BD82C0B"/>
    <w:rsid w:val="2BE123B4"/>
    <w:rsid w:val="2BF33EE9"/>
    <w:rsid w:val="2BFD2F55"/>
    <w:rsid w:val="2C0E2AD1"/>
    <w:rsid w:val="2C7A72BE"/>
    <w:rsid w:val="2C9A7D75"/>
    <w:rsid w:val="2CA64AB8"/>
    <w:rsid w:val="2CC17412"/>
    <w:rsid w:val="2CF4689F"/>
    <w:rsid w:val="2D7944A7"/>
    <w:rsid w:val="2D7C1E99"/>
    <w:rsid w:val="2DC93154"/>
    <w:rsid w:val="2DDD275B"/>
    <w:rsid w:val="2DF13D96"/>
    <w:rsid w:val="2E40086E"/>
    <w:rsid w:val="2E42678A"/>
    <w:rsid w:val="2E9976CE"/>
    <w:rsid w:val="2EA05DEF"/>
    <w:rsid w:val="2EC608BE"/>
    <w:rsid w:val="2ECE479A"/>
    <w:rsid w:val="2ED30339"/>
    <w:rsid w:val="2ED434D0"/>
    <w:rsid w:val="2ED4558F"/>
    <w:rsid w:val="2EF01DEE"/>
    <w:rsid w:val="2EF35FAE"/>
    <w:rsid w:val="2EFD03CC"/>
    <w:rsid w:val="2F401D3C"/>
    <w:rsid w:val="2F5B24E1"/>
    <w:rsid w:val="2F68699C"/>
    <w:rsid w:val="2F6A44C2"/>
    <w:rsid w:val="2FA16614"/>
    <w:rsid w:val="2FA95C88"/>
    <w:rsid w:val="2FAE0F08"/>
    <w:rsid w:val="2FAF1ED5"/>
    <w:rsid w:val="2FBE51CD"/>
    <w:rsid w:val="2FD44032"/>
    <w:rsid w:val="2FD71C48"/>
    <w:rsid w:val="3014422E"/>
    <w:rsid w:val="302A5A00"/>
    <w:rsid w:val="303845C1"/>
    <w:rsid w:val="3041370F"/>
    <w:rsid w:val="30470360"/>
    <w:rsid w:val="30713148"/>
    <w:rsid w:val="30731155"/>
    <w:rsid w:val="3091782D"/>
    <w:rsid w:val="30B023A9"/>
    <w:rsid w:val="30B87FED"/>
    <w:rsid w:val="30DF0DA9"/>
    <w:rsid w:val="3102072B"/>
    <w:rsid w:val="310B777A"/>
    <w:rsid w:val="311961DE"/>
    <w:rsid w:val="312B50A3"/>
    <w:rsid w:val="313021A4"/>
    <w:rsid w:val="31464ABB"/>
    <w:rsid w:val="317E3F73"/>
    <w:rsid w:val="31894FD2"/>
    <w:rsid w:val="31B25CAD"/>
    <w:rsid w:val="31B9703B"/>
    <w:rsid w:val="31BB3D9F"/>
    <w:rsid w:val="320C7AB3"/>
    <w:rsid w:val="324059AE"/>
    <w:rsid w:val="32453A27"/>
    <w:rsid w:val="324D52A1"/>
    <w:rsid w:val="3263064A"/>
    <w:rsid w:val="32A43132"/>
    <w:rsid w:val="32AC0C06"/>
    <w:rsid w:val="32B6360A"/>
    <w:rsid w:val="32E36F4F"/>
    <w:rsid w:val="333304B5"/>
    <w:rsid w:val="33344EF5"/>
    <w:rsid w:val="334B63B9"/>
    <w:rsid w:val="334C39F1"/>
    <w:rsid w:val="337C30AF"/>
    <w:rsid w:val="33844287"/>
    <w:rsid w:val="339F0696"/>
    <w:rsid w:val="33AB50A9"/>
    <w:rsid w:val="33AD0E22"/>
    <w:rsid w:val="33E052F4"/>
    <w:rsid w:val="342C4E17"/>
    <w:rsid w:val="343614B1"/>
    <w:rsid w:val="343D03F7"/>
    <w:rsid w:val="345D1FF1"/>
    <w:rsid w:val="34D643A8"/>
    <w:rsid w:val="34DD3449"/>
    <w:rsid w:val="351A6043"/>
    <w:rsid w:val="3537750C"/>
    <w:rsid w:val="3537798C"/>
    <w:rsid w:val="35377B8C"/>
    <w:rsid w:val="35586B6B"/>
    <w:rsid w:val="355A6D87"/>
    <w:rsid w:val="355C710A"/>
    <w:rsid w:val="358856A2"/>
    <w:rsid w:val="3596063D"/>
    <w:rsid w:val="35B71A60"/>
    <w:rsid w:val="35BA7F82"/>
    <w:rsid w:val="35C13FC9"/>
    <w:rsid w:val="35D02BA5"/>
    <w:rsid w:val="36034B1A"/>
    <w:rsid w:val="361C1771"/>
    <w:rsid w:val="363B441F"/>
    <w:rsid w:val="364257B6"/>
    <w:rsid w:val="36427667"/>
    <w:rsid w:val="3647008D"/>
    <w:rsid w:val="36A858D0"/>
    <w:rsid w:val="36B424C7"/>
    <w:rsid w:val="36E74BCF"/>
    <w:rsid w:val="36EC7EB3"/>
    <w:rsid w:val="370F76FD"/>
    <w:rsid w:val="371D3646"/>
    <w:rsid w:val="372E2DE4"/>
    <w:rsid w:val="374B5E63"/>
    <w:rsid w:val="37511489"/>
    <w:rsid w:val="37555A58"/>
    <w:rsid w:val="377A101B"/>
    <w:rsid w:val="37A20571"/>
    <w:rsid w:val="37B85195"/>
    <w:rsid w:val="37DE3C9F"/>
    <w:rsid w:val="37EA5922"/>
    <w:rsid w:val="37F25055"/>
    <w:rsid w:val="380B25BB"/>
    <w:rsid w:val="38276B93"/>
    <w:rsid w:val="38AC3431"/>
    <w:rsid w:val="38EC7CF6"/>
    <w:rsid w:val="392F2E16"/>
    <w:rsid w:val="39904B26"/>
    <w:rsid w:val="39A9208B"/>
    <w:rsid w:val="39B324CD"/>
    <w:rsid w:val="39E00529"/>
    <w:rsid w:val="39F850F3"/>
    <w:rsid w:val="3A0B64A7"/>
    <w:rsid w:val="3A1514CF"/>
    <w:rsid w:val="3A541FF7"/>
    <w:rsid w:val="3A574DDA"/>
    <w:rsid w:val="3A86417A"/>
    <w:rsid w:val="3A935AF0"/>
    <w:rsid w:val="3A95616C"/>
    <w:rsid w:val="3ABF2161"/>
    <w:rsid w:val="3AC23405"/>
    <w:rsid w:val="3AD3075A"/>
    <w:rsid w:val="3AD9239C"/>
    <w:rsid w:val="3AF74C02"/>
    <w:rsid w:val="3B0357CB"/>
    <w:rsid w:val="3B3F4ABE"/>
    <w:rsid w:val="3B554279"/>
    <w:rsid w:val="3B5F6EA5"/>
    <w:rsid w:val="3B634251"/>
    <w:rsid w:val="3B693880"/>
    <w:rsid w:val="3B8C57C0"/>
    <w:rsid w:val="3BAA5C47"/>
    <w:rsid w:val="3BBC42F8"/>
    <w:rsid w:val="3C0059A5"/>
    <w:rsid w:val="3C0A7E90"/>
    <w:rsid w:val="3C134E78"/>
    <w:rsid w:val="3C467402"/>
    <w:rsid w:val="3C655E40"/>
    <w:rsid w:val="3CB212CE"/>
    <w:rsid w:val="3CCF3BB7"/>
    <w:rsid w:val="3D3440FA"/>
    <w:rsid w:val="3D3A1978"/>
    <w:rsid w:val="3D421874"/>
    <w:rsid w:val="3D762284"/>
    <w:rsid w:val="3D84116E"/>
    <w:rsid w:val="3DA72A27"/>
    <w:rsid w:val="3DAC3EF8"/>
    <w:rsid w:val="3DBA2D6A"/>
    <w:rsid w:val="3DC01751"/>
    <w:rsid w:val="3DC06910"/>
    <w:rsid w:val="3DF6345D"/>
    <w:rsid w:val="3DF84269"/>
    <w:rsid w:val="3E2B5515"/>
    <w:rsid w:val="3E38233A"/>
    <w:rsid w:val="3E4D4F28"/>
    <w:rsid w:val="3E74207E"/>
    <w:rsid w:val="3EA6693C"/>
    <w:rsid w:val="3EAD487E"/>
    <w:rsid w:val="3EBB6EA6"/>
    <w:rsid w:val="3ED92EC4"/>
    <w:rsid w:val="3EE13701"/>
    <w:rsid w:val="3EFC2C5D"/>
    <w:rsid w:val="3F112F99"/>
    <w:rsid w:val="3F1A4BB3"/>
    <w:rsid w:val="3F3E6DD2"/>
    <w:rsid w:val="3F3F36A7"/>
    <w:rsid w:val="3F536256"/>
    <w:rsid w:val="3F6C5837"/>
    <w:rsid w:val="3F8A64BB"/>
    <w:rsid w:val="3F8D744B"/>
    <w:rsid w:val="3F9A222F"/>
    <w:rsid w:val="3FC1012F"/>
    <w:rsid w:val="3FE71217"/>
    <w:rsid w:val="400B1FA5"/>
    <w:rsid w:val="40112738"/>
    <w:rsid w:val="40186DD6"/>
    <w:rsid w:val="40192BA6"/>
    <w:rsid w:val="402329BE"/>
    <w:rsid w:val="40520D87"/>
    <w:rsid w:val="40773958"/>
    <w:rsid w:val="40BA66CD"/>
    <w:rsid w:val="40F64D19"/>
    <w:rsid w:val="410302D3"/>
    <w:rsid w:val="410D1152"/>
    <w:rsid w:val="41175B2C"/>
    <w:rsid w:val="413C4BDD"/>
    <w:rsid w:val="413D5750"/>
    <w:rsid w:val="41470DF8"/>
    <w:rsid w:val="414F3518"/>
    <w:rsid w:val="415D593F"/>
    <w:rsid w:val="416511DB"/>
    <w:rsid w:val="41766EA9"/>
    <w:rsid w:val="417E2272"/>
    <w:rsid w:val="41864724"/>
    <w:rsid w:val="41B1600A"/>
    <w:rsid w:val="41B84642"/>
    <w:rsid w:val="41CF4659"/>
    <w:rsid w:val="420C0880"/>
    <w:rsid w:val="421B164C"/>
    <w:rsid w:val="421E6F57"/>
    <w:rsid w:val="42244E0B"/>
    <w:rsid w:val="423544BC"/>
    <w:rsid w:val="42502E26"/>
    <w:rsid w:val="42550A18"/>
    <w:rsid w:val="42970814"/>
    <w:rsid w:val="429D496A"/>
    <w:rsid w:val="42D90BAA"/>
    <w:rsid w:val="42F473A1"/>
    <w:rsid w:val="431E31A2"/>
    <w:rsid w:val="432B3B11"/>
    <w:rsid w:val="432F1853"/>
    <w:rsid w:val="43324E9F"/>
    <w:rsid w:val="433429C6"/>
    <w:rsid w:val="435766B4"/>
    <w:rsid w:val="4368266F"/>
    <w:rsid w:val="43707776"/>
    <w:rsid w:val="437217EA"/>
    <w:rsid w:val="43AB7156"/>
    <w:rsid w:val="43AC6A00"/>
    <w:rsid w:val="43F81C45"/>
    <w:rsid w:val="441647C1"/>
    <w:rsid w:val="441E62C0"/>
    <w:rsid w:val="44290050"/>
    <w:rsid w:val="44482F29"/>
    <w:rsid w:val="444F4AAD"/>
    <w:rsid w:val="44514BEC"/>
    <w:rsid w:val="44780FD8"/>
    <w:rsid w:val="44A818BD"/>
    <w:rsid w:val="44DC4731"/>
    <w:rsid w:val="44E421C9"/>
    <w:rsid w:val="450E3FAF"/>
    <w:rsid w:val="45325D14"/>
    <w:rsid w:val="453E5D7D"/>
    <w:rsid w:val="457B0D80"/>
    <w:rsid w:val="45811C7C"/>
    <w:rsid w:val="4589206F"/>
    <w:rsid w:val="45906116"/>
    <w:rsid w:val="45931B8C"/>
    <w:rsid w:val="459D696F"/>
    <w:rsid w:val="45A608E2"/>
    <w:rsid w:val="45BB73CE"/>
    <w:rsid w:val="45CA13BF"/>
    <w:rsid w:val="45E5269D"/>
    <w:rsid w:val="45EC7588"/>
    <w:rsid w:val="45EF2552"/>
    <w:rsid w:val="4603688D"/>
    <w:rsid w:val="461E170B"/>
    <w:rsid w:val="46256F3D"/>
    <w:rsid w:val="46330F03"/>
    <w:rsid w:val="464473C4"/>
    <w:rsid w:val="465E7C1C"/>
    <w:rsid w:val="466965F4"/>
    <w:rsid w:val="4677534F"/>
    <w:rsid w:val="468B3EFB"/>
    <w:rsid w:val="470A6193"/>
    <w:rsid w:val="47385210"/>
    <w:rsid w:val="47655843"/>
    <w:rsid w:val="47C85DD2"/>
    <w:rsid w:val="47DC4F5C"/>
    <w:rsid w:val="47EB2347"/>
    <w:rsid w:val="47F14B91"/>
    <w:rsid w:val="47F81D88"/>
    <w:rsid w:val="47F92CE6"/>
    <w:rsid w:val="47FA3CDB"/>
    <w:rsid w:val="485E2293"/>
    <w:rsid w:val="48735ADA"/>
    <w:rsid w:val="48B40671"/>
    <w:rsid w:val="48C50C7E"/>
    <w:rsid w:val="48FA1FBB"/>
    <w:rsid w:val="4929464F"/>
    <w:rsid w:val="492B03C7"/>
    <w:rsid w:val="49763089"/>
    <w:rsid w:val="4977360C"/>
    <w:rsid w:val="497B2A00"/>
    <w:rsid w:val="49865F45"/>
    <w:rsid w:val="499B5738"/>
    <w:rsid w:val="499C7434"/>
    <w:rsid w:val="499F244D"/>
    <w:rsid w:val="49A34401"/>
    <w:rsid w:val="49A56155"/>
    <w:rsid w:val="49C92CA1"/>
    <w:rsid w:val="49DE4553"/>
    <w:rsid w:val="49E63F87"/>
    <w:rsid w:val="49FE7E9D"/>
    <w:rsid w:val="4A113A61"/>
    <w:rsid w:val="4A1D1724"/>
    <w:rsid w:val="4A4F27DB"/>
    <w:rsid w:val="4A6E71B5"/>
    <w:rsid w:val="4A703634"/>
    <w:rsid w:val="4A973F3F"/>
    <w:rsid w:val="4AA2290B"/>
    <w:rsid w:val="4AAB4F26"/>
    <w:rsid w:val="4AC62BC0"/>
    <w:rsid w:val="4AF84C20"/>
    <w:rsid w:val="4AF96BC7"/>
    <w:rsid w:val="4B111A14"/>
    <w:rsid w:val="4B272E10"/>
    <w:rsid w:val="4B2D6A7D"/>
    <w:rsid w:val="4B5300A9"/>
    <w:rsid w:val="4B5C51AF"/>
    <w:rsid w:val="4B5D1DE1"/>
    <w:rsid w:val="4B63603F"/>
    <w:rsid w:val="4B773D97"/>
    <w:rsid w:val="4B8169C4"/>
    <w:rsid w:val="4B831755"/>
    <w:rsid w:val="4B862A85"/>
    <w:rsid w:val="4B92472D"/>
    <w:rsid w:val="4B95421D"/>
    <w:rsid w:val="4BC00F91"/>
    <w:rsid w:val="4BEC2794"/>
    <w:rsid w:val="4C1B17EE"/>
    <w:rsid w:val="4C251A45"/>
    <w:rsid w:val="4C2555A1"/>
    <w:rsid w:val="4C2D26A8"/>
    <w:rsid w:val="4C583BC9"/>
    <w:rsid w:val="4CEF36E2"/>
    <w:rsid w:val="4CEF4DC5"/>
    <w:rsid w:val="4D1F0142"/>
    <w:rsid w:val="4D5A74CD"/>
    <w:rsid w:val="4D812CA4"/>
    <w:rsid w:val="4DA8648A"/>
    <w:rsid w:val="4DC20272"/>
    <w:rsid w:val="4DDA6DE0"/>
    <w:rsid w:val="4DDF5C24"/>
    <w:rsid w:val="4DEF40B9"/>
    <w:rsid w:val="4E01203E"/>
    <w:rsid w:val="4E056A63"/>
    <w:rsid w:val="4E0C363C"/>
    <w:rsid w:val="4E131761"/>
    <w:rsid w:val="4E160F61"/>
    <w:rsid w:val="4E257655"/>
    <w:rsid w:val="4E4168DE"/>
    <w:rsid w:val="4E471936"/>
    <w:rsid w:val="4E4B5067"/>
    <w:rsid w:val="4E6D4818"/>
    <w:rsid w:val="4EB62E28"/>
    <w:rsid w:val="4EEF1E97"/>
    <w:rsid w:val="4F267A7B"/>
    <w:rsid w:val="4F2E29BF"/>
    <w:rsid w:val="4F372380"/>
    <w:rsid w:val="4F372FFB"/>
    <w:rsid w:val="4F381A8F"/>
    <w:rsid w:val="4F4421E2"/>
    <w:rsid w:val="4F637464"/>
    <w:rsid w:val="4F6463E1"/>
    <w:rsid w:val="4F6F74A8"/>
    <w:rsid w:val="4F97342E"/>
    <w:rsid w:val="4FCA700F"/>
    <w:rsid w:val="4FDF015D"/>
    <w:rsid w:val="4FE85264"/>
    <w:rsid w:val="4FF26C3F"/>
    <w:rsid w:val="4FF27E90"/>
    <w:rsid w:val="5025116D"/>
    <w:rsid w:val="502618E8"/>
    <w:rsid w:val="502F3F31"/>
    <w:rsid w:val="503736B8"/>
    <w:rsid w:val="503C7AAB"/>
    <w:rsid w:val="50412BC6"/>
    <w:rsid w:val="5051105B"/>
    <w:rsid w:val="506A5C79"/>
    <w:rsid w:val="50DD28EE"/>
    <w:rsid w:val="50EA5464"/>
    <w:rsid w:val="51121E6C"/>
    <w:rsid w:val="51326C84"/>
    <w:rsid w:val="5136322E"/>
    <w:rsid w:val="513D2F2D"/>
    <w:rsid w:val="513D3146"/>
    <w:rsid w:val="51475FBA"/>
    <w:rsid w:val="516F0998"/>
    <w:rsid w:val="520E4D2A"/>
    <w:rsid w:val="522B58DB"/>
    <w:rsid w:val="52395ECD"/>
    <w:rsid w:val="524228DE"/>
    <w:rsid w:val="525C3CE7"/>
    <w:rsid w:val="52645A0F"/>
    <w:rsid w:val="52814D10"/>
    <w:rsid w:val="52C10D75"/>
    <w:rsid w:val="52D95337"/>
    <w:rsid w:val="52EB2107"/>
    <w:rsid w:val="52FE5265"/>
    <w:rsid w:val="53117BEB"/>
    <w:rsid w:val="531E6325"/>
    <w:rsid w:val="5334256E"/>
    <w:rsid w:val="533F53EB"/>
    <w:rsid w:val="534D69D6"/>
    <w:rsid w:val="536F016D"/>
    <w:rsid w:val="539F032F"/>
    <w:rsid w:val="53C27FF8"/>
    <w:rsid w:val="53CD125B"/>
    <w:rsid w:val="53D22156"/>
    <w:rsid w:val="53D61D1B"/>
    <w:rsid w:val="53ED6794"/>
    <w:rsid w:val="53FC1FC4"/>
    <w:rsid w:val="53FF492A"/>
    <w:rsid w:val="54212884"/>
    <w:rsid w:val="54370568"/>
    <w:rsid w:val="544E765F"/>
    <w:rsid w:val="545D7674"/>
    <w:rsid w:val="54866DF9"/>
    <w:rsid w:val="54963781"/>
    <w:rsid w:val="549E1A80"/>
    <w:rsid w:val="54A44DC8"/>
    <w:rsid w:val="54B908EF"/>
    <w:rsid w:val="54BF40B9"/>
    <w:rsid w:val="54C658F4"/>
    <w:rsid w:val="54D61FB2"/>
    <w:rsid w:val="54EB1352"/>
    <w:rsid w:val="54FC530D"/>
    <w:rsid w:val="550C4BD7"/>
    <w:rsid w:val="550D751A"/>
    <w:rsid w:val="55145579"/>
    <w:rsid w:val="5516017D"/>
    <w:rsid w:val="55287EB0"/>
    <w:rsid w:val="554C1D56"/>
    <w:rsid w:val="555109BF"/>
    <w:rsid w:val="55572986"/>
    <w:rsid w:val="55735D4F"/>
    <w:rsid w:val="5575773B"/>
    <w:rsid w:val="558E2819"/>
    <w:rsid w:val="55990DAE"/>
    <w:rsid w:val="55A77EB5"/>
    <w:rsid w:val="55D2686D"/>
    <w:rsid w:val="55D63DB0"/>
    <w:rsid w:val="55F83D27"/>
    <w:rsid w:val="56040230"/>
    <w:rsid w:val="56226FF5"/>
    <w:rsid w:val="56233DAE"/>
    <w:rsid w:val="562F5E23"/>
    <w:rsid w:val="56303B17"/>
    <w:rsid w:val="563B65B6"/>
    <w:rsid w:val="564367C8"/>
    <w:rsid w:val="564E7DEA"/>
    <w:rsid w:val="565340FA"/>
    <w:rsid w:val="56704AF7"/>
    <w:rsid w:val="568C38D5"/>
    <w:rsid w:val="56AD5F59"/>
    <w:rsid w:val="56B64DD1"/>
    <w:rsid w:val="56C2481E"/>
    <w:rsid w:val="56DF0A43"/>
    <w:rsid w:val="56E85B49"/>
    <w:rsid w:val="570A60B6"/>
    <w:rsid w:val="57933AF9"/>
    <w:rsid w:val="57AD28EF"/>
    <w:rsid w:val="57B12A52"/>
    <w:rsid w:val="57BC40F5"/>
    <w:rsid w:val="57E67F4B"/>
    <w:rsid w:val="581B5AAA"/>
    <w:rsid w:val="58276B38"/>
    <w:rsid w:val="586C66E9"/>
    <w:rsid w:val="587B479B"/>
    <w:rsid w:val="58B63376"/>
    <w:rsid w:val="58C2377B"/>
    <w:rsid w:val="58C63C68"/>
    <w:rsid w:val="59162E41"/>
    <w:rsid w:val="592D018B"/>
    <w:rsid w:val="59464185"/>
    <w:rsid w:val="598B0206"/>
    <w:rsid w:val="598F4BC6"/>
    <w:rsid w:val="59952572"/>
    <w:rsid w:val="59B43CF0"/>
    <w:rsid w:val="59E545C2"/>
    <w:rsid w:val="5A2B372A"/>
    <w:rsid w:val="5A2F2CC8"/>
    <w:rsid w:val="5A386DE8"/>
    <w:rsid w:val="5A3D3FE7"/>
    <w:rsid w:val="5A470DD9"/>
    <w:rsid w:val="5A5B4884"/>
    <w:rsid w:val="5A697687"/>
    <w:rsid w:val="5A6F20DD"/>
    <w:rsid w:val="5A7076D3"/>
    <w:rsid w:val="5A865DA5"/>
    <w:rsid w:val="5A9D6C4B"/>
    <w:rsid w:val="5AA341F7"/>
    <w:rsid w:val="5AD102F4"/>
    <w:rsid w:val="5AD563E4"/>
    <w:rsid w:val="5AE8436A"/>
    <w:rsid w:val="5AEA5DC4"/>
    <w:rsid w:val="5AED63B8"/>
    <w:rsid w:val="5AF34ABD"/>
    <w:rsid w:val="5B0B0A9C"/>
    <w:rsid w:val="5B1213E7"/>
    <w:rsid w:val="5B2F1F99"/>
    <w:rsid w:val="5B43290D"/>
    <w:rsid w:val="5B4A5024"/>
    <w:rsid w:val="5B5163B3"/>
    <w:rsid w:val="5B6B5832"/>
    <w:rsid w:val="5B7669F7"/>
    <w:rsid w:val="5B776212"/>
    <w:rsid w:val="5B9C5154"/>
    <w:rsid w:val="5BE2525D"/>
    <w:rsid w:val="5BE70AC5"/>
    <w:rsid w:val="5C0C678E"/>
    <w:rsid w:val="5C10702D"/>
    <w:rsid w:val="5C14118E"/>
    <w:rsid w:val="5C152601"/>
    <w:rsid w:val="5C201DAC"/>
    <w:rsid w:val="5C3645EB"/>
    <w:rsid w:val="5C563555"/>
    <w:rsid w:val="5C566D9D"/>
    <w:rsid w:val="5C591F03"/>
    <w:rsid w:val="5C846314"/>
    <w:rsid w:val="5C8A1B2F"/>
    <w:rsid w:val="5CA465AE"/>
    <w:rsid w:val="5CB12E81"/>
    <w:rsid w:val="5CE172C2"/>
    <w:rsid w:val="5D2109E2"/>
    <w:rsid w:val="5D2B2C34"/>
    <w:rsid w:val="5D2B6790"/>
    <w:rsid w:val="5D3543FB"/>
    <w:rsid w:val="5D362A80"/>
    <w:rsid w:val="5D7C3AA3"/>
    <w:rsid w:val="5D7E0FB5"/>
    <w:rsid w:val="5D9918D8"/>
    <w:rsid w:val="5DA55635"/>
    <w:rsid w:val="5DAF5613"/>
    <w:rsid w:val="5DB37EE1"/>
    <w:rsid w:val="5DB42C29"/>
    <w:rsid w:val="5DE132F2"/>
    <w:rsid w:val="5E092FE9"/>
    <w:rsid w:val="5E373AEB"/>
    <w:rsid w:val="5E501F37"/>
    <w:rsid w:val="5E8C7702"/>
    <w:rsid w:val="5E9C4B6B"/>
    <w:rsid w:val="5EB17168"/>
    <w:rsid w:val="5EC647D8"/>
    <w:rsid w:val="5EE237C6"/>
    <w:rsid w:val="5EE50640"/>
    <w:rsid w:val="5F546472"/>
    <w:rsid w:val="5F561B72"/>
    <w:rsid w:val="5F65716A"/>
    <w:rsid w:val="5F791CD1"/>
    <w:rsid w:val="5F7A755A"/>
    <w:rsid w:val="5F8609B3"/>
    <w:rsid w:val="5F8B5C0B"/>
    <w:rsid w:val="5F92011E"/>
    <w:rsid w:val="5F93061C"/>
    <w:rsid w:val="5F950965"/>
    <w:rsid w:val="5FA42829"/>
    <w:rsid w:val="5FC353A5"/>
    <w:rsid w:val="600F2399"/>
    <w:rsid w:val="60244D43"/>
    <w:rsid w:val="603E705D"/>
    <w:rsid w:val="6042008A"/>
    <w:rsid w:val="60514A9F"/>
    <w:rsid w:val="606007BB"/>
    <w:rsid w:val="6089214B"/>
    <w:rsid w:val="608F16DE"/>
    <w:rsid w:val="60A32AE1"/>
    <w:rsid w:val="60AC7F66"/>
    <w:rsid w:val="60C34F31"/>
    <w:rsid w:val="60C43183"/>
    <w:rsid w:val="6141084E"/>
    <w:rsid w:val="61477910"/>
    <w:rsid w:val="6148108C"/>
    <w:rsid w:val="61867CAF"/>
    <w:rsid w:val="61880654"/>
    <w:rsid w:val="61A44D62"/>
    <w:rsid w:val="61BF10D9"/>
    <w:rsid w:val="61E635CD"/>
    <w:rsid w:val="61E861C1"/>
    <w:rsid w:val="61FA2BD4"/>
    <w:rsid w:val="6220088D"/>
    <w:rsid w:val="62542B7F"/>
    <w:rsid w:val="62AC22DC"/>
    <w:rsid w:val="62AE66F6"/>
    <w:rsid w:val="62C55A02"/>
    <w:rsid w:val="62E0626E"/>
    <w:rsid w:val="62E07F94"/>
    <w:rsid w:val="631D14F7"/>
    <w:rsid w:val="632E2B36"/>
    <w:rsid w:val="636649C5"/>
    <w:rsid w:val="638A3663"/>
    <w:rsid w:val="638C5AAE"/>
    <w:rsid w:val="639826A5"/>
    <w:rsid w:val="639D7CBB"/>
    <w:rsid w:val="63A22BFD"/>
    <w:rsid w:val="63A64809"/>
    <w:rsid w:val="643423CE"/>
    <w:rsid w:val="64467AA5"/>
    <w:rsid w:val="647D0CC7"/>
    <w:rsid w:val="64914772"/>
    <w:rsid w:val="64B70E2C"/>
    <w:rsid w:val="64B92960"/>
    <w:rsid w:val="64BE0021"/>
    <w:rsid w:val="64BF2C8B"/>
    <w:rsid w:val="64CC5B91"/>
    <w:rsid w:val="64CD1C8A"/>
    <w:rsid w:val="64DC1289"/>
    <w:rsid w:val="64DD334F"/>
    <w:rsid w:val="64E45EF7"/>
    <w:rsid w:val="64E5191A"/>
    <w:rsid w:val="64F93617"/>
    <w:rsid w:val="652C579B"/>
    <w:rsid w:val="656A3DBC"/>
    <w:rsid w:val="656E24E3"/>
    <w:rsid w:val="65750EF0"/>
    <w:rsid w:val="65B0017A"/>
    <w:rsid w:val="65B732B6"/>
    <w:rsid w:val="65CB4FB4"/>
    <w:rsid w:val="65EF15EA"/>
    <w:rsid w:val="664B0FDE"/>
    <w:rsid w:val="664B6190"/>
    <w:rsid w:val="667D711D"/>
    <w:rsid w:val="6691014E"/>
    <w:rsid w:val="66C55C64"/>
    <w:rsid w:val="66C67529"/>
    <w:rsid w:val="66C87CCE"/>
    <w:rsid w:val="66FA345D"/>
    <w:rsid w:val="670E1469"/>
    <w:rsid w:val="67211863"/>
    <w:rsid w:val="67226E55"/>
    <w:rsid w:val="67314C73"/>
    <w:rsid w:val="6773320D"/>
    <w:rsid w:val="677435B2"/>
    <w:rsid w:val="677B6565"/>
    <w:rsid w:val="678A0557"/>
    <w:rsid w:val="67B304D6"/>
    <w:rsid w:val="67BA0E3C"/>
    <w:rsid w:val="67CE2B39"/>
    <w:rsid w:val="67D276DA"/>
    <w:rsid w:val="67E14F7F"/>
    <w:rsid w:val="67EF75F1"/>
    <w:rsid w:val="68087BFC"/>
    <w:rsid w:val="683C6AF0"/>
    <w:rsid w:val="684921C0"/>
    <w:rsid w:val="684F4F11"/>
    <w:rsid w:val="688651C2"/>
    <w:rsid w:val="689A52B4"/>
    <w:rsid w:val="689F4846"/>
    <w:rsid w:val="68B95CE7"/>
    <w:rsid w:val="68BC67E4"/>
    <w:rsid w:val="68D33D92"/>
    <w:rsid w:val="68DC1286"/>
    <w:rsid w:val="68FD36D6"/>
    <w:rsid w:val="6900058A"/>
    <w:rsid w:val="690F51B7"/>
    <w:rsid w:val="69124F16"/>
    <w:rsid w:val="69201173"/>
    <w:rsid w:val="695B664F"/>
    <w:rsid w:val="69653029"/>
    <w:rsid w:val="698614C8"/>
    <w:rsid w:val="69AE49D0"/>
    <w:rsid w:val="69C92925"/>
    <w:rsid w:val="69CD5C14"/>
    <w:rsid w:val="69CF0D33"/>
    <w:rsid w:val="6A0304C9"/>
    <w:rsid w:val="6A6D78F5"/>
    <w:rsid w:val="6A720A66"/>
    <w:rsid w:val="6AB26742"/>
    <w:rsid w:val="6AB53CDC"/>
    <w:rsid w:val="6AD95A7D"/>
    <w:rsid w:val="6ADF0BB9"/>
    <w:rsid w:val="6AEA1A38"/>
    <w:rsid w:val="6B256F14"/>
    <w:rsid w:val="6B364230"/>
    <w:rsid w:val="6B3B0074"/>
    <w:rsid w:val="6B47294E"/>
    <w:rsid w:val="6B596BBE"/>
    <w:rsid w:val="6B67752D"/>
    <w:rsid w:val="6B9946B3"/>
    <w:rsid w:val="6BAE0CB8"/>
    <w:rsid w:val="6BAE2195"/>
    <w:rsid w:val="6BDD3C18"/>
    <w:rsid w:val="6BF47D6A"/>
    <w:rsid w:val="6C276F3A"/>
    <w:rsid w:val="6C2E69E1"/>
    <w:rsid w:val="6C3867D3"/>
    <w:rsid w:val="6C472EBA"/>
    <w:rsid w:val="6C7007C7"/>
    <w:rsid w:val="6C78605C"/>
    <w:rsid w:val="6C944351"/>
    <w:rsid w:val="6CD02EB0"/>
    <w:rsid w:val="6CE452D6"/>
    <w:rsid w:val="6CE676F7"/>
    <w:rsid w:val="6CE87444"/>
    <w:rsid w:val="6CE90966"/>
    <w:rsid w:val="6D0B5802"/>
    <w:rsid w:val="6D4316CD"/>
    <w:rsid w:val="6D4318D3"/>
    <w:rsid w:val="6D472864"/>
    <w:rsid w:val="6D4C69DA"/>
    <w:rsid w:val="6D6D2146"/>
    <w:rsid w:val="6D8A12B0"/>
    <w:rsid w:val="6D8D5A15"/>
    <w:rsid w:val="6DD4077E"/>
    <w:rsid w:val="6DD80F51"/>
    <w:rsid w:val="6DE36C13"/>
    <w:rsid w:val="6DE76850"/>
    <w:rsid w:val="6DF62E78"/>
    <w:rsid w:val="6E022A8E"/>
    <w:rsid w:val="6E2E7E8E"/>
    <w:rsid w:val="6E313E22"/>
    <w:rsid w:val="6E364F94"/>
    <w:rsid w:val="6E601A4C"/>
    <w:rsid w:val="6E8B74FE"/>
    <w:rsid w:val="6E963C85"/>
    <w:rsid w:val="6EA75E92"/>
    <w:rsid w:val="6EBC7B8F"/>
    <w:rsid w:val="6EC06D60"/>
    <w:rsid w:val="6EC91D52"/>
    <w:rsid w:val="6EDA1ADE"/>
    <w:rsid w:val="6F0B01CF"/>
    <w:rsid w:val="6F0D3F47"/>
    <w:rsid w:val="6F0F5F11"/>
    <w:rsid w:val="6F1A4AA3"/>
    <w:rsid w:val="6F2474E3"/>
    <w:rsid w:val="6F2B7182"/>
    <w:rsid w:val="6F2C53EA"/>
    <w:rsid w:val="6F51652A"/>
    <w:rsid w:val="6F6D42C6"/>
    <w:rsid w:val="6F8B41F7"/>
    <w:rsid w:val="6F8F7052"/>
    <w:rsid w:val="6FB20BD4"/>
    <w:rsid w:val="6FBA59BE"/>
    <w:rsid w:val="6FC54822"/>
    <w:rsid w:val="70296B3E"/>
    <w:rsid w:val="70335223"/>
    <w:rsid w:val="70611204"/>
    <w:rsid w:val="707352C8"/>
    <w:rsid w:val="70B328CC"/>
    <w:rsid w:val="70E45919"/>
    <w:rsid w:val="7103293C"/>
    <w:rsid w:val="710475CC"/>
    <w:rsid w:val="711517D9"/>
    <w:rsid w:val="713734FD"/>
    <w:rsid w:val="713779A1"/>
    <w:rsid w:val="714D068C"/>
    <w:rsid w:val="7165620F"/>
    <w:rsid w:val="716B452F"/>
    <w:rsid w:val="716D3EB2"/>
    <w:rsid w:val="717039F8"/>
    <w:rsid w:val="71752277"/>
    <w:rsid w:val="718F158B"/>
    <w:rsid w:val="71BB4459"/>
    <w:rsid w:val="71BC2F13"/>
    <w:rsid w:val="71D25F18"/>
    <w:rsid w:val="720F2993"/>
    <w:rsid w:val="72165809"/>
    <w:rsid w:val="724834E8"/>
    <w:rsid w:val="724E4FA2"/>
    <w:rsid w:val="725D51E5"/>
    <w:rsid w:val="72727CA2"/>
    <w:rsid w:val="727B38BE"/>
    <w:rsid w:val="72AD7197"/>
    <w:rsid w:val="72DB455D"/>
    <w:rsid w:val="72E476B5"/>
    <w:rsid w:val="72FF629D"/>
    <w:rsid w:val="73107E21"/>
    <w:rsid w:val="731F2B02"/>
    <w:rsid w:val="738642C8"/>
    <w:rsid w:val="7399484F"/>
    <w:rsid w:val="739A1177"/>
    <w:rsid w:val="73ED4347"/>
    <w:rsid w:val="73F73283"/>
    <w:rsid w:val="744228E5"/>
    <w:rsid w:val="745E125D"/>
    <w:rsid w:val="74624D35"/>
    <w:rsid w:val="748A428C"/>
    <w:rsid w:val="74CC21AE"/>
    <w:rsid w:val="74D13AD5"/>
    <w:rsid w:val="74FA2C30"/>
    <w:rsid w:val="7504038C"/>
    <w:rsid w:val="750D133A"/>
    <w:rsid w:val="751D2A0A"/>
    <w:rsid w:val="752B3379"/>
    <w:rsid w:val="754D5C4B"/>
    <w:rsid w:val="755F1275"/>
    <w:rsid w:val="757F403F"/>
    <w:rsid w:val="75832D5B"/>
    <w:rsid w:val="7591193E"/>
    <w:rsid w:val="75BC4A46"/>
    <w:rsid w:val="75EB2B08"/>
    <w:rsid w:val="75FB71EF"/>
    <w:rsid w:val="76152769"/>
    <w:rsid w:val="76161308"/>
    <w:rsid w:val="761B2B81"/>
    <w:rsid w:val="76243E40"/>
    <w:rsid w:val="76283D5C"/>
    <w:rsid w:val="7671300D"/>
    <w:rsid w:val="767C6755"/>
    <w:rsid w:val="76950D6D"/>
    <w:rsid w:val="76992564"/>
    <w:rsid w:val="76A50F09"/>
    <w:rsid w:val="76B2549B"/>
    <w:rsid w:val="76C240A7"/>
    <w:rsid w:val="76C77B00"/>
    <w:rsid w:val="76DA416A"/>
    <w:rsid w:val="76F37EC6"/>
    <w:rsid w:val="76F51E90"/>
    <w:rsid w:val="76FD6F97"/>
    <w:rsid w:val="771147F0"/>
    <w:rsid w:val="77115FC5"/>
    <w:rsid w:val="77244524"/>
    <w:rsid w:val="77256DF1"/>
    <w:rsid w:val="77303D1C"/>
    <w:rsid w:val="77366005"/>
    <w:rsid w:val="775246B7"/>
    <w:rsid w:val="77597664"/>
    <w:rsid w:val="77701517"/>
    <w:rsid w:val="77E839E4"/>
    <w:rsid w:val="77F62B13"/>
    <w:rsid w:val="78112E25"/>
    <w:rsid w:val="7819123D"/>
    <w:rsid w:val="781E69D1"/>
    <w:rsid w:val="781F6A99"/>
    <w:rsid w:val="78546F25"/>
    <w:rsid w:val="78972AD3"/>
    <w:rsid w:val="78981BAF"/>
    <w:rsid w:val="78AC657F"/>
    <w:rsid w:val="78C6353E"/>
    <w:rsid w:val="7901747F"/>
    <w:rsid w:val="790C1713"/>
    <w:rsid w:val="790E2D96"/>
    <w:rsid w:val="791D40F4"/>
    <w:rsid w:val="792151BF"/>
    <w:rsid w:val="79352A18"/>
    <w:rsid w:val="795804B5"/>
    <w:rsid w:val="795C1802"/>
    <w:rsid w:val="798968C0"/>
    <w:rsid w:val="79BD06E3"/>
    <w:rsid w:val="79EB3639"/>
    <w:rsid w:val="7A263B6B"/>
    <w:rsid w:val="7A266805"/>
    <w:rsid w:val="7A545120"/>
    <w:rsid w:val="7A650681"/>
    <w:rsid w:val="7ADE49EA"/>
    <w:rsid w:val="7AF46346"/>
    <w:rsid w:val="7B0F5EBF"/>
    <w:rsid w:val="7B1228E5"/>
    <w:rsid w:val="7B130FB9"/>
    <w:rsid w:val="7B217224"/>
    <w:rsid w:val="7B450F0D"/>
    <w:rsid w:val="7B5D1DB2"/>
    <w:rsid w:val="7B7B40EA"/>
    <w:rsid w:val="7B8168D5"/>
    <w:rsid w:val="7B946335"/>
    <w:rsid w:val="7BAC726A"/>
    <w:rsid w:val="7BC04649"/>
    <w:rsid w:val="7BD71E38"/>
    <w:rsid w:val="7BF64EDE"/>
    <w:rsid w:val="7C400C1E"/>
    <w:rsid w:val="7C63164A"/>
    <w:rsid w:val="7C6F0B02"/>
    <w:rsid w:val="7C905525"/>
    <w:rsid w:val="7C9537CE"/>
    <w:rsid w:val="7CB400F8"/>
    <w:rsid w:val="7CCF4F32"/>
    <w:rsid w:val="7CE0713F"/>
    <w:rsid w:val="7D253442"/>
    <w:rsid w:val="7D262CB9"/>
    <w:rsid w:val="7D513B99"/>
    <w:rsid w:val="7D5B0573"/>
    <w:rsid w:val="7D60281D"/>
    <w:rsid w:val="7D760BA2"/>
    <w:rsid w:val="7D783374"/>
    <w:rsid w:val="7DBC1749"/>
    <w:rsid w:val="7DD11708"/>
    <w:rsid w:val="7DE94A8A"/>
    <w:rsid w:val="7DEE4A4F"/>
    <w:rsid w:val="7E110BB2"/>
    <w:rsid w:val="7E3D5ECB"/>
    <w:rsid w:val="7E447259"/>
    <w:rsid w:val="7E8B6C36"/>
    <w:rsid w:val="7E8F1063"/>
    <w:rsid w:val="7E957AB5"/>
    <w:rsid w:val="7E9C52E7"/>
    <w:rsid w:val="7E9C74A8"/>
    <w:rsid w:val="7EA321D2"/>
    <w:rsid w:val="7EAE6230"/>
    <w:rsid w:val="7EBD579E"/>
    <w:rsid w:val="7EC167BD"/>
    <w:rsid w:val="7EEF3669"/>
    <w:rsid w:val="7F0E3631"/>
    <w:rsid w:val="7F186EB2"/>
    <w:rsid w:val="7F272D9E"/>
    <w:rsid w:val="7F2C0419"/>
    <w:rsid w:val="7F3B065C"/>
    <w:rsid w:val="7F3B240A"/>
    <w:rsid w:val="7F4F3D5B"/>
    <w:rsid w:val="7F5C44BA"/>
    <w:rsid w:val="7F6C4CBA"/>
    <w:rsid w:val="7F9B309E"/>
    <w:rsid w:val="7FAB67DA"/>
    <w:rsid w:val="7FB64187"/>
    <w:rsid w:val="7FB87EFF"/>
    <w:rsid w:val="7FD76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nhideWhenUsed="0" w:uiPriority="0"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3"/>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44"/>
    <w:qFormat/>
    <w:uiPriority w:val="9"/>
    <w:pPr>
      <w:keepNext/>
      <w:keepLines/>
      <w:spacing w:before="260" w:after="260" w:line="416" w:lineRule="auto"/>
      <w:outlineLvl w:val="2"/>
    </w:pPr>
    <w:rPr>
      <w:b/>
      <w:bCs/>
      <w:sz w:val="32"/>
      <w:szCs w:val="32"/>
    </w:rPr>
  </w:style>
  <w:style w:type="paragraph" w:styleId="6">
    <w:name w:val="heading 4"/>
    <w:basedOn w:val="1"/>
    <w:next w:val="1"/>
    <w:link w:val="45"/>
    <w:qFormat/>
    <w:uiPriority w:val="9"/>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8"/>
    <w:link w:val="46"/>
    <w:qFormat/>
    <w:uiPriority w:val="9"/>
    <w:pPr>
      <w:keepNext/>
      <w:keepLines/>
      <w:spacing w:before="280" w:after="290" w:line="376" w:lineRule="auto"/>
      <w:outlineLvl w:val="4"/>
    </w:pPr>
    <w:rPr>
      <w:b/>
      <w:bCs/>
      <w:sz w:val="28"/>
      <w:szCs w:val="28"/>
    </w:rPr>
  </w:style>
  <w:style w:type="paragraph" w:styleId="9">
    <w:name w:val="heading 7"/>
    <w:basedOn w:val="1"/>
    <w:next w:val="1"/>
    <w:link w:val="47"/>
    <w:qFormat/>
    <w:uiPriority w:val="0"/>
    <w:pPr>
      <w:keepNext/>
      <w:keepLines/>
      <w:spacing w:before="240" w:after="64" w:line="320" w:lineRule="auto"/>
      <w:outlineLvl w:val="6"/>
    </w:pPr>
    <w:rPr>
      <w:b/>
      <w:bCs/>
      <w:sz w:val="24"/>
    </w:rPr>
  </w:style>
  <w:style w:type="paragraph" w:styleId="10">
    <w:name w:val="heading 8"/>
    <w:basedOn w:val="1"/>
    <w:next w:val="1"/>
    <w:link w:val="48"/>
    <w:qFormat/>
    <w:uiPriority w:val="9"/>
    <w:pPr>
      <w:keepNext/>
      <w:keepLines/>
      <w:spacing w:before="240" w:after="64" w:line="320" w:lineRule="auto"/>
      <w:outlineLvl w:val="7"/>
    </w:pPr>
    <w:rPr>
      <w:rFonts w:ascii="等线 Light" w:hAnsi="等线 Light" w:eastAsia="等线 Light"/>
      <w:sz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55"/>
    <w:unhideWhenUsed/>
    <w:qFormat/>
    <w:uiPriority w:val="99"/>
    <w:pPr>
      <w:tabs>
        <w:tab w:val="center" w:pos="4153"/>
        <w:tab w:val="right" w:pos="8306"/>
      </w:tabs>
      <w:snapToGrid w:val="0"/>
      <w:jc w:val="left"/>
    </w:pPr>
    <w:rPr>
      <w:kern w:val="0"/>
      <w:sz w:val="18"/>
      <w:szCs w:val="18"/>
    </w:rPr>
  </w:style>
  <w:style w:type="paragraph" w:styleId="8">
    <w:name w:val="Normal Indent"/>
    <w:basedOn w:val="1"/>
    <w:qFormat/>
    <w:uiPriority w:val="0"/>
    <w:pPr>
      <w:ind w:firstLine="420"/>
    </w:pPr>
    <w:rPr>
      <w:szCs w:val="20"/>
    </w:rPr>
  </w:style>
  <w:style w:type="paragraph" w:styleId="11">
    <w:name w:val="index 8"/>
    <w:basedOn w:val="1"/>
    <w:next w:val="1"/>
    <w:qFormat/>
    <w:uiPriority w:val="0"/>
    <w:pPr>
      <w:ind w:left="2940"/>
    </w:p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annotation text"/>
    <w:basedOn w:val="1"/>
    <w:link w:val="49"/>
    <w:qFormat/>
    <w:uiPriority w:val="0"/>
    <w:pPr>
      <w:jc w:val="left"/>
    </w:pPr>
  </w:style>
  <w:style w:type="paragraph" w:styleId="14">
    <w:name w:val="Body Text 3"/>
    <w:basedOn w:val="1"/>
    <w:link w:val="50"/>
    <w:unhideWhenUsed/>
    <w:qFormat/>
    <w:uiPriority w:val="99"/>
    <w:pPr>
      <w:spacing w:after="120"/>
    </w:pPr>
    <w:rPr>
      <w:sz w:val="16"/>
      <w:szCs w:val="16"/>
    </w:rPr>
  </w:style>
  <w:style w:type="paragraph" w:styleId="15">
    <w:name w:val="Body Text"/>
    <w:basedOn w:val="1"/>
    <w:next w:val="1"/>
    <w:link w:val="51"/>
    <w:unhideWhenUsed/>
    <w:qFormat/>
    <w:uiPriority w:val="0"/>
    <w:pPr>
      <w:spacing w:after="120"/>
    </w:pPr>
  </w:style>
  <w:style w:type="paragraph" w:styleId="16">
    <w:name w:val="Body Text Indent"/>
    <w:basedOn w:val="1"/>
    <w:next w:val="17"/>
    <w:link w:val="52"/>
    <w:qFormat/>
    <w:uiPriority w:val="0"/>
    <w:pPr>
      <w:ind w:firstLine="830" w:firstLineChars="352"/>
    </w:pPr>
    <w:rPr>
      <w:rFonts w:ascii="仿宋_GB2312" w:eastAsia="仿宋_GB2312"/>
      <w:kern w:val="0"/>
      <w:sz w:val="32"/>
      <w:szCs w:val="20"/>
    </w:rPr>
  </w:style>
  <w:style w:type="paragraph" w:styleId="17">
    <w:name w:val="envelope return"/>
    <w:basedOn w:val="1"/>
    <w:qFormat/>
    <w:uiPriority w:val="0"/>
    <w:pPr>
      <w:snapToGrid w:val="0"/>
    </w:pPr>
    <w:rPr>
      <w:rFonts w:ascii="Arial" w:hAnsi="Arial" w:cs="Arial"/>
      <w:kern w:val="0"/>
      <w:sz w:val="24"/>
      <w:szCs w:val="20"/>
    </w:rPr>
  </w:style>
  <w:style w:type="paragraph" w:styleId="18">
    <w:name w:val="List 2"/>
    <w:basedOn w:val="1"/>
    <w:unhideWhenUsed/>
    <w:qFormat/>
    <w:uiPriority w:val="99"/>
    <w:pPr>
      <w:ind w:left="100" w:leftChars="200" w:hanging="200" w:hangingChars="200"/>
      <w:contextualSpacing/>
    </w:pPr>
  </w:style>
  <w:style w:type="paragraph" w:styleId="19">
    <w:name w:val="toc 3"/>
    <w:basedOn w:val="1"/>
    <w:next w:val="1"/>
    <w:unhideWhenUsed/>
    <w:qFormat/>
    <w:uiPriority w:val="39"/>
    <w:pPr>
      <w:ind w:left="840" w:leftChars="400"/>
    </w:pPr>
  </w:style>
  <w:style w:type="paragraph" w:styleId="20">
    <w:name w:val="Plain Text"/>
    <w:basedOn w:val="1"/>
    <w:next w:val="1"/>
    <w:link w:val="53"/>
    <w:qFormat/>
    <w:uiPriority w:val="0"/>
    <w:rPr>
      <w:rFonts w:ascii="宋体" w:hAnsi="Courier New"/>
      <w:kern w:val="0"/>
      <w:sz w:val="20"/>
      <w:szCs w:val="21"/>
    </w:rPr>
  </w:style>
  <w:style w:type="paragraph" w:styleId="21">
    <w:name w:val="Date"/>
    <w:basedOn w:val="1"/>
    <w:next w:val="1"/>
    <w:link w:val="54"/>
    <w:unhideWhenUsed/>
    <w:qFormat/>
    <w:uiPriority w:val="99"/>
    <w:pPr>
      <w:ind w:left="100" w:leftChars="2500"/>
    </w:pPr>
  </w:style>
  <w:style w:type="paragraph" w:styleId="22">
    <w:name w:val="Balloon Text"/>
    <w:basedOn w:val="1"/>
    <w:semiHidden/>
    <w:qFormat/>
    <w:uiPriority w:val="0"/>
    <w:rPr>
      <w:sz w:val="18"/>
      <w:szCs w:val="18"/>
    </w:rPr>
  </w:style>
  <w:style w:type="paragraph" w:styleId="23">
    <w:name w:val="header"/>
    <w:basedOn w:val="1"/>
    <w:link w:val="5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unhideWhenUsed/>
    <w:qFormat/>
    <w:uiPriority w:val="39"/>
  </w:style>
  <w:style w:type="paragraph" w:styleId="25">
    <w:name w:val="toc 2"/>
    <w:basedOn w:val="1"/>
    <w:next w:val="1"/>
    <w:unhideWhenUsed/>
    <w:qFormat/>
    <w:uiPriority w:val="39"/>
    <w:pPr>
      <w:tabs>
        <w:tab w:val="right" w:leader="dot" w:pos="8296"/>
      </w:tabs>
      <w:ind w:left="420" w:leftChars="200"/>
    </w:pPr>
  </w:style>
  <w:style w:type="paragraph" w:styleId="26">
    <w:name w:val="Normal (Web)"/>
    <w:basedOn w:val="1"/>
    <w:unhideWhenUsed/>
    <w:qFormat/>
    <w:uiPriority w:val="99"/>
    <w:rPr>
      <w:rFonts w:ascii="Calibri" w:hAnsi="Calibri"/>
      <w:kern w:val="0"/>
      <w:sz w:val="24"/>
    </w:rPr>
  </w:style>
  <w:style w:type="paragraph" w:styleId="27">
    <w:name w:val="annotation subject"/>
    <w:basedOn w:val="13"/>
    <w:next w:val="13"/>
    <w:link w:val="57"/>
    <w:qFormat/>
    <w:uiPriority w:val="99"/>
    <w:rPr>
      <w:b/>
      <w:bCs/>
    </w:rPr>
  </w:style>
  <w:style w:type="paragraph" w:styleId="28">
    <w:name w:val="Body Text First Indent 2"/>
    <w:basedOn w:val="16"/>
    <w:unhideWhenUsed/>
    <w:qFormat/>
    <w:uiPriority w:val="0"/>
    <w:pPr>
      <w:ind w:firstLine="420" w:firstLineChars="200"/>
    </w:pPr>
  </w:style>
  <w:style w:type="table" w:styleId="30">
    <w:name w:val="Table Grid"/>
    <w:basedOn w:val="2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qFormat/>
    <w:uiPriority w:val="22"/>
    <w:rPr>
      <w:b/>
      <w:bCs/>
    </w:rPr>
  </w:style>
  <w:style w:type="character" w:styleId="33">
    <w:name w:val="endnote reference"/>
    <w:unhideWhenUsed/>
    <w:qFormat/>
    <w:uiPriority w:val="99"/>
    <w:rPr>
      <w:vertAlign w:val="superscript"/>
    </w:rPr>
  </w:style>
  <w:style w:type="character" w:styleId="34">
    <w:name w:val="page number"/>
    <w:basedOn w:val="31"/>
    <w:qFormat/>
    <w:uiPriority w:val="0"/>
  </w:style>
  <w:style w:type="character" w:styleId="35">
    <w:name w:val="FollowedHyperlink"/>
    <w:unhideWhenUsed/>
    <w:qFormat/>
    <w:uiPriority w:val="99"/>
    <w:rPr>
      <w:color w:val="3177FD"/>
      <w:u w:val="none"/>
    </w:rPr>
  </w:style>
  <w:style w:type="character" w:styleId="36">
    <w:name w:val="HTML Definition"/>
    <w:unhideWhenUsed/>
    <w:qFormat/>
    <w:uiPriority w:val="99"/>
    <w:rPr>
      <w:i/>
      <w:iCs/>
    </w:rPr>
  </w:style>
  <w:style w:type="character" w:styleId="37">
    <w:name w:val="Hyperlink"/>
    <w:unhideWhenUsed/>
    <w:qFormat/>
    <w:uiPriority w:val="99"/>
    <w:rPr>
      <w:color w:val="3177FD"/>
      <w:u w:val="none"/>
    </w:rPr>
  </w:style>
  <w:style w:type="character" w:styleId="38">
    <w:name w:val="HTML Code"/>
    <w:unhideWhenUsed/>
    <w:qFormat/>
    <w:uiPriority w:val="99"/>
    <w:rPr>
      <w:rFonts w:hint="default" w:ascii="Consolas" w:hAnsi="Consolas" w:eastAsia="Consolas" w:cs="Consolas"/>
      <w:sz w:val="21"/>
      <w:szCs w:val="21"/>
    </w:rPr>
  </w:style>
  <w:style w:type="character" w:styleId="39">
    <w:name w:val="annotation reference"/>
    <w:qFormat/>
    <w:uiPriority w:val="0"/>
    <w:rPr>
      <w:sz w:val="21"/>
      <w:szCs w:val="21"/>
    </w:rPr>
  </w:style>
  <w:style w:type="character" w:styleId="40">
    <w:name w:val="HTML Keyboard"/>
    <w:unhideWhenUsed/>
    <w:qFormat/>
    <w:uiPriority w:val="99"/>
    <w:rPr>
      <w:rFonts w:ascii="Consolas" w:hAnsi="Consolas" w:eastAsia="Consolas" w:cs="Consolas"/>
      <w:sz w:val="21"/>
      <w:szCs w:val="21"/>
    </w:rPr>
  </w:style>
  <w:style w:type="character" w:styleId="41">
    <w:name w:val="HTML Sample"/>
    <w:unhideWhenUsed/>
    <w:qFormat/>
    <w:uiPriority w:val="99"/>
    <w:rPr>
      <w:rFonts w:hint="default" w:ascii="Consolas" w:hAnsi="Consolas" w:eastAsia="Consolas" w:cs="Consolas"/>
      <w:sz w:val="21"/>
      <w:szCs w:val="21"/>
    </w:rPr>
  </w:style>
  <w:style w:type="character" w:customStyle="1" w:styleId="42">
    <w:name w:val="标题 1 字符2"/>
    <w:link w:val="3"/>
    <w:qFormat/>
    <w:uiPriority w:val="9"/>
    <w:rPr>
      <w:b/>
      <w:bCs/>
      <w:kern w:val="44"/>
      <w:sz w:val="44"/>
      <w:szCs w:val="44"/>
    </w:rPr>
  </w:style>
  <w:style w:type="character" w:customStyle="1" w:styleId="43">
    <w:name w:val="标题 2 字符1"/>
    <w:link w:val="4"/>
    <w:qFormat/>
    <w:uiPriority w:val="9"/>
    <w:rPr>
      <w:rFonts w:ascii="Cambria" w:hAnsi="Cambria" w:eastAsia="宋体" w:cs="Times New Roman"/>
      <w:b/>
      <w:bCs/>
      <w:kern w:val="2"/>
      <w:sz w:val="32"/>
      <w:szCs w:val="32"/>
    </w:rPr>
  </w:style>
  <w:style w:type="character" w:customStyle="1" w:styleId="44">
    <w:name w:val="标题 3 字符1"/>
    <w:link w:val="5"/>
    <w:qFormat/>
    <w:uiPriority w:val="9"/>
    <w:rPr>
      <w:b/>
      <w:bCs/>
      <w:kern w:val="2"/>
      <w:sz w:val="32"/>
      <w:szCs w:val="32"/>
    </w:rPr>
  </w:style>
  <w:style w:type="character" w:customStyle="1" w:styleId="45">
    <w:name w:val="标题 4 字符"/>
    <w:link w:val="6"/>
    <w:semiHidden/>
    <w:qFormat/>
    <w:uiPriority w:val="9"/>
    <w:rPr>
      <w:rFonts w:ascii="等线 Light" w:hAnsi="等线 Light" w:eastAsia="等线 Light" w:cs="Times New Roman"/>
      <w:b/>
      <w:bCs/>
      <w:kern w:val="2"/>
      <w:sz w:val="28"/>
      <w:szCs w:val="28"/>
    </w:rPr>
  </w:style>
  <w:style w:type="character" w:customStyle="1" w:styleId="46">
    <w:name w:val="标题 5 字符1"/>
    <w:link w:val="7"/>
    <w:semiHidden/>
    <w:qFormat/>
    <w:uiPriority w:val="9"/>
    <w:rPr>
      <w:rFonts w:ascii="Times New Roman" w:hAnsi="Times New Roman"/>
      <w:b/>
      <w:bCs/>
      <w:kern w:val="2"/>
      <w:sz w:val="28"/>
      <w:szCs w:val="28"/>
    </w:rPr>
  </w:style>
  <w:style w:type="character" w:customStyle="1" w:styleId="47">
    <w:name w:val="标题 7 字符1"/>
    <w:link w:val="9"/>
    <w:qFormat/>
    <w:uiPriority w:val="0"/>
    <w:rPr>
      <w:b/>
      <w:bCs/>
      <w:kern w:val="2"/>
      <w:sz w:val="24"/>
      <w:szCs w:val="24"/>
    </w:rPr>
  </w:style>
  <w:style w:type="character" w:customStyle="1" w:styleId="48">
    <w:name w:val="标题 8 字符"/>
    <w:link w:val="10"/>
    <w:semiHidden/>
    <w:qFormat/>
    <w:uiPriority w:val="9"/>
    <w:rPr>
      <w:rFonts w:ascii="等线 Light" w:hAnsi="等线 Light" w:eastAsia="等线 Light" w:cs="Times New Roman"/>
      <w:kern w:val="2"/>
      <w:sz w:val="24"/>
      <w:szCs w:val="24"/>
    </w:rPr>
  </w:style>
  <w:style w:type="character" w:customStyle="1" w:styleId="49">
    <w:name w:val="批注文字 字符4"/>
    <w:link w:val="13"/>
    <w:qFormat/>
    <w:uiPriority w:val="0"/>
    <w:rPr>
      <w:rFonts w:ascii="Times New Roman" w:hAnsi="Times New Roman"/>
      <w:kern w:val="2"/>
      <w:sz w:val="21"/>
      <w:szCs w:val="24"/>
    </w:rPr>
  </w:style>
  <w:style w:type="character" w:customStyle="1" w:styleId="50">
    <w:name w:val="正文文本 3 字符"/>
    <w:link w:val="14"/>
    <w:semiHidden/>
    <w:qFormat/>
    <w:uiPriority w:val="99"/>
    <w:rPr>
      <w:kern w:val="2"/>
      <w:sz w:val="16"/>
      <w:szCs w:val="16"/>
    </w:rPr>
  </w:style>
  <w:style w:type="character" w:customStyle="1" w:styleId="51">
    <w:name w:val="正文文本 字符2"/>
    <w:link w:val="15"/>
    <w:qFormat/>
    <w:uiPriority w:val="0"/>
    <w:rPr>
      <w:rFonts w:ascii="Times New Roman" w:hAnsi="Times New Roman"/>
      <w:kern w:val="2"/>
      <w:sz w:val="21"/>
      <w:szCs w:val="24"/>
    </w:rPr>
  </w:style>
  <w:style w:type="character" w:customStyle="1" w:styleId="52">
    <w:name w:val="正文文本缩进 字符1"/>
    <w:link w:val="16"/>
    <w:qFormat/>
    <w:uiPriority w:val="0"/>
    <w:rPr>
      <w:rFonts w:ascii="仿宋_GB2312" w:hAnsi="Times New Roman" w:eastAsia="仿宋_GB2312" w:cs="Times New Roman"/>
      <w:sz w:val="32"/>
      <w:szCs w:val="20"/>
    </w:rPr>
  </w:style>
  <w:style w:type="character" w:customStyle="1" w:styleId="53">
    <w:name w:val="纯文本 字符7"/>
    <w:link w:val="20"/>
    <w:qFormat/>
    <w:uiPriority w:val="0"/>
    <w:rPr>
      <w:rFonts w:ascii="宋体" w:hAnsi="Courier New" w:eastAsia="宋体" w:cs="Courier New"/>
      <w:szCs w:val="21"/>
    </w:rPr>
  </w:style>
  <w:style w:type="character" w:customStyle="1" w:styleId="54">
    <w:name w:val="日期 字符1"/>
    <w:link w:val="21"/>
    <w:semiHidden/>
    <w:qFormat/>
    <w:uiPriority w:val="99"/>
    <w:rPr>
      <w:rFonts w:ascii="Times New Roman" w:hAnsi="Times New Roman"/>
      <w:kern w:val="2"/>
      <w:sz w:val="21"/>
      <w:szCs w:val="24"/>
    </w:rPr>
  </w:style>
  <w:style w:type="character" w:customStyle="1" w:styleId="55">
    <w:name w:val="页脚 字符2"/>
    <w:link w:val="2"/>
    <w:qFormat/>
    <w:uiPriority w:val="99"/>
    <w:rPr>
      <w:sz w:val="18"/>
      <w:szCs w:val="18"/>
    </w:rPr>
  </w:style>
  <w:style w:type="character" w:customStyle="1" w:styleId="56">
    <w:name w:val="页眉 字符1"/>
    <w:link w:val="23"/>
    <w:qFormat/>
    <w:uiPriority w:val="99"/>
    <w:rPr>
      <w:sz w:val="18"/>
      <w:szCs w:val="18"/>
    </w:rPr>
  </w:style>
  <w:style w:type="character" w:customStyle="1" w:styleId="57">
    <w:name w:val="批注主题 字符2"/>
    <w:link w:val="27"/>
    <w:qFormat/>
    <w:uiPriority w:val="99"/>
    <w:rPr>
      <w:rFonts w:ascii="Times New Roman" w:hAnsi="Times New Roman"/>
      <w:b/>
      <w:bCs/>
      <w:kern w:val="2"/>
      <w:sz w:val="21"/>
      <w:szCs w:val="24"/>
    </w:rPr>
  </w:style>
  <w:style w:type="character" w:customStyle="1" w:styleId="58">
    <w:name w:val="标题 1 字符1"/>
    <w:qFormat/>
    <w:uiPriority w:val="0"/>
    <w:rPr>
      <w:b/>
      <w:bCs/>
      <w:kern w:val="44"/>
      <w:sz w:val="44"/>
      <w:szCs w:val="44"/>
    </w:rPr>
  </w:style>
  <w:style w:type="character" w:customStyle="1" w:styleId="59">
    <w:name w:val="textcontents"/>
    <w:qFormat/>
    <w:uiPriority w:val="0"/>
  </w:style>
  <w:style w:type="character" w:customStyle="1" w:styleId="60">
    <w:name w:val="批注文字 Char"/>
    <w:qFormat/>
    <w:uiPriority w:val="0"/>
    <w:rPr>
      <w:rFonts w:ascii="Times New Roman" w:hAnsi="Times New Roman"/>
      <w:kern w:val="2"/>
      <w:sz w:val="21"/>
      <w:szCs w:val="24"/>
    </w:rPr>
  </w:style>
  <w:style w:type="character" w:customStyle="1" w:styleId="61">
    <w:name w:val="纯文本 字符"/>
    <w:link w:val="62"/>
    <w:qFormat/>
    <w:uiPriority w:val="0"/>
    <w:rPr>
      <w:rFonts w:ascii="宋体" w:hAnsi="Courier New" w:eastAsia="宋体" w:cs="Courier New"/>
      <w:szCs w:val="21"/>
    </w:rPr>
  </w:style>
  <w:style w:type="paragraph" w:customStyle="1" w:styleId="62">
    <w:name w:val="纯文本1"/>
    <w:basedOn w:val="1"/>
    <w:link w:val="61"/>
    <w:qFormat/>
    <w:uiPriority w:val="0"/>
    <w:pPr>
      <w:autoSpaceDE w:val="0"/>
      <w:autoSpaceDN w:val="0"/>
      <w:jc w:val="left"/>
    </w:pPr>
    <w:rPr>
      <w:rFonts w:ascii="宋体" w:hAnsi="Courier New"/>
      <w:kern w:val="0"/>
      <w:sz w:val="20"/>
      <w:szCs w:val="21"/>
    </w:rPr>
  </w:style>
  <w:style w:type="character" w:customStyle="1" w:styleId="63">
    <w:name w:val="纯文本 Char"/>
    <w:qFormat/>
    <w:uiPriority w:val="0"/>
    <w:rPr>
      <w:rFonts w:ascii="宋体" w:hAnsi="Courier New" w:eastAsia="宋体" w:cs="Courier New"/>
      <w:szCs w:val="21"/>
    </w:rPr>
  </w:style>
  <w:style w:type="character" w:customStyle="1" w:styleId="64">
    <w:name w:val="纯文本 字符2"/>
    <w:qFormat/>
    <w:uiPriority w:val="0"/>
    <w:rPr>
      <w:rFonts w:ascii="宋体" w:hAnsi="Courier New" w:eastAsia="宋体" w:cs="Courier New"/>
      <w:szCs w:val="21"/>
    </w:rPr>
  </w:style>
  <w:style w:type="character" w:customStyle="1" w:styleId="65">
    <w:name w:val="批注文字 字符1"/>
    <w:qFormat/>
    <w:uiPriority w:val="0"/>
    <w:rPr>
      <w:rFonts w:ascii="Times New Roman" w:hAnsi="Times New Roman"/>
      <w:kern w:val="2"/>
      <w:sz w:val="21"/>
      <w:szCs w:val="24"/>
    </w:rPr>
  </w:style>
  <w:style w:type="character" w:customStyle="1" w:styleId="6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7">
    <w:name w:val="纯文本 字符1"/>
    <w:qFormat/>
    <w:uiPriority w:val="0"/>
    <w:rPr>
      <w:rFonts w:ascii="宋体" w:hAnsi="Courier New"/>
    </w:rPr>
  </w:style>
  <w:style w:type="character" w:customStyle="1" w:styleId="68">
    <w:name w:val="正文文本 Char"/>
    <w:qFormat/>
    <w:uiPriority w:val="0"/>
    <w:rPr>
      <w:rFonts w:ascii="Times New Roman" w:hAnsi="Times New Roman"/>
      <w:kern w:val="2"/>
      <w:sz w:val="21"/>
      <w:szCs w:val="24"/>
    </w:rPr>
  </w:style>
  <w:style w:type="character" w:customStyle="1" w:styleId="69">
    <w:name w:val="批注文字 字符"/>
    <w:qFormat/>
    <w:uiPriority w:val="0"/>
    <w:rPr>
      <w:rFonts w:ascii="Times New Roman" w:hAnsi="Times New Roman"/>
      <w:kern w:val="2"/>
      <w:sz w:val="21"/>
      <w:szCs w:val="24"/>
    </w:rPr>
  </w:style>
  <w:style w:type="character" w:customStyle="1" w:styleId="70">
    <w:name w:val="标题 2 Char"/>
    <w:qFormat/>
    <w:uiPriority w:val="9"/>
    <w:rPr>
      <w:rFonts w:ascii="Cambria" w:hAnsi="Cambria" w:eastAsia="宋体" w:cs="Times New Roman"/>
      <w:b/>
      <w:bCs/>
      <w:kern w:val="2"/>
      <w:sz w:val="32"/>
      <w:szCs w:val="32"/>
    </w:rPr>
  </w:style>
  <w:style w:type="character" w:customStyle="1" w:styleId="71">
    <w:name w:val="标题 8 Char"/>
    <w:qFormat/>
    <w:uiPriority w:val="0"/>
    <w:rPr>
      <w:rFonts w:ascii="Arial" w:hAnsi="Arial" w:eastAsia="黑体"/>
      <w:kern w:val="2"/>
      <w:sz w:val="24"/>
      <w:szCs w:val="24"/>
    </w:rPr>
  </w:style>
  <w:style w:type="character" w:customStyle="1" w:styleId="72">
    <w:name w:val="apple-style-span"/>
    <w:qFormat/>
    <w:uiPriority w:val="0"/>
  </w:style>
  <w:style w:type="paragraph" w:customStyle="1" w:styleId="73">
    <w:name w:val="默认段落字体 Para Char Char Char Char Char Char Char Char Char1 Char Char Char Char"/>
    <w:basedOn w:val="1"/>
    <w:qFormat/>
    <w:uiPriority w:val="0"/>
    <w:rPr>
      <w:rFonts w:ascii="Tahoma" w:hAnsi="Tahoma"/>
      <w:sz w:val="24"/>
      <w:szCs w:val="20"/>
    </w:rPr>
  </w:style>
  <w:style w:type="paragraph" w:customStyle="1" w:styleId="7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5">
    <w:name w:val="List Paragraph"/>
    <w:basedOn w:val="1"/>
    <w:qFormat/>
    <w:uiPriority w:val="99"/>
    <w:pPr>
      <w:ind w:firstLine="420" w:firstLineChars="200"/>
    </w:pPr>
  </w:style>
  <w:style w:type="paragraph" w:customStyle="1" w:styleId="76">
    <w:name w:val="Table Paragraph"/>
    <w:basedOn w:val="1"/>
    <w:qFormat/>
    <w:uiPriority w:val="1"/>
    <w:pPr>
      <w:jc w:val="left"/>
    </w:pPr>
    <w:rPr>
      <w:rFonts w:ascii="Calibri" w:hAnsi="Calibri"/>
      <w:kern w:val="0"/>
      <w:sz w:val="22"/>
      <w:szCs w:val="22"/>
      <w:lang w:eastAsia="en-US"/>
    </w:rPr>
  </w:style>
  <w:style w:type="character" w:customStyle="1" w:styleId="77">
    <w:name w:val="正文文本 字符"/>
    <w:qFormat/>
    <w:uiPriority w:val="0"/>
    <w:rPr>
      <w:rFonts w:ascii="Times New Roman" w:hAnsi="Times New Roman"/>
      <w:kern w:val="2"/>
      <w:sz w:val="21"/>
      <w:szCs w:val="24"/>
    </w:rPr>
  </w:style>
  <w:style w:type="character" w:customStyle="1" w:styleId="78">
    <w:name w:val="批注文字 Char2"/>
    <w:qFormat/>
    <w:uiPriority w:val="0"/>
    <w:rPr>
      <w:rFonts w:ascii="Times New Roman" w:hAnsi="Times New Roman"/>
      <w:kern w:val="2"/>
      <w:sz w:val="21"/>
      <w:szCs w:val="24"/>
    </w:rPr>
  </w:style>
  <w:style w:type="character" w:customStyle="1" w:styleId="79">
    <w:name w:val="纯文本 字符3"/>
    <w:qFormat/>
    <w:uiPriority w:val="0"/>
    <w:rPr>
      <w:rFonts w:ascii="宋体" w:hAnsi="Courier New" w:eastAsia="宋体" w:cs="Courier New"/>
      <w:szCs w:val="21"/>
    </w:rPr>
  </w:style>
  <w:style w:type="paragraph" w:customStyle="1" w:styleId="80">
    <w:name w:val="正文 小四 首缩"/>
    <w:qFormat/>
    <w:uiPriority w:val="0"/>
    <w:pPr>
      <w:snapToGrid w:val="0"/>
      <w:spacing w:line="360" w:lineRule="auto"/>
      <w:ind w:firstLine="482"/>
    </w:pPr>
    <w:rPr>
      <w:rFonts w:ascii="Times New Roman" w:hAnsi="Times New Roman" w:eastAsia="宋体" w:cs="Times New Roman"/>
      <w:kern w:val="2"/>
      <w:sz w:val="24"/>
      <w:lang w:val="en-US" w:eastAsia="zh-CN" w:bidi="ar-SA"/>
    </w:rPr>
  </w:style>
  <w:style w:type="character" w:customStyle="1" w:styleId="81">
    <w:name w:val="标题 5 字符"/>
    <w:qFormat/>
    <w:uiPriority w:val="0"/>
    <w:rPr>
      <w:rFonts w:ascii="宋体" w:hAnsi="宋体" w:eastAsia="宋体"/>
      <w:b/>
      <w:kern w:val="2"/>
      <w:sz w:val="24"/>
      <w:szCs w:val="24"/>
      <w:lang w:val="en-US" w:eastAsia="zh-CN" w:bidi="ar-SA"/>
    </w:rPr>
  </w:style>
  <w:style w:type="character" w:customStyle="1" w:styleId="82">
    <w:name w:val="批注主题 字符"/>
    <w:qFormat/>
    <w:uiPriority w:val="0"/>
    <w:rPr>
      <w:b/>
      <w:bCs/>
      <w:sz w:val="21"/>
    </w:rPr>
  </w:style>
  <w:style w:type="character" w:customStyle="1" w:styleId="83">
    <w:name w:val="页脚 字符"/>
    <w:qFormat/>
    <w:uiPriority w:val="99"/>
    <w:rPr>
      <w:rFonts w:ascii="宋体" w:hAnsi="Courier New" w:eastAsia="宋体"/>
      <w:kern w:val="2"/>
      <w:sz w:val="18"/>
      <w:szCs w:val="24"/>
      <w:lang w:val="en-US" w:eastAsia="zh-CN" w:bidi="ar-SA"/>
    </w:rPr>
  </w:style>
  <w:style w:type="character" w:customStyle="1" w:styleId="84">
    <w:name w:val="标题 #7 + 间距 0 pt2"/>
    <w:qFormat/>
    <w:uiPriority w:val="0"/>
    <w:rPr>
      <w:rFonts w:ascii="MingLiU" w:hAnsi="MingLiU" w:eastAsia="MingLiU" w:cs="MingLiU"/>
      <w:color w:val="000000"/>
      <w:spacing w:val="10"/>
      <w:w w:val="100"/>
      <w:position w:val="0"/>
      <w:sz w:val="26"/>
      <w:szCs w:val="26"/>
      <w:u w:val="single"/>
      <w:shd w:val="clear" w:color="auto" w:fill="FFFFFF"/>
      <w:lang w:val="zh-CN" w:eastAsia="zh-CN"/>
    </w:rPr>
  </w:style>
  <w:style w:type="character" w:customStyle="1" w:styleId="85">
    <w:name w:val="标题 #8 + 间距 0 pt"/>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86">
    <w:name w:val="标题 #7 (4) + 间距 7 pt"/>
    <w:qFormat/>
    <w:uiPriority w:val="0"/>
    <w:rPr>
      <w:rFonts w:ascii="MingLiU" w:hAnsi="MingLiU" w:eastAsia="MingLiU"/>
      <w:color w:val="000000"/>
      <w:spacing w:val="140"/>
      <w:w w:val="100"/>
      <w:position w:val="0"/>
      <w:sz w:val="26"/>
      <w:szCs w:val="26"/>
      <w:lang w:val="zh-CN" w:eastAsia="zh-CN" w:bidi="ar-SA"/>
    </w:rPr>
  </w:style>
  <w:style w:type="character" w:customStyle="1" w:styleId="87">
    <w:name w:val="正文文本 (42)_"/>
    <w:link w:val="88"/>
    <w:qFormat/>
    <w:locked/>
    <w:uiPriority w:val="0"/>
    <w:rPr>
      <w:rFonts w:ascii="MingLiU" w:hAnsi="MingLiU" w:eastAsia="MingLiU"/>
      <w:b/>
      <w:bCs/>
      <w:shd w:val="clear" w:color="auto" w:fill="FFFFFF"/>
    </w:rPr>
  </w:style>
  <w:style w:type="paragraph" w:customStyle="1" w:styleId="88">
    <w:name w:val="正文文本 (42)1"/>
    <w:basedOn w:val="1"/>
    <w:link w:val="87"/>
    <w:qFormat/>
    <w:uiPriority w:val="0"/>
    <w:pPr>
      <w:shd w:val="clear" w:color="auto" w:fill="FFFFFF"/>
      <w:spacing w:line="398" w:lineRule="exact"/>
      <w:jc w:val="distribute"/>
    </w:pPr>
    <w:rPr>
      <w:rFonts w:ascii="MingLiU" w:hAnsi="MingLiU" w:eastAsia="MingLiU"/>
      <w:b/>
      <w:bCs/>
      <w:kern w:val="0"/>
      <w:sz w:val="20"/>
      <w:szCs w:val="20"/>
    </w:rPr>
  </w:style>
  <w:style w:type="character" w:customStyle="1" w:styleId="89">
    <w:name w:val="正文文本 (19)_"/>
    <w:link w:val="90"/>
    <w:qFormat/>
    <w:uiPriority w:val="0"/>
    <w:rPr>
      <w:rFonts w:ascii="MingLiU" w:hAnsi="MingLiU" w:eastAsia="MingLiU" w:cs="MingLiU"/>
      <w:b/>
      <w:bCs/>
      <w:spacing w:val="10"/>
      <w:sz w:val="22"/>
      <w:szCs w:val="22"/>
      <w:shd w:val="clear" w:color="auto" w:fill="FFFFFF"/>
    </w:rPr>
  </w:style>
  <w:style w:type="paragraph" w:customStyle="1" w:styleId="90">
    <w:name w:val="正文文本 (19)"/>
    <w:basedOn w:val="1"/>
    <w:link w:val="89"/>
    <w:qFormat/>
    <w:uiPriority w:val="0"/>
    <w:pPr>
      <w:shd w:val="clear" w:color="auto" w:fill="FFFFFF"/>
      <w:spacing w:line="559" w:lineRule="exact"/>
      <w:jc w:val="left"/>
    </w:pPr>
    <w:rPr>
      <w:rFonts w:ascii="MingLiU" w:hAnsi="MingLiU" w:eastAsia="MingLiU"/>
      <w:b/>
      <w:bCs/>
      <w:spacing w:val="10"/>
      <w:kern w:val="0"/>
      <w:sz w:val="22"/>
      <w:szCs w:val="22"/>
    </w:rPr>
  </w:style>
  <w:style w:type="character" w:customStyle="1" w:styleId="91">
    <w:name w:val="标题 #7 + 间距 0 pt1"/>
    <w:qFormat/>
    <w:uiPriority w:val="0"/>
    <w:rPr>
      <w:rFonts w:ascii="MingLiU" w:hAnsi="MingLiU" w:eastAsia="MingLiU" w:cs="MingLiU"/>
      <w:color w:val="000000"/>
      <w:spacing w:val="10"/>
      <w:w w:val="100"/>
      <w:position w:val="0"/>
      <w:sz w:val="26"/>
      <w:szCs w:val="26"/>
      <w:u w:val="none"/>
      <w:shd w:val="clear" w:color="auto" w:fill="FFFFFF"/>
      <w:lang w:val="zh-CN" w:eastAsia="zh-CN"/>
    </w:rPr>
  </w:style>
  <w:style w:type="character" w:customStyle="1" w:styleId="92">
    <w:name w:val="样式 宋体 小四 加粗 黑色"/>
    <w:qFormat/>
    <w:uiPriority w:val="0"/>
    <w:rPr>
      <w:rFonts w:ascii="宋体" w:hAnsi="宋体"/>
      <w:b/>
      <w:bCs/>
      <w:color w:val="000000"/>
      <w:sz w:val="24"/>
    </w:rPr>
  </w:style>
  <w:style w:type="character" w:customStyle="1" w:styleId="93">
    <w:name w:val="正文文本 (2)_"/>
    <w:link w:val="94"/>
    <w:qFormat/>
    <w:uiPriority w:val="0"/>
    <w:rPr>
      <w:rFonts w:ascii="MingLiU" w:hAnsi="MingLiU" w:eastAsia="MingLiU" w:cs="MingLiU"/>
      <w:spacing w:val="20"/>
      <w:sz w:val="22"/>
      <w:szCs w:val="22"/>
      <w:shd w:val="clear" w:color="auto" w:fill="FFFFFF"/>
    </w:rPr>
  </w:style>
  <w:style w:type="paragraph" w:customStyle="1" w:styleId="94">
    <w:name w:val="正文文本 (2)4"/>
    <w:basedOn w:val="1"/>
    <w:link w:val="93"/>
    <w:qFormat/>
    <w:uiPriority w:val="0"/>
    <w:pPr>
      <w:shd w:val="clear" w:color="auto" w:fill="FFFFFF"/>
      <w:spacing w:before="300" w:line="439" w:lineRule="exact"/>
      <w:jc w:val="distribute"/>
    </w:pPr>
    <w:rPr>
      <w:rFonts w:ascii="MingLiU" w:hAnsi="MingLiU" w:eastAsia="MingLiU"/>
      <w:spacing w:val="20"/>
      <w:kern w:val="0"/>
      <w:sz w:val="22"/>
      <w:szCs w:val="22"/>
    </w:rPr>
  </w:style>
  <w:style w:type="character" w:customStyle="1" w:styleId="95">
    <w:name w:val="正文文本 (2) + 间距 2 pt1"/>
    <w:qFormat/>
    <w:uiPriority w:val="0"/>
    <w:rPr>
      <w:rFonts w:ascii="MingLiU" w:hAnsi="MingLiU" w:eastAsia="MingLiU" w:cs="MingLiU"/>
      <w:color w:val="000000"/>
      <w:spacing w:val="50"/>
      <w:w w:val="100"/>
      <w:position w:val="0"/>
      <w:sz w:val="22"/>
      <w:szCs w:val="22"/>
      <w:u w:val="none"/>
      <w:shd w:val="clear" w:color="auto" w:fill="FFFFFF"/>
      <w:lang w:val="zh-CN" w:eastAsia="zh-CN"/>
    </w:rPr>
  </w:style>
  <w:style w:type="character" w:customStyle="1" w:styleId="96">
    <w:name w:val="正文文本 (2) + 间距 0 pt2"/>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character" w:customStyle="1" w:styleId="97">
    <w:name w:val="正文文本 (2) + 间距 0 pt6"/>
    <w:qFormat/>
    <w:uiPriority w:val="0"/>
    <w:rPr>
      <w:rFonts w:ascii="MingLiU" w:hAnsi="MingLiU" w:eastAsia="MingLiU" w:cs="MingLiU"/>
      <w:color w:val="000000"/>
      <w:spacing w:val="0"/>
      <w:w w:val="100"/>
      <w:position w:val="0"/>
      <w:sz w:val="22"/>
      <w:szCs w:val="22"/>
      <w:u w:val="single"/>
      <w:shd w:val="clear" w:color="auto" w:fill="FFFFFF"/>
      <w:lang w:val="zh-CN" w:eastAsia="zh-CN"/>
    </w:rPr>
  </w:style>
  <w:style w:type="character" w:customStyle="1" w:styleId="98">
    <w:name w:val="正文文本 (19) + 间距 0 pt"/>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99">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100">
    <w:name w:val="标题 #7_"/>
    <w:link w:val="101"/>
    <w:qFormat/>
    <w:locked/>
    <w:uiPriority w:val="0"/>
    <w:rPr>
      <w:rFonts w:ascii="MingLiU" w:hAnsi="MingLiU" w:eastAsia="MingLiU"/>
      <w:spacing w:val="30"/>
      <w:sz w:val="26"/>
      <w:szCs w:val="26"/>
      <w:shd w:val="clear" w:color="auto" w:fill="FFFFFF"/>
    </w:rPr>
  </w:style>
  <w:style w:type="paragraph" w:customStyle="1" w:styleId="101">
    <w:name w:val="标题 #7"/>
    <w:basedOn w:val="1"/>
    <w:link w:val="100"/>
    <w:qFormat/>
    <w:uiPriority w:val="0"/>
    <w:pPr>
      <w:shd w:val="clear" w:color="auto" w:fill="FFFFFF"/>
      <w:spacing w:before="540" w:after="540" w:line="240" w:lineRule="atLeast"/>
      <w:jc w:val="center"/>
      <w:outlineLvl w:val="6"/>
    </w:pPr>
    <w:rPr>
      <w:rFonts w:ascii="MingLiU" w:hAnsi="MingLiU" w:eastAsia="MingLiU"/>
      <w:spacing w:val="30"/>
      <w:kern w:val="0"/>
      <w:sz w:val="26"/>
      <w:szCs w:val="26"/>
    </w:rPr>
  </w:style>
  <w:style w:type="character" w:customStyle="1" w:styleId="102">
    <w:name w:val="标题 #7 (4)_"/>
    <w:link w:val="103"/>
    <w:qFormat/>
    <w:locked/>
    <w:uiPriority w:val="0"/>
    <w:rPr>
      <w:rFonts w:ascii="MingLiU" w:hAnsi="MingLiU" w:eastAsia="MingLiU"/>
      <w:sz w:val="26"/>
      <w:szCs w:val="26"/>
      <w:shd w:val="clear" w:color="auto" w:fill="FFFFFF"/>
    </w:rPr>
  </w:style>
  <w:style w:type="paragraph" w:customStyle="1" w:styleId="103">
    <w:name w:val="标题 #7 (4)"/>
    <w:basedOn w:val="1"/>
    <w:link w:val="102"/>
    <w:qFormat/>
    <w:uiPriority w:val="0"/>
    <w:pPr>
      <w:shd w:val="clear" w:color="auto" w:fill="FFFFFF"/>
      <w:spacing w:after="1020" w:line="240" w:lineRule="atLeast"/>
      <w:jc w:val="left"/>
      <w:outlineLvl w:val="6"/>
    </w:pPr>
    <w:rPr>
      <w:rFonts w:ascii="MingLiU" w:hAnsi="MingLiU" w:eastAsia="MingLiU"/>
      <w:kern w:val="0"/>
      <w:sz w:val="26"/>
      <w:szCs w:val="26"/>
    </w:rPr>
  </w:style>
  <w:style w:type="character" w:customStyle="1" w:styleId="104">
    <w:name w:val="标题 #8_"/>
    <w:link w:val="105"/>
    <w:qFormat/>
    <w:uiPriority w:val="0"/>
    <w:rPr>
      <w:rFonts w:ascii="MingLiU" w:hAnsi="MingLiU" w:eastAsia="MingLiU" w:cs="MingLiU"/>
      <w:b/>
      <w:bCs/>
      <w:spacing w:val="10"/>
      <w:sz w:val="22"/>
      <w:szCs w:val="22"/>
      <w:shd w:val="clear" w:color="auto" w:fill="FFFFFF"/>
    </w:rPr>
  </w:style>
  <w:style w:type="paragraph" w:customStyle="1" w:styleId="105">
    <w:name w:val="标题 #8"/>
    <w:basedOn w:val="1"/>
    <w:link w:val="104"/>
    <w:qFormat/>
    <w:uiPriority w:val="0"/>
    <w:pPr>
      <w:shd w:val="clear" w:color="auto" w:fill="FFFFFF"/>
      <w:spacing w:before="120" w:after="420" w:line="0" w:lineRule="atLeast"/>
      <w:jc w:val="left"/>
      <w:outlineLvl w:val="7"/>
    </w:pPr>
    <w:rPr>
      <w:rFonts w:ascii="MingLiU" w:hAnsi="MingLiU" w:eastAsia="MingLiU"/>
      <w:b/>
      <w:bCs/>
      <w:spacing w:val="10"/>
      <w:kern w:val="0"/>
      <w:sz w:val="22"/>
      <w:szCs w:val="22"/>
    </w:rPr>
  </w:style>
  <w:style w:type="character" w:customStyle="1" w:styleId="106">
    <w:name w:val="正文文本 (42)"/>
    <w:qFormat/>
    <w:uiPriority w:val="0"/>
    <w:rPr>
      <w:rFonts w:ascii="MingLiU" w:hAnsi="MingLiU" w:eastAsia="MingLiU"/>
      <w:b/>
      <w:bCs/>
      <w:color w:val="000000"/>
      <w:spacing w:val="0"/>
      <w:w w:val="100"/>
      <w:position w:val="0"/>
      <w:u w:val="single"/>
      <w:lang w:val="zh-CN" w:eastAsia="zh-CN" w:bidi="ar-SA"/>
    </w:rPr>
  </w:style>
  <w:style w:type="character" w:customStyle="1" w:styleId="107">
    <w:name w:val="ant-select-tree-iconele"/>
    <w:qFormat/>
    <w:uiPriority w:val="0"/>
  </w:style>
  <w:style w:type="character" w:customStyle="1" w:styleId="108">
    <w:name w:val="ant-input"/>
    <w:qFormat/>
    <w:uiPriority w:val="0"/>
  </w:style>
  <w:style w:type="character" w:customStyle="1" w:styleId="109">
    <w:name w:val="ant-select-tree-checkbox"/>
    <w:qFormat/>
    <w:uiPriority w:val="0"/>
  </w:style>
  <w:style w:type="character" w:customStyle="1" w:styleId="110">
    <w:name w:val="ant-transfer-list-search-action"/>
    <w:qFormat/>
    <w:uiPriority w:val="0"/>
  </w:style>
  <w:style w:type="character" w:customStyle="1" w:styleId="111">
    <w:name w:val="ant-tree-iconele"/>
    <w:qFormat/>
    <w:uiPriority w:val="0"/>
  </w:style>
  <w:style w:type="character" w:customStyle="1" w:styleId="112">
    <w:name w:val="ant-tree-checkbox"/>
    <w:qFormat/>
    <w:uiPriority w:val="0"/>
  </w:style>
  <w:style w:type="character" w:customStyle="1" w:styleId="113">
    <w:name w:val="ant-radio+*"/>
    <w:qFormat/>
    <w:uiPriority w:val="0"/>
  </w:style>
  <w:style w:type="character" w:customStyle="1" w:styleId="114">
    <w:name w:val="ant-radio+*1"/>
    <w:qFormat/>
    <w:uiPriority w:val="0"/>
  </w:style>
  <w:style w:type="character" w:customStyle="1" w:styleId="115">
    <w:name w:val="ant-select-tree-switcher"/>
    <w:qFormat/>
    <w:uiPriority w:val="0"/>
  </w:style>
  <w:style w:type="character" w:customStyle="1" w:styleId="116">
    <w:name w:val="ant-tree-switcher"/>
    <w:qFormat/>
    <w:uiPriority w:val="0"/>
  </w:style>
  <w:style w:type="character" w:customStyle="1" w:styleId="117">
    <w:name w:val="ant-tree-icon_loading"/>
    <w:qFormat/>
    <w:uiPriority w:val="0"/>
    <w:rPr>
      <w:shd w:val="clear" w:color="auto" w:fill="FFFFFF"/>
    </w:rPr>
  </w:style>
  <w:style w:type="paragraph" w:customStyle="1" w:styleId="118">
    <w:name w:val="_Style 117"/>
    <w:basedOn w:val="1"/>
    <w:next w:val="1"/>
    <w:qFormat/>
    <w:uiPriority w:val="0"/>
    <w:pPr>
      <w:pBdr>
        <w:bottom w:val="single" w:color="auto" w:sz="6" w:space="1"/>
      </w:pBdr>
      <w:jc w:val="center"/>
    </w:pPr>
    <w:rPr>
      <w:rFonts w:ascii="Arial"/>
      <w:vanish/>
      <w:sz w:val="16"/>
    </w:rPr>
  </w:style>
  <w:style w:type="paragraph" w:customStyle="1" w:styleId="119">
    <w:name w:val="_Style 118"/>
    <w:basedOn w:val="1"/>
    <w:next w:val="1"/>
    <w:qFormat/>
    <w:uiPriority w:val="0"/>
    <w:pPr>
      <w:pBdr>
        <w:top w:val="single" w:color="auto" w:sz="6" w:space="1"/>
      </w:pBdr>
      <w:jc w:val="center"/>
    </w:pPr>
    <w:rPr>
      <w:rFonts w:ascii="Arial"/>
      <w:vanish/>
      <w:sz w:val="16"/>
    </w:rPr>
  </w:style>
  <w:style w:type="character" w:customStyle="1" w:styleId="120">
    <w:name w:val="ant-form-item-children1"/>
    <w:qFormat/>
    <w:uiPriority w:val="0"/>
  </w:style>
  <w:style w:type="character" w:customStyle="1" w:styleId="121">
    <w:name w:val="纯文本 字符4"/>
    <w:qFormat/>
    <w:uiPriority w:val="0"/>
    <w:rPr>
      <w:rFonts w:ascii="宋体" w:hAnsi="Courier New" w:eastAsia="宋体" w:cs="Courier New"/>
      <w:szCs w:val="21"/>
    </w:rPr>
  </w:style>
  <w:style w:type="character" w:customStyle="1" w:styleId="122">
    <w:name w:val="日期 字符"/>
    <w:semiHidden/>
    <w:qFormat/>
    <w:uiPriority w:val="99"/>
    <w:rPr>
      <w:rFonts w:ascii="Times New Roman" w:hAnsi="Times New Roman"/>
      <w:kern w:val="2"/>
      <w:sz w:val="21"/>
      <w:szCs w:val="24"/>
    </w:rPr>
  </w:style>
  <w:style w:type="paragraph" w:customStyle="1" w:styleId="123">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4">
    <w:name w:val="标题 1 字符"/>
    <w:qFormat/>
    <w:uiPriority w:val="9"/>
    <w:rPr>
      <w:b/>
      <w:bCs/>
      <w:kern w:val="44"/>
      <w:sz w:val="44"/>
      <w:szCs w:val="44"/>
    </w:rPr>
  </w:style>
  <w:style w:type="character" w:customStyle="1" w:styleId="125">
    <w:name w:val="标题 2 字符"/>
    <w:qFormat/>
    <w:uiPriority w:val="9"/>
    <w:rPr>
      <w:rFonts w:ascii="Cambria" w:hAnsi="Cambria" w:eastAsia="宋体" w:cs="Times New Roman"/>
      <w:b/>
      <w:bCs/>
      <w:kern w:val="2"/>
      <w:sz w:val="32"/>
      <w:szCs w:val="32"/>
    </w:rPr>
  </w:style>
  <w:style w:type="character" w:customStyle="1" w:styleId="126">
    <w:name w:val="标题 7 字符"/>
    <w:qFormat/>
    <w:uiPriority w:val="0"/>
    <w:rPr>
      <w:b/>
      <w:bCs/>
      <w:kern w:val="2"/>
      <w:sz w:val="24"/>
      <w:szCs w:val="24"/>
    </w:rPr>
  </w:style>
  <w:style w:type="character" w:customStyle="1" w:styleId="127">
    <w:name w:val="批注文字 字符2"/>
    <w:qFormat/>
    <w:uiPriority w:val="0"/>
    <w:rPr>
      <w:rFonts w:ascii="Times New Roman" w:hAnsi="Times New Roman"/>
      <w:kern w:val="2"/>
      <w:sz w:val="21"/>
      <w:szCs w:val="24"/>
    </w:rPr>
  </w:style>
  <w:style w:type="character" w:customStyle="1" w:styleId="128">
    <w:name w:val="正文文本 字符1"/>
    <w:qFormat/>
    <w:uiPriority w:val="0"/>
    <w:rPr>
      <w:rFonts w:ascii="Times New Roman" w:hAnsi="Times New Roman"/>
      <w:kern w:val="2"/>
      <w:sz w:val="21"/>
      <w:szCs w:val="24"/>
    </w:rPr>
  </w:style>
  <w:style w:type="character" w:customStyle="1" w:styleId="129">
    <w:name w:val="正文文本缩进 字符"/>
    <w:qFormat/>
    <w:uiPriority w:val="0"/>
    <w:rPr>
      <w:rFonts w:ascii="仿宋_GB2312" w:hAnsi="Times New Roman" w:eastAsia="仿宋_GB2312" w:cs="Times New Roman"/>
      <w:sz w:val="32"/>
      <w:szCs w:val="20"/>
    </w:rPr>
  </w:style>
  <w:style w:type="character" w:customStyle="1" w:styleId="130">
    <w:name w:val="页脚 字符1"/>
    <w:qFormat/>
    <w:uiPriority w:val="99"/>
    <w:rPr>
      <w:sz w:val="18"/>
      <w:szCs w:val="18"/>
    </w:rPr>
  </w:style>
  <w:style w:type="character" w:customStyle="1" w:styleId="131">
    <w:name w:val="页眉 字符"/>
    <w:qFormat/>
    <w:uiPriority w:val="99"/>
    <w:rPr>
      <w:sz w:val="18"/>
      <w:szCs w:val="18"/>
    </w:rPr>
  </w:style>
  <w:style w:type="character" w:customStyle="1" w:styleId="132">
    <w:name w:val="批注主题 字符1"/>
    <w:qFormat/>
    <w:uiPriority w:val="99"/>
    <w:rPr>
      <w:rFonts w:ascii="Times New Roman" w:hAnsi="Times New Roman"/>
      <w:b/>
      <w:bCs/>
      <w:kern w:val="2"/>
      <w:sz w:val="21"/>
      <w:szCs w:val="24"/>
    </w:rPr>
  </w:style>
  <w:style w:type="character" w:customStyle="1" w:styleId="133">
    <w:name w:val="纯文本 字符6"/>
    <w:qFormat/>
    <w:uiPriority w:val="0"/>
    <w:rPr>
      <w:rFonts w:ascii="宋体" w:hAnsi="Courier New" w:eastAsia="宋体" w:cs="Courier New"/>
      <w:szCs w:val="21"/>
    </w:rPr>
  </w:style>
  <w:style w:type="character" w:customStyle="1" w:styleId="134">
    <w:name w:val="标题 3 字符"/>
    <w:qFormat/>
    <w:uiPriority w:val="9"/>
    <w:rPr>
      <w:b/>
      <w:bCs/>
      <w:kern w:val="2"/>
      <w:sz w:val="32"/>
      <w:szCs w:val="32"/>
    </w:rPr>
  </w:style>
  <w:style w:type="character" w:customStyle="1" w:styleId="135">
    <w:name w:val="批注文字 字符3"/>
    <w:qFormat/>
    <w:uiPriority w:val="0"/>
    <w:rPr>
      <w:rFonts w:ascii="Times New Roman" w:hAnsi="Times New Roman"/>
      <w:kern w:val="2"/>
      <w:sz w:val="21"/>
      <w:szCs w:val="24"/>
    </w:rPr>
  </w:style>
  <w:style w:type="character" w:customStyle="1" w:styleId="136">
    <w:name w:val="纯文本 字符5"/>
    <w:qFormat/>
    <w:uiPriority w:val="0"/>
    <w:rPr>
      <w:rFonts w:ascii="宋体" w:hAnsi="Courier New" w:eastAsia="宋体" w:cs="Courier New"/>
      <w:szCs w:val="21"/>
    </w:rPr>
  </w:style>
  <w:style w:type="paragraph" w:customStyle="1" w:styleId="137">
    <w:name w:val="样式 正文缩进正文（首行缩进两字）首行缩进两字 + 首行缩进:  2 字符1"/>
    <w:basedOn w:val="8"/>
    <w:qFormat/>
    <w:uiPriority w:val="0"/>
    <w:pPr>
      <w:autoSpaceDE w:val="0"/>
      <w:autoSpaceDN w:val="0"/>
      <w:spacing w:beforeLines="50" w:afterLines="50" w:line="500" w:lineRule="exact"/>
      <w:ind w:firstLine="200"/>
      <w:jc w:val="left"/>
    </w:pPr>
    <w:rPr>
      <w:rFonts w:ascii="楷体_GB2312" w:eastAsia="楷体_GB2312"/>
      <w:color w:val="000000"/>
      <w:kern w:val="0"/>
      <w:sz w:val="28"/>
    </w:rPr>
  </w:style>
  <w:style w:type="table" w:customStyle="1" w:styleId="138">
    <w:name w:val="Table Normal"/>
    <w:unhideWhenUsed/>
    <w:qFormat/>
    <w:uiPriority w:val="0"/>
    <w:tblPr>
      <w:tblCellMar>
        <w:top w:w="0" w:type="dxa"/>
        <w:left w:w="0" w:type="dxa"/>
        <w:bottom w:w="0" w:type="dxa"/>
        <w:right w:w="0" w:type="dxa"/>
      </w:tblCellMar>
    </w:tblPr>
  </w:style>
  <w:style w:type="paragraph" w:customStyle="1" w:styleId="139">
    <w:name w:val="纯文本11"/>
    <w:basedOn w:val="1"/>
    <w:qFormat/>
    <w:uiPriority w:val="0"/>
    <w:pPr>
      <w:suppressAutoHyphens/>
    </w:pPr>
    <w:rPr>
      <w:rFonts w:ascii="宋体" w:hAnsi="宋体" w:cs="Courier New"/>
      <w:kern w:val="1"/>
      <w:szCs w:val="21"/>
      <w:lang w:eastAsia="ar-SA"/>
    </w:rPr>
  </w:style>
  <w:style w:type="paragraph" w:customStyle="1" w:styleId="140">
    <w:name w:val="11111"/>
    <w:basedOn w:val="1"/>
    <w:next w:val="1"/>
    <w:qFormat/>
    <w:uiPriority w:val="0"/>
    <w:pPr>
      <w:spacing w:line="360" w:lineRule="auto"/>
      <w:ind w:firstLine="200" w:firstLineChars="200"/>
    </w:pPr>
    <w:rPr>
      <w:rFonts w:ascii="宋体" w:hAnsi="宋体" w:cs="宋体"/>
      <w:sz w:val="24"/>
    </w:rPr>
  </w:style>
  <w:style w:type="paragraph" w:customStyle="1" w:styleId="141">
    <w:name w:val="表格文字"/>
    <w:basedOn w:val="1"/>
    <w:qFormat/>
    <w:uiPriority w:val="99"/>
    <w:pPr>
      <w:spacing w:before="25" w:after="25"/>
      <w:jc w:val="left"/>
    </w:pPr>
    <w:rPr>
      <w:bCs/>
      <w:spacing w:val="10"/>
      <w:kern w:val="0"/>
      <w:sz w:val="24"/>
    </w:rPr>
  </w:style>
  <w:style w:type="paragraph" w:customStyle="1" w:styleId="142">
    <w:name w:val="Normal_0"/>
    <w:qFormat/>
    <w:uiPriority w:val="0"/>
    <w:rPr>
      <w:rFonts w:ascii="Times New Roman" w:hAnsi="Times New Roman" w:eastAsia="Times New Roman" w:cs="Times New Roman"/>
      <w:sz w:val="24"/>
      <w:szCs w:val="24"/>
      <w:lang w:val="en-US" w:eastAsia="zh-CN" w:bidi="ar-SA"/>
    </w:rPr>
  </w:style>
  <w:style w:type="paragraph" w:customStyle="1" w:styleId="143">
    <w:name w:val="正文首行缩进 21"/>
    <w:basedOn w:val="144"/>
    <w:qFormat/>
    <w:uiPriority w:val="0"/>
    <w:pPr>
      <w:ind w:firstLine="420" w:firstLineChars="200"/>
    </w:pPr>
    <w:rPr>
      <w:rFonts w:ascii="Calibri" w:hAnsi="Calibri"/>
      <w:szCs w:val="22"/>
    </w:rPr>
  </w:style>
  <w:style w:type="paragraph" w:customStyle="1" w:styleId="144">
    <w:name w:val="Body Text Indent1"/>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108</Pages>
  <Words>316</Words>
  <Characters>409</Characters>
  <Lines>573</Lines>
  <Paragraphs>161</Paragraphs>
  <TotalTime>22</TotalTime>
  <ScaleCrop>false</ScaleCrop>
  <LinksUpToDate>false</LinksUpToDate>
  <CharactersWithSpaces>439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2025-09-05T02:00:00Z</dcterms:created>
  <dc:creator>Administrator</dc:creator>
  <dc:description>广西正海招标有限公司</dc:description>
  <cp:lastModifiedBy>Administrator</cp:lastModifiedBy>
  <cp:lastPrinted>2025-09-15T02:22:00Z</cp:lastPrinted>
  <dcterms:modified xsi:type="dcterms:W3CDTF">2026-06-25T07:50:00Z</dcterms:modified>
  <dc:title>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AA0F64041D0F4C8F9F0DC6A3A1F4D613_13</vt:lpwstr>
  </property>
  <property fmtid="{D5CDD505-2E9C-101B-9397-08002B2CF9AE}" pid="4" name="commondata">
    <vt:lpwstr>eyJoZGlkIjoiODc2MTIzZDFkZmVkZGI0NThiZDMyZjlhNGM2YWQzZDYifQ==</vt:lpwstr>
  </property>
  <property fmtid="{D5CDD505-2E9C-101B-9397-08002B2CF9AE}" pid="5" name="KSOTemplateDocerSaveRecord">
    <vt:lpwstr>eyJoZGlkIjoiZDQzNmVhNGE2YzEyNzE4YzY0Y2I1OGQ4NTBmYzE4MzUiLCJ1c2VySWQiOiI1NjI2NDc5NDMifQ==</vt:lpwstr>
  </property>
</Properties>
</file>