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9B3E8">
      <w:pPr>
        <w:spacing w:line="360" w:lineRule="auto"/>
        <w:jc w:val="center"/>
        <w:rPr>
          <w:rFonts w:hint="eastAsia" w:ascii="方正小标宋简体" w:hAnsi="宋体" w:eastAsia="方正小标宋简体"/>
          <w:color w:val="000000" w:themeColor="text1"/>
          <w:sz w:val="52"/>
          <w:szCs w:val="52"/>
          <w:highlight w:val="none"/>
          <w14:textFill>
            <w14:solidFill>
              <w14:schemeClr w14:val="tx1"/>
            </w14:solidFill>
          </w14:textFill>
        </w:rPr>
      </w:pPr>
    </w:p>
    <w:p w14:paraId="5317BEBF">
      <w:pPr>
        <w:spacing w:line="360" w:lineRule="auto"/>
        <w:jc w:val="center"/>
        <w:rPr>
          <w:rFonts w:hint="eastAsia" w:ascii="方正小标宋简体" w:hAnsi="方正小标宋简体" w:eastAsia="方正小标宋简体" w:cs="方正小标宋简体"/>
          <w:color w:val="000000" w:themeColor="text1"/>
          <w:sz w:val="52"/>
          <w:szCs w:val="52"/>
          <w:highlight w:val="none"/>
          <w14:textFill>
            <w14:solidFill>
              <w14:schemeClr w14:val="tx1"/>
            </w14:solidFill>
          </w14:textFill>
        </w:rPr>
      </w:pPr>
      <w:r>
        <w:rPr>
          <w:rFonts w:hint="eastAsia" w:ascii="方正小标宋简体" w:hAnsi="宋体" w:eastAsia="方正小标宋简体"/>
          <w:color w:val="000000" w:themeColor="text1"/>
          <w:sz w:val="52"/>
          <w:szCs w:val="52"/>
          <w:highlight w:val="none"/>
          <w14:textFill>
            <w14:solidFill>
              <w14:schemeClr w14:val="tx1"/>
            </w14:solidFill>
          </w14:textFill>
        </w:rPr>
        <w:t>云之龙咨询集团有限公司</w:t>
      </w:r>
    </w:p>
    <w:p w14:paraId="50FD7BC7">
      <w:pPr>
        <w:spacing w:line="360" w:lineRule="auto"/>
        <w:jc w:val="center"/>
        <w:rPr>
          <w:rFonts w:hint="eastAsia" w:ascii="方正小标宋简体" w:hAnsi="方正小标宋简体" w:eastAsia="方正小标宋简体" w:cs="方正小标宋简体"/>
          <w:b/>
          <w:color w:val="000000" w:themeColor="text1"/>
          <w:sz w:val="44"/>
          <w:szCs w:val="44"/>
          <w:highlight w:val="none"/>
          <w14:textFill>
            <w14:solidFill>
              <w14:schemeClr w14:val="tx1"/>
            </w14:solidFill>
          </w14:textFill>
        </w:rPr>
      </w:pPr>
    </w:p>
    <w:p w14:paraId="27826BB1">
      <w:pPr>
        <w:spacing w:before="156" w:line="360" w:lineRule="auto"/>
        <w:jc w:val="center"/>
        <w:rPr>
          <w:rFonts w:hint="eastAsia" w:ascii="华文新魏" w:hAnsi="宋体" w:eastAsia="华文新魏"/>
          <w:color w:val="000000" w:themeColor="text1"/>
          <w:sz w:val="120"/>
          <w:szCs w:val="120"/>
          <w:highlight w:val="none"/>
          <w14:textFill>
            <w14:solidFill>
              <w14:schemeClr w14:val="tx1"/>
            </w14:solidFill>
          </w14:textFill>
        </w:rPr>
      </w:pPr>
      <w:r>
        <w:rPr>
          <w:rFonts w:hint="eastAsia" w:ascii="华文新魏" w:hAnsi="宋体" w:eastAsia="华文新魏"/>
          <w:color w:val="000000" w:themeColor="text1"/>
          <w:sz w:val="120"/>
          <w:szCs w:val="120"/>
          <w:highlight w:val="none"/>
          <w14:textFill>
            <w14:solidFill>
              <w14:schemeClr w14:val="tx1"/>
            </w14:solidFill>
          </w14:textFill>
        </w:rPr>
        <w:t>竞争性磋商文件</w:t>
      </w:r>
    </w:p>
    <w:p w14:paraId="516A3C71">
      <w:pPr>
        <w:spacing w:before="156" w:line="360" w:lineRule="auto"/>
        <w:jc w:val="center"/>
        <w:rPr>
          <w:rFonts w:hint="eastAsia" w:ascii="仿宋_GB2312" w:hAnsi="宋体" w:eastAsia="仿宋_GB2312"/>
          <w:b/>
          <w:color w:val="000000" w:themeColor="text1"/>
          <w:sz w:val="30"/>
          <w:szCs w:val="72"/>
          <w:highlight w:val="none"/>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14:paraId="739D9E67">
      <w:pPr>
        <w:spacing w:line="360" w:lineRule="auto"/>
        <w:rPr>
          <w:rFonts w:hint="eastAsia" w:ascii="仿宋_GB2312" w:hAnsi="宋体" w:eastAsia="仿宋_GB2312"/>
          <w:color w:val="000000" w:themeColor="text1"/>
          <w:sz w:val="30"/>
          <w:szCs w:val="72"/>
          <w:highlight w:val="none"/>
          <w14:textFill>
            <w14:solidFill>
              <w14:schemeClr w14:val="tx1"/>
            </w14:solidFill>
          </w14:textFill>
        </w:rPr>
      </w:pPr>
    </w:p>
    <w:p w14:paraId="7C095B0C">
      <w:pPr>
        <w:pStyle w:val="24"/>
        <w:spacing w:line="360" w:lineRule="auto"/>
        <w:ind w:firstLine="904"/>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w:t>
      </w:r>
      <w:r>
        <w:rPr>
          <w:rFonts w:hint="eastAsia" w:ascii="仿宋_GB2312" w:hAnsi="宋体" w:eastAsia="仿宋_GB2312"/>
          <w:b/>
          <w:bCs/>
          <w:color w:val="000000" w:themeColor="text1"/>
          <w:sz w:val="30"/>
          <w:szCs w:val="30"/>
          <w:highlight w:val="none"/>
          <w:lang w:eastAsia="zh-CN"/>
          <w14:textFill>
            <w14:solidFill>
              <w14:schemeClr w14:val="tx1"/>
            </w14:solidFill>
          </w14:textFill>
        </w:rPr>
        <w:t>2026年第一批扩大学前教育资源奖补资金项目</w:t>
      </w:r>
    </w:p>
    <w:p w14:paraId="00D2D014">
      <w:pPr>
        <w:pStyle w:val="24"/>
        <w:spacing w:line="360" w:lineRule="auto"/>
        <w:ind w:firstLine="904"/>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lang w:eastAsia="zh-CN"/>
          <w14:textFill>
            <w14:solidFill>
              <w14:schemeClr w14:val="tx1"/>
            </w14:solidFill>
          </w14:textFill>
        </w:rPr>
        <w:t>平南县江南中心幼儿园教学综合楼维修、改造项目</w:t>
      </w:r>
    </w:p>
    <w:p w14:paraId="32855014">
      <w:pPr>
        <w:spacing w:line="360" w:lineRule="auto"/>
        <w:ind w:firstLine="859"/>
        <w:rPr>
          <w:rFonts w:hint="eastAsia" w:ascii="仿宋_GB2312" w:hAnsi="宋体" w:eastAsia="仿宋_GB2312"/>
          <w:color w:val="000000" w:themeColor="text1"/>
          <w:sz w:val="30"/>
          <w:szCs w:val="72"/>
          <w:highlight w:val="none"/>
          <w:lang w:eastAsia="zh-CN"/>
          <w14:textFill>
            <w14:solidFill>
              <w14:schemeClr w14:val="tx1"/>
            </w14:solidFill>
          </w14:textFill>
        </w:rPr>
      </w:pPr>
      <w:r>
        <w:rPr>
          <w:rFonts w:hint="eastAsia" w:ascii="仿宋_GB2312" w:hAnsi="宋体" w:eastAsia="仿宋_GB2312" w:cs="Courier New"/>
          <w:b/>
          <w:bCs/>
          <w:color w:val="000000" w:themeColor="text1"/>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sz w:val="30"/>
          <w:szCs w:val="30"/>
          <w:highlight w:val="none"/>
          <w14:textFill>
            <w14:solidFill>
              <w14:schemeClr w14:val="tx1"/>
            </w14:solidFill>
          </w14:textFill>
        </w:rPr>
        <w:t>：</w:t>
      </w:r>
      <w:r>
        <w:rPr>
          <w:rFonts w:hint="eastAsia" w:ascii="仿宋_GB2312" w:hAnsi="宋体" w:eastAsia="仿宋_GB2312"/>
          <w:b/>
          <w:color w:val="000000" w:themeColor="text1"/>
          <w:sz w:val="30"/>
          <w:szCs w:val="48"/>
          <w:highlight w:val="none"/>
          <w:lang w:eastAsia="zh-CN"/>
          <w14:textFill>
            <w14:solidFill>
              <w14:schemeClr w14:val="tx1"/>
            </w14:solidFill>
          </w14:textFill>
        </w:rPr>
        <w:t>GGZC2026-C2-210102-YZLZ</w:t>
      </w:r>
    </w:p>
    <w:p w14:paraId="3F5DEDAD">
      <w:pPr>
        <w:pStyle w:val="24"/>
        <w:spacing w:line="360" w:lineRule="auto"/>
        <w:ind w:firstLine="859"/>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 购 人：</w:t>
      </w:r>
      <w:r>
        <w:rPr>
          <w:rFonts w:hint="eastAsia" w:ascii="仿宋_GB2312" w:hAnsi="宋体" w:eastAsia="仿宋_GB2312"/>
          <w:b/>
          <w:bCs/>
          <w:color w:val="000000" w:themeColor="text1"/>
          <w:sz w:val="30"/>
          <w:szCs w:val="30"/>
          <w:highlight w:val="none"/>
          <w:lang w:eastAsia="zh-CN"/>
          <w14:textFill>
            <w14:solidFill>
              <w14:schemeClr w14:val="tx1"/>
            </w14:solidFill>
          </w14:textFill>
        </w:rPr>
        <w:t>平南县江南中心幼儿园</w:t>
      </w:r>
    </w:p>
    <w:p w14:paraId="1173E619">
      <w:pPr>
        <w:pStyle w:val="24"/>
        <w:spacing w:line="360" w:lineRule="auto"/>
        <w:ind w:firstLine="859"/>
        <w:rPr>
          <w:rFonts w:hint="eastAsia"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采购代理机构：云之龙</w:t>
      </w:r>
      <w:r>
        <w:rPr>
          <w:rFonts w:ascii="仿宋_GB2312" w:hAnsi="宋体" w:eastAsia="仿宋_GB2312"/>
          <w:b/>
          <w:bCs/>
          <w:color w:val="000000" w:themeColor="text1"/>
          <w:sz w:val="30"/>
          <w:szCs w:val="30"/>
          <w:highlight w:val="none"/>
          <w14:textFill>
            <w14:solidFill>
              <w14:schemeClr w14:val="tx1"/>
            </w14:solidFill>
          </w14:textFill>
        </w:rPr>
        <w:t>咨询集团有限公司</w:t>
      </w:r>
    </w:p>
    <w:p w14:paraId="264EF997">
      <w:pPr>
        <w:pStyle w:val="24"/>
        <w:spacing w:line="360" w:lineRule="auto"/>
        <w:ind w:firstLine="1125"/>
        <w:rPr>
          <w:rFonts w:hint="eastAsia" w:ascii="仿宋_GB2312" w:hAnsi="宋体" w:eastAsia="仿宋_GB2312"/>
          <w:b/>
          <w:bCs/>
          <w:color w:val="000000" w:themeColor="text1"/>
          <w:sz w:val="30"/>
          <w:szCs w:val="30"/>
          <w:highlight w:val="none"/>
          <w14:textFill>
            <w14:solidFill>
              <w14:schemeClr w14:val="tx1"/>
            </w14:solidFill>
          </w14:textFill>
        </w:rPr>
      </w:pPr>
    </w:p>
    <w:p w14:paraId="3EC9EBA6">
      <w:pPr>
        <w:pStyle w:val="24"/>
        <w:spacing w:line="360" w:lineRule="auto"/>
        <w:rPr>
          <w:rFonts w:hint="eastAsia" w:ascii="仿宋_GB2312" w:hAnsi="宋体" w:eastAsia="仿宋_GB2312"/>
          <w:b/>
          <w:bCs/>
          <w:color w:val="000000" w:themeColor="text1"/>
          <w:sz w:val="30"/>
          <w:szCs w:val="30"/>
          <w:highlight w:val="none"/>
          <w14:textFill>
            <w14:solidFill>
              <w14:schemeClr w14:val="tx1"/>
            </w14:solidFill>
          </w14:textFill>
        </w:rPr>
      </w:pPr>
    </w:p>
    <w:p w14:paraId="63621851">
      <w:pPr>
        <w:pStyle w:val="24"/>
        <w:spacing w:line="360" w:lineRule="auto"/>
        <w:jc w:val="center"/>
        <w:rPr>
          <w:rFonts w:ascii="仿宋_GB2312" w:eastAsia="仿宋_GB2312"/>
          <w:color w:val="000000" w:themeColor="text1"/>
          <w:szCs w:val="20"/>
          <w:highlight w:val="none"/>
          <w14:textFill>
            <w14:solidFill>
              <w14:schemeClr w14:val="tx1"/>
            </w14:solidFill>
          </w14:textFill>
        </w:rPr>
      </w:pPr>
      <w:r>
        <w:rPr>
          <w:rFonts w:ascii="仿宋_GB2312" w:hAnsi="宋体" w:eastAsia="仿宋_GB2312"/>
          <w:b/>
          <w:bCs/>
          <w:color w:val="000000" w:themeColor="text1"/>
          <w:sz w:val="30"/>
          <w:szCs w:val="30"/>
          <w:highlight w:val="none"/>
          <w14:textFill>
            <w14:solidFill>
              <w14:schemeClr w14:val="tx1"/>
            </w14:solidFill>
          </w14:textFill>
        </w:rPr>
        <w:t>202</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6</w:t>
      </w:r>
      <w:r>
        <w:rPr>
          <w:rFonts w:hint="eastAsia" w:ascii="仿宋_GB2312" w:hAnsi="宋体" w:eastAsia="仿宋_GB2312"/>
          <w:b/>
          <w:bCs/>
          <w:color w:val="000000" w:themeColor="text1"/>
          <w:sz w:val="30"/>
          <w:szCs w:val="30"/>
          <w:highlight w:val="none"/>
          <w14:textFill>
            <w14:solidFill>
              <w14:schemeClr w14:val="tx1"/>
            </w14:solidFill>
          </w14:textFill>
        </w:rPr>
        <w:t>年</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6</w:t>
      </w:r>
      <w:r>
        <w:rPr>
          <w:rFonts w:hint="eastAsia" w:ascii="仿宋_GB2312" w:hAnsi="宋体" w:eastAsia="仿宋_GB2312"/>
          <w:b/>
          <w:bCs/>
          <w:color w:val="000000" w:themeColor="text1"/>
          <w:sz w:val="30"/>
          <w:szCs w:val="30"/>
          <w:highlight w:val="none"/>
          <w14:textFill>
            <w14:solidFill>
              <w14:schemeClr w14:val="tx1"/>
            </w14:solidFill>
          </w14:textFill>
        </w:rPr>
        <w:t>月</w:t>
      </w:r>
    </w:p>
    <w:p w14:paraId="454BD389">
      <w:pPr>
        <w:spacing w:line="360" w:lineRule="auto"/>
        <w:jc w:val="center"/>
        <w:rPr>
          <w:rFonts w:hint="eastAsia" w:ascii="宋体" w:hAnsi="宋体"/>
          <w:b/>
          <w:color w:val="000000" w:themeColor="text1"/>
          <w:sz w:val="44"/>
          <w:szCs w:val="44"/>
          <w:highlight w:val="none"/>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sectPr>
      </w:pPr>
    </w:p>
    <w:p w14:paraId="19745B25">
      <w:pPr>
        <w:spacing w:line="360" w:lineRule="auto"/>
        <w:jc w:val="center"/>
        <w:rPr>
          <w:rFonts w:hint="eastAsia" w:ascii="宋体" w:hAnsi="宋体"/>
          <w:b/>
          <w:color w:val="000000" w:themeColor="text1"/>
          <w:sz w:val="44"/>
          <w:szCs w:val="44"/>
          <w:highlight w:val="none"/>
          <w14:textFill>
            <w14:solidFill>
              <w14:schemeClr w14:val="tx1"/>
            </w14:solidFill>
          </w14:textFill>
        </w:rPr>
      </w:pPr>
    </w:p>
    <w:p w14:paraId="1AAC3826">
      <w:pPr>
        <w:spacing w:line="360" w:lineRule="auto"/>
        <w:jc w:val="center"/>
        <w:rPr>
          <w:rFonts w:hint="eastAsia" w:ascii="宋体" w:hAnsi="宋体"/>
          <w:b/>
          <w:color w:val="000000" w:themeColor="text1"/>
          <w:sz w:val="44"/>
          <w:szCs w:val="44"/>
          <w:highlight w:val="none"/>
          <w14:textFill>
            <w14:solidFill>
              <w14:schemeClr w14:val="tx1"/>
            </w14:solidFill>
          </w14:textFill>
        </w:rPr>
      </w:pPr>
    </w:p>
    <w:p w14:paraId="5A433D1C">
      <w:pPr>
        <w:spacing w:line="360" w:lineRule="auto"/>
        <w:jc w:val="center"/>
        <w:rPr>
          <w:rFonts w:hint="eastAsia" w:ascii="宋体" w:hAnsi="宋体"/>
          <w:b/>
          <w:color w:val="000000" w:themeColor="text1"/>
          <w:sz w:val="44"/>
          <w:szCs w:val="44"/>
          <w:highlight w:val="none"/>
          <w14:textFill>
            <w14:solidFill>
              <w14:schemeClr w14:val="tx1"/>
            </w14:solidFill>
          </w14:textFill>
        </w:rPr>
      </w:pPr>
    </w:p>
    <w:p w14:paraId="08FF0F22">
      <w:pPr>
        <w:spacing w:line="36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3BF42F18">
      <w:pPr>
        <w:spacing w:line="400" w:lineRule="exact"/>
        <w:jc w:val="center"/>
        <w:rPr>
          <w:rFonts w:hint="eastAsia" w:ascii="宋体" w:hAnsi="宋体"/>
          <w:b/>
          <w:color w:val="000000" w:themeColor="text1"/>
          <w:sz w:val="44"/>
          <w:szCs w:val="44"/>
          <w:highlight w:val="none"/>
          <w14:textFill>
            <w14:solidFill>
              <w14:schemeClr w14:val="tx1"/>
            </w14:solidFill>
          </w14:textFill>
        </w:rPr>
      </w:pPr>
    </w:p>
    <w:p w14:paraId="7BBFDD44">
      <w:pPr>
        <w:pStyle w:val="32"/>
        <w:tabs>
          <w:tab w:val="right" w:leader="dot" w:pos="8879"/>
        </w:tabs>
        <w:spacing w:line="360" w:lineRule="auto"/>
        <w:rPr>
          <w:color w:val="000000" w:themeColor="text1"/>
          <w:sz w:val="28"/>
          <w:szCs w:val="28"/>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fldChar w:fldCharType="begin"/>
      </w:r>
      <w:r>
        <w:rPr>
          <w:rFonts w:hint="eastAsia" w:ascii="宋体" w:hAnsi="宋体"/>
          <w:b/>
          <w:color w:val="000000" w:themeColor="text1"/>
          <w:sz w:val="24"/>
          <w:highlight w:val="none"/>
          <w14:textFill>
            <w14:solidFill>
              <w14:schemeClr w14:val="tx1"/>
            </w14:solidFill>
          </w14:textFill>
        </w:rPr>
        <w:instrText xml:space="preserve">TOC \o "1-3" \h \z \u</w:instrText>
      </w:r>
      <w:r>
        <w:rPr>
          <w:rFonts w:ascii="宋体" w:hAnsi="宋体"/>
          <w:b/>
          <w:color w:val="000000" w:themeColor="text1"/>
          <w:sz w:val="24"/>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_Toc32003 </w:instrText>
      </w:r>
      <w:r>
        <w:rPr>
          <w:rFonts w:ascii="宋体" w:hAnsi="宋体"/>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第一章</w:t>
      </w:r>
      <w:r>
        <w:rPr>
          <w:rFonts w:hint="eastAsia"/>
          <w:color w:val="000000" w:themeColor="text1"/>
          <w:sz w:val="28"/>
          <w:szCs w:val="28"/>
          <w:highlight w:val="none"/>
          <w:lang w:val="en-US" w:eastAsia="zh-CN"/>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竞争性磋商公告</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_Toc32003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41F53B3B">
      <w:pPr>
        <w:pStyle w:val="32"/>
        <w:tabs>
          <w:tab w:val="right" w:leader="dot" w:pos="8879"/>
        </w:tabs>
        <w:spacing w:line="360" w:lineRule="auto"/>
        <w:rPr>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_Toc31399 </w:instrText>
      </w:r>
      <w:r>
        <w:rPr>
          <w:rFonts w:ascii="宋体" w:hAnsi="宋体"/>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第二章</w:t>
      </w:r>
      <w:r>
        <w:rPr>
          <w:rFonts w:hint="eastAsia"/>
          <w:color w:val="000000" w:themeColor="text1"/>
          <w:sz w:val="28"/>
          <w:szCs w:val="28"/>
          <w:highlight w:val="none"/>
          <w:lang w:val="en-US" w:eastAsia="zh-CN"/>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供应商须知</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_Toc31399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5</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5EFD9E2A">
      <w:pPr>
        <w:pStyle w:val="32"/>
        <w:tabs>
          <w:tab w:val="right" w:leader="dot" w:pos="8879"/>
        </w:tabs>
        <w:spacing w:line="360" w:lineRule="auto"/>
        <w:rPr>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_Toc9933 </w:instrText>
      </w:r>
      <w:r>
        <w:rPr>
          <w:rFonts w:ascii="宋体" w:hAnsi="宋体"/>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第三章 采购需求</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_Toc9933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21</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43A2E704">
      <w:pPr>
        <w:pStyle w:val="32"/>
        <w:tabs>
          <w:tab w:val="right" w:leader="dot" w:pos="8879"/>
        </w:tabs>
        <w:spacing w:line="360" w:lineRule="auto"/>
        <w:rPr>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_Toc10777 </w:instrText>
      </w:r>
      <w:r>
        <w:rPr>
          <w:rFonts w:ascii="宋体" w:hAnsi="宋体"/>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第四章 评审程序、评审方法和评审标准</w:t>
      </w:r>
      <w:bookmarkStart w:id="466" w:name="_GoBack"/>
      <w:bookmarkEnd w:id="466"/>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_Toc10777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23</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225A6A45">
      <w:pPr>
        <w:pStyle w:val="32"/>
        <w:tabs>
          <w:tab w:val="right" w:leader="dot" w:pos="8879"/>
        </w:tabs>
        <w:spacing w:line="360" w:lineRule="auto"/>
        <w:rPr>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_Toc25647 </w:instrText>
      </w:r>
      <w:r>
        <w:rPr>
          <w:rFonts w:ascii="宋体" w:hAnsi="宋体"/>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第五章</w:t>
      </w:r>
      <w:r>
        <w:rPr>
          <w:rFonts w:hint="eastAsia"/>
          <w:color w:val="000000" w:themeColor="text1"/>
          <w:sz w:val="28"/>
          <w:szCs w:val="28"/>
          <w:highlight w:val="none"/>
          <w:lang w:val="en-US" w:eastAsia="zh-CN"/>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工程量清单及图纸</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_Toc25647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34</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53C51371">
      <w:pPr>
        <w:pStyle w:val="32"/>
        <w:tabs>
          <w:tab w:val="right" w:leader="dot" w:pos="8879"/>
        </w:tabs>
        <w:spacing w:line="360" w:lineRule="auto"/>
        <w:rPr>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_Toc9510 </w:instrText>
      </w:r>
      <w:r>
        <w:rPr>
          <w:rFonts w:ascii="宋体" w:hAnsi="宋体"/>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第六章</w:t>
      </w:r>
      <w:r>
        <w:rPr>
          <w:rFonts w:hint="eastAsia"/>
          <w:color w:val="000000" w:themeColor="text1"/>
          <w:sz w:val="28"/>
          <w:szCs w:val="28"/>
          <w:highlight w:val="none"/>
          <w:lang w:val="en-US" w:eastAsia="zh-CN"/>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响应文件格式</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_Toc9510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40</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6C43460D">
      <w:pPr>
        <w:pStyle w:val="32"/>
        <w:tabs>
          <w:tab w:val="right" w:leader="dot" w:pos="8879"/>
        </w:tabs>
        <w:spacing w:line="360" w:lineRule="auto"/>
        <w:rPr>
          <w:color w:val="000000" w:themeColor="text1"/>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_Toc12245 </w:instrText>
      </w:r>
      <w:r>
        <w:rPr>
          <w:rFonts w:ascii="宋体" w:hAnsi="宋体"/>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第七章</w:t>
      </w:r>
      <w:r>
        <w:rPr>
          <w:rFonts w:hint="eastAsia"/>
          <w:color w:val="000000" w:themeColor="text1"/>
          <w:sz w:val="28"/>
          <w:szCs w:val="28"/>
          <w:highlight w:val="none"/>
          <w:lang w:val="en-US" w:eastAsia="zh-CN"/>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合同文本</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_Toc12245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78</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353516C3">
      <w:pPr>
        <w:pStyle w:val="23"/>
        <w:tabs>
          <w:tab w:val="right" w:leader="dot" w:pos="8879"/>
        </w:tabs>
        <w:spacing w:line="360" w:lineRule="auto"/>
        <w:rPr>
          <w:color w:val="000000" w:themeColor="text1"/>
          <w:highlight w:val="none"/>
          <w14:textFill>
            <w14:solidFill>
              <w14:schemeClr w14:val="tx1"/>
            </w14:solidFill>
          </w14:textFill>
        </w:rPr>
      </w:pPr>
    </w:p>
    <w:p w14:paraId="6F80E6F1">
      <w:pPr>
        <w:pStyle w:val="38"/>
        <w:tabs>
          <w:tab w:val="right" w:leader="dot" w:pos="8931"/>
          <w:tab w:val="clear" w:pos="8296"/>
        </w:tabs>
        <w:spacing w:line="360" w:lineRule="auto"/>
        <w:ind w:left="0"/>
        <w:rPr>
          <w:rFonts w:hint="eastAsia" w:ascii="宋体" w:hAnsi="宋体"/>
          <w:b/>
          <w:color w:val="000000" w:themeColor="text1"/>
          <w:sz w:val="24"/>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end"/>
      </w:r>
    </w:p>
    <w:p w14:paraId="3F28A635">
      <w:pPr>
        <w:spacing w:line="400" w:lineRule="exact"/>
        <w:jc w:val="left"/>
        <w:rPr>
          <w:rFonts w:hint="eastAsia" w:ascii="宋体" w:hAnsi="宋体"/>
          <w:b/>
          <w:color w:val="000000" w:themeColor="text1"/>
          <w:sz w:val="32"/>
          <w:szCs w:val="32"/>
          <w:highlight w:val="none"/>
          <w14:textFill>
            <w14:solidFill>
              <w14:schemeClr w14:val="tx1"/>
            </w14:solidFill>
          </w14:textFill>
        </w:rPr>
      </w:pPr>
    </w:p>
    <w:p w14:paraId="157D266F">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7D38285E">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6E719941">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17113D3D">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0B6712EC">
      <w:pPr>
        <w:spacing w:line="400" w:lineRule="exact"/>
        <w:rPr>
          <w:rFonts w:hint="eastAsia" w:ascii="宋体" w:hAnsi="宋体"/>
          <w:b/>
          <w:color w:val="000000" w:themeColor="text1"/>
          <w:sz w:val="32"/>
          <w:szCs w:val="32"/>
          <w:highlight w:val="none"/>
          <w14:textFill>
            <w14:solidFill>
              <w14:schemeClr w14:val="tx1"/>
            </w14:solidFill>
          </w14:textFill>
        </w:rPr>
        <w:sectPr>
          <w:footerReference r:id="rId8" w:type="first"/>
          <w:footerReference r:id="rId7" w:type="default"/>
          <w:pgSz w:w="11906" w:h="16838"/>
          <w:pgMar w:top="1440" w:right="1440" w:bottom="1440" w:left="1587" w:header="851" w:footer="992" w:gutter="0"/>
          <w:pgNumType w:start="1"/>
          <w:cols w:space="720" w:num="1"/>
          <w:titlePg/>
        </w:sectPr>
      </w:pPr>
    </w:p>
    <w:p w14:paraId="0C4D9F56">
      <w:pPr>
        <w:pStyle w:val="2"/>
        <w:spacing w:after="340" w:line="360" w:lineRule="auto"/>
        <w:jc w:val="center"/>
        <w:rPr>
          <w:color w:val="000000" w:themeColor="text1"/>
          <w:highlight w:val="none"/>
          <w14:textFill>
            <w14:solidFill>
              <w14:schemeClr w14:val="tx1"/>
            </w14:solidFill>
          </w14:textFill>
        </w:rPr>
      </w:pPr>
      <w:bookmarkStart w:id="0" w:name="_Toc32003"/>
      <w:r>
        <w:rPr>
          <w:rFonts w:hint="eastAsia"/>
          <w:color w:val="000000" w:themeColor="text1"/>
          <w:highlight w:val="none"/>
          <w14:textFill>
            <w14:solidFill>
              <w14:schemeClr w14:val="tx1"/>
            </w14:solidFill>
          </w14:textFill>
        </w:rPr>
        <w:t>第一章</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竞争性磋商公告</w:t>
      </w:r>
      <w:bookmarkEnd w:id="0"/>
    </w:p>
    <w:p w14:paraId="18E6512E">
      <w:pPr>
        <w:spacing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竞争性磋商公告</w:t>
      </w:r>
    </w:p>
    <w:p w14:paraId="56C50842">
      <w:pPr>
        <w:spacing w:line="360" w:lineRule="auto"/>
        <w:rPr>
          <w:rFonts w:hint="eastAsia" w:ascii="宋体" w:hAnsi="宋体"/>
          <w:color w:val="000000" w:themeColor="text1"/>
          <w:szCs w:val="21"/>
          <w:highlight w:val="none"/>
          <w14:textFill>
            <w14:solidFill>
              <w14:schemeClr w14:val="tx1"/>
            </w14:solidFill>
          </w14:textFill>
        </w:rPr>
      </w:pPr>
    </w:p>
    <w:p w14:paraId="5FDAAECE">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olor w:val="000000" w:themeColor="text1"/>
          <w:szCs w:val="21"/>
          <w:highlight w:val="none"/>
          <w14:textFill>
            <w14:solidFill>
              <w14:schemeClr w14:val="tx1"/>
            </w14:solidFill>
          </w14:textFill>
        </w:rPr>
      </w:pPr>
      <w:bookmarkStart w:id="1" w:name="_Hlk37430271"/>
      <w:r>
        <w:rPr>
          <w:rFonts w:hint="eastAsia" w:ascii="宋体" w:hAnsi="宋体"/>
          <w:color w:val="000000" w:themeColor="text1"/>
          <w:szCs w:val="21"/>
          <w:highlight w:val="none"/>
          <w14:textFill>
            <w14:solidFill>
              <w14:schemeClr w14:val="tx1"/>
            </w14:solidFill>
          </w14:textFill>
        </w:rPr>
        <w:t>项目概况</w:t>
      </w:r>
    </w:p>
    <w:p w14:paraId="63710514">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lang w:eastAsia="zh-CN"/>
          <w14:textFill>
            <w14:solidFill>
              <w14:schemeClr w14:val="tx1"/>
            </w14:solidFill>
          </w14:textFill>
        </w:rPr>
        <w:t>2026年第一批扩大学前教育资源奖补资金项目平南县江南中心幼儿园教学综合楼维修、改造项目</w:t>
      </w:r>
      <w:r>
        <w:rPr>
          <w:rFonts w:hint="eastAsia" w:ascii="宋体" w:hAnsi="宋体"/>
          <w:color w:val="000000" w:themeColor="text1"/>
          <w:szCs w:val="21"/>
          <w:highlight w:val="none"/>
          <w14:textFill>
            <w14:solidFill>
              <w14:schemeClr w14:val="tx1"/>
            </w14:solidFill>
          </w14:textFill>
        </w:rPr>
        <w:t>的潜在供应商应在广西政府采购云平台（https://www.gcy.zfcg.gxzf.gov.cn）获取（下载）竞争性磋商文件，并于</w:t>
      </w:r>
      <w:r>
        <w:rPr>
          <w:rFonts w:ascii="宋体" w:hAnsi="宋体"/>
          <w:bCs/>
          <w:color w:val="000000" w:themeColor="text1"/>
          <w:szCs w:val="21"/>
          <w:highlight w:val="none"/>
          <w:u w:val="single"/>
          <w14:textFill>
            <w14:solidFill>
              <w14:schemeClr w14:val="tx1"/>
            </w14:solidFill>
          </w14:textFill>
        </w:rPr>
        <w:t>202</w:t>
      </w:r>
      <w:r>
        <w:rPr>
          <w:rFonts w:hint="eastAsia" w:ascii="宋体" w:hAnsi="宋体"/>
          <w:bCs/>
          <w:color w:val="000000" w:themeColor="text1"/>
          <w:szCs w:val="21"/>
          <w:highlight w:val="none"/>
          <w:u w:val="single"/>
          <w:lang w:val="en-US" w:eastAsia="zh-CN"/>
          <w14:textFill>
            <w14:solidFill>
              <w14:schemeClr w14:val="tx1"/>
            </w14:solidFill>
          </w14:textFill>
        </w:rPr>
        <w:t>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val="en-US" w:eastAsia="zh-CN"/>
          <w14:textFill>
            <w14:solidFill>
              <w14:schemeClr w14:val="tx1"/>
            </w14:solidFill>
          </w14:textFill>
        </w:rPr>
        <w:t>7</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10</w:t>
      </w:r>
      <w:r>
        <w:rPr>
          <w:rFonts w:hint="eastAsia" w:ascii="宋体" w:hAnsi="宋体"/>
          <w:bCs/>
          <w:color w:val="000000" w:themeColor="text1"/>
          <w:szCs w:val="21"/>
          <w:highlight w:val="none"/>
          <w:u w:val="single"/>
          <w14:textFill>
            <w14:solidFill>
              <w14:schemeClr w14:val="tx1"/>
            </w14:solidFill>
          </w14:textFill>
        </w:rPr>
        <w:t>日9时0</w:t>
      </w:r>
      <w:r>
        <w:rPr>
          <w:rFonts w:ascii="宋体" w:hAnsi="宋体"/>
          <w:bCs/>
          <w:color w:val="000000" w:themeColor="text1"/>
          <w:szCs w:val="21"/>
          <w:highlight w:val="none"/>
          <w:u w:val="single"/>
          <w14:textFill>
            <w14:solidFill>
              <w14:schemeClr w14:val="tx1"/>
            </w14:solidFill>
          </w14:textFill>
        </w:rPr>
        <w:t>0</w:t>
      </w:r>
      <w:r>
        <w:rPr>
          <w:rFonts w:hint="eastAsia" w:ascii="宋体" w:hAnsi="宋体"/>
          <w:bCs/>
          <w:color w:val="000000" w:themeColor="text1"/>
          <w:szCs w:val="21"/>
          <w:highlight w:val="none"/>
          <w:u w:val="single"/>
          <w14:textFill>
            <w14:solidFill>
              <w14:schemeClr w14:val="tx1"/>
            </w14:solidFill>
          </w14:textFill>
        </w:rPr>
        <w:t>分</w:t>
      </w:r>
      <w:r>
        <w:rPr>
          <w:rFonts w:hint="eastAsia" w:ascii="宋体" w:hAnsi="宋体"/>
          <w:bCs/>
          <w:color w:val="000000" w:themeColor="text1"/>
          <w:szCs w:val="21"/>
          <w:highlight w:val="none"/>
          <w14:textFill>
            <w14:solidFill>
              <w14:schemeClr w14:val="tx1"/>
            </w14:solidFill>
          </w14:textFill>
        </w:rPr>
        <w:t>（北京时间）前提交（上传）</w:t>
      </w:r>
      <w:r>
        <w:rPr>
          <w:rFonts w:hint="eastAsia" w:ascii="宋体" w:hAnsi="宋体"/>
          <w:color w:val="000000" w:themeColor="text1"/>
          <w:szCs w:val="21"/>
          <w:highlight w:val="none"/>
          <w14:textFill>
            <w14:solidFill>
              <w14:schemeClr w14:val="tx1"/>
            </w14:solidFill>
          </w14:textFill>
        </w:rPr>
        <w:t>响应</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w:t>
      </w:r>
    </w:p>
    <w:p w14:paraId="01DCADDB">
      <w:pPr>
        <w:spacing w:line="360" w:lineRule="auto"/>
        <w:rPr>
          <w:rFonts w:hint="eastAsia" w:ascii="宋体" w:hAnsi="宋体"/>
          <w:color w:val="000000" w:themeColor="text1"/>
          <w:szCs w:val="21"/>
          <w:highlight w:val="none"/>
          <w14:textFill>
            <w14:solidFill>
              <w14:schemeClr w14:val="tx1"/>
            </w14:solidFill>
          </w14:textFill>
        </w:rPr>
      </w:pPr>
    </w:p>
    <w:p w14:paraId="0A065905">
      <w:pPr>
        <w:spacing w:line="360" w:lineRule="auto"/>
        <w:ind w:firstLine="354"/>
        <w:rPr>
          <w:rFonts w:hint="eastAsia" w:ascii="黑体" w:hAnsi="黑体" w:eastAsia="黑体"/>
          <w:b/>
          <w:color w:val="000000" w:themeColor="text1"/>
          <w:sz w:val="24"/>
          <w:highlight w:val="none"/>
          <w14:textFill>
            <w14:solidFill>
              <w14:schemeClr w14:val="tx1"/>
            </w14:solidFill>
          </w14:textFill>
        </w:rPr>
      </w:pPr>
      <w:bookmarkStart w:id="2" w:name="_Toc35393798"/>
      <w:bookmarkStart w:id="3" w:name="_Toc71365905"/>
      <w:bookmarkStart w:id="4" w:name="_Toc35393629"/>
      <w:bookmarkStart w:id="5" w:name="_Toc28359012"/>
      <w:bookmarkStart w:id="6" w:name="_Toc28359089"/>
      <w:bookmarkStart w:id="7" w:name="_Toc44229878"/>
      <w:r>
        <w:rPr>
          <w:rFonts w:hint="eastAsia" w:ascii="黑体" w:hAnsi="黑体" w:eastAsia="黑体"/>
          <w:b/>
          <w:color w:val="000000" w:themeColor="text1"/>
          <w:sz w:val="24"/>
          <w:highlight w:val="none"/>
          <w14:textFill>
            <w14:solidFill>
              <w14:schemeClr w14:val="tx1"/>
            </w14:solidFill>
          </w14:textFill>
        </w:rPr>
        <w:t>一、项目基本情况</w:t>
      </w:r>
      <w:bookmarkEnd w:id="2"/>
      <w:bookmarkEnd w:id="3"/>
      <w:bookmarkEnd w:id="4"/>
      <w:bookmarkEnd w:id="5"/>
      <w:bookmarkEnd w:id="6"/>
      <w:bookmarkEnd w:id="7"/>
    </w:p>
    <w:p w14:paraId="3091B99C">
      <w:pPr>
        <w:spacing w:line="312"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项目编号：</w:t>
      </w:r>
      <w:r>
        <w:rPr>
          <w:rFonts w:hint="eastAsia" w:ascii="宋体" w:hAnsi="宋体" w:cs="宋体"/>
          <w:color w:val="000000" w:themeColor="text1"/>
          <w:highlight w:val="none"/>
          <w:lang w:eastAsia="zh-CN"/>
          <w14:textFill>
            <w14:solidFill>
              <w14:schemeClr w14:val="tx1"/>
            </w14:solidFill>
          </w14:textFill>
        </w:rPr>
        <w:t>GGZC2026-C2-210102-YZLZ</w:t>
      </w:r>
      <w:r>
        <w:rPr>
          <w:rFonts w:hint="eastAsia" w:ascii="宋体" w:hAnsi="宋体" w:cs="宋体"/>
          <w:color w:val="000000" w:themeColor="text1"/>
          <w:highlight w:val="none"/>
          <w14:textFill>
            <w14:solidFill>
              <w14:schemeClr w14:val="tx1"/>
            </w14:solidFill>
          </w14:textFill>
        </w:rPr>
        <w:t xml:space="preserve">     </w:t>
      </w:r>
    </w:p>
    <w:p w14:paraId="618A6742">
      <w:pPr>
        <w:spacing w:line="312" w:lineRule="auto"/>
        <w:ind w:firstLine="42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r>
        <w:rPr>
          <w:rFonts w:hint="eastAsia" w:ascii="宋体" w:hAnsi="宋体" w:cs="宋体"/>
          <w:color w:val="000000" w:themeColor="text1"/>
          <w:highlight w:val="none"/>
          <w:lang w:eastAsia="zh-CN"/>
          <w14:textFill>
            <w14:solidFill>
              <w14:schemeClr w14:val="tx1"/>
            </w14:solidFill>
          </w14:textFill>
        </w:rPr>
        <w:t>2026年第一批扩大学前教育资源奖补资金项目平南县江南中心幼儿园教学综合楼维修、改造项目</w:t>
      </w:r>
    </w:p>
    <w:p w14:paraId="15A83884">
      <w:pPr>
        <w:spacing w:line="312"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采购方式：竞争性磋商</w:t>
      </w:r>
    </w:p>
    <w:p w14:paraId="718CE08A">
      <w:pPr>
        <w:spacing w:line="312" w:lineRule="auto"/>
        <w:ind w:firstLine="42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预算金额（元）：</w:t>
      </w:r>
      <w:r>
        <w:rPr>
          <w:rFonts w:hint="eastAsia" w:ascii="宋体" w:hAnsi="宋体" w:cs="宋体"/>
          <w:color w:val="000000" w:themeColor="text1"/>
          <w:highlight w:val="none"/>
          <w:lang w:eastAsia="zh-CN"/>
          <w14:textFill>
            <w14:solidFill>
              <w14:schemeClr w14:val="tx1"/>
            </w14:solidFill>
          </w14:textFill>
        </w:rPr>
        <w:t>749274.39</w:t>
      </w:r>
    </w:p>
    <w:p w14:paraId="448EFE00">
      <w:pPr>
        <w:spacing w:line="312" w:lineRule="auto"/>
        <w:ind w:firstLine="42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最高限价（元）：</w:t>
      </w:r>
      <w:r>
        <w:rPr>
          <w:rFonts w:hint="eastAsia" w:ascii="宋体" w:hAnsi="宋体" w:cs="宋体"/>
          <w:color w:val="000000" w:themeColor="text1"/>
          <w:highlight w:val="none"/>
          <w:lang w:eastAsia="zh-CN"/>
          <w14:textFill>
            <w14:solidFill>
              <w14:schemeClr w14:val="tx1"/>
            </w14:solidFill>
          </w14:textFill>
        </w:rPr>
        <w:t>749274.39</w:t>
      </w:r>
    </w:p>
    <w:p w14:paraId="3CB3272F">
      <w:pPr>
        <w:spacing w:line="312"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采购需求：</w:t>
      </w:r>
    </w:p>
    <w:p w14:paraId="3FF3001B">
      <w:pPr>
        <w:spacing w:line="312"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标项一</w:t>
      </w:r>
    </w:p>
    <w:p w14:paraId="6857D0F7">
      <w:pPr>
        <w:spacing w:line="312"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标项名称：</w:t>
      </w:r>
      <w:r>
        <w:rPr>
          <w:rFonts w:hint="eastAsia" w:ascii="宋体" w:hAnsi="宋体" w:cs="宋体"/>
          <w:color w:val="000000" w:themeColor="text1"/>
          <w:highlight w:val="none"/>
          <w:lang w:eastAsia="zh-CN"/>
          <w14:textFill>
            <w14:solidFill>
              <w14:schemeClr w14:val="tx1"/>
            </w14:solidFill>
          </w14:textFill>
        </w:rPr>
        <w:t>2026年第一批扩大学前教育资源奖补资金项目平南县江南中心幼儿园教学综合楼维修、改造项目</w:t>
      </w:r>
    </w:p>
    <w:p w14:paraId="0BF886AD">
      <w:pPr>
        <w:spacing w:line="312"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数量：1项</w:t>
      </w:r>
    </w:p>
    <w:p w14:paraId="58534063">
      <w:pPr>
        <w:spacing w:line="312" w:lineRule="auto"/>
        <w:ind w:firstLine="42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预算金额（元）：</w:t>
      </w:r>
      <w:r>
        <w:rPr>
          <w:rFonts w:hint="eastAsia" w:ascii="宋体" w:hAnsi="宋体" w:cs="宋体"/>
          <w:color w:val="000000" w:themeColor="text1"/>
          <w:highlight w:val="none"/>
          <w:lang w:eastAsia="zh-CN"/>
          <w14:textFill>
            <w14:solidFill>
              <w14:schemeClr w14:val="tx1"/>
            </w14:solidFill>
          </w14:textFill>
        </w:rPr>
        <w:t>749274.39</w:t>
      </w:r>
    </w:p>
    <w:p w14:paraId="0CD9EFE2">
      <w:pPr>
        <w:spacing w:line="312" w:lineRule="auto"/>
        <w:ind w:firstLine="42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简要规格描述或项目基本概况介绍、用途：</w:t>
      </w:r>
      <w:r>
        <w:rPr>
          <w:rFonts w:hint="eastAsia" w:ascii="宋体" w:hAnsi="宋体" w:cs="宋体"/>
          <w:color w:val="000000" w:themeColor="text1"/>
          <w:highlight w:val="none"/>
          <w:lang w:eastAsia="zh-CN"/>
          <w14:textFill>
            <w14:solidFill>
              <w14:schemeClr w14:val="tx1"/>
            </w14:solidFill>
          </w14:textFill>
        </w:rPr>
        <w:t>平南县江南中心幼儿园教学综合楼维修、改造</w:t>
      </w:r>
      <w:r>
        <w:rPr>
          <w:rFonts w:hint="eastAsia" w:ascii="宋体" w:hAnsi="宋体" w:cs="宋体"/>
          <w:color w:val="000000" w:themeColor="text1"/>
          <w:szCs w:val="21"/>
          <w:highlight w:val="none"/>
          <w:lang w:val="en-US" w:eastAsia="zh-CN"/>
          <w14:textFill>
            <w14:solidFill>
              <w14:schemeClr w14:val="tx1"/>
            </w14:solidFill>
          </w14:textFill>
        </w:rPr>
        <w:t>1项</w:t>
      </w:r>
      <w:r>
        <w:rPr>
          <w:rFonts w:hint="eastAsia" w:ascii="宋体" w:hAnsi="宋体" w:cs="宋体"/>
          <w:color w:val="000000" w:themeColor="text1"/>
          <w:szCs w:val="21"/>
          <w:highlight w:val="none"/>
          <w14:textFill>
            <w14:solidFill>
              <w14:schemeClr w14:val="tx1"/>
            </w14:solidFill>
          </w14:textFill>
        </w:rPr>
        <w:t>，工程质量等级要求达到国家施工质量验收规范合格标准</w:t>
      </w:r>
      <w:r>
        <w:rPr>
          <w:rFonts w:hint="eastAsia" w:ascii="宋体" w:hAnsi="宋体" w:cs="宋体"/>
          <w:color w:val="000000" w:themeColor="text1"/>
          <w:szCs w:val="21"/>
          <w:highlight w:val="none"/>
          <w:lang w:eastAsia="zh-CN"/>
          <w14:textFill>
            <w14:solidFill>
              <w14:schemeClr w14:val="tx1"/>
            </w14:solidFill>
          </w14:textFill>
        </w:rPr>
        <w:t>；详见招标控制价及图纸。</w:t>
      </w:r>
    </w:p>
    <w:p w14:paraId="1FD46361">
      <w:pPr>
        <w:spacing w:line="360" w:lineRule="auto"/>
        <w:ind w:firstLine="42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合同履行期限：要求工期为</w:t>
      </w:r>
      <w:r>
        <w:rPr>
          <w:rFonts w:hint="eastAsia" w:ascii="宋体" w:hAnsi="宋体"/>
          <w:color w:val="000000" w:themeColor="text1"/>
          <w:szCs w:val="21"/>
          <w:highlight w:val="none"/>
          <w:lang w:val="en-US" w:eastAsia="zh-CN"/>
          <w14:textFill>
            <w14:solidFill>
              <w14:schemeClr w14:val="tx1"/>
            </w14:solidFill>
          </w14:textFill>
        </w:rPr>
        <w:t>45</w:t>
      </w:r>
      <w:r>
        <w:rPr>
          <w:rFonts w:hint="eastAsia" w:ascii="宋体" w:hAnsi="宋体"/>
          <w:color w:val="000000" w:themeColor="text1"/>
          <w:szCs w:val="21"/>
          <w:highlight w:val="none"/>
          <w14:textFill>
            <w14:solidFill>
              <w14:schemeClr w14:val="tx1"/>
            </w14:solidFill>
          </w14:textFill>
        </w:rPr>
        <w:t>个日历天。</w:t>
      </w:r>
    </w:p>
    <w:p w14:paraId="31F55582">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本项目不接受联合体。</w:t>
      </w:r>
    </w:p>
    <w:p w14:paraId="2BDE2AD4">
      <w:pPr>
        <w:spacing w:line="360" w:lineRule="auto"/>
        <w:ind w:firstLine="354"/>
        <w:rPr>
          <w:rFonts w:hint="eastAsia" w:ascii="黑体" w:hAnsi="黑体" w:eastAsia="黑体"/>
          <w:b/>
          <w:color w:val="000000" w:themeColor="text1"/>
          <w:sz w:val="24"/>
          <w:highlight w:val="none"/>
          <w14:textFill>
            <w14:solidFill>
              <w14:schemeClr w14:val="tx1"/>
            </w14:solidFill>
          </w14:textFill>
        </w:rPr>
      </w:pPr>
      <w:bookmarkStart w:id="8" w:name="_Toc71365906"/>
      <w:bookmarkStart w:id="9" w:name="_Toc28359090"/>
      <w:bookmarkStart w:id="10" w:name="_Toc35393799"/>
      <w:bookmarkStart w:id="11" w:name="_Toc28359013"/>
      <w:bookmarkStart w:id="12" w:name="_Toc35393630"/>
      <w:bookmarkStart w:id="13" w:name="_Toc44229879"/>
      <w:r>
        <w:rPr>
          <w:rFonts w:hint="eastAsia" w:ascii="黑体" w:hAnsi="黑体" w:eastAsia="黑体"/>
          <w:b/>
          <w:color w:val="000000" w:themeColor="text1"/>
          <w:sz w:val="24"/>
          <w:highlight w:val="none"/>
          <w14:textFill>
            <w14:solidFill>
              <w14:schemeClr w14:val="tx1"/>
            </w14:solidFill>
          </w14:textFill>
        </w:rPr>
        <w:t>二、申请人的资格条件：</w:t>
      </w:r>
      <w:bookmarkEnd w:id="8"/>
      <w:bookmarkEnd w:id="9"/>
      <w:bookmarkEnd w:id="10"/>
      <w:bookmarkEnd w:id="11"/>
      <w:bookmarkEnd w:id="12"/>
      <w:bookmarkEnd w:id="13"/>
    </w:p>
    <w:p w14:paraId="051DCF40">
      <w:pPr>
        <w:spacing w:line="360" w:lineRule="auto"/>
        <w:ind w:firstLine="420"/>
        <w:rPr>
          <w:rFonts w:hint="eastAsia" w:ascii="宋体" w:hAnsi="宋体"/>
          <w:color w:val="000000" w:themeColor="text1"/>
          <w:szCs w:val="21"/>
          <w:highlight w:val="none"/>
          <w14:textFill>
            <w14:solidFill>
              <w14:schemeClr w14:val="tx1"/>
            </w14:solidFill>
          </w14:textFill>
        </w:rPr>
      </w:pPr>
      <w:bookmarkStart w:id="14" w:name="_Toc28359091"/>
      <w:bookmarkStart w:id="15" w:name="_Toc28359014"/>
      <w:bookmarkStart w:id="16" w:name="_Toc44229880"/>
      <w:bookmarkStart w:id="17" w:name="_Toc35393631"/>
      <w:bookmarkStart w:id="18" w:name="_Toc35393800"/>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7D162E21">
      <w:pPr>
        <w:spacing w:line="360" w:lineRule="auto"/>
        <w:ind w:firstLine="420"/>
        <w:rPr>
          <w:rStyle w:val="59"/>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.落实政府采购政策需满足的资格要求：</w:t>
      </w:r>
      <w:r>
        <w:rPr>
          <w:rFonts w:hint="eastAsia" w:ascii="宋体" w:hAnsi="宋体" w:cs="宋体"/>
          <w:b/>
          <w:bCs/>
          <w:color w:val="000000" w:themeColor="text1"/>
          <w:szCs w:val="21"/>
          <w:highlight w:val="none"/>
          <w14:textFill>
            <w14:solidFill>
              <w14:schemeClr w14:val="tx1"/>
            </w14:solidFill>
          </w14:textFill>
        </w:rPr>
        <w:t>本项目属于专门面向中小企业采购的项目；供应商对应符合《政府采购促进中小企业发展管理办法》（财库〔2020〕46号）要求的中小企业或符合《财政部、司法部关于政府采购支持监狱企业发展有关问题的通知》（财库〔2014〕68号）要求的监狱企业或符合《财政部 民政部 中国残疾人联合会关于促进残疾人就业政府采购政策的通知》（财库〔2017〕141号）要求的残疾人福利性单位，否则作无效响应处理。</w:t>
      </w:r>
    </w:p>
    <w:p w14:paraId="390D9385">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p>
    <w:p w14:paraId="6280107E">
      <w:pPr>
        <w:spacing w:line="360" w:lineRule="auto"/>
        <w:ind w:firstLine="420"/>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eastAsia="黑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1）供应商须具备建筑装修装饰工程专业承包二级（含）以上资质，具备有效的安全生产许可证，并在人员、设备、资金等方面具备相应的施工能力。</w:t>
      </w:r>
    </w:p>
    <w:p w14:paraId="76225EB3">
      <w:pPr>
        <w:spacing w:line="360" w:lineRule="auto"/>
        <w:ind w:firstLine="420"/>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（2）拟投入本工程的技术负责人具有建筑工程专业工程师及以上职称。</w:t>
      </w:r>
    </w:p>
    <w:p w14:paraId="4B6327CD">
      <w:pPr>
        <w:spacing w:line="360" w:lineRule="auto"/>
        <w:ind w:firstLine="420"/>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（3）供应商拟派的项目经理须具备建筑工程专业贰级(含)以上注册建造师执业资格及有效的安全生产考核合格证书（B类）。</w:t>
      </w:r>
    </w:p>
    <w:p w14:paraId="69CD91FB">
      <w:pPr>
        <w:spacing w:line="360" w:lineRule="auto"/>
        <w:ind w:firstLine="420"/>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拟投入本项目的专职安全生产管理人员须具备有效的安全生产考核合格证书（C类），人数符合住房和城乡建设部《建筑施工企业、工程项目安全生产管理机构设置及安全生产管理人员配备办法》建质规〔2025〕3号的规定不少于1人。</w:t>
      </w:r>
    </w:p>
    <w:p w14:paraId="052088BE">
      <w:pPr>
        <w:spacing w:line="360" w:lineRule="auto"/>
        <w:ind w:firstLine="420"/>
        <w:rPr>
          <w:rFonts w:hint="default"/>
          <w:color w:val="000000" w:themeColor="text1"/>
          <w:highlight w:val="none"/>
          <w:lang w:val="en-US"/>
          <w14:textFill>
            <w14:solidFill>
              <w14:schemeClr w14:val="tx1"/>
            </w14:solidFill>
          </w14:textFill>
        </w:rPr>
      </w:pPr>
      <w:r>
        <w:rPr>
          <w:rFonts w:hint="eastAsia" w:ascii="宋体" w:hAnsi="宋体"/>
          <w:b/>
          <w:bCs/>
          <w:color w:val="000000" w:themeColor="text1"/>
          <w:szCs w:val="21"/>
          <w:highlight w:val="none"/>
          <w:lang w:val="en-US" w:eastAsia="zh-CN"/>
          <w14:textFill>
            <w14:solidFill>
              <w14:schemeClr w14:val="tx1"/>
            </w14:solidFill>
          </w14:textFill>
        </w:rPr>
        <w:t>注：本项目不接受有在建、已中标/成交未开工或已列为其他项目中标候选人第一名的建造师和专职安全生产管理人员作为项目经理和专职安全生产管理人员（符合《广西壮族自治区建筑市场诚信卡管理暂行办法》第十六条第一款及桂建管﹝2016﹞70号、桂建管〔2020〕11号文除外）</w:t>
      </w:r>
    </w:p>
    <w:p w14:paraId="4C2A8956">
      <w:pPr>
        <w:spacing w:line="360" w:lineRule="auto"/>
        <w:ind w:firstLine="354"/>
        <w:rPr>
          <w:rFonts w:hint="eastAsia" w:ascii="黑体" w:hAnsi="黑体" w:eastAsia="黑体"/>
          <w:b/>
          <w:color w:val="000000" w:themeColor="text1"/>
          <w:sz w:val="24"/>
          <w:highlight w:val="none"/>
          <w14:textFill>
            <w14:solidFill>
              <w14:schemeClr w14:val="tx1"/>
            </w14:solidFill>
          </w14:textFill>
        </w:rPr>
      </w:pPr>
      <w:bookmarkStart w:id="19" w:name="_Toc71365907"/>
      <w:r>
        <w:rPr>
          <w:rFonts w:hint="eastAsia" w:ascii="黑体" w:hAnsi="黑体" w:eastAsia="黑体"/>
          <w:b/>
          <w:color w:val="000000" w:themeColor="text1"/>
          <w:sz w:val="24"/>
          <w:highlight w:val="none"/>
          <w14:textFill>
            <w14:solidFill>
              <w14:schemeClr w14:val="tx1"/>
            </w14:solidFill>
          </w14:textFill>
        </w:rPr>
        <w:t>三、获取竞争性磋商文件</w:t>
      </w:r>
      <w:bookmarkEnd w:id="14"/>
      <w:bookmarkEnd w:id="15"/>
      <w:bookmarkEnd w:id="16"/>
      <w:bookmarkEnd w:id="17"/>
      <w:bookmarkEnd w:id="18"/>
      <w:bookmarkEnd w:id="19"/>
    </w:p>
    <w:p w14:paraId="16E37772">
      <w:pPr>
        <w:spacing w:line="300" w:lineRule="auto"/>
        <w:ind w:firstLine="420"/>
        <w:rPr>
          <w:rFonts w:hint="eastAsia" w:ascii="宋体" w:hAnsi="宋体" w:cs="宋体"/>
          <w:bCs/>
          <w:color w:val="000000" w:themeColor="text1"/>
          <w:szCs w:val="21"/>
          <w:highlight w:val="none"/>
          <w14:textFill>
            <w14:solidFill>
              <w14:schemeClr w14:val="tx1"/>
            </w14:solidFill>
          </w14:textFill>
        </w:rPr>
      </w:pPr>
      <w:bookmarkStart w:id="20" w:name="_Toc35393632"/>
      <w:bookmarkStart w:id="21" w:name="_Toc44229881"/>
      <w:bookmarkStart w:id="22" w:name="_Toc35393801"/>
      <w:bookmarkStart w:id="23" w:name="_Toc28359092"/>
      <w:bookmarkStart w:id="24" w:name="_Toc28359015"/>
      <w:r>
        <w:rPr>
          <w:rFonts w:hint="eastAsia" w:ascii="宋体" w:hAnsi="宋体" w:cs="宋体"/>
          <w:bCs/>
          <w:color w:val="000000" w:themeColor="text1"/>
          <w:szCs w:val="21"/>
          <w:highlight w:val="none"/>
          <w14:textFill>
            <w14:solidFill>
              <w14:schemeClr w14:val="tx1"/>
            </w14:solidFill>
          </w14:textFill>
        </w:rPr>
        <w:t>时间：</w:t>
      </w:r>
      <w:r>
        <w:rPr>
          <w:rFonts w:ascii="宋体" w:hAnsi="宋体"/>
          <w:bCs/>
          <w:color w:val="000000" w:themeColor="text1"/>
          <w:szCs w:val="21"/>
          <w:highlight w:val="none"/>
          <w14:textFill>
            <w14:solidFill>
              <w14:schemeClr w14:val="tx1"/>
            </w14:solidFill>
          </w14:textFill>
        </w:rPr>
        <w:t>202</w:t>
      </w:r>
      <w:r>
        <w:rPr>
          <w:rFonts w:hint="eastAsia" w:ascii="宋体" w:hAnsi="宋体"/>
          <w:bCs/>
          <w:color w:val="000000" w:themeColor="text1"/>
          <w:szCs w:val="21"/>
          <w:highlight w:val="none"/>
          <w:lang w:val="en-US" w:eastAsia="zh-CN"/>
          <w14:textFill>
            <w14:solidFill>
              <w14:schemeClr w14:val="tx1"/>
            </w14:solidFill>
          </w14:textFill>
        </w:rPr>
        <w:t>6</w:t>
      </w:r>
      <w:r>
        <w:rPr>
          <w:rFonts w:hint="eastAsia"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lang w:val="en-US" w:eastAsia="zh-CN"/>
          <w14:textFill>
            <w14:solidFill>
              <w14:schemeClr w14:val="tx1"/>
            </w14:solidFill>
          </w14:textFill>
        </w:rPr>
        <w:t>6</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29</w:t>
      </w:r>
      <w:r>
        <w:rPr>
          <w:rFonts w:hint="eastAsia" w:ascii="宋体" w:hAnsi="宋体"/>
          <w:bCs/>
          <w:color w:val="000000" w:themeColor="text1"/>
          <w:szCs w:val="21"/>
          <w:highlight w:val="none"/>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至</w:t>
      </w:r>
      <w:r>
        <w:rPr>
          <w:rFonts w:ascii="宋体" w:hAnsi="宋体"/>
          <w:bCs/>
          <w:color w:val="000000" w:themeColor="text1"/>
          <w:szCs w:val="21"/>
          <w:highlight w:val="none"/>
          <w14:textFill>
            <w14:solidFill>
              <w14:schemeClr w14:val="tx1"/>
            </w14:solidFill>
          </w14:textFill>
        </w:rPr>
        <w:t>202</w:t>
      </w:r>
      <w:r>
        <w:rPr>
          <w:rFonts w:hint="eastAsia" w:ascii="宋体" w:hAnsi="宋体"/>
          <w:bCs/>
          <w:color w:val="000000" w:themeColor="text1"/>
          <w:szCs w:val="21"/>
          <w:highlight w:val="none"/>
          <w:lang w:val="en-US" w:eastAsia="zh-CN"/>
          <w14:textFill>
            <w14:solidFill>
              <w14:schemeClr w14:val="tx1"/>
            </w14:solidFill>
          </w14:textFill>
        </w:rPr>
        <w:t>6</w:t>
      </w:r>
      <w:r>
        <w:rPr>
          <w:rFonts w:hint="eastAsia"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lang w:val="en-US" w:eastAsia="zh-CN"/>
          <w14:textFill>
            <w14:solidFill>
              <w14:schemeClr w14:val="tx1"/>
            </w14:solidFill>
          </w14:textFill>
        </w:rPr>
        <w:t>7</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6</w:t>
      </w:r>
      <w:r>
        <w:rPr>
          <w:rFonts w:hint="eastAsia" w:ascii="宋体" w:hAnsi="宋体"/>
          <w:bCs/>
          <w:color w:val="000000" w:themeColor="text1"/>
          <w:szCs w:val="21"/>
          <w:highlight w:val="none"/>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每天上午00：00至12：00，下午12：00至23：59（北京时间，法定节假日除外）</w:t>
      </w:r>
    </w:p>
    <w:p w14:paraId="2F6A03AB">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地点：广西政府采购云平台（https://www.gcy.zfcg.gxzf.gov.cn）</w:t>
      </w:r>
    </w:p>
    <w:p w14:paraId="111B73E4">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000000" w:themeColor="text1"/>
          <w:szCs w:val="21"/>
          <w:highlight w:val="none"/>
          <w14:textFill>
            <w14:solidFill>
              <w14:schemeClr w14:val="tx1"/>
            </w14:solidFill>
          </w14:textFill>
        </w:rPr>
        <w:t>电子</w:t>
      </w:r>
      <w:r>
        <w:rPr>
          <w:rFonts w:hint="eastAsia"/>
          <w:color w:val="000000" w:themeColor="text1"/>
          <w:highlight w:val="none"/>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制作需要基于广西政府采购云平台获取的磋商文件编制，</w:t>
      </w:r>
      <w:r>
        <w:rPr>
          <w:rFonts w:hint="eastAsia" w:ascii="宋体" w:hAnsi="宋体" w:cs="宋体"/>
          <w:bCs/>
          <w:color w:val="000000" w:themeColor="text1"/>
          <w:szCs w:val="21"/>
          <w:highlight w:val="none"/>
          <w14:textFill>
            <w14:solidFill>
              <w14:schemeClr w14:val="tx1"/>
            </w14:solidFill>
          </w14:textFill>
        </w:rPr>
        <w:t>通过其他方式获取磋商文件的，将有可能导致供应商无法在广西政府采购云平台编制及上传响应文件。</w:t>
      </w:r>
    </w:p>
    <w:p w14:paraId="6539B13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售价：</w:t>
      </w:r>
      <w:r>
        <w:rPr>
          <w:rFonts w:hint="eastAsia" w:ascii="宋体" w:hAnsi="宋体" w:cs="宋体"/>
          <w:color w:val="000000" w:themeColor="text1"/>
          <w:szCs w:val="21"/>
          <w:highlight w:val="none"/>
          <w14:textFill>
            <w14:solidFill>
              <w14:schemeClr w14:val="tx1"/>
            </w14:solidFill>
          </w14:textFill>
        </w:rPr>
        <w:t>0元</w:t>
      </w:r>
    </w:p>
    <w:p w14:paraId="71507E71">
      <w:pPr>
        <w:spacing w:line="360" w:lineRule="auto"/>
        <w:ind w:firstLine="354"/>
        <w:rPr>
          <w:rFonts w:hint="eastAsia" w:ascii="黑体" w:hAnsi="黑体" w:eastAsia="黑体"/>
          <w:b/>
          <w:color w:val="000000" w:themeColor="text1"/>
          <w:sz w:val="24"/>
          <w:highlight w:val="none"/>
          <w14:textFill>
            <w14:solidFill>
              <w14:schemeClr w14:val="tx1"/>
            </w14:solidFill>
          </w14:textFill>
        </w:rPr>
      </w:pPr>
      <w:bookmarkStart w:id="25" w:name="_Toc71365908"/>
      <w:r>
        <w:rPr>
          <w:rFonts w:hint="eastAsia" w:ascii="黑体" w:hAnsi="黑体" w:eastAsia="黑体"/>
          <w:b/>
          <w:color w:val="000000" w:themeColor="text1"/>
          <w:sz w:val="24"/>
          <w:highlight w:val="none"/>
          <w14:textFill>
            <w14:solidFill>
              <w14:schemeClr w14:val="tx1"/>
            </w14:solidFill>
          </w14:textFill>
        </w:rPr>
        <w:t>四、响应文件提交</w:t>
      </w:r>
      <w:bookmarkEnd w:id="20"/>
      <w:bookmarkEnd w:id="21"/>
      <w:bookmarkEnd w:id="22"/>
      <w:bookmarkEnd w:id="23"/>
      <w:bookmarkEnd w:id="24"/>
      <w:bookmarkEnd w:id="25"/>
    </w:p>
    <w:p w14:paraId="380FB1BB">
      <w:pPr>
        <w:spacing w:line="360" w:lineRule="auto"/>
        <w:ind w:firstLine="420"/>
        <w:rPr>
          <w:rFonts w:hint="eastAsia" w:ascii="宋体" w:hAnsi="宋体"/>
          <w:bCs/>
          <w:color w:val="000000" w:themeColor="text1"/>
          <w:szCs w:val="21"/>
          <w:highlight w:val="none"/>
          <w14:textFill>
            <w14:solidFill>
              <w14:schemeClr w14:val="tx1"/>
            </w14:solidFill>
          </w14:textFill>
        </w:rPr>
      </w:pPr>
      <w:bookmarkStart w:id="26" w:name="_Toc28359016"/>
      <w:bookmarkStart w:id="27" w:name="_Toc35393633"/>
      <w:bookmarkStart w:id="28" w:name="_Toc35393802"/>
      <w:bookmarkStart w:id="29" w:name="_Toc44229882"/>
      <w:bookmarkStart w:id="30" w:name="_Toc28359093"/>
      <w:r>
        <w:rPr>
          <w:rFonts w:hint="eastAsia" w:ascii="宋体" w:hAnsi="宋体"/>
          <w:color w:val="000000" w:themeColor="text1"/>
          <w:szCs w:val="21"/>
          <w:highlight w:val="none"/>
          <w14:textFill>
            <w14:solidFill>
              <w14:schemeClr w14:val="tx1"/>
            </w14:solidFill>
          </w14:textFill>
        </w:rPr>
        <w:t>截止时间：</w:t>
      </w:r>
      <w:r>
        <w:rPr>
          <w:rFonts w:ascii="宋体" w:hAnsi="宋体"/>
          <w:bCs/>
          <w:color w:val="000000" w:themeColor="text1"/>
          <w:szCs w:val="21"/>
          <w:highlight w:val="none"/>
          <w14:textFill>
            <w14:solidFill>
              <w14:schemeClr w14:val="tx1"/>
            </w14:solidFill>
          </w14:textFill>
        </w:rPr>
        <w:t>202</w:t>
      </w:r>
      <w:r>
        <w:rPr>
          <w:rFonts w:hint="eastAsia" w:ascii="宋体" w:hAnsi="宋体"/>
          <w:bCs/>
          <w:color w:val="000000" w:themeColor="text1"/>
          <w:szCs w:val="21"/>
          <w:highlight w:val="none"/>
          <w:lang w:val="en-US" w:eastAsia="zh-CN"/>
          <w14:textFill>
            <w14:solidFill>
              <w14:schemeClr w14:val="tx1"/>
            </w14:solidFill>
          </w14:textFill>
        </w:rPr>
        <w:t>6</w:t>
      </w:r>
      <w:r>
        <w:rPr>
          <w:rFonts w:hint="eastAsia"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lang w:val="en-US" w:eastAsia="zh-CN"/>
          <w14:textFill>
            <w14:solidFill>
              <w14:schemeClr w14:val="tx1"/>
            </w14:solidFill>
          </w14:textFill>
        </w:rPr>
        <w:t>7</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10</w:t>
      </w:r>
      <w:r>
        <w:rPr>
          <w:rFonts w:hint="eastAsia" w:ascii="宋体" w:hAnsi="宋体"/>
          <w:bCs/>
          <w:color w:val="000000" w:themeColor="text1"/>
          <w:szCs w:val="21"/>
          <w:highlight w:val="none"/>
          <w14:textFill>
            <w14:solidFill>
              <w14:schemeClr w14:val="tx1"/>
            </w14:solidFill>
          </w14:textFill>
        </w:rPr>
        <w:t>日9时0</w:t>
      </w:r>
      <w:r>
        <w:rPr>
          <w:rFonts w:ascii="宋体" w:hAnsi="宋体"/>
          <w:bCs/>
          <w:color w:val="000000" w:themeColor="text1"/>
          <w:szCs w:val="21"/>
          <w:highlight w:val="none"/>
          <w14:textFill>
            <w14:solidFill>
              <w14:schemeClr w14:val="tx1"/>
            </w14:solidFill>
          </w14:textFill>
        </w:rPr>
        <w:t>0</w:t>
      </w:r>
      <w:r>
        <w:rPr>
          <w:rFonts w:hint="eastAsia" w:ascii="宋体" w:hAnsi="宋体"/>
          <w:bCs/>
          <w:color w:val="000000" w:themeColor="text1"/>
          <w:szCs w:val="21"/>
          <w:highlight w:val="none"/>
          <w14:textFill>
            <w14:solidFill>
              <w14:schemeClr w14:val="tx1"/>
            </w14:solidFill>
          </w14:textFill>
        </w:rPr>
        <w:t>分（北京时间）</w:t>
      </w:r>
    </w:p>
    <w:p w14:paraId="4D22365D">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地点：广西政府采购云平台</w:t>
      </w:r>
      <w:r>
        <w:rPr>
          <w:rFonts w:hint="eastAsia" w:ascii="宋体" w:hAnsi="宋体" w:cs="宋体"/>
          <w:bCs/>
          <w:color w:val="000000" w:themeColor="text1"/>
          <w:szCs w:val="21"/>
          <w:highlight w:val="none"/>
          <w14:textFill>
            <w14:solidFill>
              <w14:schemeClr w14:val="tx1"/>
            </w14:solidFill>
          </w14:textFill>
        </w:rPr>
        <w:t>（https://www.gcy.zfcg.gxzf.gov.cn）</w:t>
      </w:r>
    </w:p>
    <w:p w14:paraId="348C690D">
      <w:pPr>
        <w:spacing w:line="360" w:lineRule="auto"/>
        <w:ind w:firstLine="354"/>
        <w:rPr>
          <w:rFonts w:hint="eastAsia" w:ascii="黑体" w:hAnsi="黑体" w:eastAsia="黑体"/>
          <w:b/>
          <w:color w:val="000000" w:themeColor="text1"/>
          <w:sz w:val="24"/>
          <w:highlight w:val="none"/>
          <w14:textFill>
            <w14:solidFill>
              <w14:schemeClr w14:val="tx1"/>
            </w14:solidFill>
          </w14:textFill>
        </w:rPr>
      </w:pPr>
      <w:bookmarkStart w:id="31" w:name="_Toc71365909"/>
      <w:r>
        <w:rPr>
          <w:rFonts w:hint="eastAsia" w:ascii="黑体" w:hAnsi="黑体" w:eastAsia="黑体"/>
          <w:b/>
          <w:color w:val="000000" w:themeColor="text1"/>
          <w:sz w:val="24"/>
          <w:highlight w:val="none"/>
          <w14:textFill>
            <w14:solidFill>
              <w14:schemeClr w14:val="tx1"/>
            </w14:solidFill>
          </w14:textFill>
        </w:rPr>
        <w:t>五、响应文件开启</w:t>
      </w:r>
      <w:bookmarkEnd w:id="26"/>
      <w:bookmarkEnd w:id="27"/>
      <w:bookmarkEnd w:id="28"/>
      <w:bookmarkEnd w:id="29"/>
      <w:bookmarkEnd w:id="30"/>
      <w:bookmarkEnd w:id="31"/>
    </w:p>
    <w:p w14:paraId="09A6D458">
      <w:pPr>
        <w:spacing w:line="360" w:lineRule="auto"/>
        <w:ind w:firstLine="42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时间：</w:t>
      </w:r>
      <w:r>
        <w:rPr>
          <w:rFonts w:ascii="宋体" w:hAnsi="宋体"/>
          <w:bCs/>
          <w:color w:val="000000" w:themeColor="text1"/>
          <w:szCs w:val="21"/>
          <w:highlight w:val="none"/>
          <w14:textFill>
            <w14:solidFill>
              <w14:schemeClr w14:val="tx1"/>
            </w14:solidFill>
          </w14:textFill>
        </w:rPr>
        <w:t>202</w:t>
      </w:r>
      <w:r>
        <w:rPr>
          <w:rFonts w:hint="eastAsia" w:ascii="宋体" w:hAnsi="宋体"/>
          <w:bCs/>
          <w:color w:val="000000" w:themeColor="text1"/>
          <w:szCs w:val="21"/>
          <w:highlight w:val="none"/>
          <w:lang w:val="en-US" w:eastAsia="zh-CN"/>
          <w14:textFill>
            <w14:solidFill>
              <w14:schemeClr w14:val="tx1"/>
            </w14:solidFill>
          </w14:textFill>
        </w:rPr>
        <w:t>6</w:t>
      </w:r>
      <w:r>
        <w:rPr>
          <w:rFonts w:hint="eastAsia"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lang w:val="en-US" w:eastAsia="zh-CN"/>
          <w14:textFill>
            <w14:solidFill>
              <w14:schemeClr w14:val="tx1"/>
            </w14:solidFill>
          </w14:textFill>
        </w:rPr>
        <w:t>7</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10</w:t>
      </w:r>
      <w:r>
        <w:rPr>
          <w:rFonts w:hint="eastAsia" w:ascii="宋体" w:hAnsi="宋体"/>
          <w:bCs/>
          <w:color w:val="000000" w:themeColor="text1"/>
          <w:szCs w:val="21"/>
          <w:highlight w:val="none"/>
          <w14:textFill>
            <w14:solidFill>
              <w14:schemeClr w14:val="tx1"/>
            </w14:solidFill>
          </w14:textFill>
        </w:rPr>
        <w:t>日9时0</w:t>
      </w:r>
      <w:r>
        <w:rPr>
          <w:rFonts w:ascii="宋体" w:hAnsi="宋体"/>
          <w:bCs/>
          <w:color w:val="000000" w:themeColor="text1"/>
          <w:szCs w:val="21"/>
          <w:highlight w:val="none"/>
          <w14:textFill>
            <w14:solidFill>
              <w14:schemeClr w14:val="tx1"/>
            </w14:solidFill>
          </w14:textFill>
        </w:rPr>
        <w:t>0</w:t>
      </w:r>
      <w:r>
        <w:rPr>
          <w:rFonts w:hint="eastAsia" w:ascii="宋体" w:hAnsi="宋体"/>
          <w:bCs/>
          <w:color w:val="000000" w:themeColor="text1"/>
          <w:szCs w:val="21"/>
          <w:highlight w:val="none"/>
          <w14:textFill>
            <w14:solidFill>
              <w14:schemeClr w14:val="tx1"/>
            </w14:solidFill>
          </w14:textFill>
        </w:rPr>
        <w:t>分（北京时间）</w:t>
      </w:r>
    </w:p>
    <w:p w14:paraId="602CE56B">
      <w:pPr>
        <w:spacing w:line="360" w:lineRule="auto"/>
        <w:ind w:firstLine="42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地点：广西政府采购云平台</w:t>
      </w:r>
      <w:r>
        <w:rPr>
          <w:rFonts w:hint="eastAsia" w:ascii="宋体" w:hAnsi="宋体" w:cs="宋体"/>
          <w:bCs/>
          <w:color w:val="000000" w:themeColor="text1"/>
          <w:szCs w:val="21"/>
          <w:highlight w:val="none"/>
          <w14:textFill>
            <w14:solidFill>
              <w14:schemeClr w14:val="tx1"/>
            </w14:solidFill>
          </w14:textFill>
        </w:rPr>
        <w:t>（https://www.gcy.zfcg.gxzf.gov.cn）</w:t>
      </w:r>
    </w:p>
    <w:p w14:paraId="356A3594">
      <w:pPr>
        <w:spacing w:line="360" w:lineRule="auto"/>
        <w:ind w:firstLine="354"/>
        <w:rPr>
          <w:rFonts w:hint="eastAsia" w:ascii="黑体" w:hAnsi="黑体" w:eastAsia="黑体"/>
          <w:b/>
          <w:color w:val="000000" w:themeColor="text1"/>
          <w:sz w:val="24"/>
          <w:highlight w:val="none"/>
          <w14:textFill>
            <w14:solidFill>
              <w14:schemeClr w14:val="tx1"/>
            </w14:solidFill>
          </w14:textFill>
        </w:rPr>
      </w:pPr>
      <w:bookmarkStart w:id="32" w:name="_Toc35393803"/>
      <w:bookmarkStart w:id="33" w:name="_Toc28359094"/>
      <w:bookmarkStart w:id="34" w:name="_Toc44229883"/>
      <w:bookmarkStart w:id="35" w:name="_Toc35393634"/>
      <w:bookmarkStart w:id="36" w:name="_Toc71365910"/>
      <w:bookmarkStart w:id="37" w:name="_Toc28359017"/>
      <w:r>
        <w:rPr>
          <w:rFonts w:hint="eastAsia" w:ascii="黑体" w:hAnsi="黑体" w:eastAsia="黑体"/>
          <w:b/>
          <w:color w:val="000000" w:themeColor="text1"/>
          <w:sz w:val="24"/>
          <w:highlight w:val="none"/>
          <w14:textFill>
            <w14:solidFill>
              <w14:schemeClr w14:val="tx1"/>
            </w14:solidFill>
          </w14:textFill>
        </w:rPr>
        <w:t>六、公告期限</w:t>
      </w:r>
      <w:bookmarkEnd w:id="32"/>
      <w:bookmarkEnd w:id="33"/>
      <w:bookmarkEnd w:id="34"/>
      <w:bookmarkEnd w:id="35"/>
      <w:bookmarkEnd w:id="36"/>
      <w:bookmarkEnd w:id="37"/>
    </w:p>
    <w:p w14:paraId="4696445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个工作日。</w:t>
      </w:r>
    </w:p>
    <w:p w14:paraId="0DC85B5B">
      <w:pPr>
        <w:spacing w:line="360" w:lineRule="auto"/>
        <w:ind w:firstLine="354"/>
        <w:rPr>
          <w:rFonts w:hint="eastAsia" w:ascii="黑体" w:hAnsi="黑体" w:eastAsia="黑体"/>
          <w:b/>
          <w:color w:val="000000" w:themeColor="text1"/>
          <w:sz w:val="24"/>
          <w:highlight w:val="none"/>
          <w14:textFill>
            <w14:solidFill>
              <w14:schemeClr w14:val="tx1"/>
            </w14:solidFill>
          </w14:textFill>
        </w:rPr>
      </w:pPr>
      <w:bookmarkStart w:id="38" w:name="_Toc35393635"/>
      <w:bookmarkStart w:id="39" w:name="_Toc35393804"/>
      <w:bookmarkStart w:id="40" w:name="_Toc71365911"/>
      <w:bookmarkStart w:id="41" w:name="_Toc44229884"/>
      <w:r>
        <w:rPr>
          <w:rFonts w:hint="eastAsia" w:ascii="黑体" w:hAnsi="黑体" w:eastAsia="黑体"/>
          <w:b/>
          <w:color w:val="000000" w:themeColor="text1"/>
          <w:sz w:val="24"/>
          <w:highlight w:val="none"/>
          <w14:textFill>
            <w14:solidFill>
              <w14:schemeClr w14:val="tx1"/>
            </w14:solidFill>
          </w14:textFill>
        </w:rPr>
        <w:t>七、其他补充事宜</w:t>
      </w:r>
      <w:bookmarkEnd w:id="38"/>
      <w:bookmarkEnd w:id="39"/>
      <w:bookmarkEnd w:id="40"/>
      <w:bookmarkEnd w:id="41"/>
    </w:p>
    <w:p w14:paraId="5A6569CE">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42" w:name="_Toc28359095"/>
      <w:bookmarkStart w:id="43" w:name="_Toc35393805"/>
      <w:bookmarkStart w:id="44" w:name="_Toc28359018"/>
      <w:bookmarkStart w:id="45" w:name="_Toc44229885"/>
      <w:bookmarkStart w:id="46" w:name="_Toc35393636"/>
      <w:r>
        <w:rPr>
          <w:rFonts w:hint="eastAsia" w:ascii="宋体" w:hAnsi="宋体" w:cs="宋体"/>
          <w:color w:val="000000" w:themeColor="text1"/>
          <w:szCs w:val="21"/>
          <w:highlight w:val="none"/>
          <w14:textFill>
            <w14:solidFill>
              <w14:schemeClr w14:val="tx1"/>
            </w14:solidFill>
          </w14:textFill>
        </w:rPr>
        <w:t>1.磋商保证金：无</w:t>
      </w:r>
    </w:p>
    <w:p w14:paraId="7F98E311">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本项目需要落实的政府采购政策：</w:t>
      </w:r>
    </w:p>
    <w:p w14:paraId="274BFE3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14:paraId="4B3B4A4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）政府采购促进残疾人就业政策。</w:t>
      </w:r>
    </w:p>
    <w:p w14:paraId="3C9DABD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）政府采购支持监狱企业发展。</w:t>
      </w:r>
    </w:p>
    <w:p w14:paraId="07D6037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3.网上查询地址</w:t>
      </w:r>
    </w:p>
    <w:p w14:paraId="384FB416">
      <w:pPr>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http://www.ccgp.gov.cn（中国政府采购网）、http://zfcg.gxzf.gov.cn/（广西壮族自治区政府采购网）、http://ggzy.jgswj.gxzf.gov.cn/ggggzy/全国公共资源交易平台（广西·贵港）</w:t>
      </w:r>
      <w:r>
        <w:rPr>
          <w:rFonts w:hint="eastAsia" w:ascii="宋体" w:hAnsi="宋体" w:cs="宋体"/>
          <w:color w:val="000000" w:themeColor="text1"/>
          <w:szCs w:val="21"/>
          <w:highlight w:val="none"/>
          <w:lang w:eastAsia="zh-CN"/>
          <w14:textFill>
            <w14:solidFill>
              <w14:schemeClr w14:val="tx1"/>
            </w14:solidFill>
          </w14:textFill>
        </w:rPr>
        <w:t>。</w:t>
      </w:r>
    </w:p>
    <w:p w14:paraId="64BC913F">
      <w:pPr>
        <w:keepNext w:val="0"/>
        <w:keepLines w:val="0"/>
        <w:pageBreakBefore w:val="0"/>
        <w:widowControl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4.监督部门</w:t>
      </w:r>
    </w:p>
    <w:p w14:paraId="50E5210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名  称：平南县财政局政府采购监督管理股 </w:t>
      </w:r>
    </w:p>
    <w:p w14:paraId="3BB326CB">
      <w:pPr>
        <w:keepNext w:val="0"/>
        <w:keepLines w:val="0"/>
        <w:pageBreakBefore w:val="0"/>
        <w:widowControl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话：0775-7830062</w:t>
      </w:r>
    </w:p>
    <w:p w14:paraId="769C58D5">
      <w:pPr>
        <w:keepNext w:val="0"/>
        <w:keepLines w:val="0"/>
        <w:pageBreakBefore w:val="0"/>
        <w:widowControl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708D21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6.未被“信用中国”（www.creditchina.gov.cn）、中国政府采购网（www.ccgp.gov.cn）列入失信被执行人、重大税收违法失信主体、政府采购严重违法失信行为记录名单。</w:t>
      </w:r>
    </w:p>
    <w:p w14:paraId="5871DB1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7.供应商竞标注意事项</w:t>
      </w:r>
    </w:p>
    <w:p w14:paraId="22EE9D15">
      <w:pPr>
        <w:widowControl/>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（1）本项目为全流程电子化采购项目，通过广西政府采购云平台（</w:t>
      </w:r>
      <w:r>
        <w:rPr>
          <w:rFonts w:hint="eastAsia" w:ascii="宋体" w:hAnsi="宋体"/>
          <w:color w:val="000000" w:themeColor="text1"/>
          <w:sz w:val="18"/>
          <w:szCs w:val="18"/>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）实行在线电子竞标，供应商应按照本项目竞争性磋商文件和广西政府采购云平台的要求编制、加密后在提交响应文件截止时间前通过网络上传至广西政府采购云平台（加密的电子响应文件是指</w:t>
      </w:r>
      <w:r>
        <w:rPr>
          <w:rFonts w:hint="eastAsia"/>
          <w:color w:val="000000" w:themeColor="text1"/>
          <w:highlight w:val="none"/>
          <w14:textFill>
            <w14:solidFill>
              <w14:schemeClr w14:val="tx1"/>
            </w14:solidFill>
          </w14:textFill>
        </w:rPr>
        <w:t>后缀名为“jm</w:t>
      </w:r>
      <w:r>
        <w:rPr>
          <w:color w:val="000000" w:themeColor="text1"/>
          <w:highlight w:val="none"/>
          <w14:textFill>
            <w14:solidFill>
              <w14:schemeClr w14:val="tx1"/>
            </w14:solidFill>
          </w14:textFill>
        </w:rPr>
        <w:t>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供应商在广西政府采购云平台提交电子响应文件时，请填写参加远程采购活动经办人联系方式。</w:t>
      </w:r>
      <w:r>
        <w:rPr>
          <w:rFonts w:hint="eastAsia" w:ascii="宋体" w:hAnsi="宋体"/>
          <w:color w:val="000000" w:themeColor="text1"/>
          <w:szCs w:val="21"/>
          <w:highlight w:val="none"/>
          <w14:textFill>
            <w14:solidFill>
              <w14:schemeClr w14:val="tx1"/>
            </w14:solidFill>
          </w14:textFill>
        </w:rPr>
        <w:t>供应商登录广西政府采购云平台，依次进入“服务中心－项目采购－操作流程－电子招投标－</w:t>
      </w:r>
      <w:r>
        <w:rPr>
          <w:rFonts w:hint="eastAsia"/>
          <w:color w:val="000000" w:themeColor="text1"/>
          <w:highlight w:val="none"/>
          <w14:textFill>
            <w14:solidFill>
              <w14:schemeClr w14:val="tx1"/>
            </w14:solidFill>
          </w14:textFill>
        </w:rPr>
        <w:t>政府采购项目电子交易管理操作指南－供应商</w:t>
      </w:r>
      <w:r>
        <w:rPr>
          <w:rFonts w:hint="eastAsia" w:ascii="宋体" w:hAnsi="宋体"/>
          <w:color w:val="000000" w:themeColor="text1"/>
          <w:szCs w:val="21"/>
          <w:highlight w:val="none"/>
          <w14:textFill>
            <w14:solidFill>
              <w14:schemeClr w14:val="tx1"/>
            </w14:solidFill>
          </w14:textFill>
        </w:rPr>
        <w:t>”查看电子竞标具体操作流程。</w:t>
      </w:r>
    </w:p>
    <w:p w14:paraId="370CEA0C">
      <w:pPr>
        <w:widowControl/>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bCs/>
          <w:color w:val="000000" w:themeColor="text1"/>
          <w:szCs w:val="21"/>
          <w:highlight w:val="none"/>
          <w14:textFill>
            <w14:solidFill>
              <w14:schemeClr w14:val="tx1"/>
            </w14:solidFill>
          </w14:textFill>
        </w:rPr>
        <w:t>如在操作过程中遇到问题或者需要技术支持，请致电客服热线：95763或者0771-3381253</w:t>
      </w:r>
      <w:r>
        <w:rPr>
          <w:rFonts w:hint="eastAsia" w:ascii="宋体" w:hAnsi="宋体"/>
          <w:color w:val="000000" w:themeColor="text1"/>
          <w:szCs w:val="21"/>
          <w:highlight w:val="none"/>
          <w14:textFill>
            <w14:solidFill>
              <w14:schemeClr w14:val="tx1"/>
            </w14:solidFill>
          </w14:textFill>
        </w:rPr>
        <w:t>）。</w:t>
      </w:r>
    </w:p>
    <w:p w14:paraId="057BA9C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（3）CA证书在线解密：首次响应文件开启时，需携带制作响应文件时用来加密的有效数字证书（CA认证）登录广西政府采购云平台电子开标大厅现场按规定时间对加密的响应文件进行解密，否则后果自负。</w:t>
      </w:r>
    </w:p>
    <w:p w14:paraId="742CDB7B">
      <w:pPr>
        <w:widowControl/>
        <w:spacing w:line="360" w:lineRule="auto"/>
        <w:ind w:firstLine="42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7ECF39E">
      <w:pPr>
        <w:spacing w:line="360" w:lineRule="auto"/>
        <w:ind w:firstLine="308"/>
        <w:rPr>
          <w:rFonts w:hint="eastAsia" w:ascii="黑体" w:hAnsi="黑体" w:eastAsia="黑体"/>
          <w:b/>
          <w:color w:val="000000" w:themeColor="text1"/>
          <w:sz w:val="24"/>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（4）供应商需要在具备有摄像头及语音功能且互联网网络状况良好的电脑登录广西政府采购云平台远程开标大厅参与本次磋商，否则后果自负。</w:t>
      </w:r>
    </w:p>
    <w:p w14:paraId="584AF101">
      <w:pPr>
        <w:spacing w:line="360" w:lineRule="auto"/>
        <w:ind w:firstLine="354"/>
        <w:rPr>
          <w:rFonts w:hint="eastAsia"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八、凡对本次采购提出询问，请按</w:t>
      </w:r>
      <w:r>
        <w:rPr>
          <w:rFonts w:ascii="黑体" w:hAnsi="黑体" w:eastAsia="黑体"/>
          <w:b/>
          <w:color w:val="000000" w:themeColor="text1"/>
          <w:sz w:val="24"/>
          <w:highlight w:val="none"/>
          <w14:textFill>
            <w14:solidFill>
              <w14:schemeClr w14:val="tx1"/>
            </w14:solidFill>
          </w14:textFill>
        </w:rPr>
        <w:t>以下方式</w:t>
      </w:r>
      <w:r>
        <w:rPr>
          <w:rFonts w:hint="eastAsia" w:ascii="黑体" w:hAnsi="黑体" w:eastAsia="黑体"/>
          <w:b/>
          <w:color w:val="000000" w:themeColor="text1"/>
          <w:sz w:val="24"/>
          <w:highlight w:val="none"/>
          <w14:textFill>
            <w14:solidFill>
              <w14:schemeClr w14:val="tx1"/>
            </w14:solidFill>
          </w14:textFill>
        </w:rPr>
        <w:t>联系。</w:t>
      </w:r>
      <w:bookmarkEnd w:id="1"/>
      <w:bookmarkEnd w:id="42"/>
      <w:bookmarkEnd w:id="43"/>
      <w:bookmarkEnd w:id="44"/>
      <w:bookmarkEnd w:id="45"/>
      <w:bookmarkEnd w:id="46"/>
    </w:p>
    <w:p w14:paraId="4E0C8FE6">
      <w:pPr>
        <w:spacing w:line="360" w:lineRule="auto"/>
        <w:ind w:firstLine="420"/>
        <w:rPr>
          <w:rFonts w:hint="eastAsia" w:ascii="宋体" w:hAnsi="宋体" w:cs="Arial"/>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1.采购人信息</w:t>
      </w:r>
    </w:p>
    <w:p w14:paraId="52F950E8">
      <w:pPr>
        <w:spacing w:line="360" w:lineRule="auto"/>
        <w:ind w:firstLine="420"/>
        <w:rPr>
          <w:rFonts w:hint="eastAsia" w:ascii="宋体" w:hAnsi="宋体" w:cs="Arial"/>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名    称：</w:t>
      </w:r>
      <w:r>
        <w:rPr>
          <w:rFonts w:hint="eastAsia" w:ascii="宋体" w:hAnsi="宋体" w:cs="Arial"/>
          <w:color w:val="000000" w:themeColor="text1"/>
          <w:szCs w:val="21"/>
          <w:highlight w:val="none"/>
          <w:lang w:eastAsia="zh-CN"/>
          <w14:textFill>
            <w14:solidFill>
              <w14:schemeClr w14:val="tx1"/>
            </w14:solidFill>
          </w14:textFill>
        </w:rPr>
        <w:t>平南县江南中心幼儿园</w:t>
      </w:r>
      <w:r>
        <w:rPr>
          <w:rFonts w:hint="eastAsia" w:ascii="宋体" w:hAnsi="宋体" w:cs="Arial"/>
          <w:color w:val="000000" w:themeColor="text1"/>
          <w:szCs w:val="21"/>
          <w:highlight w:val="none"/>
          <w14:textFill>
            <w14:solidFill>
              <w14:schemeClr w14:val="tx1"/>
            </w14:solidFill>
          </w14:textFill>
        </w:rPr>
        <w:t>　</w:t>
      </w:r>
    </w:p>
    <w:p w14:paraId="41A1B2C4">
      <w:pPr>
        <w:spacing w:line="360" w:lineRule="auto"/>
        <w:ind w:firstLine="420"/>
        <w:rPr>
          <w:rFonts w:hint="eastAsia" w:ascii="宋体" w:hAnsi="宋体" w:cs="Arial"/>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 xml:space="preserve">地    址：平南县上渡街道北京垌路 </w:t>
      </w:r>
    </w:p>
    <w:p w14:paraId="7353E4EA">
      <w:pPr>
        <w:spacing w:line="360" w:lineRule="auto"/>
        <w:ind w:firstLine="420"/>
        <w:rPr>
          <w:rFonts w:hint="eastAsia" w:ascii="宋体" w:hAnsi="宋体" w:eastAsia="宋体" w:cs="Arial"/>
          <w:color w:val="000000" w:themeColor="text1"/>
          <w:szCs w:val="21"/>
          <w:highlight w:val="none"/>
          <w:lang w:eastAsia="zh-CN"/>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项目联系人：</w:t>
      </w:r>
      <w:r>
        <w:rPr>
          <w:rFonts w:hint="eastAsia" w:ascii="宋体" w:hAnsi="宋体" w:cs="Arial"/>
          <w:color w:val="000000" w:themeColor="text1"/>
          <w:szCs w:val="21"/>
          <w:highlight w:val="none"/>
          <w:lang w:eastAsia="zh-CN"/>
          <w14:textFill>
            <w14:solidFill>
              <w14:schemeClr w14:val="tx1"/>
            </w14:solidFill>
          </w14:textFill>
        </w:rPr>
        <w:t>李虹慧</w:t>
      </w:r>
    </w:p>
    <w:p w14:paraId="3339AA45">
      <w:pPr>
        <w:spacing w:line="360" w:lineRule="auto"/>
        <w:ind w:firstLine="420"/>
        <w:rPr>
          <w:rFonts w:hint="eastAsia" w:ascii="宋体" w:hAnsi="宋体" w:eastAsia="宋体" w:cs="Arial"/>
          <w:color w:val="000000" w:themeColor="text1"/>
          <w:szCs w:val="21"/>
          <w:highlight w:val="none"/>
          <w:lang w:eastAsia="zh-CN"/>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联系方式：</w:t>
      </w:r>
      <w:r>
        <w:rPr>
          <w:rFonts w:hint="eastAsia" w:ascii="宋体" w:hAnsi="宋体" w:cs="Arial"/>
          <w:color w:val="000000" w:themeColor="text1"/>
          <w:szCs w:val="21"/>
          <w:highlight w:val="none"/>
          <w:lang w:eastAsia="zh-CN"/>
          <w14:textFill>
            <w14:solidFill>
              <w14:schemeClr w14:val="tx1"/>
            </w14:solidFill>
          </w14:textFill>
        </w:rPr>
        <w:t>0775-2985896</w:t>
      </w:r>
    </w:p>
    <w:p w14:paraId="326646DA">
      <w:pPr>
        <w:spacing w:line="360" w:lineRule="auto"/>
        <w:ind w:firstLine="420"/>
        <w:rPr>
          <w:rFonts w:hint="eastAsia" w:ascii="宋体" w:hAnsi="宋体" w:cs="Arial"/>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2.采购代理机构信息</w:t>
      </w:r>
    </w:p>
    <w:p w14:paraId="18B8F7D5">
      <w:pPr>
        <w:spacing w:line="360" w:lineRule="auto"/>
        <w:ind w:firstLine="420"/>
        <w:rPr>
          <w:rFonts w:hint="eastAsia" w:ascii="宋体" w:hAnsi="宋体" w:cs="Arial"/>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名    称：　云之龙咨询集团有限公司　</w:t>
      </w:r>
    </w:p>
    <w:p w14:paraId="0B0869AB">
      <w:pPr>
        <w:spacing w:line="360" w:lineRule="auto"/>
        <w:ind w:firstLine="420"/>
        <w:rPr>
          <w:rFonts w:hint="eastAsia" w:ascii="宋体" w:hAnsi="宋体" w:cs="Arial"/>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地　　址：广西贵港市港北区荷城路 1132 号华泰官邸1栋6楼</w:t>
      </w:r>
    </w:p>
    <w:p w14:paraId="5CCA7CF1">
      <w:pPr>
        <w:spacing w:line="360" w:lineRule="auto"/>
        <w:ind w:firstLine="420"/>
        <w:rPr>
          <w:rFonts w:hint="eastAsia" w:ascii="宋体" w:hAnsi="宋体" w:eastAsia="宋体" w:cs="Arial"/>
          <w:color w:val="000000" w:themeColor="text1"/>
          <w:szCs w:val="21"/>
          <w:highlight w:val="none"/>
          <w:lang w:eastAsia="zh-CN"/>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项目联系人：徐律、</w:t>
      </w:r>
      <w:r>
        <w:rPr>
          <w:rFonts w:hint="eastAsia" w:ascii="宋体" w:hAnsi="宋体" w:cs="Arial"/>
          <w:color w:val="000000" w:themeColor="text1"/>
          <w:szCs w:val="21"/>
          <w:highlight w:val="none"/>
          <w:lang w:eastAsia="zh-CN"/>
          <w14:textFill>
            <w14:solidFill>
              <w14:schemeClr w14:val="tx1"/>
            </w14:solidFill>
          </w14:textFill>
        </w:rPr>
        <w:t>郑全荣</w:t>
      </w:r>
    </w:p>
    <w:p w14:paraId="5F280FC0">
      <w:pPr>
        <w:spacing w:line="360" w:lineRule="auto"/>
        <w:ind w:firstLine="420"/>
        <w:rPr>
          <w:rFonts w:ascii="方正小标宋简体" w:eastAsia="方正小标宋简体"/>
          <w:color w:val="000000" w:themeColor="text1"/>
          <w:sz w:val="32"/>
          <w:szCs w:val="32"/>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项目联系方式： 0775-4565100、4569690</w:t>
      </w:r>
      <w:r>
        <w:rPr>
          <w:rFonts w:ascii="宋体" w:hAnsi="宋体" w:cs="Arial"/>
          <w:color w:val="000000" w:themeColor="text1"/>
          <w:szCs w:val="21"/>
          <w:highlight w:val="none"/>
          <w14:textFill>
            <w14:solidFill>
              <w14:schemeClr w14:val="tx1"/>
            </w14:solidFill>
          </w14:textFill>
        </w:rPr>
        <w:br w:type="page" w:clear="all"/>
      </w:r>
    </w:p>
    <w:p w14:paraId="1EF12FAA">
      <w:pPr>
        <w:pStyle w:val="2"/>
        <w:spacing w:before="300" w:after="300" w:line="360" w:lineRule="auto"/>
        <w:jc w:val="center"/>
        <w:rPr>
          <w:color w:val="000000" w:themeColor="text1"/>
          <w:highlight w:val="none"/>
          <w14:textFill>
            <w14:solidFill>
              <w14:schemeClr w14:val="tx1"/>
            </w14:solidFill>
          </w14:textFill>
        </w:rPr>
      </w:pPr>
      <w:bookmarkStart w:id="47" w:name="_Toc31399"/>
      <w:r>
        <w:rPr>
          <w:rFonts w:hint="eastAsia"/>
          <w:color w:val="000000" w:themeColor="text1"/>
          <w:highlight w:val="none"/>
          <w14:textFill>
            <w14:solidFill>
              <w14:schemeClr w14:val="tx1"/>
            </w14:solidFill>
          </w14:textFill>
        </w:rPr>
        <w:t>第二章</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供应商须知</w:t>
      </w:r>
      <w:bookmarkEnd w:id="47"/>
    </w:p>
    <w:p w14:paraId="25BE4A5A">
      <w:pPr>
        <w:spacing w:line="40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供应商须知前附表</w:t>
      </w:r>
    </w:p>
    <w:p w14:paraId="10371E03">
      <w:pPr>
        <w:spacing w:line="400" w:lineRule="exact"/>
        <w:jc w:val="center"/>
        <w:rPr>
          <w:rFonts w:hint="eastAsia" w:ascii="宋体" w:hAnsi="宋体"/>
          <w:b/>
          <w:color w:val="000000" w:themeColor="text1"/>
          <w:sz w:val="32"/>
          <w:szCs w:val="32"/>
          <w:highlight w:val="none"/>
          <w14:textFill>
            <w14:solidFill>
              <w14:schemeClr w14:val="tx1"/>
            </w14:solidFill>
          </w14:textFill>
        </w:rPr>
      </w:pPr>
    </w:p>
    <w:tbl>
      <w:tblPr>
        <w:tblStyle w:val="45"/>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5D2E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tcPr>
          <w:p w14:paraId="2D871F39">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7912" w:type="dxa"/>
            <w:noWrap w:val="0"/>
          </w:tcPr>
          <w:p w14:paraId="33C5A826">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    容</w:t>
            </w:r>
          </w:p>
        </w:tc>
      </w:tr>
      <w:tr w14:paraId="02270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85EC4E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7912" w:type="dxa"/>
            <w:noWrap w:val="0"/>
            <w:vAlign w:val="center"/>
          </w:tcPr>
          <w:p w14:paraId="06B562F6">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1.供应商的资格条件</w:t>
            </w:r>
            <w:r>
              <w:rPr>
                <w:rFonts w:hint="eastAsia" w:ascii="宋体" w:hAnsi="宋体" w:cs="宋体"/>
                <w:color w:val="000000" w:themeColor="text1"/>
                <w:szCs w:val="21"/>
                <w:highlight w:val="none"/>
                <w14:textFill>
                  <w14:solidFill>
                    <w14:schemeClr w14:val="tx1"/>
                  </w14:solidFill>
                </w14:textFill>
              </w:rPr>
              <w:t>：详见竞争性磋商公告</w:t>
            </w:r>
            <w:r>
              <w:rPr>
                <w:rFonts w:hint="eastAsia" w:ascii="宋体" w:hAnsi="宋体"/>
                <w:color w:val="000000" w:themeColor="text1"/>
                <w:szCs w:val="21"/>
                <w:highlight w:val="none"/>
                <w14:textFill>
                  <w14:solidFill>
                    <w14:schemeClr w14:val="tx1"/>
                  </w14:solidFill>
                </w14:textFill>
              </w:rPr>
              <w:t>或者邀请函</w:t>
            </w:r>
          </w:p>
          <w:p w14:paraId="77A226F2">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出现下列情形之一的，不得参加政府采购活动：</w:t>
            </w:r>
          </w:p>
          <w:p w14:paraId="22BCF8D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6A4264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B603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5D745A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7912" w:type="dxa"/>
            <w:noWrap w:val="0"/>
            <w:vAlign w:val="center"/>
          </w:tcPr>
          <w:p w14:paraId="7E97483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 否</w:t>
            </w:r>
          </w:p>
        </w:tc>
      </w:tr>
      <w:tr w14:paraId="511AB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B13BF0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7912" w:type="dxa"/>
            <w:noWrap w:val="0"/>
            <w:vAlign w:val="center"/>
          </w:tcPr>
          <w:p w14:paraId="0F93A8F7">
            <w:pPr>
              <w:pStyle w:val="16"/>
              <w:spacing w:line="360" w:lineRule="auto"/>
              <w:rPr>
                <w:rFonts w:hint="eastAsia" w:ascii="宋体" w:hAnsi="宋体" w:cs="宋体"/>
                <w:color w:val="000000" w:themeColor="text1"/>
                <w:szCs w:val="21"/>
                <w:highlight w:val="none"/>
                <w14:textFill>
                  <w14:solidFill>
                    <w14:schemeClr w14:val="tx1"/>
                  </w14:solidFill>
                </w14:textFill>
              </w:rPr>
            </w:pPr>
            <w:r>
              <w:rPr>
                <w:rFonts w:ascii="Wingdings 2" w:hAnsi="Wingdings 2" w:eastAsia="Wingdings 2" w:cs="Wingdings 2"/>
                <w:color w:val="000000" w:themeColor="text1"/>
                <w:szCs w:val="21"/>
                <w:highlight w:val="none"/>
                <w14:textFill>
                  <w14:solidFill>
                    <w14:schemeClr w14:val="tx1"/>
                  </w14:solidFill>
                </w14:textFill>
              </w:rPr>
              <w:t>R</w:t>
            </w:r>
            <w:r>
              <w:rPr>
                <w:rFonts w:hint="eastAsia" w:ascii="宋体" w:hAnsi="宋体"/>
                <w:color w:val="000000" w:themeColor="text1"/>
                <w:szCs w:val="21"/>
                <w:highlight w:val="none"/>
                <w14:textFill>
                  <w14:solidFill>
                    <w14:schemeClr w14:val="tx1"/>
                  </w14:solidFill>
                </w14:textFill>
              </w:rPr>
              <w:t>不允许分包</w:t>
            </w:r>
          </w:p>
        </w:tc>
      </w:tr>
      <w:tr w14:paraId="3411A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2A9ECE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w:t>
            </w:r>
            <w:r>
              <w:rPr>
                <w:rFonts w:ascii="宋体" w:hAnsi="宋体" w:cs="宋体"/>
                <w:color w:val="000000" w:themeColor="text1"/>
                <w:szCs w:val="21"/>
                <w:highlight w:val="none"/>
                <w14:textFill>
                  <w14:solidFill>
                    <w14:schemeClr w14:val="tx1"/>
                  </w14:solidFill>
                </w14:textFill>
              </w:rPr>
              <w:t>1</w:t>
            </w:r>
          </w:p>
        </w:tc>
        <w:tc>
          <w:tcPr>
            <w:tcW w:w="7912" w:type="dxa"/>
            <w:noWrap w:val="0"/>
            <w:vAlign w:val="center"/>
          </w:tcPr>
          <w:p w14:paraId="7BF27863">
            <w:pPr>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w:t>
            </w:r>
          </w:p>
          <w:p w14:paraId="200174C3">
            <w:pPr>
              <w:pStyle w:val="16"/>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1.法人或者其他组织的营业执照等证明文件（如营业执照或事业单位法人证书或执业许可证等），自然人的身份证复印件；</w:t>
            </w:r>
            <w:r>
              <w:rPr>
                <w:rFonts w:hint="eastAsia" w:ascii="宋体" w:hAnsi="宋体" w:cs="宋体"/>
                <w:b/>
                <w:bCs/>
                <w:color w:val="000000" w:themeColor="text1"/>
                <w:szCs w:val="21"/>
                <w:highlight w:val="none"/>
                <w14:textFill>
                  <w14:solidFill>
                    <w14:schemeClr w14:val="tx1"/>
                  </w14:solidFill>
                </w14:textFill>
              </w:rPr>
              <w:t>（必须提供，否则响应文件按无效响应处理）</w:t>
            </w:r>
          </w:p>
          <w:p w14:paraId="72E92DFC">
            <w:pPr>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2.贵港市政府采购项目投标资格承诺函（格式后附）；</w:t>
            </w:r>
            <w:r>
              <w:rPr>
                <w:rFonts w:hint="eastAsia" w:ascii="宋体" w:hAnsi="宋体" w:cs="宋体"/>
                <w:b/>
                <w:bCs/>
                <w:color w:val="000000" w:themeColor="text1"/>
                <w:szCs w:val="21"/>
                <w:highlight w:val="none"/>
                <w14:textFill>
                  <w14:solidFill>
                    <w14:schemeClr w14:val="tx1"/>
                  </w14:solidFill>
                </w14:textFill>
              </w:rPr>
              <w:t>（必须提供，否则响应文件按无效响应处理）</w:t>
            </w:r>
          </w:p>
          <w:p w14:paraId="769611E2">
            <w:pPr>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3.供应商直接控股、管理关系信息表（格式后附）；</w:t>
            </w:r>
            <w:r>
              <w:rPr>
                <w:rFonts w:hint="eastAsia" w:ascii="宋体" w:hAnsi="宋体" w:cs="宋体"/>
                <w:b/>
                <w:bCs/>
                <w:color w:val="000000" w:themeColor="text1"/>
                <w:szCs w:val="21"/>
                <w:highlight w:val="none"/>
                <w14:textFill>
                  <w14:solidFill>
                    <w14:schemeClr w14:val="tx1"/>
                  </w14:solidFill>
                </w14:textFill>
              </w:rPr>
              <w:t>（必须提供，否则响应文件按无效响应处理）</w:t>
            </w:r>
          </w:p>
          <w:p w14:paraId="7638F652">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4.竞标声明（格式后附）；</w:t>
            </w:r>
            <w:r>
              <w:rPr>
                <w:rFonts w:hint="eastAsia" w:ascii="宋体" w:hAnsi="宋体" w:cs="宋体"/>
                <w:b/>
                <w:bCs/>
                <w:color w:val="000000" w:themeColor="text1"/>
                <w:szCs w:val="21"/>
                <w:highlight w:val="none"/>
                <w14:textFill>
                  <w14:solidFill>
                    <w14:schemeClr w14:val="tx1"/>
                  </w14:solidFill>
                </w14:textFill>
              </w:rPr>
              <w:t>（必须提供，否则响应文件按无效响应处理）</w:t>
            </w:r>
          </w:p>
          <w:p w14:paraId="024EA54C">
            <w:pPr>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5.供应商《中小企业声明函》或《残疾人福利性单位声明函》或监狱企业证明（由省级以上监狱管理局、戒毒管理局（含新疆生产建设兵团）出具的属于监狱企业的证明文件）；</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1E2811AE">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6.特定</w:t>
            </w:r>
            <w:r>
              <w:rPr>
                <w:rFonts w:ascii="宋体" w:hAnsi="宋体" w:cs="宋体"/>
                <w:bCs/>
                <w:color w:val="000000" w:themeColor="text1"/>
                <w:szCs w:val="21"/>
                <w:highlight w:val="none"/>
                <w14:textFill>
                  <w14:solidFill>
                    <w14:schemeClr w14:val="tx1"/>
                  </w14:solidFill>
                </w14:textFill>
              </w:rPr>
              <w:t>资格</w:t>
            </w:r>
            <w:r>
              <w:rPr>
                <w:rFonts w:hint="eastAsia" w:ascii="宋体" w:hAnsi="宋体" w:cs="宋体"/>
                <w:bCs/>
                <w:color w:val="000000" w:themeColor="text1"/>
                <w:szCs w:val="21"/>
                <w:highlight w:val="none"/>
                <w14:textFill>
                  <w14:solidFill>
                    <w14:schemeClr w14:val="tx1"/>
                  </w14:solidFill>
                </w14:textFill>
              </w:rPr>
              <w:t>要求</w:t>
            </w:r>
            <w:r>
              <w:rPr>
                <w:rFonts w:ascii="宋体" w:hAnsi="宋体" w:cs="宋体"/>
                <w:bCs/>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【必须提供，否则响应文件按无效处理】</w:t>
            </w:r>
          </w:p>
          <w:p w14:paraId="023AF51E">
            <w:pPr>
              <w:spacing w:line="360" w:lineRule="auto"/>
              <w:ind w:firstLine="420"/>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w:t>
            </w:r>
            <w:r>
              <w:rPr>
                <w:rFonts w:hint="eastAsia" w:ascii="宋体" w:hAnsi="宋体"/>
                <w:color w:val="000000" w:themeColor="text1"/>
                <w:szCs w:val="21"/>
                <w:highlight w:val="none"/>
                <w:lang w:eastAsia="zh-CN"/>
                <w14:textFill>
                  <w14:solidFill>
                    <w14:schemeClr w14:val="tx1"/>
                  </w14:solidFill>
                </w14:textFill>
              </w:rPr>
              <w:t>具备</w:t>
            </w:r>
            <w:r>
              <w:rPr>
                <w:rFonts w:hint="eastAsia" w:ascii="宋体" w:hAnsi="宋体"/>
                <w:color w:val="000000" w:themeColor="text1"/>
                <w:szCs w:val="21"/>
                <w:highlight w:val="none"/>
                <w14:textFill>
                  <w14:solidFill>
                    <w14:schemeClr w14:val="tx1"/>
                  </w14:solidFill>
                </w14:textFill>
              </w:rPr>
              <w:t>建筑装修装饰工程专业承包二级（含）以上资质证书、安全生产许可证复</w:t>
            </w:r>
            <w:r>
              <w:rPr>
                <w:rFonts w:hint="eastAsia" w:ascii="宋体" w:hAnsi="宋体" w:eastAsia="宋体" w:cs="Times New Roman"/>
                <w:color w:val="000000" w:themeColor="text1"/>
                <w:szCs w:val="21"/>
                <w:highlight w:val="none"/>
                <w14:textFill>
                  <w14:solidFill>
                    <w14:schemeClr w14:val="tx1"/>
                  </w14:solidFill>
                </w14:textFill>
              </w:rPr>
              <w:t>印件或扫描件；</w:t>
            </w:r>
          </w:p>
          <w:p w14:paraId="0E748FEA">
            <w:pPr>
              <w:spacing w:line="360" w:lineRule="auto"/>
              <w:ind w:firstLine="420"/>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lang w:val="en-US" w:eastAsia="zh-CN"/>
                <w14:textFill>
                  <w14:solidFill>
                    <w14:schemeClr w14:val="tx1"/>
                  </w14:solidFill>
                </w14:textFill>
              </w:rPr>
              <w:t>2</w:t>
            </w:r>
            <w:r>
              <w:rPr>
                <w:rFonts w:hint="eastAsia" w:ascii="宋体" w:hAnsi="宋体" w:eastAsia="宋体" w:cs="Times New Roman"/>
                <w:color w:val="000000" w:themeColor="text1"/>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14:textFill>
                  <w14:solidFill>
                    <w14:schemeClr w14:val="tx1"/>
                  </w14:solidFill>
                </w14:textFill>
              </w:rPr>
              <w:t>拟投入本工程的技术负责人具有</w:t>
            </w:r>
            <w:r>
              <w:rPr>
                <w:rFonts w:hint="eastAsia" w:ascii="宋体" w:hAnsi="宋体"/>
                <w:color w:val="000000" w:themeColor="text1"/>
                <w:szCs w:val="21"/>
                <w:highlight w:val="none"/>
                <w:lang w:val="en-US" w:eastAsia="zh-CN"/>
                <w14:textFill>
                  <w14:solidFill>
                    <w14:schemeClr w14:val="tx1"/>
                  </w14:solidFill>
                </w14:textFill>
              </w:rPr>
              <w:t>建筑工程专业</w:t>
            </w:r>
            <w:r>
              <w:rPr>
                <w:rFonts w:hint="eastAsia" w:ascii="宋体" w:hAnsi="宋体" w:eastAsia="宋体" w:cs="Times New Roman"/>
                <w:color w:val="000000" w:themeColor="text1"/>
                <w:szCs w:val="21"/>
                <w:highlight w:val="none"/>
                <w14:textFill>
                  <w14:solidFill>
                    <w14:schemeClr w14:val="tx1"/>
                  </w14:solidFill>
                </w14:textFill>
              </w:rPr>
              <w:t>工程师及以上职称</w:t>
            </w:r>
            <w:r>
              <w:rPr>
                <w:rFonts w:hint="eastAsia" w:ascii="宋体" w:hAnsi="宋体"/>
                <w:color w:val="000000" w:themeColor="text1"/>
                <w:szCs w:val="21"/>
                <w:highlight w:val="none"/>
                <w14:textFill>
                  <w14:solidFill>
                    <w14:schemeClr w14:val="tx1"/>
                  </w14:solidFill>
                </w14:textFill>
              </w:rPr>
              <w:t>复</w:t>
            </w:r>
            <w:r>
              <w:rPr>
                <w:rFonts w:hint="eastAsia" w:ascii="宋体" w:hAnsi="宋体" w:eastAsia="宋体" w:cs="Times New Roman"/>
                <w:color w:val="000000" w:themeColor="text1"/>
                <w:szCs w:val="21"/>
                <w:highlight w:val="none"/>
                <w14:textFill>
                  <w14:solidFill>
                    <w14:schemeClr w14:val="tx1"/>
                  </w14:solidFill>
                </w14:textFill>
              </w:rPr>
              <w:t>印件或扫描件。</w:t>
            </w:r>
          </w:p>
          <w:p w14:paraId="2ADA2D28">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3</w:t>
            </w:r>
            <w:r>
              <w:rPr>
                <w:rFonts w:hint="eastAsia" w:ascii="宋体" w:hAnsi="宋体" w:eastAsia="宋体" w:cs="Times New Roman"/>
                <w:color w:val="000000" w:themeColor="text1"/>
                <w:szCs w:val="21"/>
                <w:highlight w:val="none"/>
                <w14:textFill>
                  <w14:solidFill>
                    <w14:schemeClr w14:val="tx1"/>
                  </w14:solidFill>
                </w14:textFill>
              </w:rPr>
              <w:t>）供应商拟派的项目经理须具备建筑工程专业贰级(含)以</w:t>
            </w:r>
            <w:r>
              <w:rPr>
                <w:rFonts w:hint="eastAsia" w:ascii="宋体" w:hAnsi="宋体"/>
                <w:color w:val="000000" w:themeColor="text1"/>
                <w:szCs w:val="21"/>
                <w:highlight w:val="none"/>
                <w14:textFill>
                  <w14:solidFill>
                    <w14:schemeClr w14:val="tx1"/>
                  </w14:solidFill>
                </w14:textFill>
              </w:rPr>
              <w:t>上注册建造师执业资格证书复</w:t>
            </w:r>
            <w:r>
              <w:rPr>
                <w:rFonts w:hint="eastAsia" w:ascii="宋体" w:hAnsi="宋体" w:eastAsia="宋体" w:cs="Times New Roman"/>
                <w:color w:val="000000" w:themeColor="text1"/>
                <w:szCs w:val="21"/>
                <w:highlight w:val="none"/>
                <w14:textFill>
                  <w14:solidFill>
                    <w14:schemeClr w14:val="tx1"/>
                  </w14:solidFill>
                </w14:textFill>
              </w:rPr>
              <w:t>印件或扫描件</w:t>
            </w:r>
            <w:r>
              <w:rPr>
                <w:rFonts w:hint="eastAsia" w:ascii="宋体" w:hAnsi="宋体"/>
                <w:color w:val="000000" w:themeColor="text1"/>
                <w:szCs w:val="21"/>
                <w:highlight w:val="none"/>
                <w14:textFill>
                  <w14:solidFill>
                    <w14:schemeClr w14:val="tx1"/>
                  </w14:solidFill>
                </w14:textFill>
              </w:rPr>
              <w:t>及有效的安全生产考核合格证书（B类）复</w:t>
            </w:r>
            <w:r>
              <w:rPr>
                <w:rFonts w:hint="eastAsia" w:ascii="宋体" w:hAnsi="宋体" w:eastAsia="宋体" w:cs="Times New Roman"/>
                <w:color w:val="000000" w:themeColor="text1"/>
                <w:szCs w:val="21"/>
                <w:highlight w:val="none"/>
                <w14:textFill>
                  <w14:solidFill>
                    <w14:schemeClr w14:val="tx1"/>
                  </w14:solidFill>
                </w14:textFill>
              </w:rPr>
              <w:t>印件或扫描件</w:t>
            </w:r>
            <w:r>
              <w:rPr>
                <w:rFonts w:hint="eastAsia" w:ascii="宋体" w:hAnsi="宋体"/>
                <w:color w:val="000000" w:themeColor="text1"/>
                <w:szCs w:val="21"/>
                <w:highlight w:val="none"/>
                <w14:textFill>
                  <w14:solidFill>
                    <w14:schemeClr w14:val="tx1"/>
                  </w14:solidFill>
                </w14:textFill>
              </w:rPr>
              <w:t>；</w:t>
            </w:r>
          </w:p>
          <w:p w14:paraId="1548C355">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）拟投入本项目的专职安全生产管理人员须具备有效的安全生产考核合格证书（C类）证书</w:t>
            </w:r>
            <w:r>
              <w:rPr>
                <w:rFonts w:hint="eastAsia" w:ascii="宋体" w:hAnsi="宋体"/>
                <w:color w:val="000000" w:themeColor="text1"/>
                <w:szCs w:val="21"/>
                <w:highlight w:val="none"/>
                <w14:textFill>
                  <w14:solidFill>
                    <w14:schemeClr w14:val="tx1"/>
                  </w14:solidFill>
                </w14:textFill>
              </w:rPr>
              <w:t>复</w:t>
            </w:r>
            <w:r>
              <w:rPr>
                <w:rFonts w:hint="eastAsia" w:ascii="宋体" w:hAnsi="宋体" w:eastAsia="宋体" w:cs="Times New Roman"/>
                <w:color w:val="000000" w:themeColor="text1"/>
                <w:szCs w:val="21"/>
                <w:highlight w:val="none"/>
                <w14:textFill>
                  <w14:solidFill>
                    <w14:schemeClr w14:val="tx1"/>
                  </w14:solidFill>
                </w14:textFill>
              </w:rPr>
              <w:t>印件或扫描件</w:t>
            </w:r>
            <w:r>
              <w:rPr>
                <w:rFonts w:hint="eastAsia" w:ascii="宋体" w:hAnsi="宋体" w:cs="宋体"/>
                <w:color w:val="000000" w:themeColor="text1"/>
                <w:szCs w:val="21"/>
                <w:highlight w:val="none"/>
                <w14:textFill>
                  <w14:solidFill>
                    <w14:schemeClr w14:val="tx1"/>
                  </w14:solidFill>
                </w14:textFill>
              </w:rPr>
              <w:t>。</w:t>
            </w:r>
          </w:p>
          <w:p w14:paraId="06E0855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.除磋商文件规定必须提供以外，供应商认为需要提供的其他证明材料；</w:t>
            </w:r>
          </w:p>
          <w:p w14:paraId="6E67B3F1">
            <w:pPr>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注：1.以上标明“必须提供”的材料属于扫描件的，必须加盖供应商</w:t>
            </w:r>
            <w:r>
              <w:rPr>
                <w:rFonts w:hint="eastAsia"/>
                <w:b/>
                <w:color w:val="000000" w:themeColor="text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，否则响应文件按无效处理。</w:t>
            </w:r>
          </w:p>
        </w:tc>
      </w:tr>
      <w:tr w14:paraId="2D871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DB481F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7912" w:type="dxa"/>
            <w:noWrap w:val="0"/>
            <w:vAlign w:val="center"/>
          </w:tcPr>
          <w:p w14:paraId="60EAE5F4">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报价文件</w:t>
            </w:r>
          </w:p>
          <w:p w14:paraId="2E8499D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1.竞标函及竞标函附录（格式后附）；（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300E5234">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2.竞标报价表（格式后附）；（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33D7F005">
            <w:pPr>
              <w:spacing w:line="360" w:lineRule="auto"/>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3.已标价工程量清单；（</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307455D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.供应商认为需要提供的其他有关资料。</w:t>
            </w:r>
          </w:p>
        </w:tc>
      </w:tr>
      <w:tr w14:paraId="57DB7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833390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w:t>
            </w:r>
          </w:p>
        </w:tc>
        <w:tc>
          <w:tcPr>
            <w:tcW w:w="7912" w:type="dxa"/>
            <w:noWrap w:val="0"/>
            <w:vAlign w:val="center"/>
          </w:tcPr>
          <w:p w14:paraId="001E7A03">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商务技术文件</w:t>
            </w:r>
          </w:p>
          <w:p w14:paraId="2C3B83B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02397115">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2.法定代表人身份证明书及法定代表人有效身份证正反面扫描件（格式后附）；（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0B3F3D0">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3.授权委托书及委托代理人有效身份证正反面扫描件（格式后附）；（</w:t>
            </w:r>
            <w:r>
              <w:rPr>
                <w:rFonts w:hint="eastAsia" w:ascii="宋体" w:hAnsi="宋体" w:cs="宋体"/>
                <w:b/>
                <w:color w:val="000000" w:themeColor="text1"/>
                <w:szCs w:val="21"/>
                <w:highlight w:val="none"/>
                <w14:textFill>
                  <w14:solidFill>
                    <w14:schemeClr w14:val="tx1"/>
                  </w14:solidFill>
                </w14:textFill>
              </w:rPr>
              <w:t>委托时必须提供，否则响应文件按无效处理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429D73D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4.施工组织设计（格式自拟）；（</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2D70F012">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5.项目管理机构配备情况表及主要人员简历表（格式后附）；（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 xml:space="preserve">） </w:t>
            </w:r>
          </w:p>
          <w:p w14:paraId="60B69F8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6.供应商认为需要提供的其他有关资料。</w:t>
            </w:r>
          </w:p>
          <w:p w14:paraId="5912F8B3">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注：以上标明“必须提供”的材料属于扫描件的，必须加盖供应商电子签章，否则响应文件按无效处理。</w:t>
            </w:r>
          </w:p>
        </w:tc>
      </w:tr>
      <w:tr w14:paraId="38DDF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719136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w:t>
            </w:r>
          </w:p>
        </w:tc>
        <w:tc>
          <w:tcPr>
            <w:tcW w:w="7912" w:type="dxa"/>
            <w:noWrap w:val="0"/>
            <w:vAlign w:val="center"/>
          </w:tcPr>
          <w:p w14:paraId="780B3BD3">
            <w:pPr>
              <w:spacing w:line="360" w:lineRule="auto"/>
              <w:contextualSpacing/>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竞标报价应按磋商文件中“竞标报价表”格式填写。</w:t>
            </w:r>
          </w:p>
        </w:tc>
      </w:tr>
      <w:tr w14:paraId="729F9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6EA425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7912" w:type="dxa"/>
            <w:noWrap w:val="0"/>
            <w:vAlign w:val="center"/>
          </w:tcPr>
          <w:p w14:paraId="7732E727">
            <w:pPr>
              <w:numPr>
                <w:ilvl w:val="0"/>
                <w:numId w:val="0"/>
              </w:num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eastAsia="zh-CN"/>
                <w14:textFill>
                  <w14:solidFill>
                    <w14:schemeClr w14:val="tx1"/>
                  </w14:solidFill>
                </w14:textFill>
              </w:rPr>
              <w:t>本项目计价方式为固定总价；</w:t>
            </w:r>
            <w:r>
              <w:rPr>
                <w:rFonts w:hint="eastAsia" w:ascii="宋体" w:hAnsi="宋体" w:cs="宋体"/>
                <w:b/>
                <w:bCs/>
                <w:color w:val="000000" w:themeColor="text1"/>
                <w:szCs w:val="21"/>
                <w:highlight w:val="none"/>
                <w14:textFill>
                  <w14:solidFill>
                    <w14:schemeClr w14:val="tx1"/>
                  </w14:solidFill>
                </w14:textFill>
              </w:rPr>
              <w:t>竞标报价是履行合同的最终价格，包括了为实施和完成合同工程所需的劳务、材料、机械、质检（自检）、安装、缺陷修复、管理、保险、税费、利润等费用，以及合同明示或暗示的所有责任、义务和一般风险。</w:t>
            </w:r>
          </w:p>
        </w:tc>
      </w:tr>
      <w:tr w14:paraId="16F33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F669DC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w:t>
            </w:r>
          </w:p>
        </w:tc>
        <w:tc>
          <w:tcPr>
            <w:tcW w:w="7912" w:type="dxa"/>
            <w:noWrap w:val="0"/>
            <w:vAlign w:val="center"/>
          </w:tcPr>
          <w:p w14:paraId="5EBFA7F1">
            <w:pPr>
              <w:spacing w:line="360" w:lineRule="auto"/>
              <w:contextualSpacing/>
              <w:jc w:val="left"/>
              <w:rPr>
                <w:rFonts w:hint="eastAsia" w:ascii="宋体" w:hAnsi="宋体"/>
                <w:color w:val="000000" w:themeColor="text1"/>
                <w:szCs w:val="2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本工程增值税计税方法：一般计税法</w:t>
            </w:r>
          </w:p>
        </w:tc>
      </w:tr>
      <w:tr w14:paraId="07E43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10911D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r>
              <w:rPr>
                <w:rFonts w:ascii="宋体" w:hAnsi="宋体" w:cs="宋体"/>
                <w:color w:val="000000" w:themeColor="text1"/>
                <w:szCs w:val="21"/>
                <w:highlight w:val="none"/>
                <w14:textFill>
                  <w14:solidFill>
                    <w14:schemeClr w14:val="tx1"/>
                  </w14:solidFill>
                </w14:textFill>
              </w:rPr>
              <w:t>2</w:t>
            </w:r>
          </w:p>
        </w:tc>
        <w:tc>
          <w:tcPr>
            <w:tcW w:w="7912" w:type="dxa"/>
            <w:noWrap w:val="0"/>
            <w:vAlign w:val="center"/>
          </w:tcPr>
          <w:p w14:paraId="13FD31A8">
            <w:pPr>
              <w:pStyle w:val="13"/>
              <w:widowControl w:val="0"/>
              <w:tabs>
                <w:tab w:val="clear" w:pos="454"/>
              </w:tabs>
              <w:spacing w:line="360" w:lineRule="auto"/>
              <w:ind w:left="283" w:hanging="283"/>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竞标有效期：自首次响应文件提交截止之日起</w:t>
            </w:r>
            <w:r>
              <w:rPr>
                <w:rFonts w:hint="eastAsia" w:ascii="宋体" w:hAnsi="宋体" w:cs="宋体"/>
                <w:color w:val="000000" w:themeColor="text1"/>
                <w:sz w:val="21"/>
                <w:szCs w:val="21"/>
                <w:highlight w:val="none"/>
                <w:u w:val="single"/>
                <w14:textFill>
                  <w14:solidFill>
                    <w14:schemeClr w14:val="tx1"/>
                  </w14:solidFill>
                </w14:textFill>
              </w:rPr>
              <w:t>9</w:t>
            </w:r>
            <w:r>
              <w:rPr>
                <w:rFonts w:ascii="宋体" w:hAnsi="宋体" w:cs="宋体"/>
                <w:color w:val="000000" w:themeColor="text1"/>
                <w:sz w:val="21"/>
                <w:szCs w:val="21"/>
                <w:highlight w:val="none"/>
                <w:u w:val="single"/>
                <w14:textFill>
                  <w14:solidFill>
                    <w14:schemeClr w14:val="tx1"/>
                  </w14:solidFill>
                </w14:textFill>
              </w:rPr>
              <w:t>0</w:t>
            </w:r>
            <w:r>
              <w:rPr>
                <w:rFonts w:hint="eastAsia" w:ascii="宋体" w:hAnsi="宋体" w:cs="宋体"/>
                <w:color w:val="000000" w:themeColor="text1"/>
                <w:sz w:val="21"/>
                <w:szCs w:val="21"/>
                <w:highlight w:val="none"/>
                <w14:textFill>
                  <w14:solidFill>
                    <w14:schemeClr w14:val="tx1"/>
                  </w14:solidFill>
                </w14:textFill>
              </w:rPr>
              <w:t>日。</w:t>
            </w:r>
          </w:p>
        </w:tc>
      </w:tr>
      <w:tr w14:paraId="26922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992" w:type="dxa"/>
            <w:noWrap w:val="0"/>
            <w:vAlign w:val="center"/>
          </w:tcPr>
          <w:p w14:paraId="44F007D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7912" w:type="dxa"/>
            <w:noWrap w:val="0"/>
            <w:vAlign w:val="center"/>
          </w:tcPr>
          <w:p w14:paraId="47698DA9">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磋商保证金：无</w:t>
            </w:r>
          </w:p>
        </w:tc>
      </w:tr>
      <w:tr w14:paraId="37774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3110F2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19</w:t>
            </w:r>
          </w:p>
        </w:tc>
        <w:tc>
          <w:tcPr>
            <w:tcW w:w="7912" w:type="dxa"/>
            <w:noWrap w:val="0"/>
            <w:vAlign w:val="center"/>
          </w:tcPr>
          <w:p w14:paraId="508072F6">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w:t>
            </w:r>
            <w:r>
              <w:rPr>
                <w:rFonts w:hint="eastAsia"/>
                <w:color w:val="000000" w:themeColor="text1"/>
                <w:highlight w:val="none"/>
                <w14:textFill>
                  <w14:solidFill>
                    <w14:schemeClr w14:val="tx1"/>
                  </w14:solidFill>
                </w14:textFill>
              </w:rPr>
              <w:t>电子</w:t>
            </w:r>
            <w:r>
              <w:rPr>
                <w:rFonts w:hint="eastAsia" w:ascii="宋体" w:hAnsi="宋体"/>
                <w:color w:val="000000" w:themeColor="text1"/>
                <w:szCs w:val="21"/>
                <w:highlight w:val="none"/>
                <w14:textFill>
                  <w14:solidFill>
                    <w14:schemeClr w14:val="tx1"/>
                  </w14:solidFill>
                </w14:textFill>
              </w:rPr>
              <w:t>备份响应文件</w:t>
            </w:r>
          </w:p>
        </w:tc>
      </w:tr>
      <w:tr w14:paraId="442C5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662A82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7912" w:type="dxa"/>
            <w:noWrap w:val="0"/>
            <w:vAlign w:val="center"/>
          </w:tcPr>
          <w:p w14:paraId="41D8DC85">
            <w:pPr>
              <w:spacing w:line="360" w:lineRule="auto"/>
              <w:contextualSpacing/>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响应文件提交截止时间：详见竞争性磋商公告</w:t>
            </w:r>
          </w:p>
          <w:p w14:paraId="3790AEC3">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响应文件提交地点：详见竞争性磋商公告</w:t>
            </w:r>
          </w:p>
        </w:tc>
      </w:tr>
      <w:tr w14:paraId="031A0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97DC02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7912" w:type="dxa"/>
            <w:noWrap w:val="0"/>
            <w:vAlign w:val="center"/>
          </w:tcPr>
          <w:p w14:paraId="684171C8">
            <w:pPr>
              <w:spacing w:line="360" w:lineRule="auto"/>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磋商小组的人数：</w:t>
            </w:r>
            <w:r>
              <w:rPr>
                <w:rFonts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人。</w:t>
            </w:r>
          </w:p>
        </w:tc>
      </w:tr>
      <w:tr w14:paraId="6A7CB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10D4CC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p>
        </w:tc>
        <w:tc>
          <w:tcPr>
            <w:tcW w:w="7912" w:type="dxa"/>
            <w:noWrap w:val="0"/>
            <w:vAlign w:val="center"/>
          </w:tcPr>
          <w:p w14:paraId="06471509">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首次响应文件开启时间详见“竞争性磋商公告”</w:t>
            </w:r>
          </w:p>
          <w:p w14:paraId="6FFEAA39">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首次响应文件解密时间：</w:t>
            </w:r>
            <w:r>
              <w:rPr>
                <w:rFonts w:hint="eastAsia" w:hAnsi="宋体"/>
                <w:color w:val="000000" w:themeColor="text1"/>
                <w:highlight w:val="none"/>
                <w:u w:val="single"/>
                <w14:textFill>
                  <w14:solidFill>
                    <w14:schemeClr w14:val="tx1"/>
                  </w14:solidFill>
                </w14:textFill>
              </w:rPr>
              <w:t>3</w:t>
            </w:r>
            <w:r>
              <w:rPr>
                <w:rFonts w:hAnsi="宋体"/>
                <w:color w:val="000000" w:themeColor="text1"/>
                <w:highlight w:val="none"/>
                <w:u w:val="single"/>
                <w14:textFill>
                  <w14:solidFill>
                    <w14:schemeClr w14:val="tx1"/>
                  </w14:solidFill>
                </w14:textFill>
              </w:rPr>
              <w:t>0</w:t>
            </w:r>
            <w:r>
              <w:rPr>
                <w:rFonts w:hint="eastAsia" w:hAnsi="宋体"/>
                <w:color w:val="000000" w:themeColor="text1"/>
                <w:highlight w:val="none"/>
                <w14:textFill>
                  <w14:solidFill>
                    <w14:schemeClr w14:val="tx1"/>
                  </w14:solidFill>
                </w14:textFill>
              </w:rPr>
              <w:t>分钟</w:t>
            </w:r>
          </w:p>
        </w:tc>
      </w:tr>
      <w:tr w14:paraId="311C6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noWrap w:val="0"/>
            <w:vAlign w:val="center"/>
          </w:tcPr>
          <w:p w14:paraId="68A48A0D">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6.3</w:t>
            </w:r>
          </w:p>
        </w:tc>
        <w:tc>
          <w:tcPr>
            <w:tcW w:w="7912" w:type="dxa"/>
            <w:noWrap w:val="0"/>
            <w:vAlign w:val="center"/>
          </w:tcPr>
          <w:p w14:paraId="0B50FEAD">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商务要求评审中允许负偏离的条款数为</w:t>
            </w:r>
            <w:r>
              <w:rPr>
                <w:rFonts w:hint="eastAsia"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项。</w:t>
            </w:r>
          </w:p>
          <w:p w14:paraId="3D46E02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技术要求评审中允许负偏离的条款数为</w:t>
            </w:r>
            <w:r>
              <w:rPr>
                <w:rFonts w:hint="eastAsia"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项。</w:t>
            </w:r>
          </w:p>
        </w:tc>
      </w:tr>
      <w:tr w14:paraId="35E79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EE9C00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28.1</w:t>
            </w:r>
          </w:p>
        </w:tc>
        <w:tc>
          <w:tcPr>
            <w:tcW w:w="7912" w:type="dxa"/>
            <w:noWrap w:val="0"/>
            <w:vAlign w:val="center"/>
          </w:tcPr>
          <w:p w14:paraId="1877E299">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☑本项目不收取履约保证金。</w:t>
            </w:r>
          </w:p>
        </w:tc>
      </w:tr>
      <w:tr w14:paraId="6B5F4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7D2754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29.1</w:t>
            </w:r>
          </w:p>
        </w:tc>
        <w:tc>
          <w:tcPr>
            <w:tcW w:w="7912" w:type="dxa"/>
            <w:noWrap w:val="0"/>
            <w:vAlign w:val="center"/>
          </w:tcPr>
          <w:p w14:paraId="7FE93D77">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签订合同携带的证明材料： </w:t>
            </w:r>
          </w:p>
          <w:p w14:paraId="31E7EBED">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2952B9F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法定代表人负责签订合同的，须携带法定代表人</w:t>
            </w:r>
            <w:r>
              <w:rPr>
                <w:rFonts w:ascii="宋体" w:hAnsi="宋体"/>
                <w:color w:val="000000" w:themeColor="text1"/>
                <w:szCs w:val="21"/>
                <w:highlight w:val="none"/>
                <w14:textFill>
                  <w14:solidFill>
                    <w14:schemeClr w14:val="tx1"/>
                  </w14:solidFill>
                </w14:textFill>
              </w:rPr>
              <w:t>身份证明原件</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身份证原件</w:t>
            </w:r>
            <w:r>
              <w:rPr>
                <w:rFonts w:hint="eastAsia" w:ascii="宋体" w:hAnsi="宋体"/>
                <w:color w:val="000000" w:themeColor="text1"/>
                <w:szCs w:val="21"/>
                <w:highlight w:val="none"/>
                <w14:textFill>
                  <w14:solidFill>
                    <w14:schemeClr w14:val="tx1"/>
                  </w14:solidFill>
                </w14:textFill>
              </w:rPr>
              <w:t>等其他证明材料。</w:t>
            </w:r>
          </w:p>
        </w:tc>
      </w:tr>
      <w:tr w14:paraId="39C87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95789A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1.2</w:t>
            </w:r>
          </w:p>
        </w:tc>
        <w:tc>
          <w:tcPr>
            <w:tcW w:w="7912" w:type="dxa"/>
            <w:noWrap w:val="0"/>
            <w:vAlign w:val="center"/>
          </w:tcPr>
          <w:p w14:paraId="3E49E42D">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接收质疑函方式：以书面形式</w:t>
            </w:r>
          </w:p>
          <w:p w14:paraId="33C377E0">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质疑联系部门：云之龙咨询集团有限公司招标部</w:t>
            </w:r>
          </w:p>
          <w:p w14:paraId="6CDAAAEF">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联系电话：0775-4565100</w:t>
            </w:r>
          </w:p>
          <w:p w14:paraId="1BDC7582">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通讯地址：广西贵港市港北区荷城路1132号华泰官邸1栋6楼</w:t>
            </w:r>
          </w:p>
          <w:p w14:paraId="7394B83E">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业务时间：工作日每天上午8时00分到12时00分，下午3时00分到6时00分。</w:t>
            </w:r>
          </w:p>
        </w:tc>
      </w:tr>
      <w:tr w14:paraId="09AFB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1F18CB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32.1</w:t>
            </w:r>
          </w:p>
        </w:tc>
        <w:tc>
          <w:tcPr>
            <w:tcW w:w="7912" w:type="dxa"/>
            <w:noWrap w:val="0"/>
            <w:vAlign w:val="center"/>
          </w:tcPr>
          <w:p w14:paraId="7AB1013A">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1.采购代理费收取方式：</w:t>
            </w:r>
          </w:p>
          <w:p w14:paraId="738914B7">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☑本项目代理服务费由成交供应商向采购代理机构支付。</w:t>
            </w:r>
          </w:p>
          <w:p w14:paraId="6CEC9A0D">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□采购人支付。</w:t>
            </w:r>
          </w:p>
          <w:p w14:paraId="4BDEE261">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2.采购代理费收取标准：</w:t>
            </w:r>
          </w:p>
          <w:p w14:paraId="409F6E3E">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☑根据发改价格〔2015〕299号文，按固定金额收费标准，具体金额：人民币</w:t>
            </w:r>
            <w:r>
              <w:rPr>
                <w:rFonts w:hint="eastAsia" w:hAnsi="宋体" w:cs="宋体"/>
                <w:color w:val="000000" w:themeColor="text1"/>
                <w:sz w:val="21"/>
                <w:highlight w:val="none"/>
                <w:lang w:eastAsia="zh-CN"/>
                <w14:textFill>
                  <w14:solidFill>
                    <w14:schemeClr w14:val="tx1"/>
                  </w14:solidFill>
                </w14:textFill>
              </w:rPr>
              <w:t>伍仟贰佰</w:t>
            </w:r>
            <w:r>
              <w:rPr>
                <w:rFonts w:hint="eastAsia" w:hAnsi="宋体" w:cs="宋体"/>
                <w:color w:val="000000" w:themeColor="text1"/>
                <w:sz w:val="21"/>
                <w:highlight w:val="none"/>
                <w14:textFill>
                  <w14:solidFill>
                    <w14:schemeClr w14:val="tx1"/>
                  </w14:solidFill>
                </w14:textFill>
              </w:rPr>
              <w:t>元整(¥</w:t>
            </w:r>
            <w:r>
              <w:rPr>
                <w:rFonts w:hint="eastAsia" w:hAnsi="宋体" w:cs="宋体"/>
                <w:color w:val="000000" w:themeColor="text1"/>
                <w:sz w:val="21"/>
                <w:highlight w:val="none"/>
                <w:lang w:val="en-US" w:eastAsia="zh-CN"/>
                <w14:textFill>
                  <w14:solidFill>
                    <w14:schemeClr w14:val="tx1"/>
                  </w14:solidFill>
                </w14:textFill>
              </w:rPr>
              <w:t>5200</w:t>
            </w:r>
            <w:r>
              <w:rPr>
                <w:rFonts w:hint="eastAsia" w:hAnsi="宋体" w:cs="宋体"/>
                <w:color w:val="000000" w:themeColor="text1"/>
                <w:sz w:val="21"/>
                <w:highlight w:val="none"/>
                <w14:textFill>
                  <w14:solidFill>
                    <w14:schemeClr w14:val="tx1"/>
                  </w14:solidFill>
                </w14:textFill>
              </w:rPr>
              <w:t>.00)。</w:t>
            </w:r>
          </w:p>
          <w:p w14:paraId="3F55138B">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 采购代理费收取银行账户</w:t>
            </w:r>
          </w:p>
          <w:p w14:paraId="3DDB9F3A">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单位名称：云之龙咨询集团有限公司贵港分公司  </w:t>
            </w:r>
          </w:p>
          <w:p w14:paraId="2D7844D8">
            <w:pPr>
              <w:pStyle w:val="24"/>
              <w:spacing w:line="360" w:lineRule="auto"/>
              <w:rPr>
                <w:rFonts w:hint="eastAsia" w:hAnsi="宋体" w:eastAsia="宋体" w:cs="宋体"/>
                <w:color w:val="000000" w:themeColor="text1"/>
                <w:sz w:val="21"/>
                <w:highlight w:val="none"/>
                <w:lang w:eastAsia="zh-CN"/>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开户银行：</w:t>
            </w:r>
            <w:r>
              <w:rPr>
                <w:rFonts w:hint="eastAsia" w:hAnsi="宋体" w:cs="宋体"/>
                <w:color w:val="000000" w:themeColor="text1"/>
                <w:sz w:val="21"/>
                <w:highlight w:val="none"/>
                <w:lang w:eastAsia="zh-CN"/>
                <w14:textFill>
                  <w14:solidFill>
                    <w14:schemeClr w14:val="tx1"/>
                  </w14:solidFill>
                </w14:textFill>
              </w:rPr>
              <w:t>中信银行股份有限公司南宁园湖支行</w:t>
            </w:r>
          </w:p>
          <w:p w14:paraId="79F5E4F6">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银行账号：8113001015100158012</w:t>
            </w:r>
          </w:p>
          <w:p w14:paraId="695DB10B">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行号：302611029137</w:t>
            </w:r>
          </w:p>
        </w:tc>
      </w:tr>
      <w:tr w14:paraId="31FD9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E7EDD4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3.1</w:t>
            </w:r>
          </w:p>
        </w:tc>
        <w:tc>
          <w:tcPr>
            <w:tcW w:w="7912" w:type="dxa"/>
            <w:noWrap w:val="0"/>
            <w:vAlign w:val="center"/>
          </w:tcPr>
          <w:p w14:paraId="33FB9209">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解释：</w:t>
            </w:r>
            <w:r>
              <w:rPr>
                <w:rFonts w:hAnsi="宋体"/>
                <w:color w:val="000000" w:themeColor="text1"/>
                <w:sz w:val="21"/>
                <w:highlight w:val="none"/>
                <w14:textFill>
                  <w14:solidFill>
                    <w14:schemeClr w14:val="tx1"/>
                  </w14:solidFill>
                </w14:textFill>
              </w:rPr>
              <w:t>构成本</w:t>
            </w:r>
            <w:r>
              <w:rPr>
                <w:rFonts w:hint="eastAsia" w:hAnsi="宋体"/>
                <w:color w:val="000000" w:themeColor="text1"/>
                <w:sz w:val="21"/>
                <w:highlight w:val="none"/>
                <w14:textFill>
                  <w14:solidFill>
                    <w14:schemeClr w14:val="tx1"/>
                  </w14:solidFill>
                </w14:textFill>
              </w:rPr>
              <w:t>磋商文件</w:t>
            </w:r>
            <w:r>
              <w:rPr>
                <w:rFonts w:hAnsi="宋体"/>
                <w:color w:val="000000" w:themeColor="text1"/>
                <w:sz w:val="21"/>
                <w:highlight w:val="none"/>
                <w14:textFill>
                  <w14:solidFill>
                    <w14:schemeClr w14:val="tx1"/>
                  </w14:solidFill>
                </w14:textFill>
              </w:rPr>
              <w:t>的各个组成文件应互为解释，互为说明；除</w:t>
            </w:r>
            <w:r>
              <w:rPr>
                <w:rFonts w:hint="eastAsia" w:hAnsi="宋体"/>
                <w:color w:val="000000" w:themeColor="text1"/>
                <w:sz w:val="21"/>
                <w:highlight w:val="none"/>
                <w14:textFill>
                  <w14:solidFill>
                    <w14:schemeClr w14:val="tx1"/>
                  </w14:solidFill>
                </w14:textFill>
              </w:rPr>
              <w:t>磋商文件</w:t>
            </w:r>
            <w:r>
              <w:rPr>
                <w:rFonts w:hAnsi="宋体"/>
                <w:color w:val="000000" w:themeColor="text1"/>
                <w:sz w:val="21"/>
                <w:highlight w:val="none"/>
                <w14:textFill>
                  <w14:solidFill>
                    <w14:schemeClr w14:val="tx1"/>
                  </w14:solidFill>
                </w14:textFill>
              </w:rPr>
              <w:t>中有特别规定外，仅适用于</w:t>
            </w:r>
            <w:r>
              <w:rPr>
                <w:rFonts w:hint="eastAsia" w:hAnsi="宋体"/>
                <w:color w:val="000000" w:themeColor="text1"/>
                <w:sz w:val="21"/>
                <w:highlight w:val="none"/>
                <w14:textFill>
                  <w14:solidFill>
                    <w14:schemeClr w14:val="tx1"/>
                  </w14:solidFill>
                </w14:textFill>
              </w:rPr>
              <w:t>竞标</w:t>
            </w:r>
            <w:r>
              <w:rPr>
                <w:rFonts w:hAnsi="宋体"/>
                <w:color w:val="000000" w:themeColor="text1"/>
                <w:sz w:val="21"/>
                <w:highlight w:val="none"/>
                <w14:textFill>
                  <w14:solidFill>
                    <w14:schemeClr w14:val="tx1"/>
                  </w14:solidFill>
                </w14:textFill>
              </w:rPr>
              <w:t>阶段的规定，按</w:t>
            </w:r>
            <w:r>
              <w:rPr>
                <w:rFonts w:hint="eastAsia" w:hAnsi="宋体"/>
                <w:color w:val="000000" w:themeColor="text1"/>
                <w:sz w:val="21"/>
                <w:highlight w:val="none"/>
                <w14:textFill>
                  <w14:solidFill>
                    <w14:schemeClr w14:val="tx1"/>
                  </w14:solidFill>
                </w14:textFill>
              </w:rPr>
              <w:t>更正公告（澄清公告）</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竞争性磋商</w:t>
            </w:r>
            <w:r>
              <w:rPr>
                <w:rFonts w:hAnsi="宋体"/>
                <w:color w:val="000000" w:themeColor="text1"/>
                <w:sz w:val="21"/>
                <w:highlight w:val="none"/>
                <w14:textFill>
                  <w14:solidFill>
                    <w14:schemeClr w14:val="tx1"/>
                  </w14:solidFill>
                </w14:textFill>
              </w:rPr>
              <w:t>公告、</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须知</w:t>
            </w:r>
            <w:r>
              <w:rPr>
                <w:rFonts w:hint="eastAsia" w:hAnsi="宋体"/>
                <w:color w:val="000000" w:themeColor="text1"/>
                <w:sz w:val="21"/>
                <w:highlight w:val="none"/>
                <w14:textFill>
                  <w14:solidFill>
                    <w14:schemeClr w14:val="tx1"/>
                  </w14:solidFill>
                </w14:textFill>
              </w:rPr>
              <w:t>、采购需求</w:t>
            </w:r>
            <w:r>
              <w:rPr>
                <w:rFonts w:hAnsi="宋体"/>
                <w:color w:val="000000" w:themeColor="text1"/>
                <w:sz w:val="21"/>
                <w:highlight w:val="none"/>
                <w14:textFill>
                  <w14:solidFill>
                    <w14:schemeClr w14:val="tx1"/>
                  </w14:solidFill>
                </w14:textFill>
              </w:rPr>
              <w:t>、</w:t>
            </w:r>
            <w:r>
              <w:rPr>
                <w:rFonts w:hint="eastAsia"/>
                <w:color w:val="000000" w:themeColor="text1"/>
                <w:sz w:val="21"/>
                <w:highlight w:val="none"/>
                <w14:textFill>
                  <w14:solidFill>
                    <w14:schemeClr w14:val="tx1"/>
                  </w14:solidFill>
                </w14:textFill>
              </w:rPr>
              <w:t>评审程序、评审方法和评审标准</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响应</w:t>
            </w:r>
            <w:r>
              <w:rPr>
                <w:rFonts w:hAnsi="宋体"/>
                <w:color w:val="000000" w:themeColor="text1"/>
                <w:sz w:val="21"/>
                <w:highlight w:val="none"/>
                <w14:textFill>
                  <w14:solidFill>
                    <w14:schemeClr w14:val="tx1"/>
                  </w14:solidFill>
                </w14:textFill>
              </w:rPr>
              <w:t>文件格式</w:t>
            </w:r>
            <w:r>
              <w:rPr>
                <w:rFonts w:hint="eastAsia" w:hAnsi="宋体"/>
                <w:color w:val="000000" w:themeColor="text1"/>
                <w:sz w:val="21"/>
                <w:highlight w:val="none"/>
                <w14:textFill>
                  <w14:solidFill>
                    <w14:schemeClr w14:val="tx1"/>
                  </w14:solidFill>
                </w14:textFill>
              </w:rPr>
              <w:t>、合同文本</w:t>
            </w:r>
            <w:r>
              <w:rPr>
                <w:rFonts w:hAnsi="宋体"/>
                <w:color w:val="000000" w:themeColor="text1"/>
                <w:sz w:val="21"/>
                <w:highlight w:val="none"/>
                <w14:textFill>
                  <w14:solidFill>
                    <w14:schemeClr w14:val="tx1"/>
                  </w14:solidFill>
                </w14:textFill>
              </w:rPr>
              <w:t>的先后顺序解释；同一组成文件中就同一事项的规定或者约定不一致的，以编排顺序在后者为准；同一组成文件不同版本之间有不一致的，以形成时间在后者为准；</w:t>
            </w:r>
            <w:r>
              <w:rPr>
                <w:rFonts w:hint="eastAsia" w:hAnsi="宋体"/>
                <w:color w:val="000000" w:themeColor="text1"/>
                <w:sz w:val="21"/>
                <w:highlight w:val="none"/>
                <w14:textFill>
                  <w14:solidFill>
                    <w14:schemeClr w14:val="tx1"/>
                  </w14:solidFill>
                </w14:textFill>
              </w:rPr>
              <w:t>更正公告（澄清公告）</w:t>
            </w:r>
            <w:r>
              <w:rPr>
                <w:rFonts w:hAnsi="宋体"/>
                <w:color w:val="000000" w:themeColor="text1"/>
                <w:sz w:val="21"/>
                <w:highlight w:val="none"/>
                <w14:textFill>
                  <w14:solidFill>
                    <w14:schemeClr w14:val="tx1"/>
                  </w14:solidFill>
                </w14:textFill>
              </w:rPr>
              <w:t>与同步更新的</w:t>
            </w:r>
            <w:r>
              <w:rPr>
                <w:rFonts w:hint="eastAsia" w:hAnsi="宋体"/>
                <w:color w:val="000000" w:themeColor="text1"/>
                <w:sz w:val="21"/>
                <w:highlight w:val="none"/>
                <w14:textFill>
                  <w14:solidFill>
                    <w14:schemeClr w14:val="tx1"/>
                  </w14:solidFill>
                </w14:textFill>
              </w:rPr>
              <w:t>磋商文件</w:t>
            </w:r>
            <w:r>
              <w:rPr>
                <w:rFonts w:hAnsi="宋体"/>
                <w:color w:val="000000" w:themeColor="text1"/>
                <w:sz w:val="21"/>
                <w:highlight w:val="none"/>
                <w14:textFill>
                  <w14:solidFill>
                    <w14:schemeClr w14:val="tx1"/>
                  </w14:solidFill>
                </w14:textFill>
              </w:rPr>
              <w:t>不一致时以</w:t>
            </w:r>
            <w:r>
              <w:rPr>
                <w:rFonts w:hint="eastAsia" w:hAnsi="宋体"/>
                <w:color w:val="000000" w:themeColor="text1"/>
                <w:sz w:val="21"/>
                <w:highlight w:val="none"/>
                <w14:textFill>
                  <w14:solidFill>
                    <w14:schemeClr w14:val="tx1"/>
                  </w14:solidFill>
                </w14:textFill>
              </w:rPr>
              <w:t>更正公告（澄清公告）</w:t>
            </w:r>
            <w:r>
              <w:rPr>
                <w:rFonts w:hAnsi="宋体"/>
                <w:color w:val="000000" w:themeColor="text1"/>
                <w:sz w:val="21"/>
                <w:highlight w:val="none"/>
                <w14:textFill>
                  <w14:solidFill>
                    <w14:schemeClr w14:val="tx1"/>
                  </w14:solidFill>
                </w14:textFill>
              </w:rPr>
              <w:t>为准。按本款前述规定仍不能形成结论的，由</w:t>
            </w:r>
            <w:r>
              <w:rPr>
                <w:rFonts w:hint="eastAsia" w:hAnsi="宋体"/>
                <w:color w:val="000000" w:themeColor="text1"/>
                <w:sz w:val="21"/>
                <w:highlight w:val="none"/>
                <w14:textFill>
                  <w14:solidFill>
                    <w14:schemeClr w14:val="tx1"/>
                  </w14:solidFill>
                </w14:textFill>
              </w:rPr>
              <w:t>采购</w:t>
            </w:r>
            <w:r>
              <w:rPr>
                <w:rFonts w:hAnsi="宋体"/>
                <w:color w:val="000000" w:themeColor="text1"/>
                <w:sz w:val="21"/>
                <w:highlight w:val="none"/>
                <w14:textFill>
                  <w14:solidFill>
                    <w14:schemeClr w14:val="tx1"/>
                  </w14:solidFill>
                </w14:textFill>
              </w:rPr>
              <w:t>人</w:t>
            </w:r>
            <w:r>
              <w:rPr>
                <w:rFonts w:hint="eastAsia" w:hAnsi="宋体"/>
                <w:color w:val="000000" w:themeColor="text1"/>
                <w:sz w:val="21"/>
                <w:highlight w:val="none"/>
                <w14:textFill>
                  <w14:solidFill>
                    <w14:schemeClr w14:val="tx1"/>
                  </w14:solidFill>
                </w14:textFill>
              </w:rPr>
              <w:t>或者采购代理机构</w:t>
            </w:r>
            <w:r>
              <w:rPr>
                <w:rFonts w:hAnsi="宋体"/>
                <w:color w:val="000000" w:themeColor="text1"/>
                <w:sz w:val="21"/>
                <w:highlight w:val="none"/>
                <w14:textFill>
                  <w14:solidFill>
                    <w14:schemeClr w14:val="tx1"/>
                  </w14:solidFill>
                </w14:textFill>
              </w:rPr>
              <w:t>负责解释。</w:t>
            </w:r>
          </w:p>
        </w:tc>
      </w:tr>
      <w:tr w14:paraId="62756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FF0BCD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33.2</w:t>
            </w:r>
          </w:p>
        </w:tc>
        <w:tc>
          <w:tcPr>
            <w:tcW w:w="7912" w:type="dxa"/>
            <w:noWrap w:val="0"/>
            <w:vAlign w:val="center"/>
          </w:tcPr>
          <w:p w14:paraId="5188BE6C">
            <w:pPr>
              <w:pStyle w:val="24"/>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w:t>
            </w:r>
            <w:r>
              <w:rPr>
                <w:rFonts w:hint="eastAsia" w:hAnsi="宋体"/>
                <w:color w:val="000000" w:themeColor="text1"/>
                <w:sz w:val="21"/>
                <w:highlight w:val="none"/>
                <w:lang w:eastAsia="zh-CN"/>
                <w14:textFill>
                  <w14:solidFill>
                    <w14:schemeClr w14:val="tx1"/>
                  </w14:solidFill>
                </w14:textFill>
              </w:rPr>
              <w:t>账</w:t>
            </w:r>
            <w:r>
              <w:rPr>
                <w:rFonts w:hint="eastAsia" w:hAnsi="宋体"/>
                <w:color w:val="000000" w:themeColor="text1"/>
                <w:sz w:val="21"/>
                <w:highlight w:val="none"/>
                <w14:textFill>
                  <w14:solidFill>
                    <w14:schemeClr w14:val="tx1"/>
                  </w14:solidFill>
                </w14:textFill>
              </w:rPr>
              <w:t>户，也可以使用银行保函。工程竣工验收结算经审定后，按照规定程序，将农民工工资保证金没有使用或剩余的金额退还给承包人。</w:t>
            </w:r>
          </w:p>
        </w:tc>
      </w:tr>
      <w:tr w14:paraId="22552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F08186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3</w:t>
            </w:r>
          </w:p>
        </w:tc>
        <w:tc>
          <w:tcPr>
            <w:tcW w:w="7912" w:type="dxa"/>
            <w:noWrap w:val="0"/>
            <w:vAlign w:val="center"/>
          </w:tcPr>
          <w:p w14:paraId="749CF56A">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47FE728">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2.本磋商文件所称的“</w:t>
            </w:r>
            <w:r>
              <w:rPr>
                <w:rFonts w:hint="eastAsia" w:hAnsi="宋体"/>
                <w:color w:val="000000" w:themeColor="text1"/>
                <w:sz w:val="21"/>
                <w:highlight w:val="none"/>
                <w14:textFill>
                  <w14:solidFill>
                    <w14:schemeClr w14:val="tx1"/>
                  </w14:solidFill>
                </w14:textFill>
              </w:rPr>
              <w:t>电子签章</w:t>
            </w:r>
            <w:r>
              <w:rPr>
                <w:rFonts w:hint="eastAsia" w:hAnsi="宋体" w:cs="宋体"/>
                <w:bCs/>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79D3C8E9">
            <w:pPr>
              <w:pStyle w:val="24"/>
              <w:spacing w:line="360" w:lineRule="auto"/>
              <w:rPr>
                <w:rFonts w:hint="eastAsia" w:hAnsi="宋体" w:cs="宋体"/>
                <w:bCs/>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3</w:t>
            </w:r>
            <w:r>
              <w:rPr>
                <w:rFonts w:hint="eastAsia" w:hAnsi="宋体" w:cs="宋体"/>
                <w:color w:val="000000" w:themeColor="text1"/>
                <w:sz w:val="21"/>
                <w:highlight w:val="none"/>
                <w14:textFill>
                  <w14:solidFill>
                    <w14:schemeClr w14:val="tx1"/>
                  </w14:solidFill>
                </w14:textFill>
              </w:rPr>
              <w:t>.供应商为其他组织时，本磋商文件规定的法定代表人指负责人。本磋商文件所称负责人是指参加竞标的其他组织</w:t>
            </w:r>
            <w:r>
              <w:rPr>
                <w:rFonts w:hint="eastAsia" w:hAnsi="宋体" w:cs="宋体"/>
                <w:bCs/>
                <w:color w:val="000000" w:themeColor="text1"/>
                <w:sz w:val="21"/>
                <w:highlight w:val="none"/>
                <w14:textFill>
                  <w14:solidFill>
                    <w14:schemeClr w14:val="tx1"/>
                  </w14:solidFill>
                </w14:textFill>
              </w:rPr>
              <w:t>营业执照或者执业许可证等证照上的</w:t>
            </w:r>
            <w:r>
              <w:rPr>
                <w:rFonts w:hint="eastAsia" w:hAnsi="宋体" w:cs="宋体"/>
                <w:color w:val="000000" w:themeColor="text1"/>
                <w:sz w:val="21"/>
                <w:highlight w:val="none"/>
                <w14:textFill>
                  <w14:solidFill>
                    <w14:schemeClr w14:val="tx1"/>
                  </w14:solidFill>
                </w14:textFill>
              </w:rPr>
              <w:t>负责人</w:t>
            </w:r>
            <w:r>
              <w:rPr>
                <w:rFonts w:hint="eastAsia" w:hAnsi="宋体" w:cs="宋体"/>
                <w:bCs/>
                <w:color w:val="000000" w:themeColor="text1"/>
                <w:sz w:val="21"/>
                <w:highlight w:val="none"/>
                <w14:textFill>
                  <w14:solidFill>
                    <w14:schemeClr w14:val="tx1"/>
                  </w14:solidFill>
                </w14:textFill>
              </w:rPr>
              <w:t>。</w:t>
            </w:r>
          </w:p>
          <w:p w14:paraId="4CCF9B9D">
            <w:pPr>
              <w:pStyle w:val="24"/>
              <w:spacing w:line="360" w:lineRule="auto"/>
              <w:rPr>
                <w:rFonts w:hint="eastAsia"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4.</w:t>
            </w:r>
            <w:r>
              <w:rPr>
                <w:rFonts w:hint="eastAsia" w:hAnsi="宋体" w:cs="宋体"/>
                <w:color w:val="000000" w:themeColor="text1"/>
                <w:sz w:val="21"/>
                <w:highlight w:val="none"/>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5391B15F">
            <w:pPr>
              <w:pStyle w:val="24"/>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w:t>
            </w:r>
            <w:r>
              <w:rPr>
                <w:rFonts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本磋商文件所称的“以上”“以下”“以内”“届满”，包括本数；所称的“不满”“超过”“以外”，不包括本数。</w:t>
            </w:r>
          </w:p>
        </w:tc>
      </w:tr>
    </w:tbl>
    <w:p w14:paraId="37B04990">
      <w:pPr>
        <w:spacing w:line="400" w:lineRule="exact"/>
        <w:jc w:val="center"/>
        <w:rPr>
          <w:rFonts w:hint="eastAsia"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32"/>
          <w:szCs w:val="32"/>
          <w:highlight w:val="none"/>
          <w14:textFill>
            <w14:solidFill>
              <w14:schemeClr w14:val="tx1"/>
            </w14:solidFill>
          </w14:textFill>
        </w:rPr>
        <w:t>供应商须知正文</w:t>
      </w:r>
    </w:p>
    <w:p w14:paraId="0102EF09">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6898D7F3">
      <w:pPr>
        <w:spacing w:line="40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一、总则</w:t>
      </w:r>
    </w:p>
    <w:p w14:paraId="4AA18182">
      <w:pPr>
        <w:spacing w:line="400" w:lineRule="exact"/>
        <w:rPr>
          <w:rFonts w:hint="eastAsia" w:ascii="宋体" w:hAnsi="宋体"/>
          <w:color w:val="000000" w:themeColor="text1"/>
          <w:szCs w:val="21"/>
          <w:highlight w:val="none"/>
          <w14:textFill>
            <w14:solidFill>
              <w14:schemeClr w14:val="tx1"/>
            </w14:solidFill>
          </w14:textFill>
        </w:rPr>
      </w:pPr>
    </w:p>
    <w:p w14:paraId="30F243AD">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1.适用范围</w:t>
      </w:r>
    </w:p>
    <w:p w14:paraId="591B097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highlight w:val="none"/>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highlight w:val="none"/>
          <w14:textFill>
            <w14:solidFill>
              <w14:schemeClr w14:val="tx1"/>
            </w14:solidFill>
          </w14:textFill>
        </w:rPr>
        <w:t>及本项目本级和上级财政部门政府采购有关规定的约束和保护。</w:t>
      </w:r>
    </w:p>
    <w:p w14:paraId="7D469D8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1.2本竞争性磋商文件（以下简称磋商文件）适用于本项目的所有采购程序和环节（法律、法规另有规定的，从其规定）</w:t>
      </w:r>
      <w:r>
        <w:rPr>
          <w:rFonts w:hint="eastAsia" w:ascii="宋体" w:hAnsi="宋体" w:cs="宋体"/>
          <w:color w:val="000000" w:themeColor="text1"/>
          <w:spacing w:val="-6"/>
          <w:szCs w:val="21"/>
          <w:highlight w:val="none"/>
          <w14:textFill>
            <w14:solidFill>
              <w14:schemeClr w14:val="tx1"/>
            </w14:solidFill>
          </w14:textFill>
        </w:rPr>
        <w:t>。</w:t>
      </w:r>
    </w:p>
    <w:p w14:paraId="19161D96">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2.定义</w:t>
      </w:r>
    </w:p>
    <w:p w14:paraId="0079B95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58C915A0">
      <w:pPr>
        <w:spacing w:line="360" w:lineRule="auto"/>
        <w:ind w:firstLine="42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354F8A1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4771A06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2.4“工程”是指建设工程，包括建筑物和构筑物的新建、改建、扩建、装修、拆除、修缮等。</w:t>
      </w:r>
    </w:p>
    <w:p w14:paraId="6D232F2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“竞标”是指供应商按照本项目竞争性磋商公告或者邀请函规定的方式获取磋商文件、提交响应文件并希望获得标的的行为。</w:t>
      </w:r>
    </w:p>
    <w:p w14:paraId="79D61EDF">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266B5A82">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2.7“响应文件”是指：供应商根据本磋商文件要求，编制包含资格证明、报价、商务技术等所有内容的文件</w:t>
      </w:r>
      <w:r>
        <w:rPr>
          <w:rFonts w:hint="eastAsia" w:ascii="宋体" w:hAnsi="宋体" w:cs="宋体"/>
          <w:color w:val="000000" w:themeColor="text1"/>
          <w:spacing w:val="-6"/>
          <w:szCs w:val="21"/>
          <w:highlight w:val="none"/>
          <w14:textFill>
            <w14:solidFill>
              <w14:schemeClr w14:val="tx1"/>
            </w14:solidFill>
          </w14:textFill>
        </w:rPr>
        <w:t>。</w:t>
      </w:r>
    </w:p>
    <w:p w14:paraId="7F7BECB0">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2.8“实质性要求”是指磋商文件中已经指明不满足则响应文件按无效处理的条款，或者不能负偏离的条款，或者采购需求中带“▲”的条款。</w:t>
      </w:r>
    </w:p>
    <w:p w14:paraId="5034165F">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14:paraId="794B0CDB">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10“负偏离”，是指响应文件对磋商文件“采购需求”中有关条款作出的响应不满足条款要求，导致采购人要求不能得到满足的情形。</w:t>
      </w:r>
    </w:p>
    <w:p w14:paraId="4F391F4D">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p>
    <w:p w14:paraId="5D729C9F">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2“首次报价”是指供应商提交的首次响应文件中的报价。</w:t>
      </w:r>
    </w:p>
    <w:p w14:paraId="10EF5CD3">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3.供应商的资格条件</w:t>
      </w:r>
    </w:p>
    <w:p w14:paraId="49C8D50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38A26216">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4.竞标费用</w:t>
      </w:r>
    </w:p>
    <w:p w14:paraId="4899C45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4E0D984A">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5.联合体竞标</w:t>
      </w:r>
    </w:p>
    <w:p w14:paraId="7A983D8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3D7E2EE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14:paraId="2CDB18B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bookmarkStart w:id="48" w:name="_Hlk66782192"/>
      <w:r>
        <w:rPr>
          <w:rFonts w:hint="eastAsia" w:ascii="宋体" w:hAnsi="宋体"/>
          <w:color w:val="000000" w:themeColor="text1"/>
          <w:szCs w:val="21"/>
          <w:highlight w:val="none"/>
          <w14:textFill>
            <w14:solidFill>
              <w14:schemeClr w14:val="tx1"/>
            </w14:solidFill>
          </w14:textFill>
        </w:rPr>
        <w:t>根据《政府采购促进中小企业发展管理办法》（财库〔2020〕46号）第九条第二款及《广西壮族自治区财政厅关于贯彻落实政府采购支持中小企业发展政策的通知》（桂财采〔2022〕31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48"/>
    </w:p>
    <w:p w14:paraId="6C50A795">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 xml:space="preserve">6.转包与分包             </w:t>
      </w:r>
    </w:p>
    <w:p w14:paraId="6D39DD50">
      <w:pPr>
        <w:spacing w:line="360" w:lineRule="auto"/>
        <w:ind w:firstLine="420"/>
        <w:rPr>
          <w:rFonts w:hint="eastAsia" w:ascii="宋体" w:hAnsi="宋体"/>
          <w:color w:val="000000" w:themeColor="text1"/>
          <w:szCs w:val="21"/>
          <w:highlight w:val="none"/>
          <w14:textFill>
            <w14:solidFill>
              <w14:schemeClr w14:val="tx1"/>
            </w14:solidFill>
          </w14:textFill>
        </w:rPr>
      </w:pPr>
      <w:bookmarkStart w:id="49" w:name="_Toc254970673"/>
      <w:bookmarkStart w:id="50" w:name="_Toc254970532"/>
      <w:r>
        <w:rPr>
          <w:rFonts w:hint="eastAsia" w:ascii="宋体" w:hAnsi="宋体"/>
          <w:color w:val="000000" w:themeColor="text1"/>
          <w:szCs w:val="21"/>
          <w:highlight w:val="none"/>
          <w14:textFill>
            <w14:solidFill>
              <w14:schemeClr w14:val="tx1"/>
            </w14:solidFill>
          </w14:textFill>
        </w:rPr>
        <w:t>6.1本项目不允许转包。</w:t>
      </w:r>
    </w:p>
    <w:p w14:paraId="5FEC2C57">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026DDD33">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4BCBADF7">
      <w:pPr>
        <w:spacing w:line="360" w:lineRule="auto"/>
        <w:ind w:firstLine="42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7.特别说明</w:t>
      </w:r>
      <w:bookmarkEnd w:id="49"/>
      <w:bookmarkEnd w:id="50"/>
    </w:p>
    <w:p w14:paraId="5FDDBEAA">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51" w:name="_8.1提供相同品牌产品且通过资格审查、符合性审查的不同投标人参加同一合"/>
      <w:bookmarkEnd w:id="51"/>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1</w:t>
      </w:r>
      <w:bookmarkStart w:id="52" w:name="_Hlk65832145"/>
      <w:r>
        <w:rPr>
          <w:rFonts w:hint="eastAsia" w:ascii="宋体" w:hAnsi="宋体"/>
          <w:color w:val="000000" w:themeColor="text1"/>
          <w:szCs w:val="21"/>
          <w:highlight w:val="none"/>
          <w14:textFill>
            <w14:solidFill>
              <w14:schemeClr w14:val="tx1"/>
            </w14:solidFill>
          </w14:textFill>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themeColor="text1"/>
          <w:szCs w:val="21"/>
          <w:highlight w:val="none"/>
          <w14:textFill>
            <w14:solidFill>
              <w14:schemeClr w14:val="tx1"/>
            </w14:solidFill>
          </w14:textFill>
        </w:rPr>
        <w:t>。</w:t>
      </w:r>
      <w:bookmarkEnd w:id="52"/>
    </w:p>
    <w:p w14:paraId="58E859B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供应商应仔细阅读磋商文件的所有内容，按照磋商文件的要求提交响应文件，并对所提供的全部资料的真实性承担法律责任。</w:t>
      </w:r>
    </w:p>
    <w:p w14:paraId="64C7D3F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611CAEC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在政府采购活动中，采购人员及相关人员与供应商有下列利害关系之一的，应当回避：</w:t>
      </w:r>
    </w:p>
    <w:p w14:paraId="246A23F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16F3B25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1E0DC97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11F6988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3C4517C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41AF013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1CF8555">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w:t>
      </w: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有下列情形之一的视为供应商相互串通竞标，响应文件将被视为无效：</w:t>
      </w:r>
    </w:p>
    <w:p w14:paraId="413AF79A">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（1）不同供应商的响应文件由同一单位或者个人编制；或不同供应商报名的IP地址一致的；  </w:t>
      </w:r>
    </w:p>
    <w:p w14:paraId="0E39B42D">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（2）不同供应商委托同一单位或者个人办理竞标事宜；</w:t>
      </w:r>
    </w:p>
    <w:p w14:paraId="56C1E508">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（3）不同的供应商的响应文件载明的项目管理员为同一个人；</w:t>
      </w:r>
    </w:p>
    <w:p w14:paraId="677C5712">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（4）不同供应商的响应文件异常一致或者报价呈规律性差异；</w:t>
      </w:r>
    </w:p>
    <w:p w14:paraId="28252E59">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（5）不同供应商的响应文件相互混装；</w:t>
      </w:r>
    </w:p>
    <w:p w14:paraId="356FD9E2">
      <w:pPr>
        <w:tabs>
          <w:tab w:val="left" w:pos="6931"/>
        </w:tabs>
        <w:spacing w:line="360" w:lineRule="auto"/>
        <w:ind w:firstLine="42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（6）不同供应商的磋商保证金从同一单位或者个人账户转出。</w:t>
      </w:r>
      <w:r>
        <w:rPr>
          <w:rFonts w:ascii="宋体" w:hAnsi="宋体" w:cs="宋体"/>
          <w:b/>
          <w:bCs/>
          <w:color w:val="000000" w:themeColor="text1"/>
          <w:szCs w:val="21"/>
          <w:highlight w:val="none"/>
          <w14:textFill>
            <w14:solidFill>
              <w14:schemeClr w14:val="tx1"/>
            </w14:solidFill>
          </w14:textFill>
        </w:rPr>
        <w:tab/>
      </w:r>
    </w:p>
    <w:p w14:paraId="1F068CD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供应商有下列情形之一的，属于恶意串通行为，将报同级监督管理部门：</w:t>
      </w:r>
    </w:p>
    <w:p w14:paraId="5956EB5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768FB93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02C0F41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3F617F2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1A58091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3E615C8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382737C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5392ADFF">
      <w:pPr>
        <w:spacing w:line="360" w:lineRule="auto"/>
        <w:ind w:firstLine="420"/>
        <w:rPr>
          <w:rFonts w:hint="eastAsia" w:ascii="宋体" w:hAnsi="宋体" w:cs="宋体"/>
          <w:color w:val="000000" w:themeColor="text1"/>
          <w:szCs w:val="21"/>
          <w:highlight w:val="none"/>
          <w14:textFill>
            <w14:solidFill>
              <w14:schemeClr w14:val="tx1"/>
            </w14:solidFill>
          </w14:textFill>
        </w:rPr>
      </w:pPr>
    </w:p>
    <w:p w14:paraId="3D29E308">
      <w:pPr>
        <w:spacing w:line="360" w:lineRule="auto"/>
        <w:ind w:left="1" w:firstLine="417"/>
        <w:jc w:val="center"/>
        <w:rPr>
          <w:rFonts w:hint="eastAsia" w:ascii="宋体" w:hAnsi="宋体"/>
          <w:color w:val="000000" w:themeColor="text1"/>
          <w:highlight w:val="none"/>
          <w14:textFill>
            <w14:solidFill>
              <w14:schemeClr w14:val="tx1"/>
            </w14:solidFill>
          </w14:textFill>
        </w:rPr>
      </w:pPr>
      <w:bookmarkStart w:id="53" w:name="_Toc254970675"/>
      <w:bookmarkStart w:id="54" w:name="_Toc254970534"/>
    </w:p>
    <w:p w14:paraId="0AF78A1E">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二、磋商文件</w:t>
      </w:r>
      <w:bookmarkEnd w:id="53"/>
      <w:bookmarkEnd w:id="54"/>
    </w:p>
    <w:p w14:paraId="557A5D11">
      <w:pPr>
        <w:spacing w:line="360" w:lineRule="auto"/>
        <w:rPr>
          <w:rFonts w:hint="eastAsia" w:ascii="宋体" w:hAnsi="宋体"/>
          <w:color w:val="000000" w:themeColor="text1"/>
          <w:szCs w:val="21"/>
          <w:highlight w:val="none"/>
          <w14:textFill>
            <w14:solidFill>
              <w14:schemeClr w14:val="tx1"/>
            </w14:solidFill>
          </w14:textFill>
        </w:rPr>
      </w:pPr>
    </w:p>
    <w:p w14:paraId="5251298B">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8.磋商文件的构成</w:t>
      </w:r>
    </w:p>
    <w:p w14:paraId="0EB3A792">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竞争性磋商公告；</w:t>
      </w:r>
    </w:p>
    <w:p w14:paraId="1D303900">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供应商须知； </w:t>
      </w:r>
    </w:p>
    <w:p w14:paraId="5E0767E0">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采购需求；</w:t>
      </w:r>
    </w:p>
    <w:p w14:paraId="5D28E306">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评审程序、评审方法和评审标准；</w:t>
      </w:r>
    </w:p>
    <w:p w14:paraId="049A578B">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工程量清单及图纸；</w:t>
      </w:r>
    </w:p>
    <w:p w14:paraId="301D145D">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响应文件格式；</w:t>
      </w:r>
    </w:p>
    <w:p w14:paraId="66A2F558">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合同文本。</w:t>
      </w:r>
    </w:p>
    <w:p w14:paraId="14AB2EB4">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9.供应商的询问</w:t>
      </w:r>
    </w:p>
    <w:p w14:paraId="062B5AEE">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w:t>
      </w:r>
      <w:r>
        <w:rPr>
          <w:rFonts w:ascii="宋体" w:hAnsi="宋体"/>
          <w:color w:val="000000" w:themeColor="text1"/>
          <w:szCs w:val="21"/>
          <w:highlight w:val="none"/>
          <w14:textFill>
            <w14:solidFill>
              <w14:schemeClr w14:val="tx1"/>
            </w14:solidFill>
          </w14:textFill>
        </w:rPr>
        <w:t>提交首次响应文件截止之日前</w:t>
      </w:r>
      <w:r>
        <w:rPr>
          <w:rFonts w:hint="eastAsia" w:ascii="宋体" w:hAnsi="宋体"/>
          <w:color w:val="000000" w:themeColor="text1"/>
          <w:szCs w:val="21"/>
          <w:highlight w:val="none"/>
          <w14:textFill>
            <w14:solidFill>
              <w14:schemeClr w14:val="tx1"/>
            </w14:solidFill>
          </w14:textFill>
        </w:rPr>
        <w:t>，以书面形式向</w:t>
      </w:r>
      <w:r>
        <w:rPr>
          <w:rFonts w:ascii="宋体" w:hAnsi="宋体"/>
          <w:color w:val="000000" w:themeColor="text1"/>
          <w:szCs w:val="21"/>
          <w:highlight w:val="none"/>
          <w14:textFill>
            <w14:solidFill>
              <w14:schemeClr w14:val="tx1"/>
            </w14:solidFill>
          </w14:textFill>
        </w:rPr>
        <w:t>采购人、采购代理机构</w:t>
      </w:r>
      <w:r>
        <w:rPr>
          <w:rFonts w:hint="eastAsia" w:ascii="宋体" w:hAnsi="宋体"/>
          <w:color w:val="000000" w:themeColor="text1"/>
          <w:szCs w:val="21"/>
          <w:highlight w:val="none"/>
          <w14:textFill>
            <w14:solidFill>
              <w14:schemeClr w14:val="tx1"/>
            </w14:solidFill>
          </w14:textFill>
        </w:rPr>
        <w:t>提出。</w:t>
      </w:r>
    </w:p>
    <w:p w14:paraId="484BFE07">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10.磋商文件的澄清和修改</w:t>
      </w:r>
    </w:p>
    <w:p w14:paraId="265D3AC5">
      <w:pPr>
        <w:spacing w:line="360" w:lineRule="auto"/>
        <w:ind w:firstLine="42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000000" w:themeColor="text1"/>
          <w:szCs w:val="21"/>
          <w:highlight w:val="none"/>
          <w14:textFill>
            <w14:solidFill>
              <w14:schemeClr w14:val="tx1"/>
            </w14:solidFill>
          </w14:textFill>
        </w:rPr>
        <w:t>采购人或者采购代理机构应当</w:t>
      </w:r>
      <w:r>
        <w:rPr>
          <w:rFonts w:ascii="宋体" w:hAnsi="宋体"/>
          <w:color w:val="000000" w:themeColor="text1"/>
          <w:szCs w:val="21"/>
          <w:highlight w:val="none"/>
          <w14:textFill>
            <w14:solidFill>
              <w14:schemeClr w14:val="tx1"/>
            </w14:solidFill>
          </w14:textFill>
        </w:rPr>
        <w:t>在提交首次响应文件截止之日3个工作日前，以书面形式通知所有</w:t>
      </w:r>
      <w:r>
        <w:rPr>
          <w:rFonts w:hint="eastAsia" w:ascii="宋体" w:hAnsi="宋体"/>
          <w:color w:val="000000" w:themeColor="text1"/>
          <w:szCs w:val="21"/>
          <w:highlight w:val="none"/>
          <w14:textFill>
            <w14:solidFill>
              <w14:schemeClr w14:val="tx1"/>
            </w14:solidFill>
          </w14:textFill>
        </w:rPr>
        <w:t>获取</w:t>
      </w:r>
      <w:r>
        <w:rPr>
          <w:rFonts w:ascii="宋体" w:hAnsi="宋体"/>
          <w:color w:val="000000" w:themeColor="text1"/>
          <w:szCs w:val="21"/>
          <w:highlight w:val="none"/>
          <w14:textFill>
            <w14:solidFill>
              <w14:schemeClr w14:val="tx1"/>
            </w14:solidFill>
          </w14:textFill>
        </w:rPr>
        <w:t>磋商文件的供应商，不足3个工作日的，应当顺延提交首次响应文件截止之日。</w:t>
      </w:r>
    </w:p>
    <w:p w14:paraId="61A46471">
      <w:pPr>
        <w:spacing w:line="360" w:lineRule="auto"/>
        <w:rPr>
          <w:rFonts w:hint="eastAsia" w:ascii="宋体" w:hAnsi="宋体"/>
          <w:color w:val="000000" w:themeColor="text1"/>
          <w:szCs w:val="21"/>
          <w:highlight w:val="none"/>
          <w14:textFill>
            <w14:solidFill>
              <w14:schemeClr w14:val="tx1"/>
            </w14:solidFill>
          </w14:textFill>
        </w:rPr>
      </w:pPr>
    </w:p>
    <w:p w14:paraId="7AAE2AD3">
      <w:pPr>
        <w:spacing w:line="360"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三、响应文件的编制</w:t>
      </w:r>
    </w:p>
    <w:p w14:paraId="06ADD073">
      <w:pPr>
        <w:spacing w:line="360" w:lineRule="auto"/>
        <w:rPr>
          <w:rFonts w:hint="eastAsia" w:ascii="宋体" w:hAnsi="宋体"/>
          <w:color w:val="000000" w:themeColor="text1"/>
          <w:szCs w:val="21"/>
          <w:highlight w:val="none"/>
          <w14:textFill>
            <w14:solidFill>
              <w14:schemeClr w14:val="tx1"/>
            </w14:solidFill>
          </w14:textFill>
        </w:rPr>
      </w:pPr>
    </w:p>
    <w:p w14:paraId="55227F8D">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11.响应文件的编制原则</w:t>
      </w:r>
    </w:p>
    <w:p w14:paraId="278431C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15761B79">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12.响应文件的组成</w:t>
      </w:r>
    </w:p>
    <w:p w14:paraId="6F08C0A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12.1响应文件由资格证明文件、报价文件、商务技术文件三部分组成。</w:t>
      </w:r>
    </w:p>
    <w:p w14:paraId="3DD4B73E">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12.1.1资格证明文件：详见“供应商须知前附表”</w:t>
      </w:r>
    </w:p>
    <w:p w14:paraId="24868BE2">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12.1.2报价文件：详见“供应商须知前附表”</w:t>
      </w:r>
    </w:p>
    <w:p w14:paraId="58B12615">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14:paraId="1F0ECA53">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13.计量单位</w:t>
      </w:r>
    </w:p>
    <w:p w14:paraId="15748BB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332018B0">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14.竞标的风险</w:t>
      </w:r>
    </w:p>
    <w:p w14:paraId="715FD66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04B2002C">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15.竞标报价</w:t>
      </w:r>
    </w:p>
    <w:p w14:paraId="3BBD531A">
      <w:pPr>
        <w:tabs>
          <w:tab w:val="left" w:pos="2492"/>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15.1竞标报价应按磋商文件中“竞标报价表”格式填写。</w:t>
      </w:r>
    </w:p>
    <w:p w14:paraId="6929F258">
      <w:pPr>
        <w:tabs>
          <w:tab w:val="left" w:pos="2492"/>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15.2竞标报价的内容见“供应商须知前附表”。</w:t>
      </w:r>
    </w:p>
    <w:p w14:paraId="09431B60">
      <w:pPr>
        <w:tabs>
          <w:tab w:val="left" w:pos="2492"/>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15.3本项目的增值税计税方法见“供应商须知前附表”。</w:t>
      </w:r>
    </w:p>
    <w:p w14:paraId="6E7DD996">
      <w:pPr>
        <w:spacing w:line="360" w:lineRule="auto"/>
        <w:ind w:left="426"/>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15.4竞标报价要求</w:t>
      </w:r>
    </w:p>
    <w:p w14:paraId="6D1133AB">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w:t>
      </w: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4</w:t>
      </w: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供应商的竞标报价应符合以下要求，否则响应文件按无效处理：</w:t>
      </w:r>
    </w:p>
    <w:p w14:paraId="1534B679">
      <w:pPr>
        <w:spacing w:line="360" w:lineRule="auto"/>
        <w:ind w:left="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（1）供应商必须就“采购需求”中所竞标的每个分标的全部内容分别作完整唯一总价报价，不得存在漏项报价；</w:t>
      </w:r>
    </w:p>
    <w:p w14:paraId="2248F801">
      <w:pPr>
        <w:numPr>
          <w:ilvl w:val="0"/>
          <w:numId w:val="1"/>
        </w:num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供应商必须就所竞标的分标的单项内容作唯一报价。</w:t>
      </w:r>
    </w:p>
    <w:p w14:paraId="645F131B">
      <w:pPr>
        <w:numPr>
          <w:ilvl w:val="0"/>
          <w:numId w:val="1"/>
        </w:num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供应商竞标报价（含总报价和单项报价）如明显低于其他通过符合性审查供应商的报价，有可能不能诚信履约的，磋商</w:t>
      </w:r>
      <w:r>
        <w:rPr>
          <w:rFonts w:ascii="宋体" w:hAnsi="宋体" w:cs="宋体"/>
          <w:b/>
          <w:bCs/>
          <w:color w:val="000000" w:themeColor="text1"/>
          <w:szCs w:val="21"/>
          <w:highlight w:val="none"/>
          <w14:textFill>
            <w14:solidFill>
              <w14:schemeClr w14:val="tx1"/>
            </w14:solidFill>
          </w14:textFill>
        </w:rPr>
        <w:t>小组可</w:t>
      </w:r>
      <w:r>
        <w:rPr>
          <w:rFonts w:ascii="ˎ̥" w:hAnsi="ˎ̥"/>
          <w:b/>
          <w:bCs/>
          <w:color w:val="000000" w:themeColor="text1"/>
          <w:sz w:val="22"/>
          <w:szCs w:val="22"/>
          <w:highlight w:val="none"/>
          <w14:textFill>
            <w14:solidFill>
              <w14:schemeClr w14:val="tx1"/>
            </w14:solidFill>
          </w14:textFill>
        </w:rPr>
        <w:t>要求其在评标现场合理的时间内提供书面说明</w:t>
      </w:r>
      <w:r>
        <w:rPr>
          <w:rFonts w:hint="eastAsia" w:ascii="宋体" w:hAnsi="宋体" w:cs="宋体"/>
          <w:b/>
          <w:bCs/>
          <w:color w:val="000000" w:themeColor="text1"/>
          <w:szCs w:val="21"/>
          <w:highlight w:val="none"/>
          <w14:textFill>
            <w14:solidFill>
              <w14:schemeClr w14:val="tx1"/>
            </w14:solidFill>
          </w14:textFill>
        </w:rPr>
        <w:t>。如无法提供说明，或者说明不足以证明合理性的，经磋商小组评定，响应文件按无效处理。</w:t>
      </w:r>
    </w:p>
    <w:p w14:paraId="2E6CDD5C">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15.4.</w:t>
      </w:r>
      <w:r>
        <w:rPr>
          <w:rFonts w:ascii="宋体" w:hAnsi="宋体" w:cs="宋体"/>
          <w:b/>
          <w:bCs/>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竞标报价（包含首次报价、最后报价）超过所竞标分标规定的采购预算金额或者最高限价的，其响应文件将按无效处理。</w:t>
      </w:r>
    </w:p>
    <w:p w14:paraId="2174D124">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15.4.</w:t>
      </w:r>
      <w:r>
        <w:rPr>
          <w:rFonts w:ascii="宋体" w:hAnsi="宋体" w:cs="宋体"/>
          <w:b/>
          <w:bCs/>
          <w:color w:val="000000" w:themeColor="text1"/>
          <w:szCs w:val="21"/>
          <w:highlight w:val="none"/>
          <w14:textFill>
            <w14:solidFill>
              <w14:schemeClr w14:val="tx1"/>
            </w14:solidFill>
          </w14:textFill>
        </w:rPr>
        <w:t>3</w:t>
      </w:r>
      <w:bookmarkStart w:id="55" w:name="_Hlk42592874"/>
      <w:r>
        <w:rPr>
          <w:rFonts w:hint="eastAsia" w:ascii="宋体" w:hAnsi="宋体" w:cs="宋体"/>
          <w:b/>
          <w:bCs/>
          <w:color w:val="000000" w:themeColor="text1"/>
          <w:szCs w:val="21"/>
          <w:highlight w:val="none"/>
          <w14:textFill>
            <w14:solidFill>
              <w14:schemeClr w14:val="tx1"/>
            </w14:solidFill>
          </w14:textFill>
        </w:rPr>
        <w:t>竞标报价（包含首次报价、最后报价）超过分项采购预算金额或者最高限价的（如有要求），其响应文件将按无效处理。</w:t>
      </w:r>
    </w:p>
    <w:p w14:paraId="198806D5">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15.4.4供应商在提交响应文件截止时间前修改竞标函中的竞标总报价，应同时修改响应文件“已标价工程量清单”(如有)中的相应报价。此修改须符合本须知正文第20条、第21条的有关要求。</w:t>
      </w:r>
      <w:bookmarkEnd w:id="55"/>
    </w:p>
    <w:p w14:paraId="127AC810">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16.竞标有效期</w:t>
      </w:r>
    </w:p>
    <w:p w14:paraId="0B59C78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0E479AD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14:paraId="6C0B46E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07ABD2E1">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17.磋商保证金</w:t>
      </w:r>
    </w:p>
    <w:p w14:paraId="65C5B5D0">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17.1供应商须按“供应商须知前附表”的规定提交磋商保证金。</w:t>
      </w:r>
    </w:p>
    <w:p w14:paraId="6CDCCF9E">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17.2磋商保证金的退还</w:t>
      </w:r>
    </w:p>
    <w:p w14:paraId="6E15BF2E">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56" w:name="_Hlk66782243"/>
      <w:r>
        <w:rPr>
          <w:rFonts w:hint="eastAsia" w:ascii="宋体" w:hAnsi="宋体" w:cs="宋体"/>
          <w:color w:val="000000" w:themeColor="text1"/>
          <w:szCs w:val="21"/>
          <w:highlight w:val="none"/>
          <w14:textFill>
            <w14:solidFill>
              <w14:schemeClr w14:val="tx1"/>
            </w14:solidFill>
          </w14:textFill>
        </w:rPr>
        <w:t>未成交供应商的磋商保证金自成交通知书发出之日起5个工作日内退还；成交供应商的磋商保证金自签订合同之日起5个工作日内退还或者转为成交供应商的履约保证金。</w:t>
      </w:r>
      <w:bookmarkEnd w:id="56"/>
    </w:p>
    <w:p w14:paraId="53543F5F">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17.3磋商保证金不计息。</w:t>
      </w:r>
    </w:p>
    <w:p w14:paraId="620FFC7F">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17.4供应商有下列情形之一的，磋商保证金将不予退还： </w:t>
      </w:r>
    </w:p>
    <w:p w14:paraId="1A567DF0">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（1）供应商在提交响应文件截止时间后撤回响应文件的；</w:t>
      </w:r>
    </w:p>
    <w:p w14:paraId="032A25F3">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（2）未按规定提交履约保证金的；</w:t>
      </w:r>
    </w:p>
    <w:p w14:paraId="02FE92E1">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（3）供应商在响应文件中提供虚假材料的；</w:t>
      </w:r>
    </w:p>
    <w:p w14:paraId="7B556CA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（4）除因不可抗力或者磋商文件认可的情形以外，成交供应商不与采购人签订合同的；</w:t>
      </w:r>
    </w:p>
    <w:p w14:paraId="1736F666">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（5）供应商与采购人、其他供应商或者采购代理机构恶意串通的；</w:t>
      </w:r>
    </w:p>
    <w:p w14:paraId="329752E4">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p w14:paraId="7253B244">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18.响应文件编制的要求</w:t>
      </w:r>
    </w:p>
    <w:p w14:paraId="0FEAD8D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先安装“广西政府采购云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3F8C4BA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043EFFF7">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18.3响应文件须由供应商在规定位置签字、盖章（具体以供应商须知前附表或响应文件格式规定为准），否则按无效响应处理。</w:t>
      </w:r>
    </w:p>
    <w:p w14:paraId="7FEE6657">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18.4响应文件中标注的供应商名称应与主体资格证明（如营业执照或者事业单位法人证书或者执业许可证或者登记证书等）及公章一致，否则其响应文件按无效处理。</w:t>
      </w:r>
    </w:p>
    <w:p w14:paraId="77D91FF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FAC83C6">
      <w:pPr>
        <w:spacing w:line="360" w:lineRule="auto"/>
        <w:ind w:firstLine="482"/>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19.电子</w:t>
      </w:r>
      <w:r>
        <w:rPr>
          <w:rFonts w:hint="eastAsia" w:ascii="黑体" w:hAnsi="黑体" w:eastAsia="黑体"/>
          <w:b/>
          <w:color w:val="000000" w:themeColor="text1"/>
          <w:sz w:val="24"/>
          <w:highlight w:val="none"/>
          <w14:textFill>
            <w14:solidFill>
              <w14:schemeClr w14:val="tx1"/>
            </w14:solidFill>
          </w14:textFill>
        </w:rPr>
        <w:t>备份响应文件</w:t>
      </w:r>
    </w:p>
    <w:p w14:paraId="7848278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电子备份响应文件是指通过“广西政府采购云电子投标客户端”在线编制生成且后缀名为“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”的文件，是否接受电子备份响应文件</w:t>
      </w:r>
      <w:r>
        <w:rPr>
          <w:rFonts w:hint="eastAsia" w:hAnsi="宋体"/>
          <w:bCs/>
          <w:color w:val="000000" w:themeColor="text1"/>
          <w:szCs w:val="21"/>
          <w:highlight w:val="none"/>
          <w14:textFill>
            <w14:solidFill>
              <w14:schemeClr w14:val="tx1"/>
            </w14:solidFill>
          </w14:textFill>
        </w:rPr>
        <w:t>详见“供应商须知前附表”。</w:t>
      </w:r>
    </w:p>
    <w:p w14:paraId="0322709F">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20.响应文件的提交</w:t>
      </w:r>
    </w:p>
    <w:p w14:paraId="5B4724F4">
      <w:pPr>
        <w:spacing w:line="360" w:lineRule="auto"/>
        <w:ind w:firstLine="420"/>
        <w:rPr>
          <w:rFonts w:hint="eastAsia" w:hAnsi="宋体"/>
          <w:b/>
          <w:color w:val="000000" w:themeColor="text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olor w:val="000000" w:themeColor="text1"/>
          <w:szCs w:val="21"/>
          <w:highlight w:val="none"/>
          <w14:textFill>
            <w14:solidFill>
              <w14:schemeClr w14:val="tx1"/>
            </w14:solidFill>
          </w14:textFill>
        </w:rPr>
        <w:t>及</w:t>
      </w:r>
      <w:r>
        <w:rPr>
          <w:rFonts w:hint="eastAsia" w:hAnsi="宋体"/>
          <w:bCs/>
          <w:color w:val="000000" w:themeColor="text1"/>
          <w:szCs w:val="21"/>
          <w:highlight w:val="none"/>
          <w14:textFill>
            <w14:solidFill>
              <w14:schemeClr w14:val="tx1"/>
            </w14:solidFill>
          </w14:textFill>
        </w:rPr>
        <w:t>地点提交响应文件。电子响应文件应在制作完成后，</w:t>
      </w:r>
      <w:r>
        <w:rPr>
          <w:rFonts w:hAnsi="宋体"/>
          <w:bCs/>
          <w:color w:val="000000" w:themeColor="text1"/>
          <w:szCs w:val="21"/>
          <w:highlight w:val="none"/>
          <w14:textFill>
            <w14:solidFill>
              <w14:schemeClr w14:val="tx1"/>
            </w14:solidFill>
          </w14:textFill>
        </w:rPr>
        <w:t>在</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时间前</w:t>
      </w:r>
      <w:r>
        <w:rPr>
          <w:rFonts w:hint="eastAsia" w:hAnsi="宋体"/>
          <w:bCs/>
          <w:color w:val="000000" w:themeColor="text1"/>
          <w:szCs w:val="21"/>
          <w:highlight w:val="none"/>
          <w14:textFill>
            <w14:solidFill>
              <w14:schemeClr w14:val="tx1"/>
            </w14:solidFill>
          </w14:textFill>
        </w:rPr>
        <w:t>通过有效数字证书（CA认证锁）进行电子签章、加密，然后通过网络将加密的电子响应文件提交至</w:t>
      </w:r>
      <w:r>
        <w:rPr>
          <w:rFonts w:hint="eastAsia" w:ascii="宋体" w:hAnsi="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w:t>
      </w:r>
    </w:p>
    <w:p w14:paraId="5361906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未在规定时间内提交或者未按照磋商文件要求加密的电子响应文件，广西政府采购云平台将拒收。</w:t>
      </w:r>
    </w:p>
    <w:p w14:paraId="60ED1E73">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21.首次响应文件的补充、修改与撤回</w:t>
      </w:r>
    </w:p>
    <w:p w14:paraId="03B5FE9E">
      <w:pPr>
        <w:spacing w:line="360" w:lineRule="auto"/>
        <w:ind w:firstLine="420"/>
        <w:rPr>
          <w:rFonts w:hint="eastAsia" w:hAnsi="宋体"/>
          <w:bCs/>
          <w:color w:val="000000" w:themeColor="text1"/>
          <w:szCs w:val="21"/>
          <w:highlight w:val="none"/>
          <w14:textFill>
            <w14:solidFill>
              <w14:schemeClr w14:val="tx1"/>
            </w14:solidFill>
          </w14:textFill>
        </w:rPr>
      </w:pPr>
      <w:bookmarkStart w:id="57" w:name="_Toc254970543"/>
      <w:bookmarkStart w:id="58" w:name="_Toc254970684"/>
      <w:r>
        <w:rPr>
          <w:rFonts w:hAnsi="宋体"/>
          <w:bCs/>
          <w:color w:val="000000" w:themeColor="text1"/>
          <w:szCs w:val="21"/>
          <w:highlight w:val="none"/>
          <w14:textFill>
            <w14:solidFill>
              <w14:schemeClr w14:val="tx1"/>
            </w14:solidFill>
          </w14:textFill>
        </w:rPr>
        <w:t>2</w:t>
      </w:r>
      <w:r>
        <w:rPr>
          <w:rFonts w:hint="eastAsia" w:hAnsi="宋体"/>
          <w:bCs/>
          <w:color w:val="000000" w:themeColor="text1"/>
          <w:szCs w:val="21"/>
          <w:highlight w:val="none"/>
          <w14:textFill>
            <w14:solidFill>
              <w14:schemeClr w14:val="tx1"/>
            </w14:solidFill>
          </w14:textFill>
        </w:rPr>
        <w:t>1.1供应商应当在提交响应文件截止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前完成电子响应文件的提交（上传），提交响应文件截止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前可以补充、修改或者撤回响应文件。补充或者修改响应文件的，应当先行撤回原响应文件，补充、修改后重新提交（上传），提交响应文件截止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前未完成提交（上传）的，视为撤回响应文件。提交响应文件截止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以后提交（上传）的响应文件，广西政府采购云平台将予以拒收。（注：补充、修改或者撤回方式可登录广西政府采购云平台，进入“服务中心”中查看“电子投标文件制作与投送教程”）</w:t>
      </w:r>
      <w:bookmarkEnd w:id="57"/>
      <w:bookmarkEnd w:id="58"/>
    </w:p>
    <w:p w14:paraId="77F5A8E5">
      <w:pPr>
        <w:pStyle w:val="300"/>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1</w:t>
      </w:r>
      <w:r>
        <w:rPr>
          <w:rFonts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2在提交响应文件截止时间前，除供应商补充、修改或者撤回响应文件外，任何单位和个人不得解密或提取响应文件。</w:t>
      </w:r>
    </w:p>
    <w:p w14:paraId="265D4D8F">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bookmarkStart w:id="59" w:name="_Hlk45702405"/>
      <w:r>
        <w:rPr>
          <w:rFonts w:hint="eastAsia" w:ascii="黑体" w:hAnsi="黑体" w:eastAsia="黑体" w:cs="宋体"/>
          <w:b/>
          <w:bCs/>
          <w:color w:val="000000" w:themeColor="text1"/>
          <w:sz w:val="24"/>
          <w:highlight w:val="none"/>
          <w14:textFill>
            <w14:solidFill>
              <w14:schemeClr w14:val="tx1"/>
            </w14:solidFill>
          </w14:textFill>
        </w:rPr>
        <w:t>22.响应文件的退回</w:t>
      </w:r>
    </w:p>
    <w:p w14:paraId="64751DD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14:paraId="7C07D351">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23.截止时间后的撤回</w:t>
      </w:r>
    </w:p>
    <w:p w14:paraId="5342CC6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供应商在响应文件提交截止时间后向采购人、采购代理机构书面申请撤回响应文件的，将根据本须知正文第17.4条的规定不予退还其磋商保证金。</w:t>
      </w:r>
      <w:bookmarkEnd w:id="59"/>
    </w:p>
    <w:p w14:paraId="44A95122">
      <w:pPr>
        <w:spacing w:line="360" w:lineRule="auto"/>
        <w:rPr>
          <w:rFonts w:hint="eastAsia" w:ascii="宋体" w:hAnsi="宋体"/>
          <w:color w:val="000000" w:themeColor="text1"/>
          <w:szCs w:val="21"/>
          <w:highlight w:val="none"/>
          <w14:textFill>
            <w14:solidFill>
              <w14:schemeClr w14:val="tx1"/>
            </w14:solidFill>
          </w14:textFill>
        </w:rPr>
      </w:pPr>
    </w:p>
    <w:p w14:paraId="2E9A4F88">
      <w:pPr>
        <w:spacing w:line="360" w:lineRule="auto"/>
        <w:ind w:left="420" w:firstLine="420"/>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四、评审及磋商</w:t>
      </w:r>
    </w:p>
    <w:p w14:paraId="70E9E780">
      <w:pPr>
        <w:spacing w:line="360" w:lineRule="auto"/>
        <w:ind w:left="420" w:firstLine="420"/>
        <w:rPr>
          <w:rFonts w:hint="eastAsia" w:ascii="宋体" w:hAnsi="宋体"/>
          <w:color w:val="000000" w:themeColor="text1"/>
          <w:szCs w:val="21"/>
          <w:highlight w:val="none"/>
          <w14:textFill>
            <w14:solidFill>
              <w14:schemeClr w14:val="tx1"/>
            </w14:solidFill>
          </w14:textFill>
        </w:rPr>
      </w:pPr>
    </w:p>
    <w:p w14:paraId="58630432">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24.磋商小组成立</w:t>
      </w:r>
    </w:p>
    <w:p w14:paraId="69A4E52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75F8E89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8FF71EB">
      <w:pPr>
        <w:spacing w:line="360" w:lineRule="auto"/>
        <w:ind w:firstLine="420"/>
        <w:rPr>
          <w:rFonts w:hint="eastAsia" w:hAnsi="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hAnsi="宋体"/>
          <w:bCs/>
          <w:color w:val="000000" w:themeColor="text1"/>
          <w:szCs w:val="2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应当</w:t>
      </w:r>
      <w:r>
        <w:rPr>
          <w:rFonts w:hint="eastAsia" w:hAnsi="宋体"/>
          <w:bCs/>
          <w:color w:val="000000" w:themeColor="text1"/>
          <w:szCs w:val="21"/>
          <w:highlight w:val="none"/>
          <w14:textFill>
            <w14:solidFill>
              <w14:schemeClr w14:val="tx1"/>
            </w14:solidFill>
          </w14:textFill>
        </w:rPr>
        <w:t>基于广西政府采购云平台</w:t>
      </w:r>
      <w:r>
        <w:rPr>
          <w:rFonts w:hint="eastAsia" w:hAnsi="宋体"/>
          <w:bCs/>
          <w:color w:val="000000" w:themeColor="text1"/>
          <w:highlight w:val="none"/>
          <w14:textFill>
            <w14:solidFill>
              <w14:schemeClr w14:val="tx1"/>
            </w14:solidFill>
          </w14:textFill>
        </w:rPr>
        <w:t>抽（选）取</w:t>
      </w:r>
      <w:r>
        <w:rPr>
          <w:rFonts w:hint="eastAsia" w:hAnsi="宋体"/>
          <w:bCs/>
          <w:color w:val="000000" w:themeColor="text1"/>
          <w:szCs w:val="21"/>
          <w:highlight w:val="none"/>
          <w14:textFill>
            <w14:solidFill>
              <w14:schemeClr w14:val="tx1"/>
            </w14:solidFill>
          </w14:textFill>
        </w:rPr>
        <w:t>评审专家。</w:t>
      </w:r>
    </w:p>
    <w:p w14:paraId="51229F38">
      <w:pPr>
        <w:spacing w:line="360" w:lineRule="auto"/>
        <w:ind w:firstLine="420"/>
        <w:rPr>
          <w:rFonts w:hint="eastAsia" w:hAnsi="宋体"/>
          <w:bCs/>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24.4参加过采购项目前期咨询论证的专家，不得参加该采购项目的评审活动。</w:t>
      </w:r>
    </w:p>
    <w:p w14:paraId="2AC243D3">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25.</w:t>
      </w:r>
      <w:r>
        <w:rPr>
          <w:rFonts w:hint="eastAsia" w:ascii="黑体" w:hAnsi="黑体" w:eastAsia="黑体" w:cs="宋体"/>
          <w:b/>
          <w:bCs/>
          <w:color w:val="000000" w:themeColor="text1"/>
          <w:sz w:val="24"/>
          <w:highlight w:val="none"/>
          <w14:textFill>
            <w14:solidFill>
              <w14:schemeClr w14:val="tx1"/>
            </w14:solidFill>
          </w14:textFill>
        </w:rPr>
        <w:t>首次响应文件的开启和解密</w:t>
      </w:r>
    </w:p>
    <w:p w14:paraId="79B0CE5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采购代理机构将在“供应商须知前附表”规定的时</w:t>
      </w:r>
      <w:r>
        <w:rPr>
          <w:rFonts w:hint="eastAsia" w:hAnsi="宋体"/>
          <w:color w:val="000000" w:themeColor="text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000000" w:themeColor="text1"/>
          <w:highlight w:val="none"/>
          <w14:textFill>
            <w14:solidFill>
              <w14:schemeClr w14:val="tx1"/>
            </w14:solidFill>
          </w14:textFill>
        </w:rPr>
        <w:t>采购代理机构依托广西政府采购云平台向各供应商发出电子加密响应文件【开始解密】通知，由供应商按</w:t>
      </w:r>
      <w:r>
        <w:rPr>
          <w:rFonts w:hint="eastAsia" w:hAnsi="宋体"/>
          <w:bCs/>
          <w:color w:val="000000" w:themeColor="text1"/>
          <w:szCs w:val="21"/>
          <w:highlight w:val="none"/>
          <w14:textFill>
            <w14:solidFill>
              <w14:schemeClr w14:val="tx1"/>
            </w14:solidFill>
          </w14:textFill>
        </w:rPr>
        <w:t>“供应商须知前附表”</w:t>
      </w:r>
      <w:r>
        <w:rPr>
          <w:rFonts w:hint="eastAsia"/>
          <w:color w:val="000000" w:themeColor="text1"/>
          <w:highlight w:val="none"/>
          <w14:textFill>
            <w14:solidFill>
              <w14:schemeClr w14:val="tx1"/>
            </w14:solidFill>
          </w14:textFill>
        </w:rPr>
        <w:t>规定的时间内自行进行响应文件解密</w:t>
      </w:r>
      <w:r>
        <w:rPr>
          <w:rFonts w:hint="eastAsia" w:hAnsi="宋体"/>
          <w:color w:val="000000" w:themeColor="text1"/>
          <w:highlight w:val="none"/>
          <w14:textFill>
            <w14:solidFill>
              <w14:schemeClr w14:val="tx1"/>
            </w14:solidFill>
          </w14:textFill>
        </w:rPr>
        <w:t>。</w:t>
      </w:r>
      <w:r>
        <w:rPr>
          <w:rFonts w:hint="eastAsia"/>
          <w:b/>
          <w:color w:val="000000" w:themeColor="text1"/>
          <w:highlight w:val="none"/>
          <w14:textFill>
            <w14:solidFill>
              <w14:schemeClr w14:val="tx1"/>
            </w14:solidFill>
          </w14:textFill>
        </w:rPr>
        <w:t>供应商未在</w:t>
      </w:r>
      <w:r>
        <w:rPr>
          <w:b/>
          <w:color w:val="000000" w:themeColor="text1"/>
          <w:highlight w:val="none"/>
          <w14:textFill>
            <w14:solidFill>
              <w14:schemeClr w14:val="tx1"/>
            </w14:solidFill>
          </w14:textFill>
        </w:rPr>
        <w:t>规定的时间内解密</w:t>
      </w:r>
      <w:r>
        <w:rPr>
          <w:rFonts w:hint="eastAsia"/>
          <w:b/>
          <w:color w:val="000000" w:themeColor="text1"/>
          <w:highlight w:val="none"/>
          <w14:textFill>
            <w14:solidFill>
              <w14:schemeClr w14:val="tx1"/>
            </w14:solidFill>
          </w14:textFill>
        </w:rPr>
        <w:t>响应文件</w:t>
      </w:r>
      <w:r>
        <w:rPr>
          <w:b/>
          <w:color w:val="000000" w:themeColor="text1"/>
          <w:highlight w:val="none"/>
          <w14:textFill>
            <w14:solidFill>
              <w14:schemeClr w14:val="tx1"/>
            </w14:solidFill>
          </w14:textFill>
        </w:rPr>
        <w:t>或</w:t>
      </w:r>
      <w:r>
        <w:rPr>
          <w:rFonts w:hint="eastAsia"/>
          <w:b/>
          <w:color w:val="000000" w:themeColor="text1"/>
          <w:highlight w:val="none"/>
          <w14:textFill>
            <w14:solidFill>
              <w14:schemeClr w14:val="tx1"/>
            </w14:solidFill>
          </w14:textFill>
        </w:rPr>
        <w:t>者</w:t>
      </w:r>
      <w:r>
        <w:rPr>
          <w:b/>
          <w:color w:val="000000" w:themeColor="text1"/>
          <w:highlight w:val="none"/>
          <w14:textFill>
            <w14:solidFill>
              <w14:schemeClr w14:val="tx1"/>
            </w14:solidFill>
          </w14:textFill>
        </w:rPr>
        <w:t>解密失败的</w:t>
      </w:r>
      <w:r>
        <w:rPr>
          <w:rFonts w:hint="eastAsia"/>
          <w:b/>
          <w:color w:val="000000" w:themeColor="text1"/>
          <w:highlight w:val="none"/>
          <w14:textFill>
            <w14:solidFill>
              <w14:schemeClr w14:val="tx1"/>
            </w14:solidFill>
          </w14:textFill>
        </w:rPr>
        <w:t>，供应商</w:t>
      </w:r>
      <w:r>
        <w:rPr>
          <w:rFonts w:hint="eastAsia" w:ascii="宋体" w:hAnsi="宋体"/>
          <w:b/>
          <w:color w:val="000000" w:themeColor="text1"/>
          <w:szCs w:val="21"/>
          <w:highlight w:val="none"/>
          <w14:textFill>
            <w14:solidFill>
              <w14:schemeClr w14:val="tx1"/>
            </w14:solidFill>
          </w14:textFill>
        </w:rPr>
        <w:t>的响应文件按无效处理</w:t>
      </w:r>
      <w:r>
        <w:rPr>
          <w:b/>
          <w:color w:val="000000" w:themeColor="text1"/>
          <w:highlight w:val="none"/>
          <w14:textFill>
            <w14:solidFill>
              <w14:schemeClr w14:val="tx1"/>
            </w14:solidFill>
          </w14:textFill>
        </w:rPr>
        <w:t>。</w:t>
      </w:r>
    </w:p>
    <w:p w14:paraId="0EE9C863">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26</w:t>
      </w:r>
      <w:r>
        <w:rPr>
          <w:rFonts w:hint="eastAsia" w:ascii="黑体" w:hAnsi="黑体" w:eastAsia="黑体" w:cs="宋体"/>
          <w:b/>
          <w:bCs/>
          <w:color w:val="000000" w:themeColor="text1"/>
          <w:sz w:val="24"/>
          <w:highlight w:val="none"/>
          <w14:textFill>
            <w14:solidFill>
              <w14:schemeClr w14:val="tx1"/>
            </w14:solidFill>
          </w14:textFill>
        </w:rPr>
        <w:t>.评审程序、评审方法和评审标准</w:t>
      </w:r>
    </w:p>
    <w:p w14:paraId="39B9488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.1本项目的评审方法为综合评分法。</w:t>
      </w:r>
    </w:p>
    <w:p w14:paraId="141FE5E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26.2</w:t>
      </w:r>
      <w:r>
        <w:rPr>
          <w:rFonts w:hint="eastAsia" w:ascii="宋体" w:hAnsi="宋体" w:cs="宋体"/>
          <w:color w:val="000000" w:themeColor="text1"/>
          <w:szCs w:val="21"/>
          <w:highlight w:val="none"/>
          <w14:textFill>
            <w14:solidFill>
              <w14:schemeClr w14:val="tx1"/>
            </w14:solidFill>
          </w14:textFill>
        </w:rPr>
        <w:t>磋商小组</w:t>
      </w:r>
      <w:r>
        <w:rPr>
          <w:rFonts w:ascii="宋体" w:hAnsi="宋体" w:cs="宋体"/>
          <w:color w:val="000000" w:themeColor="text1"/>
          <w:szCs w:val="21"/>
          <w:highlight w:val="none"/>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“第四章 评审程序、评审方法和评审标准”</w:t>
      </w:r>
      <w:r>
        <w:rPr>
          <w:rFonts w:ascii="宋体" w:hAnsi="宋体" w:cs="宋体"/>
          <w:color w:val="000000" w:themeColor="text1"/>
          <w:szCs w:val="21"/>
          <w:highlight w:val="none"/>
          <w14:textFill>
            <w14:solidFill>
              <w14:schemeClr w14:val="tx1"/>
            </w14:solidFill>
          </w14:textFill>
        </w:rPr>
        <w:t>规定的方法、评审因素、标准和程序对</w:t>
      </w:r>
      <w:r>
        <w:rPr>
          <w:rFonts w:hint="eastAsia" w:ascii="宋体" w:hAnsi="宋体" w:cs="宋体"/>
          <w:color w:val="000000" w:themeColor="text1"/>
          <w:szCs w:val="21"/>
          <w:highlight w:val="none"/>
          <w14:textFill>
            <w14:solidFill>
              <w14:schemeClr w14:val="tx1"/>
            </w14:solidFill>
          </w14:textFill>
        </w:rPr>
        <w:t>响应</w:t>
      </w:r>
      <w:r>
        <w:rPr>
          <w:rFonts w:ascii="宋体" w:hAnsi="宋体" w:cs="宋体"/>
          <w:color w:val="000000" w:themeColor="text1"/>
          <w:szCs w:val="21"/>
          <w:highlight w:val="none"/>
          <w14:textFill>
            <w14:solidFill>
              <w14:schemeClr w14:val="tx1"/>
            </w14:solidFill>
          </w14:textFill>
        </w:rPr>
        <w:t>文件进行评审</w:t>
      </w:r>
      <w:r>
        <w:rPr>
          <w:rFonts w:hint="eastAsia" w:ascii="宋体" w:hAnsi="宋体" w:cs="宋体"/>
          <w:color w:val="000000" w:themeColor="text1"/>
          <w:szCs w:val="21"/>
          <w:highlight w:val="none"/>
          <w14:textFill>
            <w14:solidFill>
              <w14:schemeClr w14:val="tx1"/>
            </w14:solidFill>
          </w14:textFill>
        </w:rPr>
        <w:t>并推荐成交候选供应商</w:t>
      </w:r>
      <w:r>
        <w:rPr>
          <w:rFonts w:ascii="宋体" w:hAnsi="宋体" w:cs="宋体"/>
          <w:color w:val="000000" w:themeColor="text1"/>
          <w:szCs w:val="21"/>
          <w:highlight w:val="none"/>
          <w14:textFill>
            <w14:solidFill>
              <w14:schemeClr w14:val="tx1"/>
            </w14:solidFill>
          </w14:textFill>
        </w:rPr>
        <w:t>。</w:t>
      </w:r>
    </w:p>
    <w:p w14:paraId="26C331EC">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6.3 </w:t>
      </w:r>
      <w:r>
        <w:rPr>
          <w:rFonts w:hint="eastAsia" w:ascii="宋体" w:hAnsi="宋体"/>
          <w:color w:val="000000" w:themeColor="text1"/>
          <w:szCs w:val="21"/>
          <w:highlight w:val="none"/>
          <w14:textFill>
            <w14:solidFill>
              <w14:schemeClr w14:val="tx1"/>
            </w14:solidFill>
          </w14:textFill>
        </w:rPr>
        <w:t>商务/技术要求允许负偏离的条款数详见“供应商须知前附表”。</w:t>
      </w:r>
    </w:p>
    <w:p w14:paraId="295EF943">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w:t>
      </w:r>
      <w:r>
        <w:rPr>
          <w:rFonts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B8D409A">
      <w:pPr>
        <w:spacing w:line="360" w:lineRule="auto"/>
        <w:ind w:firstLine="420"/>
        <w:rPr>
          <w:rFonts w:hint="eastAsia"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ascii="宋体" w:hAnsi="宋体" w:cs="宋体"/>
          <w:color w:val="000000" w:themeColor="text1"/>
          <w:highlight w:val="none"/>
          <w14:textFill>
            <w14:solidFill>
              <w14:schemeClr w14:val="tx1"/>
            </w14:solidFill>
          </w14:textFill>
        </w:rPr>
        <w:t>6.5</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34F435CD">
      <w:pPr>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（1）电子交易平台发生故障而无法登录访问的；</w:t>
      </w:r>
    </w:p>
    <w:p w14:paraId="17C0DBDB">
      <w:pPr>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（2）电子交易平台应用或数据库出现错误，不能进行正常操作的；</w:t>
      </w:r>
    </w:p>
    <w:p w14:paraId="5CBF26FD">
      <w:pPr>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（3）电子交易平台发现严重安全漏洞，有潜在泄密危险的；</w:t>
      </w:r>
    </w:p>
    <w:p w14:paraId="2C47AE39">
      <w:pPr>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（4）病毒发作导致不能进行正常操作的；</w:t>
      </w:r>
    </w:p>
    <w:p w14:paraId="54F39347">
      <w:pPr>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（5）其他无法保证电子交易的公平、公正和安全的情况。</w:t>
      </w:r>
    </w:p>
    <w:p w14:paraId="1F65EB1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w:t>
      </w:r>
      <w:r>
        <w:rPr>
          <w:rFonts w:ascii="宋体"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3F82167">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27</w:t>
      </w:r>
      <w:r>
        <w:rPr>
          <w:rFonts w:hint="eastAsia" w:ascii="黑体" w:hAnsi="黑体" w:eastAsia="黑体" w:cs="宋体"/>
          <w:b/>
          <w:bCs/>
          <w:color w:val="000000" w:themeColor="text1"/>
          <w:sz w:val="24"/>
          <w:highlight w:val="none"/>
          <w14:textFill>
            <w14:solidFill>
              <w14:schemeClr w14:val="tx1"/>
            </w14:solidFill>
          </w14:textFill>
        </w:rPr>
        <w:t>.确定成交供应商及结果公告</w:t>
      </w:r>
    </w:p>
    <w:p w14:paraId="01263CA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2F23434">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0" w:name="_Hlk66782294"/>
      <w:r>
        <w:rPr>
          <w:rFonts w:hint="eastAsia" w:ascii="宋体" w:hAnsi="宋体" w:cs="Courier New"/>
          <w:color w:val="000000" w:themeColor="text1"/>
          <w:szCs w:val="21"/>
          <w:highlight w:val="none"/>
          <w14:textFill>
            <w14:solidFill>
              <w14:schemeClr w14:val="tx1"/>
            </w14:solidFill>
          </w14:textFill>
        </w:rPr>
        <w:t>成交供应商享受</w:t>
      </w:r>
      <w:r>
        <w:rPr>
          <w:rFonts w:hint="eastAsia" w:ascii="宋体" w:hAnsi="宋体"/>
          <w:color w:val="000000" w:themeColor="text1"/>
          <w:szCs w:val="21"/>
          <w:highlight w:val="none"/>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highlight w:val="none"/>
          <w14:textFill>
            <w14:solidFill>
              <w14:schemeClr w14:val="tx1"/>
            </w14:solidFill>
          </w14:textFill>
        </w:rPr>
        <w:t>政策的，采购人、采购代理机构应当随成交结果公开成交供应商的《中小企业声明函》。</w:t>
      </w:r>
      <w:bookmarkEnd w:id="60"/>
    </w:p>
    <w:p w14:paraId="10C97EB2">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14:paraId="1D0E1C70">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（1）因情况变化，不再符合规定的竞争性磋商采购方式适用情形的；</w:t>
      </w:r>
    </w:p>
    <w:p w14:paraId="4165C57F">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（2）出现影响采购公正的违法、违规行为的；</w:t>
      </w:r>
    </w:p>
    <w:p w14:paraId="7856824C">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（3）除“第四章 评审程序、评审方法和评审标准”第4.3条规定的情形外，在采购过程中符合要求的供应商或者报价未超过采购预算的供应商不足3家的。</w:t>
      </w:r>
    </w:p>
    <w:p w14:paraId="29D1880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14:paraId="665B8BDE">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28</w:t>
      </w:r>
      <w:r>
        <w:rPr>
          <w:rFonts w:hint="eastAsia" w:ascii="黑体" w:hAnsi="黑体" w:eastAsia="黑体" w:cs="宋体"/>
          <w:b/>
          <w:bCs/>
          <w:color w:val="000000" w:themeColor="text1"/>
          <w:sz w:val="24"/>
          <w:highlight w:val="none"/>
          <w14:textFill>
            <w14:solidFill>
              <w14:schemeClr w14:val="tx1"/>
            </w14:solidFill>
          </w14:textFill>
        </w:rPr>
        <w:t>.履约保证金</w:t>
      </w:r>
    </w:p>
    <w:p w14:paraId="6111A700">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.1履约保证金的金额、提交方式、退付的时间和条件详见 “供应商须知前附表”。成交供应商未按规定提交履约保证金的，视为拒绝</w:t>
      </w:r>
      <w:r>
        <w:rPr>
          <w:rFonts w:ascii="宋体" w:hAnsi="宋体"/>
          <w:color w:val="000000" w:themeColor="text1"/>
          <w:highlight w:val="none"/>
          <w14:textFill>
            <w14:solidFill>
              <w14:schemeClr w14:val="tx1"/>
            </w14:solidFill>
          </w14:textFill>
        </w:rPr>
        <w:t>与采购人</w:t>
      </w:r>
      <w:r>
        <w:rPr>
          <w:rFonts w:hint="eastAsia" w:ascii="宋体" w:hAnsi="宋体" w:cs="宋体"/>
          <w:color w:val="000000" w:themeColor="text1"/>
          <w:szCs w:val="21"/>
          <w:highlight w:val="none"/>
          <w14:textFill>
            <w14:solidFill>
              <w14:schemeClr w14:val="tx1"/>
            </w14:solidFill>
          </w14:textFill>
        </w:rPr>
        <w:t>签订合同。</w:t>
      </w:r>
    </w:p>
    <w:p w14:paraId="7D40A5A7">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.2在履约保证金退还日期前，若成交供应商的开户名称、开户银行、账号有变动的，请以书面形式通知履约保证金收取单位，否则由此产生的后果由成交供应商自行承担。</w:t>
      </w:r>
    </w:p>
    <w:p w14:paraId="34200522">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29</w:t>
      </w:r>
      <w:r>
        <w:rPr>
          <w:rFonts w:hint="eastAsia" w:ascii="黑体" w:hAnsi="黑体" w:eastAsia="黑体" w:cs="宋体"/>
          <w:b/>
          <w:bCs/>
          <w:color w:val="000000" w:themeColor="text1"/>
          <w:sz w:val="24"/>
          <w:highlight w:val="none"/>
          <w14:textFill>
            <w14:solidFill>
              <w14:schemeClr w14:val="tx1"/>
            </w14:solidFill>
          </w14:textFill>
        </w:rPr>
        <w:t>.签订合同</w:t>
      </w:r>
    </w:p>
    <w:p w14:paraId="4B71C0CB">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65FE049C">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14:paraId="5D03BED8">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14:paraId="73BD4D11">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404274E5">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08B4870">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14:paraId="0A66C2F6">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14:paraId="23521BC7">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200074EA">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30</w:t>
      </w:r>
      <w:r>
        <w:rPr>
          <w:rFonts w:hint="eastAsia" w:ascii="黑体" w:hAnsi="黑体" w:eastAsia="黑体" w:cs="宋体"/>
          <w:b/>
          <w:bCs/>
          <w:color w:val="000000" w:themeColor="text1"/>
          <w:sz w:val="24"/>
          <w:highlight w:val="none"/>
          <w14:textFill>
            <w14:solidFill>
              <w14:schemeClr w14:val="tx1"/>
            </w14:solidFill>
          </w14:textFill>
        </w:rPr>
        <w:t>.政府采购合同公告</w:t>
      </w:r>
    </w:p>
    <w:p w14:paraId="4C9203C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8A6FFA6">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31</w:t>
      </w:r>
      <w:r>
        <w:rPr>
          <w:rFonts w:hint="eastAsia" w:ascii="黑体" w:hAnsi="黑体" w:eastAsia="黑体" w:cs="宋体"/>
          <w:b/>
          <w:bCs/>
          <w:color w:val="000000" w:themeColor="text1"/>
          <w:sz w:val="24"/>
          <w:highlight w:val="none"/>
          <w14:textFill>
            <w14:solidFill>
              <w14:schemeClr w14:val="tx1"/>
            </w14:solidFill>
          </w14:textFill>
        </w:rPr>
        <w:t>. 询问、质疑和投诉</w:t>
      </w:r>
    </w:p>
    <w:p w14:paraId="59AA326F">
      <w:pPr>
        <w:pStyle w:val="7"/>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Cs w:val="21"/>
          <w:highlight w:val="none"/>
          <w14:textFill>
            <w14:solidFill>
              <w14:schemeClr w14:val="tx1"/>
            </w14:solidFill>
          </w14:textFill>
        </w:rPr>
        <w:t>但答复的内容不得涉及商业秘密</w:t>
      </w:r>
      <w:r>
        <w:rPr>
          <w:rFonts w:hint="eastAsia" w:ascii="宋体" w:hAnsi="宋体" w:cs="宋体"/>
          <w:color w:val="000000" w:themeColor="text1"/>
          <w:highlight w:val="none"/>
          <w14:textFill>
            <w14:solidFill>
              <w14:schemeClr w14:val="tx1"/>
            </w14:solidFill>
          </w14:textFill>
        </w:rPr>
        <w:t>。</w:t>
      </w:r>
    </w:p>
    <w:p w14:paraId="715DAFD4">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themeColor="text1"/>
          <w:highlight w:val="none"/>
          <w:shd w:val="clear" w:color="auto" w:fill="FFFFFF"/>
          <w14:textFill>
            <w14:solidFill>
              <w14:schemeClr w14:val="tx1"/>
            </w14:solidFill>
          </w14:textFill>
        </w:rPr>
        <w:t>接收质疑函的方式、联系部门、联系电话和通讯地址等信息</w:t>
      </w:r>
      <w:r>
        <w:rPr>
          <w:rFonts w:hint="eastAsia" w:ascii="宋体" w:hAnsi="宋体" w:cs="Arial"/>
          <w:color w:val="000000" w:themeColor="text1"/>
          <w:highlight w:val="none"/>
          <w:shd w:val="clear" w:color="auto" w:fill="FFFFFF"/>
          <w14:textFill>
            <w14:solidFill>
              <w14:schemeClr w14:val="tx1"/>
            </w14:solidFill>
          </w14:textFill>
        </w:rPr>
        <w:t>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。具体质疑起算时间如下：</w:t>
      </w:r>
    </w:p>
    <w:p w14:paraId="322F3A3F">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（1）对可以质疑的磋商文件提出质疑的，为获取磋商文件之日或者</w:t>
      </w:r>
      <w:r>
        <w:rPr>
          <w:rFonts w:hint="eastAsia" w:ascii="宋体" w:hAnsi="宋体"/>
          <w:color w:val="000000" w:themeColor="text1"/>
          <w:highlight w:val="none"/>
          <w14:textFill>
            <w14:solidFill>
              <w14:schemeClr w14:val="tx1"/>
            </w14:solidFill>
          </w14:textFill>
        </w:rPr>
        <w:t>竞争性磋商公告期限届满之日</w:t>
      </w:r>
      <w:r>
        <w:rPr>
          <w:rFonts w:hint="eastAsia" w:ascii="宋体" w:hAnsi="宋体" w:cs="宋体"/>
          <w:color w:val="000000" w:themeColor="text1"/>
          <w:highlight w:val="none"/>
          <w14:textFill>
            <w14:solidFill>
              <w14:schemeClr w14:val="tx1"/>
            </w14:solidFill>
          </w14:textFill>
        </w:rPr>
        <w:t>；</w:t>
      </w:r>
    </w:p>
    <w:p w14:paraId="58DA61D2">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（2）对采购过程提出质疑的，为各采购程序环节结束之日；</w:t>
      </w:r>
    </w:p>
    <w:p w14:paraId="4CE79473">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（3）对成交结果提出质疑的，为成交结果公告期限届满之日。</w:t>
      </w:r>
    </w:p>
    <w:p w14:paraId="6B36CD7A">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3075A906">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.4 供应商提出质疑应当提交质疑函和必要的证明材料，针对同一采购程序环节的质疑必须在法定质疑期内一次性提出。质疑函应当包括下列内容</w:t>
      </w:r>
      <w:r>
        <w:rPr>
          <w:rFonts w:hint="eastAsia" w:hAnsi="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2CE20DA4">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77322AD6">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5AA240E9">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1DA11D83">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48F5EF86">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1DF2C5B8">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0597D5C0">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2CEFD92E">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1.5</w:t>
      </w:r>
      <w:r>
        <w:rPr>
          <w:rFonts w:hint="eastAsia" w:ascii="宋体" w:hAnsi="宋体" w:cs="宋体"/>
          <w:color w:val="000000" w:themeColor="text1"/>
          <w:highlight w:val="none"/>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086B768E">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1DAFEBF2">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00FB6BE6">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486706E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37FEC03">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32</w:t>
      </w:r>
      <w:r>
        <w:rPr>
          <w:rFonts w:hint="eastAsia" w:ascii="黑体" w:hAnsi="黑体" w:eastAsia="黑体" w:cs="宋体"/>
          <w:b/>
          <w:bCs/>
          <w:color w:val="000000" w:themeColor="text1"/>
          <w:sz w:val="24"/>
          <w:highlight w:val="none"/>
          <w14:textFill>
            <w14:solidFill>
              <w14:schemeClr w14:val="tx1"/>
            </w14:solidFill>
          </w14:textFill>
        </w:rPr>
        <w:t>.其他内容</w:t>
      </w:r>
    </w:p>
    <w:p w14:paraId="4D8E0136">
      <w:pPr>
        <w:tabs>
          <w:tab w:val="left" w:pos="2835"/>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.1代理服务收取标准及缴费账户详见“供应商须知前附表”。</w:t>
      </w:r>
    </w:p>
    <w:p w14:paraId="5BD15174">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w:t>
      </w:r>
      <w:r>
        <w:rPr>
          <w:rFonts w:ascii="黑体" w:hAnsi="黑体" w:eastAsia="黑体" w:cs="宋体"/>
          <w:b/>
          <w:bCs/>
          <w:color w:val="000000" w:themeColor="text1"/>
          <w:sz w:val="24"/>
          <w:highlight w:val="none"/>
          <w14:textFill>
            <w14:solidFill>
              <w14:schemeClr w14:val="tx1"/>
            </w14:solidFill>
          </w14:textFill>
        </w:rPr>
        <w:t>3.需要补充的其他内容</w:t>
      </w:r>
    </w:p>
    <w:p w14:paraId="082EAB02">
      <w:pPr>
        <w:pStyle w:val="24"/>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3.1</w:t>
      </w:r>
      <w:r>
        <w:rPr>
          <w:rFonts w:hint="eastAsia" w:hAnsi="宋体" w:cs="宋体"/>
          <w:color w:val="000000" w:themeColor="text1"/>
          <w:sz w:val="21"/>
          <w:highlight w:val="none"/>
          <w14:textFill>
            <w14:solidFill>
              <w14:schemeClr w14:val="tx1"/>
            </w14:solidFill>
          </w14:textFill>
        </w:rPr>
        <w:t>本磋商文件解释规则详见“供应商须知前附表”。</w:t>
      </w:r>
    </w:p>
    <w:p w14:paraId="0163135E">
      <w:pPr>
        <w:pStyle w:val="24"/>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33.2农民工工资保证金见“供应商须知前附表”。</w:t>
      </w:r>
    </w:p>
    <w:p w14:paraId="50EAB3FF">
      <w:pPr>
        <w:pStyle w:val="24"/>
        <w:spacing w:line="360" w:lineRule="auto"/>
        <w:ind w:firstLine="420"/>
        <w:rPr>
          <w:rFonts w:hint="eastAsia"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33.</w:t>
      </w:r>
      <w:r>
        <w:rPr>
          <w:rFonts w:hint="eastAsia" w:hAnsi="宋体" w:cs="宋体"/>
          <w:color w:val="000000" w:themeColor="text1"/>
          <w:sz w:val="21"/>
          <w:highlight w:val="none"/>
          <w14:textFill>
            <w14:solidFill>
              <w14:schemeClr w14:val="tx1"/>
            </w14:solidFill>
          </w14:textFill>
        </w:rPr>
        <w:t>3 其他事项详见“供应商须知前附表”。</w:t>
      </w:r>
    </w:p>
    <w:p w14:paraId="570815FA">
      <w:pPr>
        <w:pStyle w:val="24"/>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3.</w:t>
      </w:r>
      <w:r>
        <w:rPr>
          <w:rFonts w:hint="eastAsia" w:hAnsi="宋体" w:cs="宋体"/>
          <w:color w:val="000000" w:themeColor="text1"/>
          <w:sz w:val="21"/>
          <w:highlight w:val="none"/>
          <w14:textFill>
            <w14:solidFill>
              <w14:schemeClr w14:val="tx1"/>
            </w14:solidFill>
          </w14:textFill>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C40030A">
      <w:pPr>
        <w:pStyle w:val="24"/>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6EC1940F">
      <w:pPr>
        <w:pStyle w:val="24"/>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135A065A">
      <w:pPr>
        <w:pStyle w:val="24"/>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7FB26AC1">
      <w:pPr>
        <w:pStyle w:val="24"/>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sz w:val="21"/>
          <w:highlight w:val="none"/>
          <w14:textFill>
            <w14:solidFill>
              <w14:schemeClr w14:val="tx1"/>
            </w14:solidFill>
          </w14:textFill>
        </w:rPr>
        <w:t>中小企业的，联合体视同中小企业。其中，联合体各方均为小微企业的，联合体视同小微企业。</w:t>
      </w:r>
    </w:p>
    <w:p w14:paraId="7AB679ED">
      <w:pPr>
        <w:pStyle w:val="24"/>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p>
    <w:p w14:paraId="45707734">
      <w:pPr>
        <w:pStyle w:val="2"/>
        <w:bidi w:val="0"/>
        <w:jc w:val="center"/>
        <w:rPr>
          <w:b/>
          <w:color w:val="000000" w:themeColor="text1"/>
          <w:sz w:val="44"/>
          <w:szCs w:val="44"/>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clear="all"/>
      </w:r>
      <w:bookmarkStart w:id="61" w:name="_Toc9933"/>
      <w:r>
        <w:rPr>
          <w:rFonts w:hint="eastAsia"/>
          <w:b/>
          <w:color w:val="000000" w:themeColor="text1"/>
          <w:sz w:val="44"/>
          <w:szCs w:val="44"/>
          <w:highlight w:val="none"/>
          <w14:textFill>
            <w14:solidFill>
              <w14:schemeClr w14:val="tx1"/>
            </w14:solidFill>
          </w14:textFill>
        </w:rPr>
        <w:t>第三章 采购需求</w:t>
      </w:r>
      <w:bookmarkEnd w:id="61"/>
    </w:p>
    <w:p w14:paraId="0699D458">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5673EE43">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 为落实政府采购政策需满足的要求</w:t>
      </w:r>
      <w:r>
        <w:rPr>
          <w:rFonts w:hint="eastAsia" w:ascii="宋体" w:hAnsi="宋体" w:cs="宋体"/>
          <w:color w:val="000000" w:themeColor="text1"/>
          <w:szCs w:val="21"/>
          <w:highlight w:val="none"/>
          <w14:textFill>
            <w14:solidFill>
              <w14:schemeClr w14:val="tx1"/>
            </w14:solidFill>
          </w14:textFill>
        </w:rPr>
        <w:t>：</w:t>
      </w:r>
    </w:p>
    <w:p w14:paraId="5A585347">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14:paraId="097FAF5A">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）政府采购促进残疾人就业政策。</w:t>
      </w:r>
    </w:p>
    <w:p w14:paraId="0276BA09">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）政府采购支持监狱企业发展。</w:t>
      </w:r>
    </w:p>
    <w:p w14:paraId="1FCB9070">
      <w:pPr>
        <w:spacing w:line="360" w:lineRule="auto"/>
        <w:ind w:firstLine="42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“实质性要求”是指采购需求中带“▲”的条款或者不能负偏离的条款或者已经指明不满足响应文件按无效处理的条款。</w:t>
      </w:r>
    </w:p>
    <w:p w14:paraId="5F70CFC3">
      <w:pPr>
        <w:spacing w:line="360" w:lineRule="auto"/>
        <w:ind w:firstLine="424"/>
        <w:jc w:val="left"/>
        <w:rPr>
          <w:rFonts w:hint="eastAsia" w:ascii="宋体" w:hAnsi="宋体" w:cs="Arial"/>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color w:val="000000" w:themeColor="text1"/>
          <w:highlight w:val="none"/>
          <w14:textFill>
            <w14:solidFill>
              <w14:schemeClr w14:val="tx1"/>
            </w14:solidFill>
          </w14:textFill>
        </w:rPr>
        <w:t>供应商必须自行为其竞标产品侵犯他人的知识产权或者专利成果的行为承担相应法律责任。</w:t>
      </w:r>
    </w:p>
    <w:tbl>
      <w:tblPr>
        <w:tblStyle w:val="45"/>
        <w:tblW w:w="95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7"/>
        <w:gridCol w:w="1521"/>
        <w:gridCol w:w="283"/>
        <w:gridCol w:w="828"/>
        <w:gridCol w:w="873"/>
        <w:gridCol w:w="5298"/>
      </w:tblGrid>
      <w:tr w14:paraId="55BFD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727" w:type="dxa"/>
            <w:noWrap w:val="0"/>
            <w:vAlign w:val="center"/>
          </w:tcPr>
          <w:p w14:paraId="05DF49BB">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804" w:type="dxa"/>
            <w:gridSpan w:val="2"/>
            <w:noWrap w:val="0"/>
            <w:vAlign w:val="center"/>
          </w:tcPr>
          <w:p w14:paraId="621C2EE6">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标的的名称</w:t>
            </w:r>
          </w:p>
        </w:tc>
        <w:tc>
          <w:tcPr>
            <w:tcW w:w="828" w:type="dxa"/>
            <w:noWrap w:val="0"/>
            <w:vAlign w:val="center"/>
          </w:tcPr>
          <w:p w14:paraId="6E400E96">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873" w:type="dxa"/>
            <w:noWrap w:val="0"/>
            <w:vAlign w:val="center"/>
          </w:tcPr>
          <w:p w14:paraId="2A7C72F3">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所属行业</w:t>
            </w:r>
          </w:p>
        </w:tc>
        <w:tc>
          <w:tcPr>
            <w:tcW w:w="5298" w:type="dxa"/>
            <w:noWrap w:val="0"/>
            <w:vAlign w:val="center"/>
          </w:tcPr>
          <w:p w14:paraId="0352A1D5">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w:t>
            </w:r>
          </w:p>
        </w:tc>
      </w:tr>
      <w:tr w14:paraId="0D0C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727" w:type="dxa"/>
            <w:noWrap w:val="0"/>
            <w:vAlign w:val="center"/>
          </w:tcPr>
          <w:p w14:paraId="5591925C">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804" w:type="dxa"/>
            <w:gridSpan w:val="2"/>
            <w:noWrap w:val="0"/>
            <w:vAlign w:val="center"/>
          </w:tcPr>
          <w:p w14:paraId="4CA8C7EF">
            <w:pPr>
              <w:tabs>
                <w:tab w:val="left" w:pos="180"/>
                <w:tab w:val="left" w:pos="1620"/>
              </w:tabs>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2026年第一批扩大学前教育资源奖补资金项目平南县江南中心幼儿园教学综合楼维修、改造项目</w:t>
            </w:r>
          </w:p>
        </w:tc>
        <w:tc>
          <w:tcPr>
            <w:tcW w:w="828" w:type="dxa"/>
            <w:noWrap w:val="0"/>
            <w:vAlign w:val="center"/>
          </w:tcPr>
          <w:p w14:paraId="020B06FA">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873" w:type="dxa"/>
            <w:noWrap w:val="0"/>
            <w:vAlign w:val="center"/>
          </w:tcPr>
          <w:p w14:paraId="7C174E8D">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建筑业</w:t>
            </w:r>
          </w:p>
        </w:tc>
        <w:tc>
          <w:tcPr>
            <w:tcW w:w="5298" w:type="dxa"/>
            <w:noWrap w:val="0"/>
            <w:vAlign w:val="center"/>
          </w:tcPr>
          <w:p w14:paraId="616C6FF3">
            <w:pPr>
              <w:pStyle w:val="337"/>
              <w:spacing w:line="360" w:lineRule="auto"/>
              <w:ind w:firstLine="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工程概况：</w:t>
            </w:r>
            <w:r>
              <w:rPr>
                <w:rFonts w:hint="eastAsia" w:ascii="宋体" w:hAnsi="宋体" w:cs="宋体"/>
                <w:color w:val="000000" w:themeColor="text1"/>
                <w:szCs w:val="21"/>
                <w:highlight w:val="none"/>
                <w:lang w:eastAsia="zh-CN"/>
                <w14:textFill>
                  <w14:solidFill>
                    <w14:schemeClr w14:val="tx1"/>
                  </w14:solidFill>
                </w14:textFill>
              </w:rPr>
              <w:t>2026年第一批扩大学前教育资源奖补资金项目平南县江南中心幼儿园教学综合楼维修、改造</w:t>
            </w:r>
            <w:r>
              <w:rPr>
                <w:rFonts w:hint="eastAsia" w:ascii="宋体" w:hAnsi="宋体" w:cs="宋体"/>
                <w:b w:val="0"/>
                <w:bCs/>
                <w:color w:val="000000" w:themeColor="text1"/>
                <w:szCs w:val="21"/>
                <w:highlight w:val="none"/>
                <w:lang w:val="en-US" w:eastAsia="zh-CN"/>
                <w14:textFill>
                  <w14:solidFill>
                    <w14:schemeClr w14:val="tx1"/>
                  </w14:solidFill>
                </w14:textFill>
              </w:rPr>
              <w:t>1项</w:t>
            </w:r>
            <w:r>
              <w:rPr>
                <w:rFonts w:hint="eastAsia"/>
                <w:color w:val="000000" w:themeColor="text1"/>
                <w:highlight w:val="none"/>
                <w:lang w:eastAsia="zh-CN"/>
                <w14:textFill>
                  <w14:solidFill>
                    <w14:schemeClr w14:val="tx1"/>
                  </w14:solidFill>
                </w14:textFill>
              </w:rPr>
              <w:t>，详见招标控制价及图纸。</w:t>
            </w:r>
          </w:p>
          <w:p w14:paraId="149E2B0B">
            <w:pPr>
              <w:pStyle w:val="337"/>
              <w:spacing w:line="360" w:lineRule="auto"/>
              <w:ind w:firstLine="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1.质量要求：符合国家工程质量验收规范合格标准。</w:t>
            </w:r>
          </w:p>
          <w:p w14:paraId="1EFDBD81">
            <w:pPr>
              <w:pStyle w:val="337"/>
              <w:spacing w:line="360" w:lineRule="auto"/>
              <w:ind w:firstLine="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2.安全要求:</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应遵守安全生产法律、法规的规定及国家和工程所在地工程建设安全生产有关管理规定，严格按现行安全标准组织施工。</w:t>
            </w:r>
          </w:p>
          <w:p w14:paraId="5DF2E7D5">
            <w:pPr>
              <w:pStyle w:val="337"/>
              <w:spacing w:line="360" w:lineRule="auto"/>
              <w:ind w:firstLine="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3.技术要求：本工程应该认真按照设计施工图纸的要求进行施工，同时也要严格执行国家现行行业验收标准、各专业相关的现行标准和技术规范。</w:t>
            </w:r>
          </w:p>
          <w:p w14:paraId="253CB177">
            <w:pPr>
              <w:numPr>
                <w:ilvl w:val="0"/>
                <w:numId w:val="0"/>
              </w:numPr>
              <w:spacing w:line="440" w:lineRule="exac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4.需实现的功能或者目标：完成</w:t>
            </w:r>
            <w:r>
              <w:rPr>
                <w:rFonts w:hint="eastAsia" w:ascii="宋体" w:hAnsi="宋体" w:cs="宋体"/>
                <w:b w:val="0"/>
                <w:bCs/>
                <w:color w:val="000000" w:themeColor="text1"/>
                <w:szCs w:val="21"/>
                <w:highlight w:val="none"/>
                <w:lang w:eastAsia="zh-CN"/>
                <w14:textFill>
                  <w14:solidFill>
                    <w14:schemeClr w14:val="tx1"/>
                  </w14:solidFill>
                </w14:textFill>
              </w:rPr>
              <w:t>2026年第一批扩大学前教育资源奖补资金项目平南县江南中心幼儿园教学综合楼维修、改造项目</w:t>
            </w:r>
            <w:r>
              <w:rPr>
                <w:rFonts w:hint="eastAsia" w:ascii="宋体" w:hAnsi="宋体" w:cs="宋体"/>
                <w:color w:val="000000" w:themeColor="text1"/>
                <w:szCs w:val="21"/>
                <w:highlight w:val="none"/>
                <w14:textFill>
                  <w14:solidFill>
                    <w14:schemeClr w14:val="tx1"/>
                  </w14:solidFill>
                </w14:textFill>
              </w:rPr>
              <w:t>。</w:t>
            </w:r>
          </w:p>
        </w:tc>
      </w:tr>
      <w:tr w14:paraId="10D52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0" w:type="dxa"/>
            <w:gridSpan w:val="6"/>
            <w:tcBorders>
              <w:top w:val="single" w:color="auto" w:sz="4" w:space="0"/>
              <w:left w:val="single" w:color="auto" w:sz="4" w:space="0"/>
              <w:bottom w:val="single" w:color="auto" w:sz="4" w:space="0"/>
              <w:right w:val="single" w:color="auto" w:sz="4" w:space="0"/>
            </w:tcBorders>
            <w:noWrap w:val="0"/>
          </w:tcPr>
          <w:p w14:paraId="1A21D724">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一、</w:t>
            </w:r>
            <w:r>
              <w:rPr>
                <w:rFonts w:hint="eastAsia" w:ascii="宋体" w:hAnsi="宋体"/>
                <w:b/>
                <w:color w:val="000000" w:themeColor="text1"/>
                <w:szCs w:val="21"/>
                <w:highlight w:val="none"/>
                <w14:textFill>
                  <w14:solidFill>
                    <w14:schemeClr w14:val="tx1"/>
                  </w14:solidFill>
                </w14:textFill>
              </w:rPr>
              <w:t>商务要求：</w:t>
            </w:r>
          </w:p>
        </w:tc>
      </w:tr>
      <w:tr w14:paraId="0107F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48" w:type="dxa"/>
            <w:gridSpan w:val="2"/>
            <w:tcBorders>
              <w:top w:val="single" w:color="auto" w:sz="4" w:space="0"/>
              <w:left w:val="single" w:color="auto" w:sz="4" w:space="0"/>
              <w:bottom w:val="single" w:color="auto" w:sz="4" w:space="0"/>
              <w:right w:val="single" w:color="auto" w:sz="4" w:space="0"/>
            </w:tcBorders>
            <w:noWrap w:val="0"/>
            <w:vAlign w:val="center"/>
          </w:tcPr>
          <w:p w14:paraId="0B6BEAEC">
            <w:pPr>
              <w:spacing w:line="360"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计划工期</w:t>
            </w:r>
          </w:p>
        </w:tc>
        <w:tc>
          <w:tcPr>
            <w:tcW w:w="7282" w:type="dxa"/>
            <w:gridSpan w:val="4"/>
            <w:tcBorders>
              <w:top w:val="single" w:color="auto" w:sz="4" w:space="0"/>
              <w:left w:val="single" w:color="auto" w:sz="4" w:space="0"/>
              <w:bottom w:val="single" w:color="auto" w:sz="4" w:space="0"/>
              <w:right w:val="single" w:color="auto" w:sz="4" w:space="0"/>
            </w:tcBorders>
            <w:noWrap w:val="0"/>
            <w:vAlign w:val="center"/>
          </w:tcPr>
          <w:p w14:paraId="73EBF3B1">
            <w:pPr>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计划工期：</w:t>
            </w:r>
            <w:r>
              <w:rPr>
                <w:rFonts w:hint="eastAsia" w:ascii="宋体" w:hAnsi="宋体" w:cs="宋体"/>
                <w:color w:val="000000" w:themeColor="text1"/>
                <w:highlight w:val="none"/>
                <w:lang w:val="en-US" w:eastAsia="zh-CN"/>
                <w14:textFill>
                  <w14:solidFill>
                    <w14:schemeClr w14:val="tx1"/>
                  </w14:solidFill>
                </w14:textFill>
              </w:rPr>
              <w:t>45</w:t>
            </w:r>
            <w:r>
              <w:rPr>
                <w:rFonts w:hint="eastAsia" w:ascii="宋体" w:hAnsi="宋体" w:eastAsia="宋体" w:cs="宋体"/>
                <w:color w:val="000000" w:themeColor="text1"/>
                <w:highlight w:val="none"/>
                <w:lang w:val="zh-CN"/>
                <w14:textFill>
                  <w14:solidFill>
                    <w14:schemeClr w14:val="tx1"/>
                  </w14:solidFill>
                </w14:textFill>
              </w:rPr>
              <w:t>日历天</w:t>
            </w:r>
          </w:p>
          <w:p w14:paraId="73E4EDF9">
            <w:pPr>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计划开工日期：</w:t>
            </w:r>
            <w:r>
              <w:rPr>
                <w:rFonts w:hint="eastAsia" w:ascii="宋体" w:hAnsi="宋体" w:eastAsia="宋体" w:cs="宋体"/>
                <w:color w:val="000000" w:themeColor="text1"/>
                <w:highlight w:val="none"/>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zh-CN"/>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lang w:val="zh-CN"/>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12</w:t>
            </w:r>
            <w:r>
              <w:rPr>
                <w:rFonts w:hint="eastAsia" w:ascii="宋体" w:hAnsi="宋体" w:eastAsia="宋体" w:cs="宋体"/>
                <w:color w:val="000000" w:themeColor="text1"/>
                <w:highlight w:val="none"/>
                <w:lang w:val="zh-CN"/>
                <w14:textFill>
                  <w14:solidFill>
                    <w14:schemeClr w14:val="tx1"/>
                  </w14:solidFill>
                </w14:textFill>
              </w:rPr>
              <w:t>日</w:t>
            </w:r>
          </w:p>
          <w:p w14:paraId="6A701880">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计划交工日期：</w:t>
            </w:r>
            <w:r>
              <w:rPr>
                <w:rFonts w:hint="eastAsia" w:ascii="宋体" w:hAnsi="宋体" w:eastAsia="宋体" w:cs="宋体"/>
                <w:color w:val="000000" w:themeColor="text1"/>
                <w:highlight w:val="none"/>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zh-CN"/>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lang w:val="zh-CN"/>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25</w:t>
            </w:r>
            <w:r>
              <w:rPr>
                <w:rFonts w:hint="eastAsia" w:ascii="宋体" w:hAnsi="宋体" w:eastAsia="宋体" w:cs="宋体"/>
                <w:color w:val="000000" w:themeColor="text1"/>
                <w:highlight w:val="none"/>
                <w:lang w:val="zh-CN"/>
                <w14:textFill>
                  <w14:solidFill>
                    <w14:schemeClr w14:val="tx1"/>
                  </w14:solidFill>
                </w14:textFill>
              </w:rPr>
              <w:t>日</w:t>
            </w:r>
          </w:p>
        </w:tc>
      </w:tr>
      <w:tr w14:paraId="4FB66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48" w:type="dxa"/>
            <w:gridSpan w:val="2"/>
            <w:tcBorders>
              <w:top w:val="single" w:color="auto" w:sz="4" w:space="0"/>
              <w:left w:val="single" w:color="auto" w:sz="4" w:space="0"/>
              <w:bottom w:val="single" w:color="auto" w:sz="4" w:space="0"/>
              <w:right w:val="single" w:color="auto" w:sz="4" w:space="0"/>
            </w:tcBorders>
            <w:noWrap w:val="0"/>
            <w:vAlign w:val="center"/>
          </w:tcPr>
          <w:p w14:paraId="1D9E5784">
            <w:pPr>
              <w:spacing w:line="360"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建设地点</w:t>
            </w:r>
          </w:p>
        </w:tc>
        <w:tc>
          <w:tcPr>
            <w:tcW w:w="7282" w:type="dxa"/>
            <w:gridSpan w:val="4"/>
            <w:tcBorders>
              <w:top w:val="single" w:color="auto" w:sz="4" w:space="0"/>
              <w:left w:val="single" w:color="auto" w:sz="4" w:space="0"/>
              <w:bottom w:val="single" w:color="auto" w:sz="4" w:space="0"/>
              <w:right w:val="single" w:color="auto" w:sz="4" w:space="0"/>
            </w:tcBorders>
            <w:noWrap w:val="0"/>
            <w:vAlign w:val="center"/>
          </w:tcPr>
          <w:p w14:paraId="5E901707">
            <w:pPr>
              <w:spacing w:line="360" w:lineRule="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平南县江南中心幼儿园</w:t>
            </w:r>
            <w:r>
              <w:rPr>
                <w:rFonts w:hint="eastAsia" w:ascii="宋体" w:hAnsi="宋体" w:cs="宋体"/>
                <w:b w:val="0"/>
                <w:bCs/>
                <w:color w:val="000000" w:themeColor="text1"/>
                <w:szCs w:val="21"/>
                <w:highlight w:val="none"/>
                <w14:textFill>
                  <w14:solidFill>
                    <w14:schemeClr w14:val="tx1"/>
                  </w14:solidFill>
                </w14:textFill>
              </w:rPr>
              <w:t>校园内</w:t>
            </w:r>
          </w:p>
        </w:tc>
      </w:tr>
      <w:tr w14:paraId="13C92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48" w:type="dxa"/>
            <w:gridSpan w:val="2"/>
            <w:tcBorders>
              <w:top w:val="single" w:color="auto" w:sz="4" w:space="0"/>
              <w:left w:val="single" w:color="auto" w:sz="4" w:space="0"/>
              <w:bottom w:val="single" w:color="auto" w:sz="4" w:space="0"/>
              <w:right w:val="single" w:color="auto" w:sz="4" w:space="0"/>
            </w:tcBorders>
            <w:noWrap w:val="0"/>
            <w:vAlign w:val="center"/>
          </w:tcPr>
          <w:p w14:paraId="6EF75F13">
            <w:pPr>
              <w:spacing w:line="360" w:lineRule="auto"/>
              <w:jc w:val="center"/>
              <w:rPr>
                <w:rFonts w:hint="eastAsia" w:ascii="宋体" w:hAnsi="宋体" w:eastAsia="宋体"/>
                <w:b/>
                <w:bCs/>
                <w:color w:val="000000" w:themeColor="text1"/>
                <w:szCs w:val="21"/>
                <w:highlight w:val="none"/>
                <w:lang w:eastAsia="zh-CN"/>
                <w14:textFill>
                  <w14:solidFill>
                    <w14:schemeClr w14:val="tx1"/>
                  </w14:solidFill>
                </w14:textFill>
              </w:rPr>
            </w:pPr>
            <w:r>
              <w:rPr>
                <w:rFonts w:hint="eastAsia" w:ascii="宋体" w:hAnsi="宋体"/>
                <w:b/>
                <w:bCs/>
                <w:color w:val="000000" w:themeColor="text1"/>
                <w:szCs w:val="21"/>
                <w:highlight w:val="none"/>
                <w:lang w:eastAsia="zh-CN"/>
                <w14:textFill>
                  <w14:solidFill>
                    <w14:schemeClr w14:val="tx1"/>
                  </w14:solidFill>
                </w14:textFill>
              </w:rPr>
              <w:t>报价要求</w:t>
            </w:r>
          </w:p>
        </w:tc>
        <w:tc>
          <w:tcPr>
            <w:tcW w:w="7282" w:type="dxa"/>
            <w:gridSpan w:val="4"/>
            <w:tcBorders>
              <w:top w:val="single" w:color="auto" w:sz="4" w:space="0"/>
              <w:left w:val="single" w:color="auto" w:sz="4" w:space="0"/>
              <w:bottom w:val="single" w:color="auto" w:sz="4" w:space="0"/>
              <w:right w:val="single" w:color="auto" w:sz="4" w:space="0"/>
            </w:tcBorders>
            <w:noWrap w:val="0"/>
            <w:vAlign w:val="center"/>
          </w:tcPr>
          <w:p w14:paraId="45E09556">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eastAsia="zh-CN"/>
                <w14:textFill>
                  <w14:solidFill>
                    <w14:schemeClr w14:val="tx1"/>
                  </w14:solidFill>
                </w14:textFill>
              </w:rPr>
              <w:t>本项目计价方式为固定总价；</w:t>
            </w:r>
            <w:r>
              <w:rPr>
                <w:rFonts w:hint="eastAsia" w:ascii="宋体" w:hAnsi="宋体" w:cs="宋体"/>
                <w:b/>
                <w:bCs/>
                <w:color w:val="000000" w:themeColor="text1"/>
                <w:szCs w:val="21"/>
                <w:highlight w:val="none"/>
                <w14:textFill>
                  <w14:solidFill>
                    <w14:schemeClr w14:val="tx1"/>
                  </w14:solidFill>
                </w14:textFill>
              </w:rPr>
              <w:t>竞标报价是履行合同的最终价格，包括了为实施和完成合同工程所需的劳务、材料、机械、质检（自检）、安装、缺陷修复、管理、保险、税费、利润等费用，以及合同明示或暗示的所有责任、义务和一般风险。</w:t>
            </w:r>
          </w:p>
        </w:tc>
      </w:tr>
      <w:tr w14:paraId="0337F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48" w:type="dxa"/>
            <w:gridSpan w:val="2"/>
            <w:tcBorders>
              <w:top w:val="single" w:color="auto" w:sz="4" w:space="0"/>
              <w:left w:val="single" w:color="auto" w:sz="4" w:space="0"/>
              <w:bottom w:val="single" w:color="auto" w:sz="4" w:space="0"/>
              <w:right w:val="single" w:color="auto" w:sz="4" w:space="0"/>
            </w:tcBorders>
            <w:noWrap w:val="0"/>
            <w:vAlign w:val="center"/>
          </w:tcPr>
          <w:p w14:paraId="49CAAE5E">
            <w:pPr>
              <w:spacing w:line="360"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合同签订时间</w:t>
            </w:r>
          </w:p>
        </w:tc>
        <w:tc>
          <w:tcPr>
            <w:tcW w:w="7282" w:type="dxa"/>
            <w:gridSpan w:val="4"/>
            <w:tcBorders>
              <w:top w:val="single" w:color="auto" w:sz="4" w:space="0"/>
              <w:left w:val="single" w:color="auto" w:sz="4" w:space="0"/>
              <w:bottom w:val="single" w:color="auto" w:sz="4" w:space="0"/>
              <w:right w:val="single" w:color="auto" w:sz="4" w:space="0"/>
            </w:tcBorders>
            <w:noWrap w:val="0"/>
            <w:vAlign w:val="center"/>
          </w:tcPr>
          <w:p w14:paraId="7F901D5E">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自成交通知书发出之日起25日内</w:t>
            </w:r>
          </w:p>
        </w:tc>
      </w:tr>
      <w:tr w14:paraId="51AEE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2248" w:type="dxa"/>
            <w:gridSpan w:val="2"/>
            <w:tcBorders>
              <w:top w:val="single" w:color="auto" w:sz="4" w:space="0"/>
              <w:left w:val="single" w:color="auto" w:sz="4" w:space="0"/>
              <w:bottom w:val="single" w:color="auto" w:sz="4" w:space="0"/>
              <w:right w:val="single" w:color="auto" w:sz="4" w:space="0"/>
            </w:tcBorders>
            <w:noWrap w:val="0"/>
            <w:vAlign w:val="center"/>
          </w:tcPr>
          <w:p w14:paraId="292F982B">
            <w:pPr>
              <w:spacing w:line="360" w:lineRule="auto"/>
              <w:jc w:val="center"/>
              <w:rPr>
                <w:rFonts w:hint="eastAsia" w:ascii="宋体" w:hAnsi="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付款条件（进度和方式）</w:t>
            </w:r>
          </w:p>
        </w:tc>
        <w:tc>
          <w:tcPr>
            <w:tcW w:w="7282"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21ED7A19">
            <w:pPr>
              <w:spacing w:line="360" w:lineRule="auto"/>
              <w:rPr>
                <w:rFonts w:hint="eastAsia" w:ascii="宋体" w:hAnsi="宋体" w:eastAsia="宋体" w:cs="Times New Roman"/>
                <w:b/>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合同签订后，施工单位进场开工，工程预付款支付至合同总价的30%</w:t>
            </w:r>
            <w:r>
              <w:rPr>
                <w:rFonts w:hint="eastAsia"/>
                <w:color w:val="000000" w:themeColor="text1"/>
                <w:highlight w:val="none"/>
                <w14:textFill>
                  <w14:solidFill>
                    <w14:schemeClr w14:val="tx1"/>
                  </w14:solidFill>
                </w14:textFill>
              </w:rPr>
              <w:t>（扣除安全文明施工费）</w:t>
            </w:r>
            <w:r>
              <w:rPr>
                <w:rFonts w:hint="eastAsia" w:ascii="宋体" w:hAnsi="宋体"/>
                <w:color w:val="000000" w:themeColor="text1"/>
                <w:szCs w:val="21"/>
                <w:highlight w:val="none"/>
                <w14:textFill>
                  <w14:solidFill>
                    <w14:schemeClr w14:val="tx1"/>
                  </w14:solidFill>
                </w14:textFill>
              </w:rPr>
              <w:t>，按工程进度拨付工程进度款，工程量达到60%时工程进度款拨付至合同价款的50%（扣除前期支付的30%工程预付款，本次实际支付进度款为合同金额的20%），工程完工后支付至合同价款的</w:t>
            </w:r>
            <w:r>
              <w:rPr>
                <w:rFonts w:hint="eastAsia" w:ascii="宋体" w:hAnsi="宋体"/>
                <w:color w:val="000000" w:themeColor="text1"/>
                <w:szCs w:val="21"/>
                <w:highlight w:val="none"/>
                <w:lang w:eastAsia="zh-CN"/>
                <w14:textFill>
                  <w14:solidFill>
                    <w14:schemeClr w14:val="tx1"/>
                  </w14:solidFill>
                </w14:textFill>
              </w:rPr>
              <w:t>80%</w:t>
            </w:r>
            <w:r>
              <w:rPr>
                <w:rFonts w:hint="eastAsia" w:ascii="宋体" w:hAnsi="宋体"/>
                <w:color w:val="000000" w:themeColor="text1"/>
                <w:szCs w:val="21"/>
                <w:highlight w:val="none"/>
                <w14:textFill>
                  <w14:solidFill>
                    <w14:schemeClr w14:val="tx1"/>
                  </w14:solidFill>
                </w14:textFill>
              </w:rPr>
              <w:t>，经结算审计后支付至</w:t>
            </w:r>
            <w:r>
              <w:rPr>
                <w:rFonts w:hint="eastAsia" w:ascii="宋体" w:hAnsi="宋体"/>
                <w:color w:val="000000" w:themeColor="text1"/>
                <w:szCs w:val="21"/>
                <w:highlight w:val="none"/>
                <w:lang w:eastAsia="zh-CN"/>
                <w14:textFill>
                  <w14:solidFill>
                    <w14:schemeClr w14:val="tx1"/>
                  </w14:solidFill>
                </w14:textFill>
              </w:rPr>
              <w:t>结算总价的100%</w:t>
            </w:r>
            <w:r>
              <w:rPr>
                <w:rFonts w:hint="eastAsia" w:ascii="宋体" w:hAnsi="宋体"/>
                <w:color w:val="000000" w:themeColor="text1"/>
                <w:szCs w:val="21"/>
                <w:highlight w:val="none"/>
                <w14:textFill>
                  <w14:solidFill>
                    <w14:schemeClr w14:val="tx1"/>
                  </w14:solidFill>
                </w14:textFill>
              </w:rPr>
              <w:t>。质量保证金总额为</w:t>
            </w:r>
            <w:r>
              <w:rPr>
                <w:rFonts w:hint="eastAsia" w:ascii="宋体" w:hAnsi="宋体"/>
                <w:color w:val="000000" w:themeColor="text1"/>
                <w:szCs w:val="21"/>
                <w:highlight w:val="none"/>
                <w:lang w:eastAsia="zh-CN"/>
                <w14:textFill>
                  <w14:solidFill>
                    <w14:schemeClr w14:val="tx1"/>
                  </w14:solidFill>
                </w14:textFill>
              </w:rPr>
              <w:t>结算总价</w:t>
            </w:r>
            <w:r>
              <w:rPr>
                <w:rFonts w:hint="eastAsia" w:ascii="宋体" w:hAnsi="宋体"/>
                <w:color w:val="000000" w:themeColor="text1"/>
                <w:szCs w:val="21"/>
                <w:highlight w:val="none"/>
                <w14:textFill>
                  <w14:solidFill>
                    <w14:schemeClr w14:val="tx1"/>
                  </w14:solidFill>
                </w14:textFill>
              </w:rPr>
              <w:t>的3%，</w:t>
            </w:r>
            <w:r>
              <w:rPr>
                <w:rFonts w:hint="eastAsia" w:ascii="宋体" w:hAnsi="宋体"/>
                <w:color w:val="000000" w:themeColor="text1"/>
                <w:szCs w:val="21"/>
                <w:highlight w:val="none"/>
                <w:lang w:eastAsia="zh-CN"/>
                <w14:textFill>
                  <w14:solidFill>
                    <w14:schemeClr w14:val="tx1"/>
                  </w14:solidFill>
                </w14:textFill>
              </w:rPr>
              <w:t>成交供应商</w:t>
            </w:r>
            <w:r>
              <w:rPr>
                <w:rFonts w:hint="eastAsia" w:ascii="宋体" w:hAnsi="宋体"/>
                <w:color w:val="000000" w:themeColor="text1"/>
                <w:szCs w:val="21"/>
                <w:highlight w:val="none"/>
                <w14:textFill>
                  <w14:solidFill>
                    <w14:schemeClr w14:val="tx1"/>
                  </w14:solidFill>
                </w14:textFill>
              </w:rPr>
              <w:t>按照</w:t>
            </w:r>
            <w:r>
              <w:rPr>
                <w:rFonts w:hint="eastAsia" w:ascii="宋体" w:hAnsi="宋体"/>
                <w:color w:val="000000" w:themeColor="text1"/>
                <w:szCs w:val="21"/>
                <w:highlight w:val="none"/>
                <w:lang w:eastAsia="zh-CN"/>
                <w14:textFill>
                  <w14:solidFill>
                    <w14:schemeClr w14:val="tx1"/>
                  </w14:solidFill>
                </w14:textFill>
              </w:rPr>
              <w:t>结算总价</w:t>
            </w:r>
            <w:r>
              <w:rPr>
                <w:rFonts w:hint="eastAsia" w:ascii="宋体" w:hAnsi="宋体"/>
                <w:color w:val="000000" w:themeColor="text1"/>
                <w:szCs w:val="21"/>
                <w:highlight w:val="none"/>
                <w14:textFill>
                  <w14:solidFill>
                    <w14:schemeClr w14:val="tx1"/>
                  </w14:solidFill>
                </w14:textFill>
              </w:rPr>
              <w:t>的3%提供质量保证金保函或缴纳质量保证金到</w:t>
            </w:r>
            <w:r>
              <w:rPr>
                <w:rFonts w:hint="eastAsia" w:ascii="宋体" w:hAnsi="宋体"/>
                <w:color w:val="000000" w:themeColor="text1"/>
                <w:szCs w:val="21"/>
                <w:highlight w:val="none"/>
                <w:lang w:eastAsia="zh-CN"/>
                <w14:textFill>
                  <w14:solidFill>
                    <w14:schemeClr w14:val="tx1"/>
                  </w14:solidFill>
                </w14:textFill>
              </w:rPr>
              <w:t>采购人</w:t>
            </w:r>
            <w:r>
              <w:rPr>
                <w:rFonts w:hint="eastAsia" w:ascii="宋体" w:hAnsi="宋体"/>
                <w:color w:val="000000" w:themeColor="text1"/>
                <w:szCs w:val="21"/>
                <w:highlight w:val="none"/>
                <w14:textFill>
                  <w14:solidFill>
                    <w14:schemeClr w14:val="tx1"/>
                  </w14:solidFill>
                </w14:textFill>
              </w:rPr>
              <w:t>指定的账户后工程款可支付至100%</w:t>
            </w:r>
            <w:r>
              <w:rPr>
                <w:rFonts w:hint="eastAsia" w:ascii="宋体" w:hAnsi="宋体"/>
                <w:color w:val="000000" w:themeColor="text1"/>
                <w:szCs w:val="21"/>
                <w:highlight w:val="none"/>
                <w:lang w:eastAsia="zh-CN"/>
                <w14:textFill>
                  <w14:solidFill>
                    <w14:schemeClr w14:val="tx1"/>
                  </w14:solidFill>
                </w14:textFill>
              </w:rPr>
              <w:t>，质量保证金待工程缺陷责任期满后成交供应商无违约行为发生的情况下，由成交供应商提出申请，采购人在7个工作日内无息返还。</w:t>
            </w:r>
          </w:p>
        </w:tc>
      </w:tr>
      <w:tr w14:paraId="36112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0" w:type="dxa"/>
            <w:gridSpan w:val="6"/>
            <w:tcBorders>
              <w:top w:val="single" w:color="auto" w:sz="4" w:space="0"/>
              <w:left w:val="single" w:color="auto" w:sz="4" w:space="0"/>
              <w:bottom w:val="single" w:color="auto" w:sz="4" w:space="0"/>
              <w:right w:val="single" w:color="auto" w:sz="4" w:space="0"/>
            </w:tcBorders>
            <w:noWrap w:val="0"/>
            <w:vAlign w:val="center"/>
          </w:tcPr>
          <w:p w14:paraId="20D7EB41">
            <w:pPr>
              <w:spacing w:line="360" w:lineRule="auto"/>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 xml:space="preserve">二、与实现项目目标相关的其他要求 </w:t>
            </w:r>
          </w:p>
        </w:tc>
      </w:tr>
      <w:tr w14:paraId="638D2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0" w:type="dxa"/>
            <w:gridSpan w:val="6"/>
            <w:tcBorders>
              <w:top w:val="single" w:color="auto" w:sz="4" w:space="0"/>
              <w:left w:val="single" w:color="auto" w:sz="4" w:space="0"/>
              <w:bottom w:val="single" w:color="auto" w:sz="4" w:space="0"/>
              <w:right w:val="single" w:color="auto" w:sz="4" w:space="0"/>
            </w:tcBorders>
            <w:noWrap w:val="0"/>
            <w:vAlign w:val="center"/>
          </w:tcPr>
          <w:p w14:paraId="390CFDCE">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（一）供应商的履约能力要求</w:t>
            </w:r>
          </w:p>
        </w:tc>
      </w:tr>
      <w:tr w14:paraId="7FA03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48" w:type="dxa"/>
            <w:gridSpan w:val="2"/>
            <w:tcBorders>
              <w:top w:val="single" w:color="auto" w:sz="4" w:space="0"/>
              <w:left w:val="single" w:color="auto" w:sz="4" w:space="0"/>
              <w:bottom w:val="single" w:color="auto" w:sz="4" w:space="0"/>
              <w:right w:val="single" w:color="auto" w:sz="4" w:space="0"/>
            </w:tcBorders>
            <w:noWrap w:val="0"/>
            <w:vAlign w:val="center"/>
          </w:tcPr>
          <w:p w14:paraId="2980AD57">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管理体系要求</w:t>
            </w:r>
          </w:p>
        </w:tc>
        <w:tc>
          <w:tcPr>
            <w:tcW w:w="7282" w:type="dxa"/>
            <w:gridSpan w:val="4"/>
            <w:tcBorders>
              <w:top w:val="single" w:color="auto" w:sz="4" w:space="0"/>
              <w:left w:val="single" w:color="auto" w:sz="4" w:space="0"/>
              <w:bottom w:val="single" w:color="auto" w:sz="4" w:space="0"/>
              <w:right w:val="single" w:color="auto" w:sz="4" w:space="0"/>
            </w:tcBorders>
            <w:noWrap w:val="0"/>
            <w:vAlign w:val="center"/>
          </w:tcPr>
          <w:p w14:paraId="7D8D8233">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78024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48" w:type="dxa"/>
            <w:gridSpan w:val="2"/>
            <w:tcBorders>
              <w:top w:val="single" w:color="auto" w:sz="4" w:space="0"/>
              <w:left w:val="single" w:color="auto" w:sz="4" w:space="0"/>
              <w:bottom w:val="single" w:color="auto" w:sz="4" w:space="0"/>
              <w:right w:val="single" w:color="auto" w:sz="4" w:space="0"/>
            </w:tcBorders>
            <w:noWrap w:val="0"/>
            <w:vAlign w:val="center"/>
          </w:tcPr>
          <w:p w14:paraId="1F496E7C">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业绩要求</w:t>
            </w:r>
          </w:p>
        </w:tc>
        <w:tc>
          <w:tcPr>
            <w:tcW w:w="7282" w:type="dxa"/>
            <w:gridSpan w:val="4"/>
            <w:tcBorders>
              <w:top w:val="single" w:color="auto" w:sz="4" w:space="0"/>
              <w:left w:val="single" w:color="auto" w:sz="4" w:space="0"/>
              <w:bottom w:val="single" w:color="auto" w:sz="4" w:space="0"/>
              <w:right w:val="single" w:color="auto" w:sz="4" w:space="0"/>
            </w:tcBorders>
            <w:noWrap w:val="0"/>
            <w:vAlign w:val="center"/>
          </w:tcPr>
          <w:p w14:paraId="57444438">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4AB67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0" w:type="dxa"/>
            <w:gridSpan w:val="6"/>
            <w:tcBorders>
              <w:top w:val="single" w:color="auto" w:sz="4" w:space="0"/>
              <w:left w:val="single" w:color="auto" w:sz="4" w:space="0"/>
              <w:bottom w:val="single" w:color="auto" w:sz="4" w:space="0"/>
              <w:right w:val="single" w:color="auto" w:sz="4" w:space="0"/>
            </w:tcBorders>
            <w:noWrap w:val="0"/>
            <w:vAlign w:val="center"/>
          </w:tcPr>
          <w:p w14:paraId="47493D57">
            <w:pPr>
              <w:tabs>
                <w:tab w:val="left" w:pos="180"/>
                <w:tab w:val="left" w:pos="1620"/>
              </w:tabs>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（二）验收标准</w:t>
            </w:r>
          </w:p>
        </w:tc>
      </w:tr>
      <w:tr w14:paraId="54FE8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0" w:type="dxa"/>
            <w:gridSpan w:val="6"/>
            <w:tcBorders>
              <w:top w:val="single" w:color="auto" w:sz="4" w:space="0"/>
              <w:left w:val="single" w:color="auto" w:sz="4" w:space="0"/>
              <w:bottom w:val="single" w:color="auto" w:sz="4" w:space="0"/>
              <w:right w:val="single" w:color="auto" w:sz="4" w:space="0"/>
            </w:tcBorders>
            <w:noWrap w:val="0"/>
            <w:vAlign w:val="center"/>
          </w:tcPr>
          <w:p w14:paraId="3A280100">
            <w:pPr>
              <w:tabs>
                <w:tab w:val="left" w:pos="180"/>
                <w:tab w:val="left" w:pos="1620"/>
              </w:tabs>
              <w:spacing w:line="360" w:lineRule="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符合现行国家相关标准、行业标准、地方标准或者其他标准、规范</w:t>
            </w:r>
            <w:r>
              <w:rPr>
                <w:rFonts w:hint="eastAsia" w:ascii="宋体" w:hAnsi="宋体"/>
                <w:color w:val="000000" w:themeColor="text1"/>
                <w:szCs w:val="21"/>
                <w:highlight w:val="none"/>
                <w:lang w:eastAsia="zh-CN"/>
                <w14:textFill>
                  <w14:solidFill>
                    <w14:schemeClr w14:val="tx1"/>
                  </w14:solidFill>
                </w14:textFill>
              </w:rPr>
              <w:t>。</w:t>
            </w:r>
          </w:p>
        </w:tc>
      </w:tr>
      <w:tr w14:paraId="7E6D1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0" w:type="dxa"/>
            <w:gridSpan w:val="6"/>
            <w:tcBorders>
              <w:top w:val="single" w:color="auto" w:sz="4" w:space="0"/>
              <w:left w:val="single" w:color="auto" w:sz="4" w:space="0"/>
              <w:bottom w:val="single" w:color="auto" w:sz="4" w:space="0"/>
              <w:right w:val="single" w:color="auto" w:sz="4" w:space="0"/>
            </w:tcBorders>
            <w:noWrap w:val="0"/>
            <w:vAlign w:val="center"/>
          </w:tcPr>
          <w:p w14:paraId="0D5E409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（三）其他要求</w:t>
            </w:r>
          </w:p>
        </w:tc>
      </w:tr>
      <w:tr w14:paraId="5269F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0" w:type="dxa"/>
            <w:gridSpan w:val="6"/>
            <w:tcBorders>
              <w:top w:val="single" w:color="auto" w:sz="4" w:space="0"/>
              <w:left w:val="single" w:color="auto" w:sz="4" w:space="0"/>
              <w:bottom w:val="single" w:color="auto" w:sz="4" w:space="0"/>
              <w:right w:val="single" w:color="auto" w:sz="4" w:space="0"/>
            </w:tcBorders>
            <w:noWrap w:val="0"/>
            <w:vAlign w:val="center"/>
          </w:tcPr>
          <w:p w14:paraId="057C1EB2">
            <w:pPr>
              <w:tabs>
                <w:tab w:val="left" w:pos="180"/>
                <w:tab w:val="left" w:pos="1620"/>
              </w:tabs>
              <w:spacing w:line="360" w:lineRule="auto"/>
              <w:rPr>
                <w:rFonts w:hint="eastAsia" w:ascii="宋体" w:hAnsi="宋体" w:eastAsia="宋体" w:cs="宋体"/>
                <w:bCs/>
                <w:color w:val="000000" w:themeColor="text1"/>
                <w:szCs w:val="21"/>
                <w:highlight w:val="none"/>
                <w:lang w:eastAsia="zh-CN"/>
                <w14:textFill>
                  <w14:solidFill>
                    <w14:schemeClr w14:val="tx1"/>
                  </w14:solidFill>
                </w14:textFill>
              </w:rPr>
            </w:pPr>
            <w:r>
              <w:rPr>
                <w:rFonts w:hint="eastAsia"/>
                <w:b/>
                <w:bCs/>
                <w:color w:val="000000" w:themeColor="text1"/>
                <w:highlight w:val="none"/>
                <w:lang w:eastAsia="zh-CN"/>
                <w14:textFill>
                  <w14:solidFill>
                    <w14:schemeClr w14:val="tx1"/>
                  </w14:solidFill>
                </w14:textFill>
              </w:rPr>
              <w:t>响应文件中提供</w:t>
            </w:r>
            <w:r>
              <w:rPr>
                <w:rFonts w:hint="eastAsia"/>
                <w:b/>
                <w:bCs/>
                <w:color w:val="000000" w:themeColor="text1"/>
                <w:highlight w:val="none"/>
                <w14:textFill>
                  <w14:solidFill>
                    <w14:schemeClr w14:val="tx1"/>
                  </w14:solidFill>
                </w14:textFill>
              </w:rPr>
              <w:t>施工员、质量员、材料员的培训证书复印件或扫描件</w:t>
            </w:r>
            <w:r>
              <w:rPr>
                <w:rFonts w:hint="eastAsia"/>
                <w:b/>
                <w:bCs/>
                <w:color w:val="000000" w:themeColor="text1"/>
                <w:highlight w:val="none"/>
                <w:lang w:eastAsia="zh-CN"/>
                <w14:textFill>
                  <w14:solidFill>
                    <w14:schemeClr w14:val="tx1"/>
                  </w14:solidFill>
                </w14:textFill>
              </w:rPr>
              <w:t>。</w:t>
            </w:r>
          </w:p>
        </w:tc>
      </w:tr>
    </w:tbl>
    <w:p w14:paraId="6176B996">
      <w:pPr>
        <w:tabs>
          <w:tab w:val="left" w:pos="180"/>
          <w:tab w:val="left" w:pos="1620"/>
        </w:tabs>
        <w:spacing w:line="360" w:lineRule="auto"/>
        <w:ind w:firstLine="422"/>
        <w:rPr>
          <w:rFonts w:hint="eastAsia" w:ascii="宋体" w:hAnsi="宋体" w:cs="宋体"/>
          <w:b/>
          <w:bCs/>
          <w:color w:val="000000" w:themeColor="text1"/>
          <w:szCs w:val="21"/>
          <w:highlight w:val="none"/>
          <w14:textFill>
            <w14:solidFill>
              <w14:schemeClr w14:val="tx1"/>
            </w14:solidFill>
          </w14:textFill>
        </w:rPr>
      </w:pPr>
    </w:p>
    <w:p w14:paraId="469F292A">
      <w:pPr>
        <w:tabs>
          <w:tab w:val="left" w:pos="180"/>
          <w:tab w:val="left" w:pos="1620"/>
        </w:tabs>
        <w:spacing w:line="360" w:lineRule="auto"/>
        <w:ind w:firstLine="422"/>
        <w:rPr>
          <w:rFonts w:hint="eastAsia" w:ascii="宋体" w:hAnsi="宋体" w:cs="宋体"/>
          <w:b/>
          <w:bCs/>
          <w:color w:val="000000" w:themeColor="text1"/>
          <w:szCs w:val="21"/>
          <w:highlight w:val="none"/>
          <w14:textFill>
            <w14:solidFill>
              <w14:schemeClr w14:val="tx1"/>
            </w14:solidFill>
          </w14:textFill>
        </w:rPr>
      </w:pPr>
    </w:p>
    <w:p w14:paraId="62FB0C6B">
      <w:pPr>
        <w:tabs>
          <w:tab w:val="left" w:pos="180"/>
          <w:tab w:val="left" w:pos="1620"/>
        </w:tabs>
        <w:spacing w:line="360" w:lineRule="auto"/>
        <w:ind w:firstLine="422"/>
        <w:rPr>
          <w:rFonts w:hint="eastAsia" w:ascii="宋体" w:hAnsi="宋体" w:cs="宋体"/>
          <w:b/>
          <w:bCs/>
          <w:color w:val="000000" w:themeColor="text1"/>
          <w:szCs w:val="21"/>
          <w:highlight w:val="none"/>
          <w14:textFill>
            <w14:solidFill>
              <w14:schemeClr w14:val="tx1"/>
            </w14:solidFill>
          </w14:textFill>
        </w:rPr>
      </w:pPr>
    </w:p>
    <w:p w14:paraId="54184EBE">
      <w:pPr>
        <w:pStyle w:val="2"/>
        <w:bidi w:val="0"/>
        <w:rPr>
          <w:color w:val="000000" w:themeColor="text1"/>
          <w:highlight w:val="none"/>
          <w14:textFill>
            <w14:solidFill>
              <w14:schemeClr w14:val="tx1"/>
            </w14:solidFill>
          </w14:textFill>
        </w:rPr>
      </w:pPr>
      <w:r>
        <w:rPr>
          <w:rFonts w:hAnsi="宋体" w:cs="宋体"/>
          <w:b/>
          <w:bCs/>
          <w:color w:val="000000" w:themeColor="text1"/>
          <w:highlight w:val="none"/>
          <w14:textFill>
            <w14:solidFill>
              <w14:schemeClr w14:val="tx1"/>
            </w14:solidFill>
          </w14:textFill>
        </w:rPr>
        <w:br w:type="page" w:clear="all"/>
      </w:r>
      <w:bookmarkStart w:id="62" w:name="_Toc10777"/>
      <w:r>
        <w:rPr>
          <w:rFonts w:hint="eastAsia"/>
          <w:color w:val="000000" w:themeColor="text1"/>
          <w:highlight w:val="none"/>
          <w14:textFill>
            <w14:solidFill>
              <w14:schemeClr w14:val="tx1"/>
            </w14:solidFill>
          </w14:textFill>
        </w:rPr>
        <w:t>第四章 评审程序、评审方法和评审标准</w:t>
      </w:r>
      <w:bookmarkEnd w:id="62"/>
    </w:p>
    <w:p w14:paraId="4391C21D">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一、评审程序和评审方法</w:t>
      </w:r>
    </w:p>
    <w:p w14:paraId="49D0AC60">
      <w:pPr>
        <w:spacing w:line="360" w:lineRule="auto"/>
        <w:ind w:firstLine="354"/>
        <w:jc w:val="left"/>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1</w:t>
      </w:r>
      <w:r>
        <w:rPr>
          <w:rFonts w:hint="eastAsia" w:ascii="黑体" w:hAnsi="黑体" w:eastAsia="黑体" w:cs="宋体"/>
          <w:b/>
          <w:bCs/>
          <w:color w:val="000000" w:themeColor="text1"/>
          <w:sz w:val="24"/>
          <w:highlight w:val="none"/>
          <w14:textFill>
            <w14:solidFill>
              <w14:schemeClr w14:val="tx1"/>
            </w14:solidFill>
          </w14:textFill>
        </w:rPr>
        <w:t>.资格审查</w:t>
      </w:r>
    </w:p>
    <w:p w14:paraId="6571B08B">
      <w:pPr>
        <w:spacing w:line="360" w:lineRule="auto"/>
        <w:ind w:firstLine="420"/>
        <w:rPr>
          <w:rFonts w:hint="eastAsia" w:ascii="宋体" w:hAnsi="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响应文件开启后，磋商小组依法对供应商的资格证明文件进行审查。</w:t>
      </w:r>
    </w:p>
    <w:p w14:paraId="558EC43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color w:val="000000" w:themeColor="text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14:paraId="610B997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（1）查询渠道：广西政府采购云平台“信用中国”网站（www.creditchina.gov.cn）、中国政府采购网（www.ccgp.gov.cn）链接入口。</w:t>
      </w:r>
    </w:p>
    <w:p w14:paraId="150BA91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7B6209E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14:paraId="7B21DD9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highlight w:val="none"/>
          <w14:textFill>
            <w14:solidFill>
              <w14:schemeClr w14:val="tx1"/>
            </w14:solidFill>
          </w14:textFill>
        </w:rPr>
        <w:t>。</w:t>
      </w:r>
    </w:p>
    <w:p w14:paraId="5D3FF15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.2资格审查标准为本磋商文件中载明对供应商资格要求的条件。资格审查采用合格制，凡符合磋商文件规定的供应商资格要求的响应文件均通过资格审查。</w:t>
      </w:r>
    </w:p>
    <w:p w14:paraId="791B0CBE">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.3供应商有下列情形之一的，资格审查不通过，其响应文件按无效处理：</w:t>
      </w:r>
    </w:p>
    <w:p w14:paraId="1DC4C951">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）不具备磋商文件中规定的资格要求的；</w:t>
      </w:r>
    </w:p>
    <w:p w14:paraId="216BD84F">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（2）未按磋商文件规定的方式获取本磋商文件的供应商；</w:t>
      </w:r>
    </w:p>
    <w:p w14:paraId="415604CC">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）响应文件的资格证明文件缺少任一项“供应商须知前附表”资格证明文件规定的“必须提供”的文件资料的；</w:t>
      </w:r>
    </w:p>
    <w:p w14:paraId="1C02E57F">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）响应文件中的资格证明文件出现任一项不符合“供应商须知前附表”资格证明文件规定的“必须提供”的文件资料要求或者无效的；</w:t>
      </w:r>
    </w:p>
    <w:p w14:paraId="362AF561">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2914659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应当重新开展采购活动。</w:t>
      </w:r>
    </w:p>
    <w:p w14:paraId="0E89A25B">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w:t>
      </w:r>
      <w:r>
        <w:rPr>
          <w:rFonts w:hint="eastAsia" w:ascii="黑体" w:hAnsi="黑体" w:eastAsia="黑体" w:cs="宋体"/>
          <w:b/>
          <w:bCs/>
          <w:color w:val="000000" w:themeColor="text1"/>
          <w:sz w:val="24"/>
          <w:highlight w:val="none"/>
          <w14:textFill>
            <w14:solidFill>
              <w14:schemeClr w14:val="tx1"/>
            </w14:solidFill>
          </w14:textFill>
        </w:rPr>
        <w:t>.符合性审查</w:t>
      </w:r>
    </w:p>
    <w:p w14:paraId="51262A64">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63" w:name="_Hlk42528882"/>
      <w:r>
        <w:rPr>
          <w:rFonts w:ascii="宋体" w:hAnsi="宋体" w:cs="宋体"/>
          <w:color w:val="000000" w:themeColor="text1"/>
          <w:szCs w:val="21"/>
          <w:highlight w:val="none"/>
          <w14:textFill>
            <w14:solidFill>
              <w14:schemeClr w14:val="tx1"/>
            </w14:solidFill>
          </w14:textFill>
        </w:rPr>
        <w:t>2.1</w:t>
      </w:r>
      <w:r>
        <w:rPr>
          <w:rFonts w:hint="eastAsia" w:ascii="宋体" w:hAnsi="宋体" w:cs="宋体"/>
          <w:color w:val="000000" w:themeColor="text1"/>
          <w:szCs w:val="21"/>
          <w:highlight w:val="none"/>
          <w14:textFill>
            <w14:solidFill>
              <w14:schemeClr w14:val="tx1"/>
            </w14:solidFill>
          </w14:textFill>
        </w:rPr>
        <w:t>磋商小组对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的响应文件的竞标报价、商务、技术等实质性要求进行符合性审查，以确定其是否满足磋商文件的实质性要求。</w:t>
      </w:r>
      <w:bookmarkEnd w:id="63"/>
    </w:p>
    <w:p w14:paraId="4035140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2.2</w:t>
      </w:r>
      <w:r>
        <w:rPr>
          <w:rFonts w:hint="eastAsia" w:ascii="宋体" w:hAnsi="宋体" w:cs="宋体"/>
          <w:color w:val="000000" w:themeColor="text1"/>
          <w:szCs w:val="21"/>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F4EE268">
      <w:pPr>
        <w:spacing w:line="360" w:lineRule="auto"/>
        <w:ind w:firstLine="420"/>
        <w:rPr>
          <w:rFonts w:hint="eastAsia" w:ascii="宋体" w:hAnsi="宋体" w:cs="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磋商小组要求供应商澄清、说明或者更正响应文件应当以电子澄清函形式作出。供应商的澄清、说明或者更正应当</w:t>
      </w:r>
      <w:r>
        <w:rPr>
          <w:rFonts w:hint="eastAsia" w:ascii="宋体" w:hAnsi="宋体" w:cs="宋体"/>
          <w:color w:val="000000" w:themeColor="text1"/>
          <w:szCs w:val="21"/>
          <w:highlight w:val="none"/>
          <w:lang w:eastAsia="zh-CN"/>
          <w14:textFill>
            <w14:solidFill>
              <w14:schemeClr w14:val="tx1"/>
            </w14:solidFill>
          </w14:textFill>
        </w:rPr>
        <w:t>以</w:t>
      </w:r>
      <w:r>
        <w:rPr>
          <w:rFonts w:hint="eastAsia" w:ascii="宋体" w:hAnsi="宋体" w:cs="宋体"/>
          <w:color w:val="000000" w:themeColor="text1"/>
          <w:szCs w:val="21"/>
          <w:highlight w:val="none"/>
          <w14:textFill>
            <w14:solidFill>
              <w14:schemeClr w14:val="tx1"/>
            </w14:solidFill>
          </w14:textFill>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14:paraId="205085A7">
      <w:pPr>
        <w:spacing w:line="360" w:lineRule="auto"/>
        <w:ind w:firstLine="420"/>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C24114A">
      <w:pPr>
        <w:spacing w:line="360" w:lineRule="auto"/>
        <w:ind w:firstLine="396"/>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6"/>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14:paraId="1EB8118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168488F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75870BF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58E2472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7BD0E0A9">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同时出现两种以上不一致的，按照以上（1）-（4）规定的顺序逐条进行修正。修正后的报价经供应商确认后产生约束力，供应商不确认的，其响应文件按无效处理。</w:t>
      </w:r>
    </w:p>
    <w:p w14:paraId="17479B6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商务技术报价评审</w:t>
      </w:r>
    </w:p>
    <w:p w14:paraId="31215007">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在评审时，如发现下列情形之一的，将被视为响应文件无效处理：</w:t>
      </w:r>
    </w:p>
    <w:p w14:paraId="6607EA51">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（1）商务技术评审</w:t>
      </w:r>
    </w:p>
    <w:p w14:paraId="58B51418">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1）响应文件未按磋商文件要求签署、盖章的；</w:t>
      </w:r>
    </w:p>
    <w:p w14:paraId="35D0C16C">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2）委托代理人未能出具有效身份证或者出具的身份证与授权委托书中的信息不符的； </w:t>
      </w:r>
    </w:p>
    <w:p w14:paraId="24992ADF">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3）提交的磋商保证金无效的或者未按照磋商文件的规定提交磋商保证金的；</w:t>
      </w:r>
    </w:p>
    <w:p w14:paraId="230E704D">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7BF6F1CA">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5）商务要求允许负偏离的条款数超过“供应商须知前附表”规定项数的；</w:t>
      </w:r>
    </w:p>
    <w:p w14:paraId="4BA6DEF3">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6）未对竞标有效期作出响应或者响应文件承诺的竞标有效期不满足磋商文件要求的；</w:t>
      </w:r>
    </w:p>
    <w:p w14:paraId="5BC3E0D3">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7）响应文件的实质性内容未使用中文表述、使用计量单位不符合磋商文件要求的；</w:t>
      </w:r>
    </w:p>
    <w:p w14:paraId="0494E29C">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8）响应文件中的文件资料因填写不齐全或者内容虚假或者出现其他情形而导致被磋商小组认定无效的；</w:t>
      </w:r>
    </w:p>
    <w:p w14:paraId="5EC639FC">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9）响应文件含有采购人不能接受的附加条件的；</w:t>
      </w:r>
    </w:p>
    <w:p w14:paraId="75AB650A">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10）属于“供应商须知正文”第7.</w:t>
      </w:r>
      <w:r>
        <w:rPr>
          <w:rFonts w:ascii="宋体" w:hAnsi="宋体" w:cs="宋体"/>
          <w:b/>
          <w:color w:val="000000" w:themeColor="text1"/>
          <w:szCs w:val="21"/>
          <w:highlight w:val="none"/>
          <w14:textFill>
            <w14:solidFill>
              <w14:schemeClr w14:val="tx1"/>
            </w14:solidFill>
          </w14:textFill>
        </w:rPr>
        <w:t>5</w:t>
      </w:r>
      <w:r>
        <w:rPr>
          <w:rFonts w:hint="eastAsia" w:ascii="宋体" w:hAnsi="宋体" w:cs="宋体"/>
          <w:b/>
          <w:color w:val="000000" w:themeColor="text1"/>
          <w:szCs w:val="21"/>
          <w:highlight w:val="none"/>
          <w14:textFill>
            <w14:solidFill>
              <w14:schemeClr w14:val="tx1"/>
            </w14:solidFill>
          </w14:textFill>
        </w:rPr>
        <w:t>条供应商相互串通竞标情形的；</w:t>
      </w:r>
    </w:p>
    <w:p w14:paraId="4B50316F">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1）技术要求允许负偏离的条款数超过“供应商须知前附表”规定项数的；</w:t>
      </w:r>
    </w:p>
    <w:p w14:paraId="5E855274">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2）虚假竞标，或者出现其他情形而导致被磋商小组认定无效的；</w:t>
      </w:r>
    </w:p>
    <w:p w14:paraId="3BB911E5">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3）</w:t>
      </w:r>
      <w:bookmarkStart w:id="64" w:name="_Hlk71704147"/>
      <w:r>
        <w:rPr>
          <w:rFonts w:hint="eastAsia" w:ascii="宋体" w:hAnsi="宋体" w:cs="宋体"/>
          <w:b/>
          <w:color w:val="000000" w:themeColor="text1"/>
          <w:szCs w:val="21"/>
          <w:highlight w:val="none"/>
          <w14:textFill>
            <w14:solidFill>
              <w14:schemeClr w14:val="tx1"/>
            </w14:solidFill>
          </w14:textFill>
        </w:rPr>
        <w:t>磋商文件未载明允许提供备选（替代）竞标方案或明确不允许提供备选（替代）竞标方案时，供应商提供了备选（替代）竞标方案的；</w:t>
      </w:r>
      <w:bookmarkEnd w:id="64"/>
    </w:p>
    <w:p w14:paraId="45F04B4B">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4）响应文件标注的项目名称或者项目编号与磋商文件标注的项目名称或者项目编号不一致的；</w:t>
      </w:r>
    </w:p>
    <w:p w14:paraId="2E855291">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w:t>
      </w:r>
      <w:r>
        <w:rPr>
          <w:rFonts w:hint="eastAsia" w:ascii="宋体" w:hAnsi="宋体"/>
          <w:b/>
          <w:color w:val="000000" w:themeColor="text1"/>
          <w:szCs w:val="21"/>
          <w:highlight w:val="none"/>
          <w14:textFill>
            <w14:solidFill>
              <w14:schemeClr w14:val="tx1"/>
            </w14:solidFill>
          </w14:textFill>
        </w:rPr>
        <w:t>竞争性磋商文件明确不允许分包，响应文件拟分包的；</w:t>
      </w:r>
    </w:p>
    <w:p w14:paraId="4BBD41BE">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6）未响应磋商文件实质性要求的；</w:t>
      </w:r>
    </w:p>
    <w:p w14:paraId="368FF149">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17）法律、法规和磋商文件规定的其他无效情形。</w:t>
      </w:r>
    </w:p>
    <w:p w14:paraId="4B286080">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w:t>
      </w:r>
      <w:r>
        <w:rPr>
          <w:rFonts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）报价评审</w:t>
      </w:r>
    </w:p>
    <w:p w14:paraId="670AE650">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1）响应文件未提供“供应商须知前附表” 报价文件中规定的“竞标报价表”的；</w:t>
      </w:r>
    </w:p>
    <w:p w14:paraId="283286C5">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2）未采用人民币报价或者未按照磋商文件标明的币种报价的；</w:t>
      </w:r>
    </w:p>
    <w:p w14:paraId="35690923">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199047D4">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w:t>
      </w:r>
      <w:bookmarkStart w:id="65" w:name="_Hlk42596405"/>
      <w:r>
        <w:rPr>
          <w:rFonts w:hint="eastAsia" w:ascii="宋体" w:hAnsi="宋体" w:cs="宋体"/>
          <w:b/>
          <w:color w:val="000000" w:themeColor="text1"/>
          <w:szCs w:val="21"/>
          <w:highlight w:val="none"/>
          <w14:textFill>
            <w14:solidFill>
              <w14:schemeClr w14:val="tx1"/>
            </w14:solidFill>
          </w14:textFill>
        </w:rPr>
        <w:t>竞标报价（包含首次报价、最后报价）</w:t>
      </w:r>
      <w:bookmarkEnd w:id="65"/>
      <w:bookmarkStart w:id="66" w:name="_Hlk42596276"/>
      <w:r>
        <w:rPr>
          <w:rFonts w:hint="eastAsia" w:ascii="宋体" w:hAnsi="宋体" w:cs="宋体"/>
          <w:b/>
          <w:color w:val="000000" w:themeColor="text1"/>
          <w:szCs w:val="21"/>
          <w:highlight w:val="none"/>
          <w14:textFill>
            <w14:solidFill>
              <w14:schemeClr w14:val="tx1"/>
            </w14:solidFill>
          </w14:textFill>
        </w:rPr>
        <w:t>超过磋商文件分项采购预算金额或者最高限价的</w:t>
      </w:r>
      <w:bookmarkEnd w:id="66"/>
      <w:r>
        <w:rPr>
          <w:rFonts w:hint="eastAsia" w:ascii="宋体" w:hAnsi="宋体" w:cs="宋体"/>
          <w:b/>
          <w:color w:val="000000" w:themeColor="text1"/>
          <w:szCs w:val="21"/>
          <w:highlight w:val="none"/>
          <w14:textFill>
            <w14:solidFill>
              <w14:schemeClr w14:val="tx1"/>
            </w14:solidFill>
          </w14:textFill>
        </w:rPr>
        <w:t>（如本项目有要求并公布了分项采购预算金额或者最高限价）；</w:t>
      </w:r>
    </w:p>
    <w:p w14:paraId="4F2047C3">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246DE313">
      <w:p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w:t>
      </w:r>
      <w:r>
        <w:rPr>
          <w:rFonts w:hint="eastAsia" w:ascii="宋体" w:hAnsi="宋体"/>
          <w:b/>
          <w:color w:val="000000" w:themeColor="text1"/>
          <w:szCs w:val="21"/>
          <w:highlight w:val="none"/>
          <w14:textFill>
            <w14:solidFill>
              <w14:schemeClr w14:val="tx1"/>
            </w14:solidFill>
          </w14:textFill>
        </w:rPr>
        <w:t>响应文件响应的标的数量及单位与竞争性磋商采购文件要求实质性不一致的；</w:t>
      </w:r>
    </w:p>
    <w:p w14:paraId="26AD2493">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7）未响应磋商文件实质性要求的。</w:t>
      </w:r>
    </w:p>
    <w:p w14:paraId="6E5D7BAD">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8）安全文明施工费和规费、增值税不按广西区费用定额及造价管理相关文件规定报价的（园林绿化及仿古建筑工程除外）；</w:t>
      </w:r>
    </w:p>
    <w:p w14:paraId="4EF86C96">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9）供应商已标价工程量清单的项目编码（12位）、计量单位、工程量任何一处与工程量清单不一致的；</w:t>
      </w:r>
    </w:p>
    <w:p w14:paraId="53462325">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供应商已标价工程量清单的项目名称或项目特征与工程量清单不一致，磋商小组要求澄清、说明或补正，但供应商拒绝澄清、说明或补正的；（注：适用于房屋建筑和市政工程项目，其他类型项目时请删除该条款并调整序号）</w:t>
      </w:r>
    </w:p>
    <w:p w14:paraId="46F0C65B">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11）设有暂估价、暂列金额的，竞标时未按工程量清单给出的暂估价总价、暂列金额总价计入竞标总报价中的；</w:t>
      </w:r>
    </w:p>
    <w:p w14:paraId="3757C691">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12）供应商对工程量清单内容进行增减或对竞标范围进行调整的；</w:t>
      </w:r>
    </w:p>
    <w:p w14:paraId="77153DBD">
      <w:p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w:t>
      </w:r>
      <w:r>
        <w:rPr>
          <w:rFonts w:hint="eastAsia" w:ascii="宋体" w:hAnsi="宋体"/>
          <w:b/>
          <w:color w:val="000000" w:themeColor="text1"/>
          <w:szCs w:val="21"/>
          <w:highlight w:val="none"/>
          <w14:textFill>
            <w14:solidFill>
              <w14:schemeClr w14:val="tx1"/>
            </w14:solidFill>
          </w14:textFill>
        </w:rPr>
        <w:t>响应文件响应的标的数量及单位与竞争性磋商采购文件要求实质性不一致的；</w:t>
      </w:r>
    </w:p>
    <w:p w14:paraId="714A9E71">
      <w:pPr>
        <w:spacing w:line="360" w:lineRule="auto"/>
        <w:ind w:firstLine="422"/>
        <w:rPr>
          <w:rFonts w:ascii="宋体" w:hAnsi="宋体"/>
          <w:b/>
          <w:color w:val="000000" w:themeColor="text1"/>
          <w:szCs w:val="21"/>
          <w:highlight w:val="none"/>
          <w14:textFill>
            <w14:solidFill>
              <w14:schemeClr w14:val="tx1"/>
            </w14:solidFill>
          </w14:textFill>
        </w:rPr>
      </w:pPr>
      <w:bookmarkStart w:id="67" w:name="_Hlk188371373"/>
      <w:r>
        <w:rPr>
          <w:rFonts w:hint="eastAsia" w:ascii="宋体" w:hAnsi="宋体"/>
          <w:b/>
          <w:color w:val="000000" w:themeColor="text1"/>
          <w:szCs w:val="21"/>
          <w:highlight w:val="none"/>
          <w14:textFill>
            <w14:solidFill>
              <w14:schemeClr w14:val="tx1"/>
            </w14:solidFill>
          </w14:textFill>
        </w:rPr>
        <w:t>14）竞标函附录的承诺</w:t>
      </w:r>
      <w:bookmarkStart w:id="68" w:name="_Hlk188372203"/>
      <w:r>
        <w:rPr>
          <w:rFonts w:hint="eastAsia" w:ascii="宋体" w:hAnsi="宋体"/>
          <w:b/>
          <w:color w:val="000000" w:themeColor="text1"/>
          <w:szCs w:val="21"/>
          <w:highlight w:val="none"/>
          <w14:textFill>
            <w14:solidFill>
              <w14:schemeClr w14:val="tx1"/>
            </w14:solidFill>
          </w14:textFill>
        </w:rPr>
        <w:t>不</w:t>
      </w:r>
      <w:bookmarkEnd w:id="68"/>
      <w:r>
        <w:rPr>
          <w:rFonts w:hint="eastAsia" w:ascii="宋体" w:hAnsi="宋体"/>
          <w:b/>
          <w:color w:val="000000" w:themeColor="text1"/>
          <w:szCs w:val="21"/>
          <w:highlight w:val="none"/>
          <w14:textFill>
            <w14:solidFill>
              <w14:schemeClr w14:val="tx1"/>
            </w14:solidFill>
          </w14:textFill>
        </w:rPr>
        <w:t>符合磋商文件规定的；</w:t>
      </w:r>
      <w:bookmarkEnd w:id="67"/>
    </w:p>
    <w:p w14:paraId="728865E0">
      <w:p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15）</w:t>
      </w:r>
      <w:bookmarkStart w:id="69" w:name="_Hlk220404454"/>
      <w:r>
        <w:rPr>
          <w:rFonts w:hint="eastAsia" w:ascii="宋体" w:hAnsi="宋体"/>
          <w:b/>
          <w:color w:val="000000" w:themeColor="text1"/>
          <w:szCs w:val="21"/>
          <w:highlight w:val="none"/>
          <w14:textFill>
            <w14:solidFill>
              <w14:schemeClr w14:val="tx1"/>
            </w14:solidFill>
          </w14:textFill>
        </w:rPr>
        <w:t>磋商小组启动异常低价响应审查后，供应商不能提供书面说明、证明材料，或者提供的书面说明、证明材料不能证明其报价合理性的</w:t>
      </w:r>
      <w:bookmarkEnd w:id="69"/>
      <w:r>
        <w:rPr>
          <w:rFonts w:hint="eastAsia" w:ascii="宋体" w:hAnsi="宋体"/>
          <w:b/>
          <w:color w:val="000000" w:themeColor="text1"/>
          <w:szCs w:val="21"/>
          <w:highlight w:val="none"/>
          <w14:textFill>
            <w14:solidFill>
              <w14:schemeClr w14:val="tx1"/>
            </w14:solidFill>
          </w14:textFill>
        </w:rPr>
        <w:t>；</w:t>
      </w:r>
    </w:p>
    <w:p w14:paraId="55745A4A">
      <w:pPr>
        <w:spacing w:line="360" w:lineRule="auto"/>
        <w:ind w:firstLine="422"/>
        <w:rPr>
          <w:rFonts w:ascii="宋体" w:hAnsi="宋体" w:cs="宋体"/>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6）未响应磋商文件实质性要求的。</w:t>
      </w:r>
    </w:p>
    <w:p w14:paraId="5B60D89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w:t>
      </w:r>
      <w:r>
        <w:rPr>
          <w:rFonts w:hint="eastAsia" w:ascii="宋体" w:hAnsi="宋体" w:cs="宋体"/>
          <w:color w:val="000000" w:themeColor="text1"/>
          <w:szCs w:val="21"/>
          <w:highlight w:val="none"/>
          <w14:textFill>
            <w14:solidFill>
              <w14:schemeClr w14:val="tx1"/>
            </w14:solidFill>
          </w14:textFill>
        </w:rPr>
        <w:t>磋商小组对响应文件进行评审，未实质性响应磋商文件的响应文件按无效处理，磋商小组应当将资格和符合性不通过的情况告知有关供应商。</w:t>
      </w:r>
    </w:p>
    <w:p w14:paraId="2D630E9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olor w:val="000000" w:themeColor="text1"/>
          <w:szCs w:val="21"/>
          <w:highlight w:val="none"/>
          <w14:textFill>
            <w14:solidFill>
              <w14:schemeClr w14:val="tx1"/>
            </w14:solidFill>
          </w14:textFill>
        </w:rPr>
        <w:t>通过符合性审查的合格供应商不足3家的，不得进入磋商环节，应当重新开展采购活动。</w:t>
      </w:r>
    </w:p>
    <w:p w14:paraId="4C33DE52">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.磋商程序</w:t>
      </w:r>
    </w:p>
    <w:p w14:paraId="7CE4C85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6FE7195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FC4B13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3.3</w:t>
      </w:r>
      <w:r>
        <w:rPr>
          <w:rFonts w:hint="eastAsia" w:ascii="宋体" w:hAnsi="宋体" w:cs="宋体"/>
          <w:color w:val="000000" w:themeColor="text1"/>
          <w:szCs w:val="21"/>
          <w:highlight w:val="none"/>
          <w14:textFill>
            <w14:solidFill>
              <w14:schemeClr w14:val="tx1"/>
            </w14:solidFill>
          </w14:textFill>
        </w:rPr>
        <w:t>对磋商文件作出的实质性变动是磋商文件的有效组成部分，由磋商小组及时以电子澄清函形式同时通知所有参加磋商的供应商。</w:t>
      </w:r>
    </w:p>
    <w:p w14:paraId="07CF803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3E77AEA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3.5</w:t>
      </w:r>
      <w:r>
        <w:rPr>
          <w:rFonts w:hint="eastAsia" w:ascii="宋体" w:hAnsi="宋体" w:cs="宋体"/>
          <w:color w:val="000000" w:themeColor="text1"/>
          <w:szCs w:val="21"/>
          <w:highlight w:val="none"/>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highlight w:val="none"/>
          <w14:textFill>
            <w14:solidFill>
              <w14:schemeClr w14:val="tx1"/>
            </w14:solidFill>
          </w14:textFill>
        </w:rPr>
        <w:t>。</w:t>
      </w:r>
    </w:p>
    <w:p w14:paraId="107323BE">
      <w:pPr>
        <w:widowControl/>
        <w:tabs>
          <w:tab w:val="left" w:pos="540"/>
        </w:tabs>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3.6</w:t>
      </w:r>
      <w:r>
        <w:rPr>
          <w:rFonts w:hint="eastAsia" w:ascii="宋体" w:hAnsi="宋体" w:cs="宋体"/>
          <w:color w:val="000000" w:themeColor="text1"/>
          <w:szCs w:val="21"/>
          <w:highlight w:val="none"/>
          <w14:textFill>
            <w14:solidFill>
              <w14:schemeClr w14:val="tx1"/>
            </w14:solidFill>
          </w14:textFill>
        </w:rPr>
        <w:t>采购代理机构对磋商过程和磋商内容进行记录。</w:t>
      </w:r>
    </w:p>
    <w:p w14:paraId="2C2EEDEA">
      <w:pPr>
        <w:widowControl/>
        <w:tabs>
          <w:tab w:val="left" w:pos="540"/>
        </w:tabs>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.7</w:t>
      </w:r>
      <w:r>
        <w:rPr>
          <w:color w:val="000000" w:themeColor="text1"/>
          <w:highlight w:val="none"/>
          <w14:textFill>
            <w14:solidFill>
              <w14:schemeClr w14:val="tx1"/>
            </w14:solidFill>
          </w14:textFill>
        </w:rPr>
        <w:t>根据《</w:t>
      </w:r>
      <w:r>
        <w:rPr>
          <w:rFonts w:ascii="宋体" w:hAnsi="宋体"/>
          <w:color w:val="000000" w:themeColor="text1"/>
          <w:highlight w:val="none"/>
          <w14:textFill>
            <w14:solidFill>
              <w14:schemeClr w14:val="tx1"/>
            </w14:solidFill>
          </w14:textFill>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F6A0533">
      <w:pPr>
        <w:tabs>
          <w:tab w:val="left" w:pos="2835"/>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3.8除</w:t>
      </w:r>
      <w:r>
        <w:rPr>
          <w:rFonts w:ascii="宋体" w:hAnsi="宋体"/>
          <w:color w:val="000000" w:themeColor="text1"/>
          <w:highlight w:val="none"/>
          <w14:textFill>
            <w14:solidFill>
              <w14:schemeClr w14:val="tx1"/>
            </w14:solidFill>
          </w14:textFill>
        </w:rPr>
        <w:t>本章第3.7条</w:t>
      </w:r>
      <w:r>
        <w:rPr>
          <w:rFonts w:hint="eastAsia" w:ascii="宋体" w:hAnsi="宋体"/>
          <w:color w:val="000000" w:themeColor="text1"/>
          <w:highlight w:val="none"/>
          <w14:textFill>
            <w14:solidFill>
              <w14:schemeClr w14:val="tx1"/>
            </w14:solidFill>
          </w14:textFill>
        </w:rPr>
        <w:t>规定的</w:t>
      </w:r>
      <w:r>
        <w:rPr>
          <w:rFonts w:ascii="宋体" w:hAnsi="宋体"/>
          <w:color w:val="000000" w:themeColor="text1"/>
          <w:highlight w:val="none"/>
          <w14:textFill>
            <w14:solidFill>
              <w14:schemeClr w14:val="tx1"/>
            </w14:solidFill>
          </w14:textFill>
        </w:rPr>
        <w:t>情形</w:t>
      </w:r>
      <w:r>
        <w:rPr>
          <w:rFonts w:hint="eastAsia" w:ascii="宋体" w:hAnsi="宋体"/>
          <w:color w:val="000000" w:themeColor="text1"/>
          <w:highlight w:val="none"/>
          <w14:textFill>
            <w14:solidFill>
              <w14:schemeClr w14:val="tx1"/>
            </w14:solidFill>
          </w14:textFill>
        </w:rPr>
        <w:t>外，</w:t>
      </w:r>
      <w:r>
        <w:rPr>
          <w:rFonts w:hint="eastAsia" w:ascii="宋体" w:hAnsi="宋体"/>
          <w:color w:val="000000" w:themeColor="text1"/>
          <w:szCs w:val="21"/>
          <w:highlight w:val="none"/>
          <w14:textFill>
            <w14:solidFill>
              <w14:schemeClr w14:val="tx1"/>
            </w14:solidFill>
          </w14:textFill>
        </w:rPr>
        <w:t>对磋商过程提交的响应文件进行有效性、完整性和响应程度审查，通过审查的合格供应商不足3家的，应当重新开展采购活动。</w:t>
      </w:r>
    </w:p>
    <w:p w14:paraId="41562B2D">
      <w:pPr>
        <w:spacing w:line="360" w:lineRule="auto"/>
        <w:ind w:firstLine="482"/>
        <w:rPr>
          <w:rFonts w:hint="eastAsia" w:ascii="宋体" w:hAnsi="宋体" w:cs="宋体"/>
          <w:color w:val="000000" w:themeColor="text1"/>
          <w:szCs w:val="21"/>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4.</w:t>
      </w:r>
      <w:r>
        <w:rPr>
          <w:rFonts w:hint="eastAsia" w:ascii="黑体" w:hAnsi="黑体" w:eastAsia="黑体" w:cs="宋体"/>
          <w:b/>
          <w:bCs/>
          <w:color w:val="000000" w:themeColor="text1"/>
          <w:sz w:val="24"/>
          <w:highlight w:val="none"/>
          <w14:textFill>
            <w14:solidFill>
              <w14:schemeClr w14:val="tx1"/>
            </w14:solidFill>
          </w14:textFill>
        </w:rPr>
        <w:t xml:space="preserve"> 最后报价</w:t>
      </w:r>
    </w:p>
    <w:p w14:paraId="21C3394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条规定的情形外，提交最后报价的供应商不得少于3家，否则应当重新</w:t>
      </w:r>
      <w:r>
        <w:rPr>
          <w:rFonts w:hint="eastAsia" w:ascii="宋体" w:hAnsi="宋体"/>
          <w:color w:val="000000" w:themeColor="text1"/>
          <w:szCs w:val="21"/>
          <w:highlight w:val="none"/>
          <w14:textFill>
            <w14:solidFill>
              <w14:schemeClr w14:val="tx1"/>
            </w14:solidFill>
          </w14:textFill>
        </w:rPr>
        <w:t>开展采购活动</w:t>
      </w:r>
      <w:r>
        <w:rPr>
          <w:rFonts w:hint="eastAsia" w:ascii="宋体" w:hAnsi="宋体" w:cs="宋体"/>
          <w:color w:val="000000" w:themeColor="text1"/>
          <w:szCs w:val="21"/>
          <w:highlight w:val="none"/>
          <w14:textFill>
            <w14:solidFill>
              <w14:schemeClr w14:val="tx1"/>
            </w14:solidFill>
          </w14:textFill>
        </w:rPr>
        <w:t>。</w:t>
      </w:r>
    </w:p>
    <w:p w14:paraId="5AC28B4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245CE68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 xml:space="preserve"> 最后报价是供应商响应文件的有效组成部分。</w:t>
      </w:r>
    </w:p>
    <w:p w14:paraId="1B03953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符合《政府采购竞争性磋商采购方式管理暂行办法》（财库〔2014〕214号）第三条第四项“市场竞争不充分的科研项目，以及需要扶持的科技成果转化项目”和</w:t>
      </w:r>
      <w:r>
        <w:rPr>
          <w:color w:val="000000" w:themeColor="text1"/>
          <w:highlight w:val="none"/>
          <w14:textFill>
            <w14:solidFill>
              <w14:schemeClr w14:val="tx1"/>
            </w14:solidFill>
          </w14:textFill>
        </w:rPr>
        <w:t>本章</w:t>
      </w:r>
      <w:r>
        <w:rPr>
          <w:rFonts w:ascii="宋体" w:hAnsi="宋体"/>
          <w:color w:val="000000" w:themeColor="text1"/>
          <w:highlight w:val="none"/>
          <w14:textFill>
            <w14:solidFill>
              <w14:schemeClr w14:val="tx1"/>
            </w14:solidFill>
          </w14:textFill>
        </w:rPr>
        <w:t>第3.7条</w:t>
      </w:r>
      <w:r>
        <w:rPr>
          <w:rFonts w:hint="eastAsia" w:ascii="宋体" w:hAnsi="宋体" w:cs="宋体"/>
          <w:color w:val="000000" w:themeColor="text1"/>
          <w:szCs w:val="21"/>
          <w:highlight w:val="none"/>
          <w14:textFill>
            <w14:solidFill>
              <w14:schemeClr w14:val="tx1"/>
            </w14:solidFill>
          </w14:textFill>
        </w:rPr>
        <w:t>规定</w:t>
      </w:r>
      <w:r>
        <w:rPr>
          <w:color w:val="000000" w:themeColor="text1"/>
          <w:highlight w:val="none"/>
          <w14:textFill>
            <w14:solidFill>
              <w14:schemeClr w14:val="tx1"/>
            </w14:solidFill>
          </w14:textFill>
        </w:rPr>
        <w:t>情形的，</w:t>
      </w:r>
      <w:r>
        <w:rPr>
          <w:rFonts w:hint="eastAsia" w:ascii="宋体" w:hAnsi="宋体" w:cs="宋体"/>
          <w:color w:val="000000" w:themeColor="text1"/>
          <w:szCs w:val="21"/>
          <w:highlight w:val="none"/>
          <w14:textFill>
            <w14:solidFill>
              <w14:schemeClr w14:val="tx1"/>
            </w14:solidFill>
          </w14:textFill>
        </w:rPr>
        <w:t>提交最后报价的供应商可以为2家。</w:t>
      </w:r>
    </w:p>
    <w:p w14:paraId="73803B3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4.4</w:t>
      </w:r>
      <w:r>
        <w:rPr>
          <w:rFonts w:hint="eastAsia" w:ascii="宋体" w:hAnsi="宋体" w:cs="宋体"/>
          <w:color w:val="000000" w:themeColor="text1"/>
          <w:szCs w:val="21"/>
          <w:highlight w:val="none"/>
          <w14:textFill>
            <w14:solidFill>
              <w14:schemeClr w14:val="tx1"/>
            </w14:solidFill>
          </w14:textFill>
        </w:rPr>
        <w:t>已经提交响应文件的供应商，在提交最后报价之前，可以根据磋商情况退出磋商，退出磋商的供应商的响应文件按无效处理。采购人、采购代理机构将退还退出磋商的供应商的保证金。</w:t>
      </w:r>
    </w:p>
    <w:p w14:paraId="196C9DD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4.5</w:t>
      </w:r>
      <w:r>
        <w:rPr>
          <w:rFonts w:hint="eastAsia" w:ascii="宋体" w:hAnsi="宋体" w:cs="宋体"/>
          <w:color w:val="000000" w:themeColor="text1"/>
          <w:szCs w:val="21"/>
          <w:highlight w:val="none"/>
          <w14:textFill>
            <w14:solidFill>
              <w14:schemeClr w14:val="tx1"/>
            </w14:solidFill>
          </w14:textFill>
        </w:rPr>
        <w:t>供应商未在规定时间内提交最后报价的，视同退出磋商，其响应文件按无效处理。</w:t>
      </w:r>
    </w:p>
    <w:p w14:paraId="76EF706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4.6</w:t>
      </w:r>
      <w:r>
        <w:rPr>
          <w:rFonts w:hint="eastAsia" w:ascii="宋体" w:hAnsi="宋体" w:cs="宋体"/>
          <w:color w:val="000000" w:themeColor="text1"/>
          <w:szCs w:val="21"/>
          <w:highlight w:val="none"/>
          <w14:textFill>
            <w14:solidFill>
              <w14:schemeClr w14:val="tx1"/>
            </w14:solidFill>
          </w14:textFill>
        </w:rPr>
        <w:t>最后报价统一开启后，磋商小组对最后报价进行有效性、完整性和响应程度的审查。</w:t>
      </w:r>
    </w:p>
    <w:p w14:paraId="5AB82DE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4.7</w:t>
      </w:r>
      <w:r>
        <w:rPr>
          <w:rFonts w:hint="eastAsia" w:ascii="宋体" w:hAnsi="宋体" w:cs="宋体"/>
          <w:color w:val="000000" w:themeColor="text1"/>
          <w:szCs w:val="21"/>
          <w:highlight w:val="none"/>
          <w14:textFill>
            <w14:solidFill>
              <w14:schemeClr w14:val="tx1"/>
            </w14:solidFill>
          </w14:textFill>
        </w:rPr>
        <w:t>最后报价出现前后不一致的，按照本章第</w:t>
      </w:r>
      <w:r>
        <w:rPr>
          <w:rFonts w:ascii="宋体" w:hAnsi="宋体" w:cs="宋体"/>
          <w:color w:val="000000" w:themeColor="text1"/>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条的规定修正。 </w:t>
      </w:r>
    </w:p>
    <w:p w14:paraId="66C6EFE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4.8</w:t>
      </w:r>
      <w:r>
        <w:rPr>
          <w:rFonts w:hint="eastAsia" w:ascii="宋体" w:hAnsi="宋体" w:cs="宋体"/>
          <w:color w:val="000000" w:themeColor="text1"/>
          <w:szCs w:val="21"/>
          <w:highlight w:val="none"/>
          <w14:textFill>
            <w14:solidFill>
              <w14:schemeClr w14:val="tx1"/>
            </w14:solidFill>
          </w14:textFill>
        </w:rPr>
        <w:t>修正后的报价出现下列情形的，按无效响应处理：</w:t>
      </w:r>
    </w:p>
    <w:p w14:paraId="78ED849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4B03BC3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14:paraId="6958687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（3）经供应商确认修正后的竞标报价（包含首次报价、最后报价）超过分项采购预算金额或者最高限价的（如本项目公布了最高限价）。</w:t>
      </w:r>
    </w:p>
    <w:p w14:paraId="427D10A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4.9</w:t>
      </w:r>
      <w:r>
        <w:rPr>
          <w:rFonts w:hint="eastAsia" w:ascii="宋体" w:hAnsi="宋体" w:cs="宋体"/>
          <w:color w:val="000000" w:themeColor="text1"/>
          <w:szCs w:val="21"/>
          <w:highlight w:val="none"/>
          <w14:textFill>
            <w14:solidFill>
              <w14:schemeClr w14:val="tx1"/>
            </w14:solidFill>
          </w14:textFill>
        </w:rPr>
        <w:t>经供应商确认修正后的最后报价作为评审及签订合同的依据。</w:t>
      </w:r>
    </w:p>
    <w:p w14:paraId="09518475">
      <w:pPr>
        <w:spacing w:line="360" w:lineRule="auto"/>
        <w:ind w:firstLine="424"/>
        <w:jc w:val="left"/>
        <w:rPr>
          <w:rFonts w:hint="eastAsia" w:ascii="宋体" w:hAnsi="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4.10</w:t>
      </w:r>
      <w:r>
        <w:rPr>
          <w:rFonts w:hint="eastAsia" w:ascii="宋体" w:hAnsi="宋体"/>
          <w:color w:val="000000" w:themeColor="text1"/>
          <w:szCs w:val="21"/>
          <w:highlight w:val="none"/>
          <w14:textFill>
            <w14:solidFill>
              <w14:schemeClr w14:val="tx1"/>
            </w14:solidFill>
          </w14:textFill>
        </w:rPr>
        <w:t>异常低价响应审查</w:t>
      </w:r>
    </w:p>
    <w:p w14:paraId="395F3165">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（1）磋商小组在评审中发现下列情形之一的，应当启动异常低价响应审查程序：</w:t>
      </w:r>
    </w:p>
    <w:p w14:paraId="01517C5F">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w:t>
      </w:r>
      <w:r>
        <w:rPr>
          <w:color w:val="000000" w:themeColor="text1"/>
          <w:highlight w:val="none"/>
          <w14:textFill>
            <w14:solidFill>
              <w14:schemeClr w14:val="tx1"/>
            </w14:solidFill>
          </w14:textFill>
        </w:rPr>
        <w:t>竞标报价</w:t>
      </w:r>
      <w:r>
        <w:rPr>
          <w:rFonts w:hint="eastAsia" w:ascii="宋体" w:hAnsi="宋体"/>
          <w:color w:val="000000" w:themeColor="text1"/>
          <w:szCs w:val="21"/>
          <w:highlight w:val="none"/>
          <w14:textFill>
            <w14:solidFill>
              <w14:schemeClr w14:val="tx1"/>
            </w14:solidFill>
          </w14:textFill>
        </w:rPr>
        <w:t>低于全部通过符合性审查供应商</w:t>
      </w:r>
      <w:r>
        <w:rPr>
          <w:color w:val="000000" w:themeColor="text1"/>
          <w:highlight w:val="none"/>
          <w14:textFill>
            <w14:solidFill>
              <w14:schemeClr w14:val="tx1"/>
            </w14:solidFill>
          </w14:textFill>
        </w:rPr>
        <w:t>竞标报价</w:t>
      </w:r>
      <w:r>
        <w:rPr>
          <w:rFonts w:hint="eastAsia" w:ascii="宋体" w:hAnsi="宋体"/>
          <w:color w:val="000000" w:themeColor="text1"/>
          <w:szCs w:val="21"/>
          <w:highlight w:val="none"/>
          <w14:textFill>
            <w14:solidFill>
              <w14:schemeClr w14:val="tx1"/>
            </w14:solidFill>
          </w14:textFill>
        </w:rPr>
        <w:t>平均值</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w:t>
      </w:r>
      <w:r>
        <w:rPr>
          <w:color w:val="000000" w:themeColor="text1"/>
          <w:highlight w:val="none"/>
          <w14:textFill>
            <w14:solidFill>
              <w14:schemeClr w14:val="tx1"/>
            </w14:solidFill>
          </w14:textFill>
        </w:rPr>
        <w:t>竞标报价</w:t>
      </w:r>
      <w:r>
        <w:rPr>
          <w:rFonts w:hint="eastAsia" w:ascii="宋体" w:hAnsi="宋体"/>
          <w:color w:val="000000" w:themeColor="text1"/>
          <w:szCs w:val="21"/>
          <w:highlight w:val="none"/>
          <w14:textFill>
            <w14:solidFill>
              <w14:schemeClr w14:val="tx1"/>
            </w14:solidFill>
          </w14:textFill>
        </w:rPr>
        <w:t>＜全部通过符合性审查供应商</w:t>
      </w:r>
      <w:r>
        <w:rPr>
          <w:color w:val="000000" w:themeColor="text1"/>
          <w:highlight w:val="none"/>
          <w14:textFill>
            <w14:solidFill>
              <w14:schemeClr w14:val="tx1"/>
            </w14:solidFill>
          </w14:textFill>
        </w:rPr>
        <w:t>竞标报价</w:t>
      </w:r>
      <w:r>
        <w:rPr>
          <w:rFonts w:hint="eastAsia" w:ascii="宋体" w:hAnsi="宋体"/>
          <w:color w:val="000000" w:themeColor="text1"/>
          <w:szCs w:val="21"/>
          <w:highlight w:val="none"/>
          <w14:textFill>
            <w14:solidFill>
              <w14:schemeClr w14:val="tx1"/>
            </w14:solidFill>
          </w14:textFill>
        </w:rPr>
        <w:t>平均值×</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2BBE71C8">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w:t>
      </w:r>
      <w:r>
        <w:rPr>
          <w:color w:val="000000" w:themeColor="text1"/>
          <w:highlight w:val="none"/>
          <w14:textFill>
            <w14:solidFill>
              <w14:schemeClr w14:val="tx1"/>
            </w14:solidFill>
          </w14:textFill>
        </w:rPr>
        <w:t>竞标报价</w:t>
      </w:r>
      <w:r>
        <w:rPr>
          <w:rFonts w:hint="eastAsia" w:ascii="宋体" w:hAnsi="宋体"/>
          <w:color w:val="000000" w:themeColor="text1"/>
          <w:szCs w:val="21"/>
          <w:highlight w:val="none"/>
          <w14:textFill>
            <w14:solidFill>
              <w14:schemeClr w14:val="tx1"/>
            </w14:solidFill>
          </w14:textFill>
        </w:rPr>
        <w:t>低于通过符合性审查的次低报价供应商</w:t>
      </w:r>
      <w:r>
        <w:rPr>
          <w:color w:val="000000" w:themeColor="text1"/>
          <w:highlight w:val="none"/>
          <w14:textFill>
            <w14:solidFill>
              <w14:schemeClr w14:val="tx1"/>
            </w14:solidFill>
          </w14:textFill>
        </w:rPr>
        <w:t>竞标报价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w:t>
      </w:r>
      <w:r>
        <w:rPr>
          <w:color w:val="000000" w:themeColor="text1"/>
          <w:highlight w:val="none"/>
          <w14:textFill>
            <w14:solidFill>
              <w14:schemeClr w14:val="tx1"/>
            </w14:solidFill>
          </w14:textFill>
        </w:rPr>
        <w:t>竞标报价</w:t>
      </w:r>
      <w:r>
        <w:rPr>
          <w:rFonts w:hint="eastAsia" w:ascii="宋体" w:hAnsi="宋体"/>
          <w:color w:val="000000" w:themeColor="text1"/>
          <w:szCs w:val="21"/>
          <w:highlight w:val="none"/>
          <w14:textFill>
            <w14:solidFill>
              <w14:schemeClr w14:val="tx1"/>
            </w14:solidFill>
          </w14:textFill>
        </w:rPr>
        <w:t>＜通过符合性审查的次低报价供应商</w:t>
      </w:r>
      <w:r>
        <w:rPr>
          <w:color w:val="000000" w:themeColor="text1"/>
          <w:highlight w:val="none"/>
          <w14:textFill>
            <w14:solidFill>
              <w14:schemeClr w14:val="tx1"/>
            </w14:solidFill>
          </w14:textFill>
        </w:rPr>
        <w:t>竞标报价</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76C2766A">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w:t>
      </w:r>
      <w:r>
        <w:rPr>
          <w:color w:val="000000" w:themeColor="text1"/>
          <w:highlight w:val="none"/>
          <w14:textFill>
            <w14:solidFill>
              <w14:schemeClr w14:val="tx1"/>
            </w14:solidFill>
          </w14:textFill>
        </w:rPr>
        <w:t>竞标报价</w:t>
      </w:r>
      <w:r>
        <w:rPr>
          <w:rFonts w:hint="eastAsia" w:ascii="宋体" w:hAnsi="宋体"/>
          <w:color w:val="000000" w:themeColor="text1"/>
          <w:szCs w:val="21"/>
          <w:highlight w:val="none"/>
          <w14:textFill>
            <w14:solidFill>
              <w14:schemeClr w14:val="tx1"/>
            </w14:solidFill>
          </w14:textFill>
        </w:rPr>
        <w:t>低于采购项目最高限价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w:t>
      </w:r>
      <w:r>
        <w:rPr>
          <w:color w:val="000000" w:themeColor="text1"/>
          <w:highlight w:val="none"/>
          <w14:textFill>
            <w14:solidFill>
              <w14:schemeClr w14:val="tx1"/>
            </w14:solidFill>
          </w14:textFill>
        </w:rPr>
        <w:t>竞标报价</w:t>
      </w:r>
      <w:r>
        <w:rPr>
          <w:rFonts w:hint="eastAsia" w:ascii="宋体" w:hAnsi="宋体"/>
          <w:color w:val="000000" w:themeColor="text1"/>
          <w:szCs w:val="21"/>
          <w:highlight w:val="none"/>
          <w14:textFill>
            <w14:solidFill>
              <w14:schemeClr w14:val="tx1"/>
            </w14:solidFill>
          </w14:textFill>
        </w:rPr>
        <w:t>＜采购项目最高限价×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5EBCEC90">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④磋商小组基于专业判断，认为供应商报价过低，有可能影响产品质量或者不能诚信履约的其他情形。</w:t>
      </w:r>
    </w:p>
    <w:p w14:paraId="1DBF7B95">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04A52C9">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相关供应商不能提供书面说明、证明材料，或者提供的书面说明、证明材料不能证明其报价合理性的，磋商小组应当将其作为无效响应处理。</w:t>
      </w:r>
    </w:p>
    <w:p w14:paraId="22DD1EE8">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884D5C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异常低价响应审查的启动原因、审查意见和审查结果应当在评审报告中记录，并随供应商提供的相关书面说明及证明材料，以及磋商小组有关互联网浏览、查询历史一并归档。</w:t>
      </w:r>
    </w:p>
    <w:p w14:paraId="6AA7895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4.11供应商出现最后报价按无效响应处理或者响应文件按无效处理时</w:t>
      </w:r>
      <w:r>
        <w:rPr>
          <w:rFonts w:hint="eastAsia" w:ascii="宋体" w:hAnsi="宋体"/>
          <w:color w:val="000000" w:themeColor="text1"/>
          <w:szCs w:val="21"/>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14:paraId="5ABE184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2最后报价结束后，磋商小组不得再与供应商进行任何形式的商谈。</w:t>
      </w:r>
    </w:p>
    <w:p w14:paraId="5FDE53E4">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w:t>
      </w:r>
      <w:r>
        <w:rPr>
          <w:rFonts w:ascii="黑体" w:hAnsi="黑体" w:eastAsia="黑体" w:cs="宋体"/>
          <w:b/>
          <w:bCs/>
          <w:color w:val="000000" w:themeColor="text1"/>
          <w:sz w:val="24"/>
          <w:highlight w:val="none"/>
          <w14:textFill>
            <w14:solidFill>
              <w14:schemeClr w14:val="tx1"/>
            </w14:solidFill>
          </w14:textFill>
        </w:rPr>
        <w:t>.</w:t>
      </w:r>
      <w:r>
        <w:rPr>
          <w:rFonts w:hint="eastAsia" w:ascii="黑体" w:hAnsi="黑体" w:eastAsia="黑体" w:cs="宋体"/>
          <w:b/>
          <w:bCs/>
          <w:color w:val="000000" w:themeColor="text1"/>
          <w:sz w:val="24"/>
          <w:highlight w:val="none"/>
          <w14:textFill>
            <w14:solidFill>
              <w14:schemeClr w14:val="tx1"/>
            </w14:solidFill>
          </w14:textFill>
        </w:rPr>
        <w:t>比较与评价</w:t>
      </w:r>
    </w:p>
    <w:p w14:paraId="6F45348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评审方法：综合评分法。</w:t>
      </w:r>
    </w:p>
    <w:p w14:paraId="4CFC418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5.2</w:t>
      </w:r>
      <w:r>
        <w:rPr>
          <w:rFonts w:hint="eastAsia" w:ascii="宋体" w:hAnsi="宋体" w:cs="宋体"/>
          <w:color w:val="000000" w:themeColor="text1"/>
          <w:szCs w:val="21"/>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046AE43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5.3</w:t>
      </w:r>
      <w:r>
        <w:rPr>
          <w:rFonts w:hint="eastAsia" w:ascii="宋体" w:hAnsi="宋体" w:cs="宋体"/>
          <w:color w:val="000000" w:themeColor="text1"/>
          <w:szCs w:val="21"/>
          <w:highlight w:val="none"/>
          <w14:textFill>
            <w14:solidFill>
              <w14:schemeClr w14:val="tx1"/>
            </w14:solidFill>
          </w14:textFill>
        </w:rPr>
        <w:t>评审时，磋商小组各成员应当独立对每个有效响应的文件进行评价、打分，然后汇总每个供应商每项评分因素的得分。</w:t>
      </w:r>
    </w:p>
    <w:p w14:paraId="13C2A5D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14:paraId="2D6207D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（2）各供应商的得分为磋商小组所有成员的有效评分的算术平均数。</w:t>
      </w:r>
    </w:p>
    <w:p w14:paraId="24D3CD4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5.4</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6C76CE2B">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 成交供应商推荐原则</w:t>
      </w:r>
    </w:p>
    <w:p w14:paraId="17B2A27D">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由磋商小组根据综合评分情况，按照评审得分由高到低顺序推荐3名以上成交候选供应商，并编写评审报告，</w:t>
      </w:r>
      <w:r>
        <w:rPr>
          <w:rFonts w:hint="eastAsia" w:ascii="宋体" w:hAnsi="宋体" w:cs="宋体"/>
          <w:color w:val="000000" w:themeColor="text1"/>
          <w:highlight w:val="none"/>
          <w14:textFill>
            <w14:solidFill>
              <w14:schemeClr w14:val="tx1"/>
            </w14:solidFill>
          </w14:textFill>
        </w:rPr>
        <w:t>评审报告</w:t>
      </w:r>
      <w:r>
        <w:rPr>
          <w:rFonts w:hint="eastAsia" w:hAnsi="宋体"/>
          <w:color w:val="000000" w:themeColor="text1"/>
          <w:highlight w:val="none"/>
          <w14:textFill>
            <w14:solidFill>
              <w14:schemeClr w14:val="tx1"/>
            </w14:solidFill>
          </w14:textFill>
        </w:rPr>
        <w:t>通过电子交易平台向采购人、采购代理机构提交。</w:t>
      </w:r>
      <w:r>
        <w:rPr>
          <w:rFonts w:hint="eastAsia" w:ascii="宋体" w:hAnsi="宋体"/>
          <w:bCs/>
          <w:color w:val="000000" w:themeColor="text1"/>
          <w:szCs w:val="21"/>
          <w:highlight w:val="none"/>
          <w14:textFill>
            <w14:solidFill>
              <w14:schemeClr w14:val="tx1"/>
            </w14:solidFill>
          </w14:textFill>
        </w:rPr>
        <w:t>符合本章第</w:t>
      </w:r>
      <w:r>
        <w:rPr>
          <w:rFonts w:ascii="宋体" w:hAnsi="宋体"/>
          <w:bCs/>
          <w:color w:val="000000" w:themeColor="text1"/>
          <w:szCs w:val="21"/>
          <w:highlight w:val="none"/>
          <w14:textFill>
            <w14:solidFill>
              <w14:schemeClr w14:val="tx1"/>
            </w14:solidFill>
          </w14:textFill>
        </w:rPr>
        <w:t>4.3</w:t>
      </w:r>
      <w:r>
        <w:rPr>
          <w:rFonts w:hint="eastAsia" w:ascii="宋体" w:hAnsi="宋体"/>
          <w:bCs/>
          <w:color w:val="000000" w:themeColor="text1"/>
          <w:szCs w:val="21"/>
          <w:highlight w:val="none"/>
          <w14:textFill>
            <w14:solidFill>
              <w14:schemeClr w14:val="tx1"/>
            </w14:solidFill>
          </w14:textFill>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000000" w:themeColor="text1"/>
          <w:szCs w:val="21"/>
          <w:highlight w:val="none"/>
          <w14:textFill>
            <w14:solidFill>
              <w14:schemeClr w14:val="tx1"/>
            </w14:solidFill>
          </w14:textFill>
        </w:rPr>
        <w:t>。</w:t>
      </w:r>
    </w:p>
    <w:p w14:paraId="0C09BF0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FC12F03">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41355F7B">
      <w:pPr>
        <w:spacing w:line="360" w:lineRule="auto"/>
        <w:ind w:firstLine="42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7</w:t>
      </w:r>
      <w:r>
        <w:rPr>
          <w:rFonts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评审依据：磋商小组以磋商文件为评审依据，对供应商的报价、技术、商务等方面内容按百分制打分。（计分方法按四舍五入取至百分位）</w:t>
      </w:r>
    </w:p>
    <w:tbl>
      <w:tblPr>
        <w:tblStyle w:val="45"/>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299"/>
        <w:gridCol w:w="6288"/>
        <w:gridCol w:w="851"/>
      </w:tblGrid>
      <w:tr w14:paraId="2B65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52" w:type="dxa"/>
            <w:noWrap w:val="0"/>
            <w:vAlign w:val="center"/>
          </w:tcPr>
          <w:p w14:paraId="790DA829">
            <w:pPr>
              <w:widowControl/>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序号</w:t>
            </w:r>
          </w:p>
        </w:tc>
        <w:tc>
          <w:tcPr>
            <w:tcW w:w="1299" w:type="dxa"/>
            <w:noWrap w:val="0"/>
            <w:vAlign w:val="center"/>
          </w:tcPr>
          <w:p w14:paraId="5ED671CC">
            <w:pPr>
              <w:widowControl/>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评审因素</w:t>
            </w:r>
          </w:p>
        </w:tc>
        <w:tc>
          <w:tcPr>
            <w:tcW w:w="6288" w:type="dxa"/>
            <w:noWrap w:val="0"/>
            <w:vAlign w:val="center"/>
          </w:tcPr>
          <w:p w14:paraId="15B5E335">
            <w:pPr>
              <w:widowControl/>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评审标准</w:t>
            </w:r>
          </w:p>
        </w:tc>
        <w:tc>
          <w:tcPr>
            <w:tcW w:w="851" w:type="dxa"/>
            <w:noWrap w:val="0"/>
            <w:vAlign w:val="center"/>
          </w:tcPr>
          <w:p w14:paraId="5B2F9A97">
            <w:pPr>
              <w:widowControl/>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分值</w:t>
            </w:r>
          </w:p>
        </w:tc>
      </w:tr>
      <w:tr w14:paraId="2CF0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52" w:type="dxa"/>
            <w:noWrap w:val="0"/>
            <w:vAlign w:val="center"/>
          </w:tcPr>
          <w:p w14:paraId="7BEB64DF">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299" w:type="dxa"/>
            <w:noWrap w:val="0"/>
            <w:vAlign w:val="center"/>
          </w:tcPr>
          <w:p w14:paraId="5F2F56A5">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价格分</w:t>
            </w:r>
          </w:p>
        </w:tc>
        <w:tc>
          <w:tcPr>
            <w:tcW w:w="6288" w:type="dxa"/>
            <w:noWrap w:val="0"/>
            <w:vAlign w:val="top"/>
          </w:tcPr>
          <w:p w14:paraId="1EF58C6C">
            <w:pPr>
              <w:spacing w:line="312"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0A615D71">
            <w:pPr>
              <w:pStyle w:val="24"/>
              <w:spacing w:line="312"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（2）政府采购政策性扣除计算方法</w:t>
            </w:r>
          </w:p>
          <w:p w14:paraId="7E042340">
            <w:pPr>
              <w:spacing w:line="312"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本项目为专门面对中小企业项目，小微企业、监狱企业、残疾人福利性单位不再执行价格评审优惠的扶持政策</w:t>
            </w:r>
            <w:r>
              <w:rPr>
                <w:rFonts w:hint="eastAsia" w:ascii="宋体" w:hAnsi="宋体" w:cs="宋体"/>
                <w:color w:val="000000" w:themeColor="text1"/>
                <w:szCs w:val="21"/>
                <w:highlight w:val="none"/>
                <w14:textFill>
                  <w14:solidFill>
                    <w14:schemeClr w14:val="tx1"/>
                  </w14:solidFill>
                </w14:textFill>
              </w:rPr>
              <w:t>。</w:t>
            </w:r>
          </w:p>
          <w:p w14:paraId="073FE037">
            <w:pPr>
              <w:pStyle w:val="24"/>
              <w:spacing w:line="312"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（3）以进入比较与评价环节的最低的评审价为基准价，基准价得分为</w:t>
            </w:r>
            <w:r>
              <w:rPr>
                <w:rFonts w:hint="eastAsia" w:hAnsi="宋体" w:cs="宋体"/>
                <w:bCs/>
                <w:color w:val="000000" w:themeColor="text1"/>
                <w:sz w:val="21"/>
                <w:highlight w:val="none"/>
                <w:u w:val="single"/>
                <w14:textFill>
                  <w14:solidFill>
                    <w14:schemeClr w14:val="tx1"/>
                  </w14:solidFill>
                </w14:textFill>
              </w:rPr>
              <w:t>30</w:t>
            </w:r>
            <w:r>
              <w:rPr>
                <w:rFonts w:hint="eastAsia" w:hAnsi="宋体" w:cs="宋体"/>
                <w:bCs/>
                <w:color w:val="000000" w:themeColor="text1"/>
                <w:sz w:val="21"/>
                <w:highlight w:val="none"/>
                <w14:textFill>
                  <w14:solidFill>
                    <w14:schemeClr w14:val="tx1"/>
                  </w14:solidFill>
                </w14:textFill>
              </w:rPr>
              <w:t>分。</w:t>
            </w:r>
          </w:p>
          <w:p w14:paraId="611FA297">
            <w:pPr>
              <w:pStyle w:val="24"/>
              <w:spacing w:line="312"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（4）价格分计算公式：</w:t>
            </w:r>
          </w:p>
          <w:p w14:paraId="3B4E3C12">
            <w:pPr>
              <w:pStyle w:val="24"/>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报价得分=（基准价/最后报价）×</w:t>
            </w:r>
            <w:r>
              <w:rPr>
                <w:rFonts w:hint="eastAsia" w:hAnsi="宋体" w:cs="宋体"/>
                <w:bCs/>
                <w:color w:val="000000" w:themeColor="text1"/>
                <w:sz w:val="21"/>
                <w:highlight w:val="none"/>
                <w:u w:val="single"/>
                <w14:textFill>
                  <w14:solidFill>
                    <w14:schemeClr w14:val="tx1"/>
                  </w14:solidFill>
                </w14:textFill>
              </w:rPr>
              <w:t>30</w:t>
            </w:r>
            <w:r>
              <w:rPr>
                <w:rFonts w:hint="eastAsia" w:hAnsi="宋体" w:cs="宋体"/>
                <w:bCs/>
                <w:color w:val="000000" w:themeColor="text1"/>
                <w:sz w:val="21"/>
                <w:highlight w:val="none"/>
                <w14:textFill>
                  <w14:solidFill>
                    <w14:schemeClr w14:val="tx1"/>
                  </w14:solidFill>
                </w14:textFill>
              </w:rPr>
              <w:t>分</w:t>
            </w:r>
          </w:p>
        </w:tc>
        <w:tc>
          <w:tcPr>
            <w:tcW w:w="851" w:type="dxa"/>
            <w:noWrap w:val="0"/>
            <w:vAlign w:val="center"/>
          </w:tcPr>
          <w:p w14:paraId="3A59B7FA">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30分</w:t>
            </w:r>
          </w:p>
        </w:tc>
      </w:tr>
      <w:tr w14:paraId="0B14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0DBC6A9D">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299" w:type="dxa"/>
            <w:noWrap w:val="0"/>
            <w:vAlign w:val="center"/>
          </w:tcPr>
          <w:p w14:paraId="6101368F">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技术分</w:t>
            </w:r>
          </w:p>
        </w:tc>
        <w:tc>
          <w:tcPr>
            <w:tcW w:w="7139" w:type="dxa"/>
            <w:gridSpan w:val="2"/>
            <w:noWrap w:val="0"/>
            <w:vAlign w:val="center"/>
          </w:tcPr>
          <w:p w14:paraId="79A1273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评审标准</w:t>
            </w:r>
          </w:p>
        </w:tc>
      </w:tr>
      <w:tr w14:paraId="0CB8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66C25190">
            <w:pPr>
              <w:spacing w:line="360" w:lineRule="auto"/>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2.1</w:t>
            </w:r>
          </w:p>
        </w:tc>
        <w:tc>
          <w:tcPr>
            <w:tcW w:w="1299" w:type="dxa"/>
            <w:noWrap w:val="0"/>
            <w:vAlign w:val="center"/>
          </w:tcPr>
          <w:p w14:paraId="4AA51010">
            <w:pPr>
              <w:pStyle w:val="384"/>
              <w:widowControl w:val="0"/>
              <w:spacing w:before="0" w:after="0"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主要施工</w:t>
            </w:r>
            <w:r>
              <w:rPr>
                <w:rFonts w:hint="eastAsia" w:ascii="宋体" w:hAnsi="宋体" w:eastAsia="宋体" w:cs="宋体"/>
                <w:color w:val="000000" w:themeColor="text1"/>
                <w:spacing w:val="-21"/>
                <w:sz w:val="21"/>
                <w:szCs w:val="21"/>
                <w:highlight w:val="none"/>
                <w:lang w:eastAsia="zh-CN"/>
                <w14:textFill>
                  <w14:solidFill>
                    <w14:schemeClr w14:val="tx1"/>
                  </w14:solidFill>
                </w14:textFill>
              </w:rPr>
              <w:t>方法</w:t>
            </w:r>
          </w:p>
        </w:tc>
        <w:tc>
          <w:tcPr>
            <w:tcW w:w="6288" w:type="dxa"/>
            <w:noWrap w:val="0"/>
            <w:vAlign w:val="center"/>
          </w:tcPr>
          <w:p w14:paraId="42CC3E43">
            <w:pPr>
              <w:pStyle w:val="384"/>
              <w:widowControl w:val="0"/>
              <w:spacing w:before="0" w:after="0" w:line="360" w:lineRule="auto"/>
              <w:jc w:val="left"/>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四档（7分）：各主要分部施工方法符合项目实际，有详尽的施工技术方案，工艺精细化、方法合理可行，能指导具体施工并确保安全。</w:t>
            </w:r>
          </w:p>
          <w:p w14:paraId="5B878A4B">
            <w:pPr>
              <w:pStyle w:val="384"/>
              <w:widowControl w:val="0"/>
              <w:spacing w:before="0" w:after="0" w:line="360" w:lineRule="auto"/>
              <w:jc w:val="left"/>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三档（5分）：各主要分部施工方法符合项目实际，有详尽的施工技术方案，工艺合理、方法可行，能指导具体施工并确保安全。</w:t>
            </w:r>
          </w:p>
          <w:p w14:paraId="4C662DCA">
            <w:pPr>
              <w:pStyle w:val="384"/>
              <w:widowControl w:val="0"/>
              <w:spacing w:before="0" w:after="0" w:line="360" w:lineRule="auto"/>
              <w:jc w:val="left"/>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二档（3分）：各主要分部施工方法符合项目实际，有施工技术方案，工艺合理、方法可行，能指导施工并确保安全。</w:t>
            </w:r>
          </w:p>
          <w:p w14:paraId="27EB8AF8">
            <w:pPr>
              <w:pStyle w:val="384"/>
              <w:widowControl w:val="0"/>
              <w:spacing w:before="0" w:after="0" w:line="360" w:lineRule="auto"/>
              <w:jc w:val="left"/>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一档（1分）：各主要分部施工方法不符合项目实际，有施工技术方案，工艺不合理，不能指导具体施工并确保安全。</w:t>
            </w:r>
          </w:p>
        </w:tc>
        <w:tc>
          <w:tcPr>
            <w:tcW w:w="851" w:type="dxa"/>
            <w:noWrap w:val="0"/>
            <w:vAlign w:val="center"/>
          </w:tcPr>
          <w:p w14:paraId="6592575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7分</w:t>
            </w:r>
          </w:p>
        </w:tc>
      </w:tr>
      <w:tr w14:paraId="38D8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0DBBE9E5">
            <w:pPr>
              <w:spacing w:line="360" w:lineRule="auto"/>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2.2</w:t>
            </w:r>
          </w:p>
        </w:tc>
        <w:tc>
          <w:tcPr>
            <w:tcW w:w="1299" w:type="dxa"/>
            <w:noWrap w:val="0"/>
            <w:vAlign w:val="center"/>
          </w:tcPr>
          <w:p w14:paraId="30A599A4">
            <w:pPr>
              <w:pStyle w:val="384"/>
              <w:widowControl w:val="0"/>
              <w:spacing w:before="0" w:after="0"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拟投入的主要物资计划</w:t>
            </w:r>
          </w:p>
        </w:tc>
        <w:tc>
          <w:tcPr>
            <w:tcW w:w="6288" w:type="dxa"/>
            <w:noWrap w:val="0"/>
            <w:vAlign w:val="center"/>
          </w:tcPr>
          <w:p w14:paraId="21115825">
            <w:pPr>
              <w:pStyle w:val="385"/>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四档</w:t>
            </w:r>
            <w:r>
              <w:rPr>
                <w:rFonts w:hint="eastAsia" w:ascii="宋体" w:hAnsi="宋体" w:eastAsia="宋体" w:cs="宋体"/>
                <w:color w:val="000000" w:themeColor="text1"/>
                <w:sz w:val="21"/>
                <w:szCs w:val="21"/>
                <w:highlight w:val="none"/>
                <w:lang w:eastAsia="zh-CN"/>
                <w14:textFill>
                  <w14:solidFill>
                    <w14:schemeClr w14:val="tx1"/>
                  </w14:solidFill>
                </w14:textFill>
              </w:rPr>
              <w:t>（6分）：投入的施工材料有详细的组织计划且计划周密，数量、选型配置、进场时间安排合理，满足施工需要。</w:t>
            </w:r>
          </w:p>
          <w:p w14:paraId="7C205AC5">
            <w:pPr>
              <w:pStyle w:val="385"/>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三档</w:t>
            </w:r>
            <w:r>
              <w:rPr>
                <w:rFonts w:hint="eastAsia" w:ascii="宋体" w:hAnsi="宋体" w:eastAsia="宋体" w:cs="宋体"/>
                <w:color w:val="000000" w:themeColor="text1"/>
                <w:sz w:val="21"/>
                <w:szCs w:val="21"/>
                <w:highlight w:val="none"/>
                <w:lang w:eastAsia="zh-CN"/>
                <w14:textFill>
                  <w14:solidFill>
                    <w14:schemeClr w14:val="tx1"/>
                  </w14:solidFill>
                </w14:textFill>
              </w:rPr>
              <w:t>（4分）：投入的施工材料有详细的组织计划但计划可行，数量、选型配置、进场时间安排合理，满足施工需要。</w:t>
            </w:r>
          </w:p>
          <w:p w14:paraId="5DDF9230">
            <w:pPr>
              <w:pStyle w:val="385"/>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二档</w:t>
            </w:r>
            <w:r>
              <w:rPr>
                <w:rFonts w:hint="eastAsia" w:ascii="宋体" w:hAnsi="宋体" w:eastAsia="宋体" w:cs="宋体"/>
                <w:color w:val="000000" w:themeColor="text1"/>
                <w:sz w:val="21"/>
                <w:szCs w:val="21"/>
                <w:highlight w:val="none"/>
                <w:lang w:eastAsia="zh-CN"/>
                <w14:textFill>
                  <w14:solidFill>
                    <w14:schemeClr w14:val="tx1"/>
                  </w14:solidFill>
                </w14:textFill>
              </w:rPr>
              <w:t>（2分）：投入的施工材料有组织计划但计划合理，数量、选型配置、进场时间安排合理，满足施工需要。</w:t>
            </w:r>
          </w:p>
          <w:p w14:paraId="06DA9ED5">
            <w:pPr>
              <w:pStyle w:val="385"/>
              <w:widowControl w:val="0"/>
              <w:spacing w:before="0" w:after="0"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w:t>
            </w:r>
            <w:r>
              <w:rPr>
                <w:rFonts w:hint="eastAsia" w:ascii="宋体" w:hAnsi="宋体" w:eastAsia="宋体" w:cs="宋体"/>
                <w:color w:val="000000" w:themeColor="text1"/>
                <w:sz w:val="21"/>
                <w:szCs w:val="21"/>
                <w:highlight w:val="none"/>
                <w:lang w:eastAsia="zh-CN"/>
                <w14:textFill>
                  <w14:solidFill>
                    <w14:schemeClr w14:val="tx1"/>
                  </w14:solidFill>
                </w14:textFill>
              </w:rPr>
              <w:t>（1分）：投入的施工材料无组织计划，数量、选型配置、进场时间安排不合理，不满足施工需要。</w:t>
            </w:r>
          </w:p>
        </w:tc>
        <w:tc>
          <w:tcPr>
            <w:tcW w:w="851" w:type="dxa"/>
            <w:noWrap w:val="0"/>
            <w:vAlign w:val="center"/>
          </w:tcPr>
          <w:p w14:paraId="6BBC686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1916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1A88210C">
            <w:pPr>
              <w:spacing w:line="360" w:lineRule="auto"/>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2.3</w:t>
            </w:r>
          </w:p>
        </w:tc>
        <w:tc>
          <w:tcPr>
            <w:tcW w:w="1299" w:type="dxa"/>
            <w:noWrap w:val="0"/>
            <w:vAlign w:val="center"/>
          </w:tcPr>
          <w:p w14:paraId="3CC9FACA">
            <w:pPr>
              <w:pStyle w:val="385"/>
              <w:widowControl w:val="0"/>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拟投入的主要施工</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机械、设备</w:t>
            </w:r>
            <w:r>
              <w:rPr>
                <w:rFonts w:hint="eastAsia" w:ascii="宋体" w:hAnsi="宋体" w:eastAsia="宋体" w:cs="宋体"/>
                <w:color w:val="000000" w:themeColor="text1"/>
                <w:spacing w:val="-21"/>
                <w:sz w:val="21"/>
                <w:szCs w:val="21"/>
                <w:highlight w:val="none"/>
                <w:lang w:eastAsia="zh-CN"/>
                <w14:textFill>
                  <w14:solidFill>
                    <w14:schemeClr w14:val="tx1"/>
                  </w14:solidFill>
                </w14:textFill>
              </w:rPr>
              <w:t>计划</w:t>
            </w:r>
          </w:p>
          <w:p w14:paraId="06F5C544">
            <w:pPr>
              <w:spacing w:line="360" w:lineRule="auto"/>
              <w:rPr>
                <w:rFonts w:hint="eastAsia" w:ascii="宋体" w:hAnsi="宋体" w:cs="宋体"/>
                <w:color w:val="000000" w:themeColor="text1"/>
                <w:szCs w:val="21"/>
                <w:highlight w:val="none"/>
                <w14:textFill>
                  <w14:solidFill>
                    <w14:schemeClr w14:val="tx1"/>
                  </w14:solidFill>
                </w14:textFill>
              </w:rPr>
            </w:pPr>
          </w:p>
        </w:tc>
        <w:tc>
          <w:tcPr>
            <w:tcW w:w="6288" w:type="dxa"/>
            <w:noWrap w:val="0"/>
            <w:vAlign w:val="center"/>
          </w:tcPr>
          <w:p w14:paraId="21388D28">
            <w:pPr>
              <w:pStyle w:val="385"/>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四档</w:t>
            </w:r>
            <w:r>
              <w:rPr>
                <w:rFonts w:hint="eastAsia" w:ascii="宋体" w:hAnsi="宋体" w:eastAsia="宋体" w:cs="宋体"/>
                <w:color w:val="000000" w:themeColor="text1"/>
                <w:sz w:val="21"/>
                <w:szCs w:val="21"/>
                <w:highlight w:val="none"/>
                <w:lang w:eastAsia="zh-CN"/>
                <w14:textFill>
                  <w14:solidFill>
                    <w14:schemeClr w14:val="tx1"/>
                  </w14:solidFill>
                </w14:textFill>
              </w:rPr>
              <w:t>（6分）：投入的施工机械、设备、机具有详细的组织计划且计划周密，设备数量、选型配置、进场时间安排合理，满足施工需要。</w:t>
            </w:r>
          </w:p>
          <w:p w14:paraId="6FE5558A">
            <w:pPr>
              <w:pStyle w:val="385"/>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三档</w:t>
            </w:r>
            <w:r>
              <w:rPr>
                <w:rFonts w:hint="eastAsia" w:ascii="宋体" w:hAnsi="宋体" w:eastAsia="宋体" w:cs="宋体"/>
                <w:color w:val="000000" w:themeColor="text1"/>
                <w:sz w:val="21"/>
                <w:szCs w:val="21"/>
                <w:highlight w:val="none"/>
                <w:lang w:eastAsia="zh-CN"/>
                <w14:textFill>
                  <w14:solidFill>
                    <w14:schemeClr w14:val="tx1"/>
                  </w14:solidFill>
                </w14:textFill>
              </w:rPr>
              <w:t>（4分）：投入的施工机械、设备、机具有详细的组织计划但计划可行，设备数量、选型配置、进场时间安排合理，满足施工需要。</w:t>
            </w:r>
          </w:p>
          <w:p w14:paraId="01F449C6">
            <w:pPr>
              <w:pStyle w:val="385"/>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二档</w:t>
            </w:r>
            <w:r>
              <w:rPr>
                <w:rFonts w:hint="eastAsia" w:ascii="宋体" w:hAnsi="宋体" w:eastAsia="宋体" w:cs="宋体"/>
                <w:color w:val="000000" w:themeColor="text1"/>
                <w:sz w:val="21"/>
                <w:szCs w:val="21"/>
                <w:highlight w:val="none"/>
                <w:lang w:eastAsia="zh-CN"/>
                <w14:textFill>
                  <w14:solidFill>
                    <w14:schemeClr w14:val="tx1"/>
                  </w14:solidFill>
                </w14:textFill>
              </w:rPr>
              <w:t>（2分）：投入的施工机械、设备、机具有组织计划但计划合理，设备数量、选型配置、进场时间安排合理，基本满足施工需要。</w:t>
            </w:r>
          </w:p>
          <w:p w14:paraId="0FF81C3A">
            <w:pPr>
              <w:pStyle w:val="385"/>
              <w:widowControl w:val="0"/>
              <w:spacing w:before="0" w:after="0"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w:t>
            </w:r>
            <w:r>
              <w:rPr>
                <w:rFonts w:hint="eastAsia" w:ascii="宋体" w:hAnsi="宋体" w:eastAsia="宋体" w:cs="宋体"/>
                <w:color w:val="000000" w:themeColor="text1"/>
                <w:sz w:val="21"/>
                <w:szCs w:val="21"/>
                <w:highlight w:val="none"/>
                <w:lang w:eastAsia="zh-CN"/>
                <w14:textFill>
                  <w14:solidFill>
                    <w14:schemeClr w14:val="tx1"/>
                  </w14:solidFill>
                </w14:textFill>
              </w:rPr>
              <w:t>（1分）：投入的施工机械、设备、机具无组织计划，设备数量、选型配置、进场时间安排不合理，不满足施工需要。</w:t>
            </w:r>
          </w:p>
        </w:tc>
        <w:tc>
          <w:tcPr>
            <w:tcW w:w="851" w:type="dxa"/>
            <w:noWrap w:val="0"/>
            <w:vAlign w:val="center"/>
          </w:tcPr>
          <w:p w14:paraId="769123A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004C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1BDF8DF1">
            <w:pPr>
              <w:spacing w:line="360" w:lineRule="auto"/>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2.4</w:t>
            </w:r>
          </w:p>
        </w:tc>
        <w:tc>
          <w:tcPr>
            <w:tcW w:w="1299" w:type="dxa"/>
            <w:noWrap w:val="0"/>
            <w:vAlign w:val="center"/>
          </w:tcPr>
          <w:p w14:paraId="71A0057F">
            <w:pPr>
              <w:pStyle w:val="385"/>
              <w:widowControl w:val="0"/>
              <w:spacing w:before="0" w:after="0" w:line="360" w:lineRule="auto"/>
              <w:ind w:left="53"/>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劳动力安</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排计划</w:t>
            </w:r>
          </w:p>
        </w:tc>
        <w:tc>
          <w:tcPr>
            <w:tcW w:w="6288" w:type="dxa"/>
            <w:noWrap w:val="0"/>
            <w:vAlign w:val="center"/>
          </w:tcPr>
          <w:p w14:paraId="6C9E562A">
            <w:pPr>
              <w:pStyle w:val="385"/>
              <w:widowControl w:val="0"/>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四档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6</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分）：各主要施工工序有详细周密的劳动力安排计划，</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各工种劳动力安排计划合理，劳动力投入合理，满足施工需要。</w:t>
            </w:r>
          </w:p>
          <w:p w14:paraId="242D93CF">
            <w:pPr>
              <w:pStyle w:val="385"/>
              <w:widowControl w:val="0"/>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三档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4</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分）：各主要施工工序有劳动力安排计划，有各工种劳</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动力安排计划，劳动力投入合理，满足施工需要。</w:t>
            </w:r>
          </w:p>
          <w:p w14:paraId="064879CF">
            <w:pPr>
              <w:pStyle w:val="385"/>
              <w:widowControl w:val="0"/>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二档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2</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分）：各主要施工工序只有劳动力安排计划，无各工种</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劳动力安排计划，劳动力投入满足项目要求，满足施工需要。</w:t>
            </w:r>
          </w:p>
          <w:p w14:paraId="4EE143FE">
            <w:pPr>
              <w:pStyle w:val="385"/>
              <w:widowControl w:val="0"/>
              <w:spacing w:before="0" w:after="0"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1</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分）：各主要施工工序无劳动力安排计划，劳动力投入</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不合理，不满足施工需要。</w:t>
            </w:r>
          </w:p>
        </w:tc>
        <w:tc>
          <w:tcPr>
            <w:tcW w:w="851" w:type="dxa"/>
            <w:noWrap w:val="0"/>
            <w:vAlign w:val="center"/>
          </w:tcPr>
          <w:p w14:paraId="668C456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3895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115C2482">
            <w:pPr>
              <w:spacing w:line="360" w:lineRule="auto"/>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2.5</w:t>
            </w:r>
          </w:p>
        </w:tc>
        <w:tc>
          <w:tcPr>
            <w:tcW w:w="1299" w:type="dxa"/>
            <w:noWrap w:val="0"/>
            <w:vAlign w:val="center"/>
          </w:tcPr>
          <w:p w14:paraId="748D5F8B">
            <w:pPr>
              <w:pStyle w:val="385"/>
              <w:widowControl w:val="0"/>
              <w:spacing w:before="0" w:after="0"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确保工程质量的技术组织措</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施</w:t>
            </w:r>
          </w:p>
          <w:p w14:paraId="3D99117E">
            <w:pPr>
              <w:spacing w:line="360" w:lineRule="auto"/>
              <w:rPr>
                <w:rFonts w:hint="eastAsia" w:ascii="宋体" w:hAnsi="宋体" w:cs="宋体"/>
                <w:color w:val="000000" w:themeColor="text1"/>
                <w:szCs w:val="21"/>
                <w:highlight w:val="none"/>
                <w14:textFill>
                  <w14:solidFill>
                    <w14:schemeClr w14:val="tx1"/>
                  </w14:solidFill>
                </w14:textFill>
              </w:rPr>
            </w:pPr>
          </w:p>
        </w:tc>
        <w:tc>
          <w:tcPr>
            <w:tcW w:w="6288" w:type="dxa"/>
            <w:noWrap w:val="0"/>
            <w:vAlign w:val="center"/>
          </w:tcPr>
          <w:p w14:paraId="16BF6D81">
            <w:pPr>
              <w:pStyle w:val="385"/>
              <w:widowControl w:val="0"/>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四档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6</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分）：有专门的质量技术管理班子和制度，且人员配备</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合理，制度健全。主要工序有质量技术保证措施和手段，自</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控体系完整、切合实际，能保证技术质量，达到承诺的质量标准。</w:t>
            </w:r>
          </w:p>
          <w:p w14:paraId="2BBBE372">
            <w:pPr>
              <w:pStyle w:val="385"/>
              <w:widowControl w:val="0"/>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三档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4</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分）：有质量技术管理班子和制度，且人员配备合理，</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制度健全。主要工序有质量技术保证措施和手段，自控体系</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完整，能有效保证技术质量，达到承诺的质量标准。</w:t>
            </w:r>
          </w:p>
          <w:p w14:paraId="59A0B523">
            <w:pPr>
              <w:spacing w:line="360" w:lineRule="auto"/>
              <w:rPr>
                <w:rFonts w:hint="eastAsia" w:ascii="宋体" w:hAnsi="宋体" w:cs="宋体"/>
                <w:color w:val="000000" w:themeColor="text1"/>
                <w:szCs w:val="21"/>
                <w:highlight w:val="none"/>
                <w:lang w:val="ru-RU"/>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二档</w:t>
            </w:r>
            <w:r>
              <w:rPr>
                <w:rFonts w:hint="eastAsia" w:ascii="宋体" w:hAnsi="宋体" w:cs="宋体"/>
                <w:color w:val="000000" w:themeColor="text1"/>
                <w:szCs w:val="21"/>
                <w:highlight w:val="none"/>
                <w:lang w:val="ru-RU"/>
                <w14:textFill>
                  <w14:solidFill>
                    <w14:schemeClr w14:val="tx1"/>
                  </w14:solidFill>
                </w14:textFill>
              </w:rPr>
              <w:t>（2分）：有质量技术管理班子和制度。主要工序有质量技术保证措施和手段，自控体系</w:t>
            </w:r>
            <w:r>
              <w:rPr>
                <w:rFonts w:hint="eastAsia" w:ascii="宋体" w:hAnsi="宋体" w:cs="宋体"/>
                <w:color w:val="000000" w:themeColor="text1"/>
                <w:szCs w:val="21"/>
                <w:highlight w:val="none"/>
                <w:lang w:val="ru-RU" w:eastAsia="zh-CN"/>
                <w14:textFill>
                  <w14:solidFill>
                    <w14:schemeClr w14:val="tx1"/>
                  </w14:solidFill>
                </w14:textFill>
              </w:rPr>
              <w:t>可行</w:t>
            </w:r>
            <w:r>
              <w:rPr>
                <w:rFonts w:hint="eastAsia" w:ascii="宋体" w:hAnsi="宋体" w:cs="宋体"/>
                <w:color w:val="000000" w:themeColor="text1"/>
                <w:szCs w:val="21"/>
                <w:highlight w:val="none"/>
                <w:lang w:val="ru-RU"/>
                <w14:textFill>
                  <w14:solidFill>
                    <w14:schemeClr w14:val="tx1"/>
                  </w14:solidFill>
                </w14:textFill>
              </w:rPr>
              <w:t>，基本能保证技术质量，达到承诺的质量标准。</w:t>
            </w:r>
          </w:p>
          <w:p w14:paraId="7319A690">
            <w:pPr>
              <w:pStyle w:val="386"/>
              <w:widowControl w:val="0"/>
              <w:spacing w:before="0" w:after="0"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1</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分）：有质量技术管理班子和制度。主要工序无质量技</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术保证措施和手段，自控体系合理，不能有效保证技术质量。</w:t>
            </w:r>
          </w:p>
        </w:tc>
        <w:tc>
          <w:tcPr>
            <w:tcW w:w="851" w:type="dxa"/>
            <w:noWrap w:val="0"/>
            <w:vAlign w:val="center"/>
          </w:tcPr>
          <w:p w14:paraId="68A4B60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49E2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2036D31F">
            <w:pPr>
              <w:spacing w:line="360" w:lineRule="auto"/>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2.6</w:t>
            </w:r>
          </w:p>
        </w:tc>
        <w:tc>
          <w:tcPr>
            <w:tcW w:w="1299" w:type="dxa"/>
            <w:noWrap w:val="0"/>
            <w:vAlign w:val="center"/>
          </w:tcPr>
          <w:p w14:paraId="050223F6">
            <w:pPr>
              <w:pStyle w:val="386"/>
              <w:widowControl w:val="0"/>
              <w:spacing w:before="0" w:after="0"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确保安全生产的技术组织措</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施</w:t>
            </w:r>
          </w:p>
          <w:p w14:paraId="6BC138B6">
            <w:pPr>
              <w:pStyle w:val="385"/>
              <w:widowControl w:val="0"/>
              <w:spacing w:before="0" w:after="0"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6288" w:type="dxa"/>
            <w:noWrap w:val="0"/>
            <w:vAlign w:val="center"/>
          </w:tcPr>
          <w:p w14:paraId="13488A41">
            <w:pPr>
              <w:pStyle w:val="386"/>
              <w:widowControl w:val="0"/>
              <w:spacing w:before="0" w:after="0" w:line="360" w:lineRule="auto"/>
              <w:rPr>
                <w:rFonts w:hint="eastAsia" w:ascii="宋体" w:hAnsi="宋体" w:eastAsia="宋体" w:cs="宋体"/>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四档</w:t>
            </w:r>
            <w:r>
              <w:rPr>
                <w:rFonts w:hint="eastAsia" w:ascii="宋体" w:hAnsi="宋体" w:eastAsia="宋体" w:cs="宋体"/>
                <w:color w:val="000000" w:themeColor="text1"/>
                <w:sz w:val="21"/>
                <w:szCs w:val="21"/>
                <w:highlight w:val="none"/>
                <w:lang w:eastAsia="zh-CN"/>
                <w14:textFill>
                  <w14:solidFill>
                    <w14:schemeClr w14:val="tx1"/>
                  </w14:solidFill>
                </w14:textFill>
              </w:rPr>
              <w:t>（6</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分）：有专门的安全管理人员和制度，且人员配备科学合理，</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制度健全，各道工序安全技术措施具备针对性，切合实际且满足有关安全技术标准要求。现场防火、应急救援、社会治安</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安全措施得力。</w:t>
            </w:r>
          </w:p>
          <w:p w14:paraId="375B3ACA">
            <w:pPr>
              <w:pStyle w:val="386"/>
              <w:widowControl w:val="0"/>
              <w:spacing w:before="0" w:after="0" w:line="360" w:lineRule="auto"/>
              <w:rPr>
                <w:rFonts w:hint="eastAsia" w:ascii="宋体" w:hAnsi="宋体" w:eastAsia="宋体" w:cs="宋体"/>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三档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4</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分）：有安全管理人员和制度，且人员配备合理，制度完整</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，各道工序安全技术措施具备针对性，符合实际且满足有关安全技术标准要求。现场防火、应急救援、社会治安安全</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措施完整。</w:t>
            </w:r>
          </w:p>
          <w:p w14:paraId="0F4E8C01">
            <w:pPr>
              <w:pStyle w:val="386"/>
              <w:widowControl w:val="0"/>
              <w:spacing w:before="0" w:after="0" w:line="360" w:lineRule="auto"/>
              <w:rPr>
                <w:rFonts w:hint="eastAsia" w:ascii="宋体" w:hAnsi="宋体" w:eastAsia="宋体" w:cs="宋体"/>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二档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2</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分）：有安全管理人员和制度，各道工序安全技术措施具有</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针对性，满足有关安全技术标准要求。现场防火、应急救</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援、社会治安安全措施满足项目要求。</w:t>
            </w:r>
          </w:p>
          <w:p w14:paraId="2D50F108">
            <w:pPr>
              <w:pStyle w:val="386"/>
              <w:widowControl w:val="0"/>
              <w:spacing w:before="0" w:after="0"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分）：有安全管理人员和制度，各道工序安全技术措施</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无针对性，满足有关安全技术标准要求。现场防火、应急救</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援、社会治安安全措施差。</w:t>
            </w:r>
          </w:p>
        </w:tc>
        <w:tc>
          <w:tcPr>
            <w:tcW w:w="851" w:type="dxa"/>
            <w:noWrap w:val="0"/>
            <w:vAlign w:val="center"/>
          </w:tcPr>
          <w:p w14:paraId="1C89E5D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2C42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06EE62C6">
            <w:pPr>
              <w:spacing w:line="360" w:lineRule="auto"/>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2.7</w:t>
            </w:r>
          </w:p>
        </w:tc>
        <w:tc>
          <w:tcPr>
            <w:tcW w:w="1299" w:type="dxa"/>
            <w:noWrap w:val="0"/>
            <w:vAlign w:val="center"/>
          </w:tcPr>
          <w:p w14:paraId="10A22F46">
            <w:pPr>
              <w:pStyle w:val="386"/>
              <w:widowControl w:val="0"/>
              <w:spacing w:before="0" w:after="0"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确保工期的技术组</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织措施</w:t>
            </w:r>
          </w:p>
        </w:tc>
        <w:tc>
          <w:tcPr>
            <w:tcW w:w="6288" w:type="dxa"/>
            <w:noWrap w:val="0"/>
            <w:vAlign w:val="center"/>
          </w:tcPr>
          <w:p w14:paraId="231A375B">
            <w:pPr>
              <w:pStyle w:val="386"/>
              <w:widowControl w:val="0"/>
              <w:spacing w:before="0" w:after="0" w:line="360" w:lineRule="auto"/>
              <w:rPr>
                <w:rFonts w:hint="eastAsia" w:ascii="宋体" w:hAnsi="宋体" w:eastAsia="宋体" w:cs="宋体"/>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四档</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6</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分）：在施工工艺、施工方法、材料选用、劳动力安排、</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技术等方面有保证工期的具体措施且措施得当。有控制工期的施工进度计划。有施工总进度表或施工网络图，各项计划</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图表编制完善，安排合理，符合本项目施工实际要求。</w:t>
            </w:r>
          </w:p>
          <w:p w14:paraId="1F52A286">
            <w:pPr>
              <w:pStyle w:val="386"/>
              <w:widowControl w:val="0"/>
              <w:spacing w:before="0" w:after="0" w:line="360" w:lineRule="auto"/>
              <w:rPr>
                <w:rFonts w:hint="eastAsia" w:ascii="宋体" w:hAnsi="宋体" w:eastAsia="宋体" w:cs="宋体"/>
                <w:color w:val="000000" w:themeColor="text1"/>
                <w:spacing w:val="3"/>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三档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（4分）：施工工艺、施工方法、材料选用、劳动力安排、</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技术等方面有保证工期的具体措施。有控制工期的施工进度计划。有施工总进度表或施工网络图，各项计划图表编制完整，符合本项目施工实际要求。</w:t>
            </w:r>
          </w:p>
          <w:p w14:paraId="25A68AC1">
            <w:pPr>
              <w:pStyle w:val="386"/>
              <w:widowControl w:val="0"/>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二档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2</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分）：施工工艺、施工方法、材料选用、劳动力安排、</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技术等方面有措施。有控制工期的施工进度计划。有施工总进度表或施工网络图，各项计划图表编制合理，基本符合本</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项目施工实际要求。</w:t>
            </w:r>
          </w:p>
          <w:p w14:paraId="783C9C34">
            <w:pPr>
              <w:pStyle w:val="386"/>
              <w:widowControl w:val="0"/>
              <w:spacing w:before="0" w:after="0"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1</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分）：施工工艺、施工方法、材料选用、劳动力安排、</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技术等方面有措施。有控制工期的施工进度计划。有施工总进度表或施工网络图，有各项计划图表编制，但不符合本项目</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施工实际要求。</w:t>
            </w:r>
          </w:p>
        </w:tc>
        <w:tc>
          <w:tcPr>
            <w:tcW w:w="851" w:type="dxa"/>
            <w:noWrap w:val="0"/>
            <w:vAlign w:val="center"/>
          </w:tcPr>
          <w:p w14:paraId="06DBB1BD">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1084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749C0B8A">
            <w:pPr>
              <w:spacing w:line="360" w:lineRule="auto"/>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2.8</w:t>
            </w:r>
          </w:p>
        </w:tc>
        <w:tc>
          <w:tcPr>
            <w:tcW w:w="1299" w:type="dxa"/>
            <w:noWrap w:val="0"/>
            <w:vAlign w:val="center"/>
          </w:tcPr>
          <w:p w14:paraId="4573057F">
            <w:pPr>
              <w:pStyle w:val="386"/>
              <w:widowControl w:val="0"/>
              <w:spacing w:before="0" w:after="0"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确保文明施工的技术组织措</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施</w:t>
            </w:r>
          </w:p>
        </w:tc>
        <w:tc>
          <w:tcPr>
            <w:tcW w:w="6288" w:type="dxa"/>
            <w:noWrap w:val="0"/>
            <w:vAlign w:val="center"/>
          </w:tcPr>
          <w:p w14:paraId="53476A2F">
            <w:pPr>
              <w:pStyle w:val="387"/>
              <w:widowControl w:val="0"/>
              <w:spacing w:before="0" w:after="0" w:line="360" w:lineRule="auto"/>
              <w:rPr>
                <w:rFonts w:hint="eastAsia" w:ascii="宋体" w:hAnsi="宋体" w:eastAsia="宋体" w:cs="宋体"/>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四档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分）：针对本工程项目特点，有现场文明施工、环境保</w:t>
            </w:r>
            <w:r>
              <w:rPr>
                <w:rFonts w:hint="eastAsia" w:ascii="宋体" w:hAnsi="宋体" w:eastAsia="宋体" w:cs="宋体"/>
                <w:color w:val="000000" w:themeColor="text1"/>
                <w:spacing w:val="11"/>
                <w:sz w:val="21"/>
                <w:szCs w:val="21"/>
                <w:highlight w:val="none"/>
                <w:lang w:eastAsia="zh-CN"/>
                <w14:textFill>
                  <w14:solidFill>
                    <w14:schemeClr w14:val="tx1"/>
                  </w14:solidFill>
                </w14:textFill>
              </w:rPr>
              <w:t>护措施，且措施内容达到《建筑与市政施工现场安全卫生与职业健康通用规范》</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合格标准并符合《广西壮族自治区建筑工程文</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明施工导则》要求。各项措施具体、有效。有具体实</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现现场文明施工目标的承诺。</w:t>
            </w:r>
          </w:p>
          <w:p w14:paraId="587443A8">
            <w:pPr>
              <w:pStyle w:val="387"/>
              <w:widowControl w:val="0"/>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三档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分）：针对本工程项目特点，有现场文明施工、环境保</w:t>
            </w:r>
            <w:r>
              <w:rPr>
                <w:rFonts w:hint="eastAsia" w:ascii="宋体" w:hAnsi="宋体" w:eastAsia="宋体" w:cs="宋体"/>
                <w:color w:val="000000" w:themeColor="text1"/>
                <w:spacing w:val="11"/>
                <w:sz w:val="21"/>
                <w:szCs w:val="21"/>
                <w:highlight w:val="none"/>
                <w:lang w:eastAsia="zh-CN"/>
                <w14:textFill>
                  <w14:solidFill>
                    <w14:schemeClr w14:val="tx1"/>
                  </w14:solidFill>
                </w14:textFill>
              </w:rPr>
              <w:t>护措施，且措施内容达到《建筑与市政施工现场安全卫生与职业健康通用规范》</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合格标准并符合《广西壮族自治区建筑工程文</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明施工导则》要求。</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各项措施完整具体。</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有实现现场文明施工目标的承诺。</w:t>
            </w:r>
          </w:p>
          <w:p w14:paraId="47226A0C">
            <w:pPr>
              <w:pStyle w:val="387"/>
              <w:widowControl w:val="0"/>
              <w:spacing w:before="0" w:after="0"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二档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2</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分）：有现场文明施工、环境保护措施，且措施内容达</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到</w:t>
            </w:r>
            <w:r>
              <w:rPr>
                <w:rFonts w:hint="eastAsia" w:ascii="宋体" w:hAnsi="宋体" w:eastAsia="宋体" w:cs="宋体"/>
                <w:color w:val="000000" w:themeColor="text1"/>
                <w:spacing w:val="11"/>
                <w:sz w:val="21"/>
                <w:szCs w:val="21"/>
                <w:highlight w:val="none"/>
                <w:lang w:eastAsia="zh-CN"/>
                <w14:textFill>
                  <w14:solidFill>
                    <w14:schemeClr w14:val="tx1"/>
                  </w14:solidFill>
                </w14:textFill>
              </w:rPr>
              <w:t>《建筑与市政施工现场安全卫生与职业健康通用规范》</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合格标准并</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符合《广西壮族自治区建筑工程文明施工导则》要求。有实</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现现场文明施工目标的承诺。</w:t>
            </w:r>
          </w:p>
          <w:p w14:paraId="79DF5FB3">
            <w:pPr>
              <w:pStyle w:val="387"/>
              <w:widowControl w:val="0"/>
              <w:spacing w:before="0" w:after="0"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1</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分）：有现场文明施工、环境保护措施，且措施内容达</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到</w:t>
            </w:r>
            <w:r>
              <w:rPr>
                <w:rFonts w:hint="eastAsia" w:ascii="宋体" w:hAnsi="宋体" w:eastAsia="宋体" w:cs="宋体"/>
                <w:color w:val="000000" w:themeColor="text1"/>
                <w:spacing w:val="11"/>
                <w:sz w:val="21"/>
                <w:szCs w:val="21"/>
                <w:highlight w:val="none"/>
                <w:lang w:eastAsia="zh-CN"/>
                <w14:textFill>
                  <w14:solidFill>
                    <w14:schemeClr w14:val="tx1"/>
                  </w14:solidFill>
                </w14:textFill>
              </w:rPr>
              <w:t>《建筑与市政施工现场安全卫生与职业健康通用规范》</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合格标准并</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符合《广西壮族自治区建筑工程文明施工导则》要求。无实</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现现场文明施工目标的承诺。</w:t>
            </w:r>
          </w:p>
        </w:tc>
        <w:tc>
          <w:tcPr>
            <w:tcW w:w="851" w:type="dxa"/>
            <w:noWrap w:val="0"/>
            <w:vAlign w:val="center"/>
          </w:tcPr>
          <w:p w14:paraId="65A0E4D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4A93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13A8E44C">
            <w:pPr>
              <w:spacing w:line="360" w:lineRule="auto"/>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2.9</w:t>
            </w:r>
          </w:p>
        </w:tc>
        <w:tc>
          <w:tcPr>
            <w:tcW w:w="1299" w:type="dxa"/>
            <w:noWrap w:val="0"/>
            <w:vAlign w:val="center"/>
          </w:tcPr>
          <w:p w14:paraId="410F3728">
            <w:pPr>
              <w:pStyle w:val="387"/>
              <w:widowControl w:val="0"/>
              <w:spacing w:before="0" w:after="0"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工程施工的重点和</w:t>
            </w:r>
            <w:r>
              <w:rPr>
                <w:rFonts w:hint="eastAsia" w:ascii="宋体" w:hAnsi="宋体" w:eastAsia="宋体" w:cs="宋体"/>
                <w:color w:val="000000" w:themeColor="text1"/>
                <w:spacing w:val="-21"/>
                <w:sz w:val="21"/>
                <w:szCs w:val="21"/>
                <w:highlight w:val="none"/>
                <w:lang w:eastAsia="zh-CN"/>
                <w14:textFill>
                  <w14:solidFill>
                    <w14:schemeClr w14:val="tx1"/>
                  </w14:solidFill>
                </w14:textFill>
              </w:rPr>
              <w:t>难点</w:t>
            </w:r>
          </w:p>
        </w:tc>
        <w:tc>
          <w:tcPr>
            <w:tcW w:w="6288" w:type="dxa"/>
            <w:noWrap w:val="0"/>
            <w:vAlign w:val="center"/>
          </w:tcPr>
          <w:p w14:paraId="6C21AEBE">
            <w:pPr>
              <w:pStyle w:val="387"/>
              <w:widowControl w:val="0"/>
              <w:spacing w:before="0" w:after="0"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四档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分）：针对本工程的特点，详细阐述了本工程的重点和</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难点，解决重点和难点问题的方法合理、科学可行。</w:t>
            </w:r>
          </w:p>
          <w:p w14:paraId="047E10E4">
            <w:pPr>
              <w:pStyle w:val="387"/>
              <w:widowControl w:val="0"/>
              <w:spacing w:before="0" w:after="0" w:line="360" w:lineRule="auto"/>
              <w:jc w:val="left"/>
              <w:rPr>
                <w:rFonts w:hint="eastAsia" w:ascii="宋体" w:hAnsi="宋体" w:eastAsia="宋体" w:cs="宋体"/>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三档</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分）：针对本工程的特点，阐述了本工程的重点和难点，解决重点和难点问题的方法合理。</w:t>
            </w:r>
          </w:p>
          <w:p w14:paraId="3D67CCBF">
            <w:pPr>
              <w:pStyle w:val="387"/>
              <w:widowControl w:val="0"/>
              <w:spacing w:before="0" w:after="0"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二档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2</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分）：阐述了本工程的重点和难点，解决重点和难</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点问题的方法可行。</w:t>
            </w:r>
          </w:p>
          <w:p w14:paraId="445BD9B1">
            <w:pPr>
              <w:pStyle w:val="387"/>
              <w:widowControl w:val="0"/>
              <w:spacing w:before="0" w:after="0" w:line="360" w:lineRule="auto"/>
              <w:jc w:val="left"/>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1</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分）：未阐述本工程的重点和难点，无解决及保证措施</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重点和难点问题的方法。</w:t>
            </w:r>
          </w:p>
        </w:tc>
        <w:tc>
          <w:tcPr>
            <w:tcW w:w="851" w:type="dxa"/>
            <w:noWrap w:val="0"/>
            <w:vAlign w:val="center"/>
          </w:tcPr>
          <w:p w14:paraId="608C9F1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463C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652" w:type="dxa"/>
            <w:noWrap w:val="0"/>
            <w:vAlign w:val="center"/>
          </w:tcPr>
          <w:p w14:paraId="06A31B14">
            <w:pPr>
              <w:spacing w:line="360" w:lineRule="auto"/>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2.10</w:t>
            </w:r>
          </w:p>
        </w:tc>
        <w:tc>
          <w:tcPr>
            <w:tcW w:w="1299" w:type="dxa"/>
            <w:noWrap w:val="0"/>
            <w:vAlign w:val="center"/>
          </w:tcPr>
          <w:p w14:paraId="6B3D5429">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项目管理机构</w:t>
            </w:r>
          </w:p>
        </w:tc>
        <w:tc>
          <w:tcPr>
            <w:tcW w:w="6288" w:type="dxa"/>
            <w:noWrap w:val="0"/>
            <w:vAlign w:val="center"/>
          </w:tcPr>
          <w:p w14:paraId="5CD061D6">
            <w:pPr>
              <w:pStyle w:val="387"/>
              <w:widowControl w:val="0"/>
              <w:spacing w:before="0" w:after="0" w:line="360" w:lineRule="auto"/>
              <w:jc w:val="left"/>
              <w:rPr>
                <w:rFonts w:hint="eastAsia" w:ascii="宋体" w:hAnsi="宋体" w:eastAsia="宋体" w:cs="宋体"/>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（1）项目经理</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（满分</w:t>
            </w: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分）</w:t>
            </w:r>
          </w:p>
          <w:p w14:paraId="12E7199F">
            <w:pPr>
              <w:pStyle w:val="387"/>
              <w:widowControl w:val="0"/>
              <w:spacing w:before="0" w:after="0" w:line="360" w:lineRule="auto"/>
              <w:jc w:val="left"/>
              <w:rPr>
                <w:rFonts w:hint="eastAsia" w:ascii="宋体" w:hAnsi="宋体" w:eastAsia="宋体" w:cs="宋体"/>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拟派任项目经理具有</w:t>
            </w:r>
            <w:r>
              <w:rPr>
                <w:rFonts w:hint="eastAsia" w:eastAsia="宋体"/>
                <w:color w:val="000000" w:themeColor="text1"/>
                <w:highlight w:val="none"/>
                <w:lang w:eastAsia="zh-CN"/>
                <w14:textFill>
                  <w14:solidFill>
                    <w14:schemeClr w14:val="tx1"/>
                  </w14:solidFill>
                </w14:textFill>
              </w:rPr>
              <w:t>建筑工程专业工程师</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及以上职称的得5分。</w:t>
            </w:r>
          </w:p>
          <w:p w14:paraId="7E48A861">
            <w:pPr>
              <w:pStyle w:val="387"/>
              <w:widowControl w:val="0"/>
              <w:numPr>
                <w:ilvl w:val="0"/>
                <w:numId w:val="2"/>
              </w:numPr>
              <w:spacing w:before="0" w:after="0"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其他主要人员（满分</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分）</w:t>
            </w:r>
          </w:p>
          <w:p w14:paraId="494FEEFB">
            <w:pPr>
              <w:pStyle w:val="24"/>
              <w:spacing w:line="360" w:lineRule="auto"/>
              <w:rPr>
                <w:rFonts w:hint="eastAsia" w:hAnsi="宋体" w:cs="宋体"/>
                <w:bCs/>
                <w:color w:val="000000" w:themeColor="text1"/>
                <w:sz w:val="21"/>
                <w:highlight w:val="none"/>
                <w14:textFill>
                  <w14:solidFill>
                    <w14:schemeClr w14:val="tx1"/>
                  </w14:solidFill>
                </w14:textFill>
              </w:rPr>
            </w:pPr>
            <w:r>
              <w:rPr>
                <w:rFonts w:hint="eastAsia" w:hAnsi="宋体" w:cs="宋体"/>
                <w:color w:val="000000" w:themeColor="text1"/>
                <w:spacing w:val="2"/>
                <w:sz w:val="21"/>
                <w:highlight w:val="none"/>
                <w14:textFill>
                  <w14:solidFill>
                    <w14:schemeClr w14:val="tx1"/>
                  </w14:solidFill>
                </w14:textFill>
              </w:rPr>
              <w:t>除项目经理、技术负责人外，项目管理机构中其他主要人员（施工员、</w:t>
            </w:r>
            <w:r>
              <w:rPr>
                <w:rFonts w:hint="eastAsia" w:cs="宋体"/>
                <w:color w:val="000000" w:themeColor="text1"/>
                <w:highlight w:val="none"/>
                <w14:textFill>
                  <w14:solidFill>
                    <w14:schemeClr w14:val="tx1"/>
                  </w14:solidFill>
                </w14:textFill>
              </w:rPr>
              <w:t>专职安全生产管理人员</w:t>
            </w:r>
            <w:r>
              <w:rPr>
                <w:rFonts w:hint="eastAsia" w:hAnsi="宋体" w:cs="宋体"/>
                <w:color w:val="000000" w:themeColor="text1"/>
                <w:spacing w:val="2"/>
                <w:sz w:val="21"/>
                <w:highlight w:val="none"/>
                <w14:textFill>
                  <w14:solidFill>
                    <w14:schemeClr w14:val="tx1"/>
                  </w14:solidFill>
                </w14:textFill>
              </w:rPr>
              <w:t>、质量员、材料员）总人数不少于</w:t>
            </w:r>
            <w:r>
              <w:rPr>
                <w:rFonts w:hint="eastAsia" w:hAnsi="宋体" w:cs="宋体"/>
                <w:color w:val="000000" w:themeColor="text1"/>
                <w:spacing w:val="2"/>
                <w:sz w:val="21"/>
                <w:highlight w:val="none"/>
                <w:lang w:val="en-US" w:eastAsia="zh-CN"/>
                <w14:textFill>
                  <w14:solidFill>
                    <w14:schemeClr w14:val="tx1"/>
                  </w14:solidFill>
                </w14:textFill>
              </w:rPr>
              <w:t>4</w:t>
            </w:r>
            <w:r>
              <w:rPr>
                <w:rFonts w:hint="eastAsia" w:hAnsi="宋体" w:cs="宋体"/>
                <w:color w:val="000000" w:themeColor="text1"/>
                <w:spacing w:val="2"/>
                <w:sz w:val="21"/>
                <w:highlight w:val="none"/>
                <w14:textFill>
                  <w14:solidFill>
                    <w14:schemeClr w14:val="tx1"/>
                  </w14:solidFill>
                </w14:textFill>
              </w:rPr>
              <w:t>人，且有</w:t>
            </w:r>
            <w:r>
              <w:rPr>
                <w:rFonts w:hint="eastAsia" w:hAnsi="宋体" w:cs="宋体"/>
                <w:color w:val="000000" w:themeColor="text1"/>
                <w:spacing w:val="2"/>
                <w:sz w:val="21"/>
                <w:highlight w:val="none"/>
                <w:lang w:val="en-US" w:eastAsia="zh-CN"/>
                <w14:textFill>
                  <w14:solidFill>
                    <w14:schemeClr w14:val="tx1"/>
                  </w14:solidFill>
                </w14:textFill>
              </w:rPr>
              <w:t>50</w:t>
            </w:r>
            <w:r>
              <w:rPr>
                <w:rFonts w:hint="eastAsia" w:hAnsi="宋体" w:cs="宋体"/>
                <w:color w:val="000000" w:themeColor="text1"/>
                <w:spacing w:val="2"/>
                <w:sz w:val="21"/>
                <w:highlight w:val="none"/>
                <w14:textFill>
                  <w14:solidFill>
                    <w14:schemeClr w14:val="tx1"/>
                  </w14:solidFill>
                </w14:textFill>
              </w:rPr>
              <w:t>%（含</w:t>
            </w:r>
            <w:r>
              <w:rPr>
                <w:rFonts w:hint="eastAsia" w:hAnsi="宋体" w:cs="宋体"/>
                <w:color w:val="000000" w:themeColor="text1"/>
                <w:spacing w:val="2"/>
                <w:sz w:val="21"/>
                <w:highlight w:val="none"/>
                <w:lang w:val="en-US" w:eastAsia="zh-CN"/>
                <w14:textFill>
                  <w14:solidFill>
                    <w14:schemeClr w14:val="tx1"/>
                  </w14:solidFill>
                </w14:textFill>
              </w:rPr>
              <w:t>50</w:t>
            </w:r>
            <w:r>
              <w:rPr>
                <w:rFonts w:hint="eastAsia" w:hAnsi="宋体" w:cs="宋体"/>
                <w:color w:val="000000" w:themeColor="text1"/>
                <w:spacing w:val="2"/>
                <w:sz w:val="21"/>
                <w:highlight w:val="none"/>
                <w14:textFill>
                  <w14:solidFill>
                    <w14:schemeClr w14:val="tx1"/>
                  </w14:solidFill>
                </w14:textFill>
              </w:rPr>
              <w:t>%）以上的人员具备中级及以上职称的得</w:t>
            </w:r>
            <w:r>
              <w:rPr>
                <w:rFonts w:hint="eastAsia" w:hAnsi="宋体" w:cs="宋体"/>
                <w:color w:val="000000" w:themeColor="text1"/>
                <w:spacing w:val="2"/>
                <w:sz w:val="21"/>
                <w:highlight w:val="none"/>
                <w:lang w:val="en-US" w:eastAsia="zh-CN"/>
                <w14:textFill>
                  <w14:solidFill>
                    <w14:schemeClr w14:val="tx1"/>
                  </w14:solidFill>
                </w14:textFill>
              </w:rPr>
              <w:t>5</w:t>
            </w:r>
            <w:r>
              <w:rPr>
                <w:rFonts w:hint="eastAsia" w:hAnsi="宋体" w:cs="宋体"/>
                <w:color w:val="000000" w:themeColor="text1"/>
                <w:spacing w:val="2"/>
                <w:sz w:val="21"/>
                <w:highlight w:val="none"/>
                <w14:textFill>
                  <w14:solidFill>
                    <w14:schemeClr w14:val="tx1"/>
                  </w14:solidFill>
                </w14:textFill>
              </w:rPr>
              <w:t>分</w:t>
            </w:r>
            <w:r>
              <w:rPr>
                <w:rFonts w:hint="eastAsia" w:hAnsi="宋体" w:cs="宋体"/>
                <w:color w:val="000000" w:themeColor="text1"/>
                <w:sz w:val="21"/>
                <w:highlight w:val="none"/>
                <w14:textFill>
                  <w14:solidFill>
                    <w14:schemeClr w14:val="tx1"/>
                  </w14:solidFill>
                </w14:textFill>
              </w:rPr>
              <w:t>。</w:t>
            </w:r>
          </w:p>
        </w:tc>
        <w:tc>
          <w:tcPr>
            <w:tcW w:w="851" w:type="dxa"/>
            <w:noWrap w:val="0"/>
            <w:vAlign w:val="center"/>
          </w:tcPr>
          <w:p w14:paraId="7B0458A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10分</w:t>
            </w:r>
          </w:p>
        </w:tc>
      </w:tr>
      <w:tr w14:paraId="7B54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2DE82795">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299" w:type="dxa"/>
            <w:noWrap w:val="0"/>
            <w:vAlign w:val="center"/>
          </w:tcPr>
          <w:p w14:paraId="6F5540B3">
            <w:pPr>
              <w:widowControl/>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商务分</w:t>
            </w:r>
          </w:p>
        </w:tc>
        <w:tc>
          <w:tcPr>
            <w:tcW w:w="7139" w:type="dxa"/>
            <w:gridSpan w:val="2"/>
            <w:noWrap w:val="0"/>
            <w:vAlign w:val="center"/>
          </w:tcPr>
          <w:p w14:paraId="38F94E52">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评审标准</w:t>
            </w:r>
          </w:p>
        </w:tc>
      </w:tr>
      <w:tr w14:paraId="0CD5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2" w:type="dxa"/>
            <w:noWrap w:val="0"/>
            <w:vAlign w:val="center"/>
          </w:tcPr>
          <w:p w14:paraId="6716010A">
            <w:pPr>
              <w:widowControl/>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3.1</w:t>
            </w:r>
          </w:p>
        </w:tc>
        <w:tc>
          <w:tcPr>
            <w:tcW w:w="1299" w:type="dxa"/>
            <w:noWrap w:val="0"/>
            <w:vAlign w:val="center"/>
          </w:tcPr>
          <w:p w14:paraId="00163EA6">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业绩分</w:t>
            </w:r>
          </w:p>
        </w:tc>
        <w:tc>
          <w:tcPr>
            <w:tcW w:w="6288" w:type="dxa"/>
            <w:noWrap w:val="0"/>
            <w:vAlign w:val="top"/>
          </w:tcPr>
          <w:p w14:paraId="1DBB18D7">
            <w:pPr>
              <w:pStyle w:val="24"/>
              <w:spacing w:line="360" w:lineRule="auto"/>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供应商从202</w:t>
            </w:r>
            <w:r>
              <w:rPr>
                <w:rFonts w:hint="eastAsia" w:hAnsi="宋体" w:cs="宋体"/>
                <w:bCs/>
                <w:color w:val="000000" w:themeColor="text1"/>
                <w:sz w:val="21"/>
                <w:highlight w:val="none"/>
                <w:lang w:val="en-US" w:eastAsia="zh-CN"/>
                <w14:textFill>
                  <w14:solidFill>
                    <w14:schemeClr w14:val="tx1"/>
                  </w14:solidFill>
                </w14:textFill>
              </w:rPr>
              <w:t>3</w:t>
            </w:r>
            <w:r>
              <w:rPr>
                <w:rFonts w:hint="eastAsia" w:hAnsi="宋体" w:cs="宋体"/>
                <w:bCs/>
                <w:color w:val="000000" w:themeColor="text1"/>
                <w:sz w:val="21"/>
                <w:highlight w:val="none"/>
                <w14:textFill>
                  <w14:solidFill>
                    <w14:schemeClr w14:val="tx1"/>
                  </w14:solidFill>
                </w14:textFill>
              </w:rPr>
              <w:t>年1月1日至响应文件递交截止时间止</w:t>
            </w:r>
            <w:r>
              <w:rPr>
                <w:rFonts w:hint="eastAsia" w:hAnsi="宋体" w:cs="宋体"/>
                <w:bCs/>
                <w:color w:val="000000" w:themeColor="text1"/>
                <w:sz w:val="21"/>
                <w:highlight w:val="none"/>
                <w:lang w:eastAsia="zh-CN"/>
                <w14:textFill>
                  <w14:solidFill>
                    <w14:schemeClr w14:val="tx1"/>
                  </w14:solidFill>
                </w14:textFill>
              </w:rPr>
              <w:t>在建</w:t>
            </w:r>
            <w:r>
              <w:rPr>
                <w:rFonts w:hint="eastAsia" w:hAnsi="宋体" w:cs="宋体"/>
                <w:bCs/>
                <w:color w:val="000000" w:themeColor="text1"/>
                <w:sz w:val="21"/>
                <w:highlight w:val="none"/>
                <w:lang w:val="en-US" w:eastAsia="zh-CN"/>
                <w14:textFill>
                  <w14:solidFill>
                    <w14:schemeClr w14:val="tx1"/>
                  </w14:solidFill>
                </w14:textFill>
              </w:rPr>
              <w:t>或已完工的</w:t>
            </w:r>
            <w:r>
              <w:rPr>
                <w:rFonts w:hint="eastAsia" w:hAnsi="宋体" w:cs="宋体"/>
                <w:bCs/>
                <w:color w:val="000000" w:themeColor="text1"/>
                <w:sz w:val="21"/>
                <w:highlight w:val="none"/>
                <w14:textFill>
                  <w14:solidFill>
                    <w14:schemeClr w14:val="tx1"/>
                  </w14:solidFill>
                </w14:textFill>
              </w:rPr>
              <w:t>类似项目</w:t>
            </w:r>
            <w:r>
              <w:rPr>
                <w:rFonts w:hint="eastAsia" w:hAnsi="宋体" w:cs="宋体"/>
                <w:bCs/>
                <w:color w:val="000000" w:themeColor="text1"/>
                <w:sz w:val="21"/>
                <w:highlight w:val="none"/>
                <w:lang w:eastAsia="zh-CN"/>
                <w14:textFill>
                  <w14:solidFill>
                    <w14:schemeClr w14:val="tx1"/>
                  </w14:solidFill>
                </w14:textFill>
              </w:rPr>
              <w:t>业绩</w:t>
            </w:r>
            <w:r>
              <w:rPr>
                <w:rFonts w:hint="eastAsia" w:hAnsi="宋体" w:cs="宋体"/>
                <w:bCs/>
                <w:color w:val="000000" w:themeColor="text1"/>
                <w:sz w:val="21"/>
                <w:highlight w:val="none"/>
                <w14:textFill>
                  <w14:solidFill>
                    <w14:schemeClr w14:val="tx1"/>
                  </w14:solidFill>
                </w14:textFill>
              </w:rPr>
              <w:t>，提供</w:t>
            </w:r>
            <w:r>
              <w:rPr>
                <w:rFonts w:hint="eastAsia" w:hAnsi="宋体" w:cs="宋体"/>
                <w:bCs/>
                <w:color w:val="000000" w:themeColor="text1"/>
                <w:sz w:val="21"/>
                <w:highlight w:val="none"/>
                <w:lang w:val="en-US" w:eastAsia="zh-CN"/>
                <w14:textFill>
                  <w14:solidFill>
                    <w14:schemeClr w14:val="tx1"/>
                  </w14:solidFill>
                </w14:textFill>
              </w:rPr>
              <w:t>1</w:t>
            </w:r>
            <w:r>
              <w:rPr>
                <w:rFonts w:hint="eastAsia" w:hAnsi="宋体" w:cs="宋体"/>
                <w:bCs/>
                <w:color w:val="000000" w:themeColor="text1"/>
                <w:sz w:val="21"/>
                <w:highlight w:val="none"/>
                <w14:textFill>
                  <w14:solidFill>
                    <w14:schemeClr w14:val="tx1"/>
                  </w14:solidFill>
                </w14:textFill>
              </w:rPr>
              <w:t>个有效业绩得</w:t>
            </w:r>
            <w:r>
              <w:rPr>
                <w:rFonts w:hint="eastAsia" w:hAnsi="宋体" w:cs="宋体"/>
                <w:bCs/>
                <w:color w:val="000000" w:themeColor="text1"/>
                <w:sz w:val="21"/>
                <w:highlight w:val="none"/>
                <w:lang w:val="en-US" w:eastAsia="zh-CN"/>
                <w14:textFill>
                  <w14:solidFill>
                    <w14:schemeClr w14:val="tx1"/>
                  </w14:solidFill>
                </w14:textFill>
              </w:rPr>
              <w:t>2.5</w:t>
            </w:r>
            <w:r>
              <w:rPr>
                <w:rFonts w:hint="eastAsia" w:hAnsi="宋体" w:cs="宋体"/>
                <w:bCs/>
                <w:color w:val="000000" w:themeColor="text1"/>
                <w:sz w:val="21"/>
                <w:highlight w:val="none"/>
                <w14:textFill>
                  <w14:solidFill>
                    <w14:schemeClr w14:val="tx1"/>
                  </w14:solidFill>
                </w14:textFill>
              </w:rPr>
              <w:t>分，最高得5分。必须提供相关证明材料。</w:t>
            </w:r>
          </w:p>
          <w:p w14:paraId="6F933BB1">
            <w:pPr>
              <w:pStyle w:val="24"/>
              <w:spacing w:line="360" w:lineRule="auto"/>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证明材料：</w:t>
            </w:r>
            <w:r>
              <w:rPr>
                <w:rFonts w:hint="eastAsia" w:hAnsi="宋体" w:cs="宋体"/>
                <w:bCs/>
                <w:color w:val="000000" w:themeColor="text1"/>
                <w:sz w:val="21"/>
                <w:highlight w:val="none"/>
                <w:lang w:val="en-US" w:eastAsia="zh-CN"/>
                <w14:textFill>
                  <w14:solidFill>
                    <w14:schemeClr w14:val="tx1"/>
                  </w14:solidFill>
                </w14:textFill>
              </w:rPr>
              <w:t>以有效中标（成交）通知书或</w:t>
            </w:r>
            <w:r>
              <w:rPr>
                <w:rFonts w:hint="eastAsia" w:hAnsi="宋体" w:cs="宋体"/>
                <w:bCs/>
                <w:color w:val="000000" w:themeColor="text1"/>
                <w:sz w:val="21"/>
                <w:highlight w:val="none"/>
                <w14:textFill>
                  <w14:solidFill>
                    <w14:schemeClr w14:val="tx1"/>
                  </w14:solidFill>
                </w14:textFill>
              </w:rPr>
              <w:t>工程</w:t>
            </w:r>
            <w:r>
              <w:rPr>
                <w:rFonts w:hint="eastAsia" w:hAnsi="宋体" w:cs="宋体"/>
                <w:bCs/>
                <w:color w:val="000000" w:themeColor="text1"/>
                <w:sz w:val="21"/>
                <w:highlight w:val="none"/>
                <w:lang w:val="en-US" w:eastAsia="zh-CN"/>
                <w14:textFill>
                  <w14:solidFill>
                    <w14:schemeClr w14:val="tx1"/>
                  </w14:solidFill>
                </w14:textFill>
              </w:rPr>
              <w:t>合同复印件或扫描件为准并加盖供应商公章，否则不得分</w:t>
            </w:r>
            <w:r>
              <w:rPr>
                <w:rFonts w:hint="eastAsia" w:hAnsi="宋体" w:cs="宋体"/>
                <w:bCs/>
                <w:color w:val="000000" w:themeColor="text1"/>
                <w:sz w:val="21"/>
                <w:highlight w:val="none"/>
                <w14:textFill>
                  <w14:solidFill>
                    <w14:schemeClr w14:val="tx1"/>
                  </w14:solidFill>
                </w14:textFill>
              </w:rPr>
              <w:t>。</w:t>
            </w:r>
          </w:p>
        </w:tc>
        <w:tc>
          <w:tcPr>
            <w:tcW w:w="851" w:type="dxa"/>
            <w:noWrap w:val="0"/>
            <w:vAlign w:val="center"/>
          </w:tcPr>
          <w:p w14:paraId="09D09EED">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5分</w:t>
            </w:r>
          </w:p>
        </w:tc>
      </w:tr>
      <w:tr w14:paraId="5D75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239" w:type="dxa"/>
            <w:gridSpan w:val="3"/>
            <w:noWrap w:val="0"/>
            <w:vAlign w:val="top"/>
          </w:tcPr>
          <w:p w14:paraId="67C0DBFF">
            <w:pPr>
              <w:pStyle w:val="24"/>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总得分＝1＋2＋3</w:t>
            </w:r>
          </w:p>
        </w:tc>
        <w:tc>
          <w:tcPr>
            <w:tcW w:w="851" w:type="dxa"/>
            <w:noWrap w:val="0"/>
            <w:vAlign w:val="center"/>
          </w:tcPr>
          <w:p w14:paraId="703503EF">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100分</w:t>
            </w:r>
          </w:p>
        </w:tc>
      </w:tr>
    </w:tbl>
    <w:p w14:paraId="0232669D">
      <w:pPr>
        <w:pStyle w:val="2"/>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br w:type="page" w:clear="all"/>
      </w:r>
    </w:p>
    <w:p w14:paraId="62974AE8">
      <w:pPr>
        <w:pStyle w:val="2"/>
        <w:jc w:val="center"/>
        <w:rPr>
          <w:rFonts w:hint="eastAsia" w:ascii="宋体" w:hAnsi="宋体" w:cs="宋体"/>
          <w:color w:val="000000" w:themeColor="text1"/>
          <w:highlight w:val="none"/>
          <w14:textFill>
            <w14:solidFill>
              <w14:schemeClr w14:val="tx1"/>
            </w14:solidFill>
          </w14:textFill>
        </w:rPr>
      </w:pPr>
    </w:p>
    <w:p w14:paraId="61219720">
      <w:pPr>
        <w:pStyle w:val="2"/>
        <w:bidi w:val="0"/>
        <w:jc w:val="center"/>
        <w:rPr>
          <w:color w:val="000000" w:themeColor="text1"/>
          <w:highlight w:val="none"/>
          <w14:textFill>
            <w14:solidFill>
              <w14:schemeClr w14:val="tx1"/>
            </w14:solidFill>
          </w14:textFill>
        </w:rPr>
      </w:pPr>
      <w:bookmarkStart w:id="70" w:name="_Toc25647"/>
      <w:r>
        <w:rPr>
          <w:rFonts w:hint="eastAsia"/>
          <w:color w:val="000000" w:themeColor="text1"/>
          <w:highlight w:val="none"/>
          <w14:textFill>
            <w14:solidFill>
              <w14:schemeClr w14:val="tx1"/>
            </w14:solidFill>
          </w14:textFill>
        </w:rPr>
        <w:t>第五章</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工程量清单及图纸</w:t>
      </w:r>
      <w:bookmarkEnd w:id="70"/>
    </w:p>
    <w:p w14:paraId="48BD7CF2">
      <w:pPr>
        <w:pStyle w:val="2"/>
        <w:spacing w:before="0" w:after="0" w:line="360" w:lineRule="auto"/>
        <w:jc w:val="center"/>
        <w:rPr>
          <w:rFonts w:hint="eastAsia" w:ascii="宋体" w:hAnsi="宋体" w:cs="宋体"/>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clear="all"/>
      </w:r>
    </w:p>
    <w:p w14:paraId="470DBDEA">
      <w:pPr>
        <w:pStyle w:val="3"/>
        <w:spacing w:before="0" w:after="0" w:line="360" w:lineRule="auto"/>
        <w:rPr>
          <w:color w:val="000000" w:themeColor="text1"/>
          <w:highlight w:val="none"/>
          <w14:textFill>
            <w14:solidFill>
              <w14:schemeClr w14:val="tx1"/>
            </w14:solidFill>
          </w14:textFill>
        </w:rPr>
      </w:pPr>
      <w:bookmarkStart w:id="71" w:name="_Toc2249"/>
      <w:bookmarkStart w:id="72" w:name="_Toc1188"/>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w:t>
      </w:r>
      <w:r>
        <w:rPr>
          <w:rFonts w:hint="eastAsia" w:cs="黑体"/>
          <w:color w:val="000000" w:themeColor="text1"/>
          <w:highlight w:val="none"/>
          <w14:textFill>
            <w14:solidFill>
              <w14:schemeClr w14:val="tx1"/>
            </w14:solidFill>
          </w14:textFill>
        </w:rPr>
        <w:t>工程量清单编制说明</w:t>
      </w:r>
      <w:bookmarkEnd w:id="71"/>
      <w:bookmarkEnd w:id="72"/>
    </w:p>
    <w:p w14:paraId="43838E17">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w:t>
      </w:r>
      <w:r>
        <w:rPr>
          <w:rFonts w:hint="eastAsia" w:hAnsi="宋体" w:cs="宋体"/>
          <w:color w:val="000000" w:themeColor="text1"/>
          <w:highlight w:val="none"/>
          <w14:textFill>
            <w14:solidFill>
              <w14:schemeClr w14:val="tx1"/>
            </w14:solidFill>
          </w14:textFill>
        </w:rPr>
        <w:t>本工程量清单依据《建设工程工程量清单计价规范</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GB50500-2013</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广西实施细则》（以下简称</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《计价规范》</w:t>
      </w:r>
      <w:r>
        <w:rPr>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、《工程量清单计算规范（</w:t>
      </w:r>
      <w:r>
        <w:rPr>
          <w:color w:val="000000" w:themeColor="text1"/>
          <w:highlight w:val="none"/>
          <w14:textFill>
            <w14:solidFill>
              <w14:schemeClr w14:val="tx1"/>
            </w14:solidFill>
          </w14:textFill>
        </w:rPr>
        <w:t>GB50854~50862-2013</w:t>
      </w:r>
      <w:r>
        <w:rPr>
          <w:rFonts w:hint="eastAsia" w:hAnsi="宋体" w:cs="宋体"/>
          <w:color w:val="000000" w:themeColor="text1"/>
          <w:highlight w:val="none"/>
          <w14:textFill>
            <w14:solidFill>
              <w14:schemeClr w14:val="tx1"/>
            </w14:solidFill>
          </w14:textFill>
        </w:rPr>
        <w:t>）》及广西实施细则（修订本）（以下简称</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《计算规范》</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号）、磋商文件、施工图等编制。计算规范中没有的清单项目，应在本章第</w:t>
      </w:r>
      <w:r>
        <w:rPr>
          <w:color w:val="000000" w:themeColor="text1"/>
          <w:highlight w:val="none"/>
          <w14:textFill>
            <w14:solidFill>
              <w14:schemeClr w14:val="tx1"/>
            </w14:solidFill>
          </w14:textFill>
        </w:rPr>
        <w:t>1.4</w:t>
      </w:r>
      <w:r>
        <w:rPr>
          <w:rFonts w:hint="eastAsia" w:hAnsi="宋体" w:cs="宋体"/>
          <w:color w:val="000000" w:themeColor="text1"/>
          <w:highlight w:val="none"/>
          <w14:textFill>
            <w14:solidFill>
              <w14:schemeClr w14:val="tx1"/>
            </w14:solidFill>
          </w14:textFill>
        </w:rPr>
        <w:t>款约定。</w:t>
      </w:r>
    </w:p>
    <w:p w14:paraId="00D09328">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 </w:t>
      </w:r>
      <w:r>
        <w:rPr>
          <w:rFonts w:hint="eastAsia"/>
          <w:color w:val="000000" w:themeColor="text1"/>
          <w:highlight w:val="none"/>
          <w14:textFill>
            <w14:solidFill>
              <w14:schemeClr w14:val="tx1"/>
            </w14:solidFill>
          </w14:textFill>
        </w:rPr>
        <w:t>工程量清单应与供应商须知、合同协议条款、合同的通用条款、合同专用条款、技术规范及图纸等文件一起结合使用。</w:t>
      </w:r>
    </w:p>
    <w:p w14:paraId="680128C3">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1.3 </w:t>
      </w:r>
      <w:r>
        <w:rPr>
          <w:rFonts w:hint="eastAsia" w:cs="宋体"/>
          <w:color w:val="000000" w:themeColor="text1"/>
          <w:highlight w:val="none"/>
          <w14:textFill>
            <w14:solidFill>
              <w14:schemeClr w14:val="tx1"/>
            </w14:solidFill>
          </w14:textFill>
        </w:rPr>
        <w:t>工程量清单是磋商文件的组成部分，是工程量清单计价的基础，作为编制招标控制价、竞标报价、计算或调整工程量、索赔等的依据之一。</w:t>
      </w:r>
    </w:p>
    <w:p w14:paraId="041D0D05">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1.4 </w:t>
      </w:r>
      <w:r>
        <w:rPr>
          <w:rFonts w:hint="eastAsia" w:cs="宋体"/>
          <w:color w:val="000000" w:themeColor="text1"/>
          <w:highlight w:val="none"/>
          <w14:textFill>
            <w14:solidFill>
              <w14:schemeClr w14:val="tx1"/>
            </w14:solidFill>
          </w14:textFill>
        </w:rPr>
        <w:t>补充清单项目的特征、计量单位、工程量计算规则及工作内容说明如下：</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18846F3F">
      <w:pPr>
        <w:pStyle w:val="24"/>
        <w:spacing w:line="360" w:lineRule="auto"/>
        <w:ind w:firstLine="420"/>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 xml:space="preserve">1.5 </w:t>
      </w:r>
      <w:r>
        <w:rPr>
          <w:rFonts w:hint="eastAsia" w:ascii="Times New Roman" w:hAnsi="Times New Roman"/>
          <w:color w:val="000000" w:themeColor="text1"/>
          <w:sz w:val="21"/>
          <w:highlight w:val="none"/>
          <w14:textFill>
            <w14:solidFill>
              <w14:schemeClr w14:val="tx1"/>
            </w14:solidFill>
          </w14:textFill>
        </w:rPr>
        <w:t>《允许调整主要材料和工程设备一览表》（表</w:t>
      </w:r>
      <w:r>
        <w:rPr>
          <w:rFonts w:ascii="Times New Roman" w:hAnsi="Times New Roman"/>
          <w:color w:val="000000" w:themeColor="text1"/>
          <w:sz w:val="21"/>
          <w:highlight w:val="none"/>
          <w14:textFill>
            <w14:solidFill>
              <w14:schemeClr w14:val="tx1"/>
            </w14:solidFill>
          </w14:textFill>
        </w:rPr>
        <w:t>-22</w:t>
      </w:r>
      <w:r>
        <w:rPr>
          <w:rFonts w:hint="eastAsia" w:ascii="Times New Roman" w:hAnsi="Times New Roman"/>
          <w:color w:val="000000" w:themeColor="text1"/>
          <w:sz w:val="21"/>
          <w:highlight w:val="none"/>
          <w14:textFill>
            <w14:solidFill>
              <w14:schemeClr w14:val="tx1"/>
            </w14:solidFill>
          </w14:textFill>
        </w:rPr>
        <w:t>，表格编号为计价规范相应表格编号，下同）作为项目实施过程中材料和设备价格风险调整依据。</w:t>
      </w:r>
    </w:p>
    <w:p w14:paraId="2DCD3309">
      <w:pPr>
        <w:pStyle w:val="24"/>
        <w:spacing w:line="360" w:lineRule="auto"/>
        <w:ind w:firstLine="420"/>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 xml:space="preserve">1.6 </w:t>
      </w:r>
      <w:r>
        <w:rPr>
          <w:rFonts w:hint="eastAsia" w:ascii="Times New Roman" w:hAnsi="Times New Roman"/>
          <w:color w:val="000000" w:themeColor="text1"/>
          <w:sz w:val="21"/>
          <w:highlight w:val="none"/>
          <w14:textFill>
            <w14:solidFill>
              <w14:schemeClr w14:val="tx1"/>
            </w14:solidFill>
          </w14:textFill>
        </w:rPr>
        <w:t>本工程暂列金额（约按合同造价</w:t>
      </w:r>
      <w:r>
        <w:rPr>
          <w:rFonts w:ascii="Times New Roman" w:hAnsi="Times New Roman"/>
          <w:color w:val="000000" w:themeColor="text1"/>
          <w:sz w:val="21"/>
          <w:highlight w:val="none"/>
          <w:u w:val="single"/>
          <w14:textFill>
            <w14:solidFill>
              <w14:schemeClr w14:val="tx1"/>
            </w14:solidFill>
          </w14:textFill>
        </w:rPr>
        <w:t xml:space="preserve">   </w:t>
      </w:r>
      <w:r>
        <w:rPr>
          <w:rFonts w:hint="eastAsia" w:ascii="Times New Roman" w:hAnsi="Times New Roman"/>
          <w:color w:val="000000" w:themeColor="text1"/>
          <w:sz w:val="21"/>
          <w:highlight w:val="none"/>
          <w:u w:val="single"/>
          <w14:textFill>
            <w14:solidFill>
              <w14:schemeClr w14:val="tx1"/>
            </w14:solidFill>
          </w14:textFill>
        </w:rPr>
        <w:t>/</w:t>
      </w:r>
      <w:r>
        <w:rPr>
          <w:rFonts w:ascii="Times New Roman" w:hAnsi="Times New Roman"/>
          <w:color w:val="000000" w:themeColor="text1"/>
          <w:sz w:val="21"/>
          <w:highlight w:val="none"/>
          <w:u w:val="single"/>
          <w14:textFill>
            <w14:solidFill>
              <w14:schemeClr w14:val="tx1"/>
            </w14:solidFill>
          </w14:textFill>
        </w:rPr>
        <w:t xml:space="preserve">   </w:t>
      </w:r>
      <w:r>
        <w:rPr>
          <w:rFonts w:ascii="Times New Roman" w:hAnsi="Times New Roman"/>
          <w:color w:val="000000" w:themeColor="text1"/>
          <w:sz w:val="21"/>
          <w:highlight w:val="none"/>
          <w14:textFill>
            <w14:solidFill>
              <w14:schemeClr w14:val="tx1"/>
            </w14:solidFill>
          </w14:textFill>
        </w:rPr>
        <w:t>%</w:t>
      </w:r>
      <w:r>
        <w:rPr>
          <w:rFonts w:hint="eastAsia" w:ascii="Times New Roman" w:hAnsi="Times New Roman"/>
          <w:color w:val="000000" w:themeColor="text1"/>
          <w:sz w:val="21"/>
          <w:highlight w:val="none"/>
          <w14:textFill>
            <w14:solidFill>
              <w14:schemeClr w14:val="tx1"/>
            </w14:solidFill>
          </w14:textFill>
        </w:rPr>
        <w:t>计算），共</w:t>
      </w:r>
      <w:r>
        <w:rPr>
          <w:rFonts w:ascii="Times New Roman" w:hAnsi="Times New Roman"/>
          <w:color w:val="000000" w:themeColor="text1"/>
          <w:sz w:val="21"/>
          <w:highlight w:val="none"/>
          <w:u w:val="single"/>
          <w14:textFill>
            <w14:solidFill>
              <w14:schemeClr w14:val="tx1"/>
            </w14:solidFill>
          </w14:textFill>
        </w:rPr>
        <w:t xml:space="preserve">   </w:t>
      </w:r>
      <w:r>
        <w:rPr>
          <w:rFonts w:hint="eastAsia" w:ascii="Times New Roman" w:hAnsi="Times New Roman"/>
          <w:color w:val="000000" w:themeColor="text1"/>
          <w:sz w:val="21"/>
          <w:highlight w:val="none"/>
          <w:u w:val="single"/>
          <w14:textFill>
            <w14:solidFill>
              <w14:schemeClr w14:val="tx1"/>
            </w14:solidFill>
          </w14:textFill>
        </w:rPr>
        <w:t>/</w:t>
      </w:r>
      <w:r>
        <w:rPr>
          <w:rFonts w:ascii="Times New Roman" w:hAnsi="Times New Roman"/>
          <w:color w:val="000000" w:themeColor="text1"/>
          <w:sz w:val="21"/>
          <w:highlight w:val="none"/>
          <w:u w:val="single"/>
          <w14:textFill>
            <w14:solidFill>
              <w14:schemeClr w14:val="tx1"/>
            </w14:solidFill>
          </w14:textFill>
        </w:rPr>
        <w:t xml:space="preserve">  </w:t>
      </w:r>
      <w:r>
        <w:rPr>
          <w:rFonts w:hint="eastAsia" w:ascii="Times New Roman" w:hAnsi="Times New Roman"/>
          <w:color w:val="000000" w:themeColor="text1"/>
          <w:sz w:val="21"/>
          <w:highlight w:val="none"/>
          <w14:textFill>
            <w14:solidFill>
              <w14:schemeClr w14:val="tx1"/>
            </w14:solidFill>
          </w14:textFill>
        </w:rPr>
        <w:t>元，作为合同签订时尚未确定或者不可预见但施工中可能发生的费用。</w:t>
      </w:r>
    </w:p>
    <w:p w14:paraId="6BE2E86C">
      <w:pPr>
        <w:pStyle w:val="24"/>
        <w:spacing w:line="360" w:lineRule="auto"/>
        <w:ind w:firstLine="420"/>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 xml:space="preserve">1.7 </w:t>
      </w:r>
      <w:r>
        <w:rPr>
          <w:rFonts w:hint="eastAsia" w:ascii="Times New Roman" w:hAnsi="Times New Roman"/>
          <w:color w:val="000000" w:themeColor="text1"/>
          <w:sz w:val="21"/>
          <w:highlight w:val="none"/>
          <w14:textFill>
            <w14:solidFill>
              <w14:schemeClr w14:val="tx1"/>
            </w14:solidFill>
          </w14:textFill>
        </w:rPr>
        <w:t>本工程发包人提供的材料和设备详见《发包人提供的主要材料和工程设备一览表》（表</w:t>
      </w:r>
      <w:r>
        <w:rPr>
          <w:rFonts w:ascii="Times New Roman" w:hAnsi="Times New Roman"/>
          <w:color w:val="000000" w:themeColor="text1"/>
          <w:sz w:val="21"/>
          <w:highlight w:val="none"/>
          <w14:textFill>
            <w14:solidFill>
              <w14:schemeClr w14:val="tx1"/>
            </w14:solidFill>
          </w14:textFill>
        </w:rPr>
        <w:t>-21</w:t>
      </w:r>
      <w:r>
        <w:rPr>
          <w:rFonts w:hint="eastAsia" w:ascii="Times New Roman" w:hAnsi="Times New Roman"/>
          <w:color w:val="000000" w:themeColor="text1"/>
          <w:sz w:val="21"/>
          <w:highlight w:val="none"/>
          <w14:textFill>
            <w14:solidFill>
              <w14:schemeClr w14:val="tx1"/>
            </w14:solidFill>
          </w14:textFill>
        </w:rPr>
        <w:t>）。</w:t>
      </w:r>
    </w:p>
    <w:p w14:paraId="1CF65960">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本工程部分材料和设备在招标时作为暂估价计列，结算按实调整，具体内容详见《材料（工程设备）暂估单价及调整表》（表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14:paraId="5967E653">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1.9 </w:t>
      </w:r>
      <w:r>
        <w:rPr>
          <w:rFonts w:hint="eastAsia" w:cs="宋体"/>
          <w:color w:val="000000" w:themeColor="text1"/>
          <w:highlight w:val="none"/>
          <w14:textFill>
            <w14:solidFill>
              <w14:schemeClr w14:val="tx1"/>
            </w14:solidFill>
          </w14:textFill>
        </w:rPr>
        <w:t>招标时暂估专业工程的价款属于暂估价，结算按实调整，具体内容详见《专业工程暂估价及结算价表》（表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14:paraId="49E5BBD8">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1.10 </w:t>
      </w:r>
      <w:r>
        <w:rPr>
          <w:rFonts w:hint="eastAsia" w:cs="宋体"/>
          <w:color w:val="000000" w:themeColor="text1"/>
          <w:highlight w:val="none"/>
          <w14:textFill>
            <w14:solidFill>
              <w14:schemeClr w14:val="tx1"/>
            </w14:solidFill>
          </w14:textFill>
        </w:rPr>
        <w:t>本工程量清单编码处标注</w:t>
      </w:r>
      <w:r>
        <w:rPr>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号的清单项目作为主要清单项目，需要供应商提供</w:t>
      </w:r>
      <w:r>
        <w:rPr>
          <w:rFonts w:hint="eastAsia" w:hAnsi="宋体" w:cs="宋体"/>
          <w:color w:val="000000" w:themeColor="text1"/>
          <w:highlight w:val="none"/>
          <w14:textFill>
            <w14:solidFill>
              <w14:schemeClr w14:val="tx1"/>
            </w14:solidFill>
          </w14:textFill>
        </w:rPr>
        <w:t>《主要清单项目工料机分析表》（表</w:t>
      </w:r>
      <w:r>
        <w:rPr>
          <w:color w:val="000000" w:themeColor="text1"/>
          <w:highlight w:val="none"/>
          <w14:textFill>
            <w14:solidFill>
              <w14:schemeClr w14:val="tx1"/>
            </w14:solidFill>
          </w14:textFill>
        </w:rPr>
        <w:t>-10</w:t>
      </w:r>
      <w:r>
        <w:rPr>
          <w:rFonts w:hint="eastAsia" w:hAnsi="宋体" w:cs="宋体"/>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w:t>
      </w:r>
    </w:p>
    <w:p w14:paraId="790BA11C">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1.11 </w:t>
      </w:r>
      <w:r>
        <w:rPr>
          <w:rFonts w:hint="eastAsia" w:cs="宋体"/>
          <w:color w:val="000000" w:themeColor="text1"/>
          <w:highlight w:val="none"/>
          <w14:textFill>
            <w14:solidFill>
              <w14:schemeClr w14:val="tx1"/>
            </w14:solidFill>
          </w14:textFill>
        </w:rPr>
        <w:t>其它需要说明的问题：</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p>
    <w:p w14:paraId="6EAAC7B1">
      <w:pPr>
        <w:spacing w:line="360" w:lineRule="auto"/>
        <w:ind w:firstLine="42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1.12 </w:t>
      </w:r>
      <w:r>
        <w:rPr>
          <w:rFonts w:hint="eastAsia" w:cs="宋体"/>
          <w:color w:val="000000" w:themeColor="text1"/>
          <w:highlight w:val="none"/>
          <w14:textFill>
            <w14:solidFill>
              <w14:schemeClr w14:val="tx1"/>
            </w14:solidFill>
          </w14:textFill>
        </w:rPr>
        <w:t>工程量清单与磋商文件同时发布。</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一般计税法建设工程的工程量清单表格按</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w:t>
      </w:r>
      <w:r>
        <w:rPr>
          <w:rFonts w:hint="eastAsia" w:ascii="宋体" w:hAnsi="宋体" w:cs="宋体"/>
          <w:color w:val="000000" w:themeColor="text1"/>
          <w:highlight w:val="none"/>
          <w14:textFill>
            <w14:solidFill>
              <w14:schemeClr w14:val="tx1"/>
            </w14:solidFill>
          </w14:textFill>
        </w:rPr>
        <w:t>附件“增值税一般计税方法工程计价表”要求提供；简易计税法建设工程按照《计价规范》要求的</w:t>
      </w:r>
      <w:r>
        <w:rPr>
          <w:rFonts w:hint="eastAsia" w:cs="宋体"/>
          <w:color w:val="000000" w:themeColor="text1"/>
          <w:highlight w:val="none"/>
          <w14:textFill>
            <w14:solidFill>
              <w14:schemeClr w14:val="tx1"/>
            </w14:solidFill>
          </w14:textFill>
        </w:rPr>
        <w:t>表格提供，但规费和税费要按照《关于建筑业实施营业税改征增值税后广西壮族自治区建设工程计价依据调整的通知》（桂建标〔</w:t>
      </w:r>
      <w:r>
        <w:rPr>
          <w:color w:val="000000" w:themeColor="text1"/>
          <w:highlight w:val="none"/>
          <w14:textFill>
            <w14:solidFill>
              <w14:schemeClr w14:val="tx1"/>
            </w14:solidFill>
          </w14:textFill>
        </w:rPr>
        <w:t>2016</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17</w:t>
      </w:r>
      <w:r>
        <w:rPr>
          <w:rFonts w:hint="eastAsia" w:cs="宋体"/>
          <w:color w:val="000000" w:themeColor="text1"/>
          <w:highlight w:val="none"/>
          <w14:textFill>
            <w14:solidFill>
              <w14:schemeClr w14:val="tx1"/>
            </w14:solidFill>
          </w14:textFill>
        </w:rPr>
        <w:t>号）</w:t>
      </w:r>
      <w:r>
        <w:rPr>
          <w:rFonts w:hint="eastAsia" w:ascii="宋体" w:hAnsi="宋体" w:cs="宋体"/>
          <w:color w:val="000000" w:themeColor="text1"/>
          <w:highlight w:val="none"/>
          <w14:textFill>
            <w14:solidFill>
              <w14:schemeClr w14:val="tx1"/>
            </w14:solidFill>
          </w14:textFill>
        </w:rPr>
        <w:t>要求调整，具体</w:t>
      </w:r>
      <w:r>
        <w:rPr>
          <w:rFonts w:hint="eastAsia" w:cs="宋体"/>
          <w:color w:val="000000" w:themeColor="text1"/>
          <w:highlight w:val="none"/>
          <w14:textFill>
            <w14:solidFill>
              <w14:schemeClr w14:val="tx1"/>
            </w14:solidFill>
          </w14:textFill>
        </w:rPr>
        <w:t>包括：</w:t>
      </w:r>
    </w:p>
    <w:p w14:paraId="79D5EF37">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 </w:t>
      </w:r>
      <w:r>
        <w:rPr>
          <w:rFonts w:hint="eastAsia" w:cs="宋体"/>
          <w:color w:val="000000" w:themeColor="text1"/>
          <w:highlight w:val="none"/>
          <w14:textFill>
            <w14:solidFill>
              <w14:schemeClr w14:val="tx1"/>
            </w14:solidFill>
          </w14:textFill>
        </w:rPr>
        <w:t>招标工程量清单（封</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w:t>
      </w:r>
    </w:p>
    <w:p w14:paraId="736F9CF6">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 </w:t>
      </w:r>
      <w:r>
        <w:rPr>
          <w:rFonts w:hint="eastAsia" w:cs="宋体"/>
          <w:color w:val="000000" w:themeColor="text1"/>
          <w:highlight w:val="none"/>
          <w14:textFill>
            <w14:solidFill>
              <w14:schemeClr w14:val="tx1"/>
            </w14:solidFill>
          </w14:textFill>
        </w:rPr>
        <w:t>招标工程量清单（封扉</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w:t>
      </w:r>
    </w:p>
    <w:p w14:paraId="0A779504">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1.3 </w:t>
      </w:r>
      <w:r>
        <w:rPr>
          <w:rFonts w:hint="eastAsia" w:cs="宋体"/>
          <w:color w:val="000000" w:themeColor="text1"/>
          <w:highlight w:val="none"/>
          <w14:textFill>
            <w14:solidFill>
              <w14:schemeClr w14:val="tx1"/>
            </w14:solidFill>
          </w14:textFill>
        </w:rPr>
        <w:t>总说明（表</w:t>
      </w:r>
      <w:r>
        <w:rPr>
          <w:color w:val="000000" w:themeColor="text1"/>
          <w:highlight w:val="none"/>
          <w14:textFill>
            <w14:solidFill>
              <w14:schemeClr w14:val="tx1"/>
            </w14:solidFill>
          </w14:textFill>
        </w:rPr>
        <w:t>-01</w:t>
      </w:r>
      <w:r>
        <w:rPr>
          <w:rFonts w:hint="eastAsia" w:cs="宋体"/>
          <w:color w:val="000000" w:themeColor="text1"/>
          <w:highlight w:val="none"/>
          <w14:textFill>
            <w14:solidFill>
              <w14:schemeClr w14:val="tx1"/>
            </w14:solidFill>
          </w14:textFill>
        </w:rPr>
        <w:t>）</w:t>
      </w:r>
    </w:p>
    <w:p w14:paraId="7381EC79">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1.4 </w:t>
      </w:r>
      <w:r>
        <w:rPr>
          <w:rFonts w:hint="eastAsia" w:cs="宋体"/>
          <w:color w:val="000000" w:themeColor="text1"/>
          <w:highlight w:val="none"/>
          <w14:textFill>
            <w14:solidFill>
              <w14:schemeClr w14:val="tx1"/>
            </w14:solidFill>
          </w14:textFill>
        </w:rPr>
        <w:t>建设项目投标报价汇总表（表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14:paraId="2C0C2ADD">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1.5 </w:t>
      </w:r>
      <w:r>
        <w:rPr>
          <w:rFonts w:hint="eastAsia" w:cs="宋体"/>
          <w:color w:val="000000" w:themeColor="text1"/>
          <w:highlight w:val="none"/>
          <w14:textFill>
            <w14:solidFill>
              <w14:schemeClr w14:val="tx1"/>
            </w14:solidFill>
          </w14:textFill>
        </w:rPr>
        <w:t>单项工程投标报价汇总表（表</w:t>
      </w:r>
      <w:r>
        <w:rPr>
          <w:color w:val="000000" w:themeColor="text1"/>
          <w:highlight w:val="none"/>
          <w14:textFill>
            <w14:solidFill>
              <w14:schemeClr w14:val="tx1"/>
            </w14:solidFill>
          </w14:textFill>
        </w:rPr>
        <w:t>-03</w:t>
      </w:r>
      <w:r>
        <w:rPr>
          <w:rFonts w:hint="eastAsia" w:cs="宋体"/>
          <w:color w:val="000000" w:themeColor="text1"/>
          <w:highlight w:val="none"/>
          <w14:textFill>
            <w14:solidFill>
              <w14:schemeClr w14:val="tx1"/>
            </w14:solidFill>
          </w14:textFill>
        </w:rPr>
        <w:t>）</w:t>
      </w:r>
    </w:p>
    <w:p w14:paraId="1B0D28D9">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1.6 </w:t>
      </w:r>
      <w:r>
        <w:rPr>
          <w:rFonts w:hint="eastAsia" w:cs="宋体"/>
          <w:color w:val="000000" w:themeColor="text1"/>
          <w:highlight w:val="none"/>
          <w14:textFill>
            <w14:solidFill>
              <w14:schemeClr w14:val="tx1"/>
            </w14:solidFill>
          </w14:textFill>
        </w:rPr>
        <w:t>单位工程投标报价汇总表（表</w:t>
      </w:r>
      <w:r>
        <w:rPr>
          <w:color w:val="000000" w:themeColor="text1"/>
          <w:highlight w:val="none"/>
          <w14:textFill>
            <w14:solidFill>
              <w14:schemeClr w14:val="tx1"/>
            </w14:solidFill>
          </w14:textFill>
        </w:rPr>
        <w:t>-04</w:t>
      </w:r>
      <w:r>
        <w:rPr>
          <w:rFonts w:hint="eastAsia" w:cs="宋体"/>
          <w:color w:val="000000" w:themeColor="text1"/>
          <w:highlight w:val="none"/>
          <w14:textFill>
            <w14:solidFill>
              <w14:schemeClr w14:val="tx1"/>
            </w14:solidFill>
          </w14:textFill>
        </w:rPr>
        <w:t>）</w:t>
      </w:r>
    </w:p>
    <w:p w14:paraId="070650DE">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1.7 </w:t>
      </w:r>
      <w:r>
        <w:rPr>
          <w:rFonts w:hint="eastAsia" w:cs="宋体"/>
          <w:color w:val="000000" w:themeColor="text1"/>
          <w:highlight w:val="none"/>
          <w14:textFill>
            <w14:solidFill>
              <w14:schemeClr w14:val="tx1"/>
            </w14:solidFill>
          </w14:textFill>
        </w:rPr>
        <w:t>分部分项工程和单价措施项目清单与计价表（表</w:t>
      </w:r>
      <w:r>
        <w:rPr>
          <w:color w:val="000000" w:themeColor="text1"/>
          <w:highlight w:val="none"/>
          <w14:textFill>
            <w14:solidFill>
              <w14:schemeClr w14:val="tx1"/>
            </w14:solidFill>
          </w14:textFill>
        </w:rPr>
        <w:t>-08</w:t>
      </w:r>
      <w:r>
        <w:rPr>
          <w:rFonts w:hint="eastAsia" w:cs="宋体"/>
          <w:color w:val="000000" w:themeColor="text1"/>
          <w:highlight w:val="none"/>
          <w14:textFill>
            <w14:solidFill>
              <w14:schemeClr w14:val="tx1"/>
            </w14:solidFill>
          </w14:textFill>
        </w:rPr>
        <w:t>）</w:t>
      </w:r>
    </w:p>
    <w:p w14:paraId="36F5B19F">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总价措施项目清单与计价表（表</w:t>
      </w:r>
      <w:r>
        <w:rPr>
          <w:color w:val="000000" w:themeColor="text1"/>
          <w:highlight w:val="none"/>
          <w14:textFill>
            <w14:solidFill>
              <w14:schemeClr w14:val="tx1"/>
            </w14:solidFill>
          </w14:textFill>
        </w:rPr>
        <w:t>-11</w:t>
      </w:r>
      <w:r>
        <w:rPr>
          <w:rFonts w:hint="eastAsia" w:cs="宋体"/>
          <w:color w:val="000000" w:themeColor="text1"/>
          <w:highlight w:val="none"/>
          <w14:textFill>
            <w14:solidFill>
              <w14:schemeClr w14:val="tx1"/>
            </w14:solidFill>
          </w14:textFill>
        </w:rPr>
        <w:t>）</w:t>
      </w:r>
    </w:p>
    <w:p w14:paraId="198CBB1C">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1.9 </w:t>
      </w:r>
      <w:r>
        <w:rPr>
          <w:rFonts w:hint="eastAsia" w:cs="宋体"/>
          <w:color w:val="000000" w:themeColor="text1"/>
          <w:highlight w:val="none"/>
          <w14:textFill>
            <w14:solidFill>
              <w14:schemeClr w14:val="tx1"/>
            </w14:solidFill>
          </w14:textFill>
        </w:rPr>
        <w:t>其他项目清单与计价汇总表（表</w:t>
      </w:r>
      <w:r>
        <w:rPr>
          <w:color w:val="000000" w:themeColor="text1"/>
          <w:highlight w:val="none"/>
          <w14:textFill>
            <w14:solidFill>
              <w14:schemeClr w14:val="tx1"/>
            </w14:solidFill>
          </w14:textFill>
        </w:rPr>
        <w:t>-12</w:t>
      </w:r>
      <w:r>
        <w:rPr>
          <w:rFonts w:hint="eastAsia" w:cs="宋体"/>
          <w:color w:val="000000" w:themeColor="text1"/>
          <w:highlight w:val="none"/>
          <w14:textFill>
            <w14:solidFill>
              <w14:schemeClr w14:val="tx1"/>
            </w14:solidFill>
          </w14:textFill>
        </w:rPr>
        <w:t>）</w:t>
      </w:r>
    </w:p>
    <w:p w14:paraId="4112B147">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1.10 </w:t>
      </w:r>
      <w:r>
        <w:rPr>
          <w:rFonts w:hint="eastAsia" w:cs="宋体"/>
          <w:color w:val="000000" w:themeColor="text1"/>
          <w:highlight w:val="none"/>
          <w14:textFill>
            <w14:solidFill>
              <w14:schemeClr w14:val="tx1"/>
            </w14:solidFill>
          </w14:textFill>
        </w:rPr>
        <w:t>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14:paraId="073B2A79">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1.11 </w:t>
      </w:r>
      <w:r>
        <w:rPr>
          <w:rFonts w:hint="eastAsia" w:cs="宋体"/>
          <w:color w:val="000000" w:themeColor="text1"/>
          <w:highlight w:val="none"/>
          <w14:textFill>
            <w14:solidFill>
              <w14:schemeClr w14:val="tx1"/>
            </w14:solidFill>
          </w14:textFill>
        </w:rPr>
        <w:t>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14:paraId="60C26C1A">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1.12 </w:t>
      </w:r>
      <w:r>
        <w:rPr>
          <w:rFonts w:hint="eastAsia" w:cs="宋体"/>
          <w:color w:val="000000" w:themeColor="text1"/>
          <w:highlight w:val="none"/>
          <w14:textFill>
            <w14:solidFill>
              <w14:schemeClr w14:val="tx1"/>
            </w14:solidFill>
          </w14:textFill>
        </w:rPr>
        <w:t>专业工程暂估价</w:t>
      </w:r>
      <w:r>
        <w:rPr>
          <w:rFonts w:hint="eastAsia"/>
          <w:color w:val="000000" w:themeColor="text1"/>
          <w:highlight w:val="none"/>
          <w14:textFill>
            <w14:solidFill>
              <w14:schemeClr w14:val="tx1"/>
            </w14:solidFill>
          </w14:textFill>
        </w:rPr>
        <w:t>及结算价</w:t>
      </w:r>
      <w:r>
        <w:rPr>
          <w:rFonts w:hint="eastAsia" w:cs="宋体"/>
          <w:color w:val="000000" w:themeColor="text1"/>
          <w:highlight w:val="none"/>
          <w14:textFill>
            <w14:solidFill>
              <w14:schemeClr w14:val="tx1"/>
            </w14:solidFill>
          </w14:textFill>
        </w:rPr>
        <w:t>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14:paraId="124BEC7B">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1.13 </w:t>
      </w:r>
      <w:r>
        <w:rPr>
          <w:rFonts w:hint="eastAsia" w:cs="宋体"/>
          <w:color w:val="000000" w:themeColor="text1"/>
          <w:highlight w:val="none"/>
          <w14:textFill>
            <w14:solidFill>
              <w14:schemeClr w14:val="tx1"/>
            </w14:solidFill>
          </w14:textFill>
        </w:rPr>
        <w:t>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14:paraId="4FFD94C1">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1.14 </w:t>
      </w:r>
      <w:r>
        <w:rPr>
          <w:rFonts w:hint="eastAsia" w:cs="宋体"/>
          <w:color w:val="000000" w:themeColor="text1"/>
          <w:highlight w:val="none"/>
          <w14:textFill>
            <w14:solidFill>
              <w14:schemeClr w14:val="tx1"/>
            </w14:solidFill>
          </w14:textFill>
        </w:rPr>
        <w:t>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14:paraId="550D7076">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1.15 </w:t>
      </w:r>
      <w:r>
        <w:rPr>
          <w:rFonts w:hint="eastAsia" w:cs="宋体"/>
          <w:color w:val="000000" w:themeColor="text1"/>
          <w:highlight w:val="none"/>
          <w14:textFill>
            <w14:solidFill>
              <w14:schemeClr w14:val="tx1"/>
            </w14:solidFill>
          </w14:textFill>
        </w:rPr>
        <w:t>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14:paraId="7687EC24">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1.16 </w:t>
      </w:r>
      <w:r>
        <w:rPr>
          <w:rFonts w:hint="eastAsia" w:cs="宋体"/>
          <w:color w:val="000000" w:themeColor="text1"/>
          <w:highlight w:val="none"/>
          <w14:textFill>
            <w14:solidFill>
              <w14:schemeClr w14:val="tx1"/>
            </w14:solidFill>
          </w14:textFill>
        </w:rPr>
        <w:t>规费、增值税计价表（表</w:t>
      </w:r>
      <w:r>
        <w:rPr>
          <w:color w:val="000000" w:themeColor="text1"/>
          <w:highlight w:val="none"/>
          <w14:textFill>
            <w14:solidFill>
              <w14:schemeClr w14:val="tx1"/>
            </w14:solidFill>
          </w14:textFill>
        </w:rPr>
        <w:t>-15</w:t>
      </w:r>
      <w:r>
        <w:rPr>
          <w:rFonts w:hint="eastAsia" w:cs="宋体"/>
          <w:color w:val="000000" w:themeColor="text1"/>
          <w:highlight w:val="none"/>
          <w14:textFill>
            <w14:solidFill>
              <w14:schemeClr w14:val="tx1"/>
            </w14:solidFill>
          </w14:textFill>
        </w:rPr>
        <w:t>）</w:t>
      </w:r>
    </w:p>
    <w:p w14:paraId="4937A5BD">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1.17 </w:t>
      </w:r>
      <w:r>
        <w:rPr>
          <w:rFonts w:hint="eastAsia" w:cs="宋体"/>
          <w:color w:val="000000" w:themeColor="text1"/>
          <w:highlight w:val="none"/>
          <w14:textFill>
            <w14:solidFill>
              <w14:schemeClr w14:val="tx1"/>
            </w14:solidFill>
          </w14:textFill>
        </w:rPr>
        <w:t>发包人提供主要材料和工程设备一览表（表</w:t>
      </w:r>
      <w:r>
        <w:rPr>
          <w:color w:val="000000" w:themeColor="text1"/>
          <w:highlight w:val="none"/>
          <w14:textFill>
            <w14:solidFill>
              <w14:schemeClr w14:val="tx1"/>
            </w14:solidFill>
          </w14:textFill>
        </w:rPr>
        <w:t>-21</w:t>
      </w:r>
      <w:r>
        <w:rPr>
          <w:rFonts w:hint="eastAsia" w:cs="宋体"/>
          <w:color w:val="000000" w:themeColor="text1"/>
          <w:highlight w:val="none"/>
          <w14:textFill>
            <w14:solidFill>
              <w14:schemeClr w14:val="tx1"/>
            </w14:solidFill>
          </w14:textFill>
        </w:rPr>
        <w:t>）</w:t>
      </w:r>
    </w:p>
    <w:p w14:paraId="2FEF27AC">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1.18 </w:t>
      </w:r>
      <w:r>
        <w:rPr>
          <w:rFonts w:hint="eastAsia" w:cs="宋体"/>
          <w:color w:val="000000" w:themeColor="text1"/>
          <w:highlight w:val="none"/>
          <w14:textFill>
            <w14:solidFill>
              <w14:schemeClr w14:val="tx1"/>
            </w14:solidFill>
          </w14:textFill>
        </w:rPr>
        <w:t>允许调整主要材料和工程设备一览表（适用于造价信息差额调整法）（表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w:t>
      </w:r>
    </w:p>
    <w:p w14:paraId="6E340349">
      <w:pPr>
        <w:spacing w:line="360" w:lineRule="auto"/>
        <w:ind w:firstLine="630"/>
        <w:jc w:val="left"/>
        <w:rPr>
          <w:rFonts w:hint="eastAsia" w:cs="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1.19</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14:paraId="26A15F80">
      <w:pPr>
        <w:spacing w:line="360" w:lineRule="auto"/>
        <w:ind w:firstLine="630"/>
        <w:jc w:val="left"/>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1.20本工程</w:t>
      </w:r>
      <w:r>
        <w:rPr>
          <w:rFonts w:cs="宋体"/>
          <w:color w:val="000000" w:themeColor="text1"/>
          <w:highlight w:val="none"/>
          <w:lang w:val="en"/>
          <w14:textFill>
            <w14:solidFill>
              <w14:schemeClr w14:val="tx1"/>
            </w14:solidFill>
          </w14:textFill>
        </w:rPr>
        <w:t>材料和工程设备</w:t>
      </w:r>
      <w:r>
        <w:rPr>
          <w:rFonts w:hint="eastAsia" w:cs="宋体"/>
          <w:color w:val="000000" w:themeColor="text1"/>
          <w:highlight w:val="none"/>
          <w14:textFill>
            <w14:solidFill>
              <w14:schemeClr w14:val="tx1"/>
            </w14:solidFill>
          </w14:textFill>
        </w:rPr>
        <w:t>一览表（表-24）</w:t>
      </w:r>
    </w:p>
    <w:p w14:paraId="556C46EC">
      <w:pPr>
        <w:spacing w:line="360" w:lineRule="auto"/>
        <w:ind w:firstLine="630"/>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注：如本工程在合同中约定采用造价信息价差调整法，1.</w:t>
      </w:r>
      <w:r>
        <w:rPr>
          <w:color w:val="000000" w:themeColor="text1"/>
          <w:highlight w:val="none"/>
          <w14:textFill>
            <w14:solidFill>
              <w14:schemeClr w14:val="tx1"/>
            </w14:solidFill>
          </w14:textFill>
        </w:rPr>
        <w:t xml:space="preserve">18 </w:t>
      </w:r>
      <w:r>
        <w:rPr>
          <w:rFonts w:cs="宋体"/>
          <w:color w:val="000000" w:themeColor="text1"/>
          <w:highlight w:val="none"/>
          <w:lang w:val="en"/>
          <w14:textFill>
            <w14:solidFill>
              <w14:schemeClr w14:val="tx1"/>
            </w14:solidFill>
          </w14:textFill>
        </w:rPr>
        <w:t>允许调整</w:t>
      </w:r>
      <w:r>
        <w:rPr>
          <w:rFonts w:hint="eastAsia" w:cs="宋体"/>
          <w:color w:val="000000" w:themeColor="text1"/>
          <w:highlight w:val="none"/>
          <w14:textFill>
            <w14:solidFill>
              <w14:schemeClr w14:val="tx1"/>
            </w14:solidFill>
          </w14:textFill>
        </w:rPr>
        <w:t>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）载明的主要材料和工程设备为本工程允许调整材料和工程设备，工程量清单必须提供该表格，并应载明允许调整材料和工程设备名称型号规格、单位、风险系数、基准单价等内容，且不能提供空白表。</w:t>
      </w:r>
    </w:p>
    <w:p w14:paraId="647B1D6A">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以下表格视工程实际需要选用，如该工程不发生如下表格相关项目和费用，所编制工程量清单则不需列入相应表格：</w:t>
      </w:r>
    </w:p>
    <w:p w14:paraId="22C2C754">
      <w:pPr>
        <w:spacing w:line="360" w:lineRule="auto"/>
        <w:ind w:firstLine="630"/>
        <w:jc w:val="left"/>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w:t>
      </w:r>
      <w:r>
        <w:rPr>
          <w:rFonts w:hint="eastAsia" w:cs="宋体"/>
          <w:color w:val="000000" w:themeColor="text1"/>
          <w:highlight w:val="none"/>
          <w14:textFill>
            <w14:solidFill>
              <w14:schemeClr w14:val="tx1"/>
            </w14:solidFill>
          </w14:textFill>
        </w:rPr>
        <w:t>建设项目投标报价汇总表（表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14:paraId="5D22C17A">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②暂列金额明细表（表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14:paraId="33822D0A">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③材料（工程设备）暂估单价及调整表（表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14:paraId="1F592FF4">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④专业工程暂估价表（表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14:paraId="78F6CE20">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⑤计日工表（表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14:paraId="3C858897">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⑥总承包服务费计价表（表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14:paraId="54AC52B5">
      <w:pPr>
        <w:spacing w:line="360" w:lineRule="auto"/>
        <w:ind w:firstLine="630"/>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⑦税前项目清单与计价表（表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14:paraId="15CA5E12">
      <w:pPr>
        <w:spacing w:line="360" w:lineRule="auto"/>
        <w:ind w:firstLine="630"/>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w:instrText>
      </w:r>
      <w:r>
        <w:rPr>
          <w:rFonts w:hint="eastAsia"/>
          <w:color w:val="000000" w:themeColor="text1"/>
          <w:highlight w:val="none"/>
          <w14:textFill>
            <w14:solidFill>
              <w14:schemeClr w14:val="tx1"/>
            </w14:solidFill>
          </w14:textFill>
        </w:rPr>
        <w:instrText xml:space="preserve">= 8 \* GB3</w:instrText>
      </w:r>
      <w:r>
        <w:rPr>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⑧</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14:paraId="7B51BA2B">
      <w:pPr>
        <w:pStyle w:val="3"/>
        <w:spacing w:before="0" w:after="0" w:line="360" w:lineRule="auto"/>
        <w:rPr>
          <w:color w:val="000000" w:themeColor="text1"/>
          <w:highlight w:val="none"/>
          <w14:textFill>
            <w14:solidFill>
              <w14:schemeClr w14:val="tx1"/>
            </w14:solidFill>
          </w14:textFill>
        </w:rPr>
      </w:pPr>
      <w:bookmarkStart w:id="73" w:name="_Toc407135285"/>
      <w:bookmarkStart w:id="74" w:name="_Toc347872619"/>
      <w:bookmarkStart w:id="75" w:name="_Toc122424002"/>
      <w:bookmarkStart w:id="76" w:name="_Toc78449870"/>
      <w:bookmarkStart w:id="77" w:name="_Toc16800"/>
      <w:bookmarkStart w:id="78" w:name="_Toc122424251"/>
      <w:bookmarkStart w:id="79" w:name="_Toc12885"/>
      <w:bookmarkStart w:id="80" w:name="_Toc990933621"/>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w:t>
      </w:r>
      <w:r>
        <w:rPr>
          <w:rFonts w:hint="eastAsia" w:cs="黑体"/>
          <w:color w:val="000000" w:themeColor="text1"/>
          <w:highlight w:val="none"/>
          <w14:textFill>
            <w14:solidFill>
              <w14:schemeClr w14:val="tx1"/>
            </w14:solidFill>
          </w14:textFill>
        </w:rPr>
        <w:t>招标控制价编制说明</w:t>
      </w:r>
      <w:bookmarkEnd w:id="73"/>
      <w:bookmarkEnd w:id="74"/>
      <w:bookmarkEnd w:id="75"/>
      <w:bookmarkEnd w:id="76"/>
      <w:bookmarkEnd w:id="77"/>
      <w:bookmarkEnd w:id="78"/>
      <w:bookmarkEnd w:id="79"/>
      <w:bookmarkEnd w:id="80"/>
    </w:p>
    <w:p w14:paraId="590EB394">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2.1 </w:t>
      </w:r>
      <w:r>
        <w:rPr>
          <w:rFonts w:hint="eastAsia" w:hAnsi="宋体" w:cs="宋体"/>
          <w:color w:val="000000" w:themeColor="text1"/>
          <w:highlight w:val="none"/>
          <w14:textFill>
            <w14:solidFill>
              <w14:schemeClr w14:val="tx1"/>
            </w14:solidFill>
          </w14:textFill>
        </w:rPr>
        <w:t>招标控制价编制依据：</w:t>
      </w:r>
    </w:p>
    <w:p w14:paraId="0492351A">
      <w:pPr>
        <w:spacing w:line="360" w:lineRule="auto"/>
        <w:ind w:firstLine="420"/>
        <w:rPr>
          <w:rFonts w:hAnsi="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《计价规范》及《计算规范》、《关于建筑业实施营业税改征增值税后广西壮族自治区建设工程计价依据调整的通知》 （桂建标〔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号）等；</w:t>
      </w:r>
    </w:p>
    <w:p w14:paraId="5F62BB4E">
      <w:pPr>
        <w:spacing w:line="360"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）自治区住房城乡建设行政主管部门颁发的计价定额及有关规定</w:t>
      </w:r>
      <w:r>
        <w:rPr>
          <w:rFonts w:hint="eastAsia" w:ascii="宋体" w:hAnsi="宋体" w:eastAsia="宋体" w:cs="宋体"/>
          <w:b/>
          <w:bCs/>
          <w:color w:val="000000" w:themeColor="text1"/>
          <w:highlight w:val="none"/>
          <w14:textFill>
            <w14:solidFill>
              <w14:schemeClr w14:val="tx1"/>
            </w14:solidFill>
          </w14:textFill>
        </w:rPr>
        <w:t>：《建设工程工程量清单计价规范》（GB50500-2013）</w:t>
      </w:r>
      <w:r>
        <w:rPr>
          <w:rFonts w:hint="eastAsia" w:ascii="宋体" w:hAnsi="宋体" w:cs="宋体"/>
          <w:b/>
          <w:bCs/>
          <w:color w:val="000000" w:themeColor="text1"/>
          <w:highlight w:val="none"/>
          <w:lang w:eastAsia="zh-CN"/>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《&lt;建设工程工程量清单计价规范&gt;广西壮族自治区实施细则》</w:t>
      </w:r>
      <w:r>
        <w:rPr>
          <w:rFonts w:hint="eastAsia" w:ascii="宋体" w:hAnsi="宋体" w:cs="宋体"/>
          <w:b/>
          <w:bCs/>
          <w:color w:val="000000" w:themeColor="text1"/>
          <w:highlight w:val="none"/>
          <w:lang w:eastAsia="zh-CN"/>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《建设工程工程量计算规范广西壮族自治区实施细则（修订本）》（GB50854～50862-2013）</w:t>
      </w:r>
      <w:r>
        <w:rPr>
          <w:rFonts w:hint="eastAsia" w:ascii="宋体" w:hAnsi="宋体" w:cs="宋体"/>
          <w:b/>
          <w:bCs/>
          <w:color w:val="000000" w:themeColor="text1"/>
          <w:highlight w:val="none"/>
          <w:lang w:eastAsia="zh-CN"/>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2024年《广西壮族自治区建筑工程消耗量定额》及配套的费用定额</w:t>
      </w:r>
      <w:r>
        <w:rPr>
          <w:rFonts w:hint="eastAsia" w:ascii="宋体" w:hAnsi="宋体" w:cs="宋体"/>
          <w:b/>
          <w:bCs/>
          <w:color w:val="000000" w:themeColor="text1"/>
          <w:highlight w:val="none"/>
          <w:lang w:eastAsia="zh-CN"/>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2024年《广西壮族自治区建筑拆除工程消耗量定额》及配套的费用定额</w:t>
      </w:r>
      <w:r>
        <w:rPr>
          <w:rFonts w:hint="eastAsia" w:ascii="宋体" w:hAnsi="宋体" w:cs="宋体"/>
          <w:b/>
          <w:bCs/>
          <w:color w:val="000000" w:themeColor="text1"/>
          <w:highlight w:val="none"/>
          <w:lang w:eastAsia="zh-CN"/>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2016年《广西壮族自治区建设工程费用定额》（桂建标〔2016〕16号），工程管理费及利润取中值</w:t>
      </w:r>
      <w:r>
        <w:rPr>
          <w:rFonts w:hint="eastAsia" w:ascii="宋体" w:hAnsi="宋体" w:cs="宋体"/>
          <w:b/>
          <w:bCs/>
          <w:color w:val="000000" w:themeColor="text1"/>
          <w:highlight w:val="none"/>
          <w:lang w:eastAsia="zh-CN"/>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《关于调整建设工程定额人工费及有关费率通知》（桂建标〔2018〕19号），本次评审增值税按一般计税法计算，税率9%</w:t>
      </w:r>
      <w:r>
        <w:rPr>
          <w:rFonts w:hint="eastAsia" w:ascii="宋体" w:hAnsi="宋体" w:cs="宋体"/>
          <w:b/>
          <w:bCs/>
          <w:color w:val="000000" w:themeColor="text1"/>
          <w:highlight w:val="none"/>
          <w:lang w:eastAsia="zh-CN"/>
          <w14:textFill>
            <w14:solidFill>
              <w14:schemeClr w14:val="tx1"/>
            </w14:solidFill>
          </w14:textFill>
        </w:rPr>
        <w:t>、《关于调整建设工程定额人工费及有关费率的通知》桂建标（2023）7号、《广西壮族自治区房屋建筑和市政基础设施工程安全生产责任保险计价规定的通知》桂建发（2023）6号。</w:t>
      </w:r>
    </w:p>
    <w:p w14:paraId="3C04FFA5">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）建设工程设计文件及相关资料：</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本项目施工图</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 xml:space="preserve"> </w:t>
      </w:r>
    </w:p>
    <w:p w14:paraId="4E22A537">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s="宋体"/>
          <w:color w:val="000000" w:themeColor="text1"/>
          <w:highlight w:val="none"/>
          <w14:textFill>
            <w14:solidFill>
              <w14:schemeClr w14:val="tx1"/>
            </w14:solidFill>
          </w14:textFill>
        </w:rPr>
        <w:t>）本工程磋商文件及工程量清单；</w:t>
      </w:r>
    </w:p>
    <w:p w14:paraId="302CD3CE">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t>）与建设项目相关的标准、规范、技术资料；</w:t>
      </w:r>
    </w:p>
    <w:p w14:paraId="1DB90468">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6</w:t>
      </w:r>
      <w:r>
        <w:rPr>
          <w:rFonts w:hint="eastAsia" w:cs="宋体"/>
          <w:color w:val="000000" w:themeColor="text1"/>
          <w:highlight w:val="none"/>
          <w14:textFill>
            <w14:solidFill>
              <w14:schemeClr w14:val="tx1"/>
            </w14:solidFill>
          </w14:textFill>
        </w:rPr>
        <w:t>）施工现场情况、工程特点及常规施工方案；</w:t>
      </w:r>
    </w:p>
    <w:p w14:paraId="4B195C86">
      <w:pPr>
        <w:spacing w:line="360" w:lineRule="auto"/>
        <w:ind w:firstLine="422"/>
        <w:rPr>
          <w:rFonts w:hAnsi="宋体"/>
          <w:b/>
          <w:bCs/>
          <w:color w:val="000000" w:themeColor="text1"/>
          <w:highlight w:val="none"/>
          <w14:textFill>
            <w14:solidFill>
              <w14:schemeClr w14:val="tx1"/>
            </w14:solidFill>
          </w14:textFill>
        </w:rPr>
      </w:pPr>
      <w:r>
        <w:rPr>
          <w:rFonts w:hint="eastAsia" w:cs="宋体"/>
          <w:b/>
          <w:bCs/>
          <w:color w:val="000000" w:themeColor="text1"/>
          <w:highlight w:val="none"/>
          <w14:textFill>
            <w14:solidFill>
              <w14:schemeClr w14:val="tx1"/>
            </w14:solidFill>
          </w14:textFill>
        </w:rPr>
        <w:t>（</w:t>
      </w:r>
      <w:r>
        <w:rPr>
          <w:b/>
          <w:bCs/>
          <w:color w:val="000000" w:themeColor="text1"/>
          <w:highlight w:val="none"/>
          <w14:textFill>
            <w14:solidFill>
              <w14:schemeClr w14:val="tx1"/>
            </w14:solidFill>
          </w14:textFill>
        </w:rPr>
        <w:t>7</w:t>
      </w:r>
      <w:r>
        <w:rPr>
          <w:rFonts w:hint="eastAsia" w:cs="宋体"/>
          <w:b/>
          <w:bCs/>
          <w:color w:val="000000" w:themeColor="text1"/>
          <w:highlight w:val="none"/>
          <w14:textFill>
            <w14:solidFill>
              <w14:schemeClr w14:val="tx1"/>
            </w14:solidFill>
          </w14:textFill>
        </w:rPr>
        <w:t>）材料价格信息</w:t>
      </w:r>
      <w:r>
        <w:rPr>
          <w:rFonts w:hint="eastAsia" w:hAnsi="宋体" w:cs="宋体"/>
          <w:b/>
          <w:bCs/>
          <w:color w:val="000000" w:themeColor="text1"/>
          <w:highlight w:val="none"/>
          <w14:textFill>
            <w14:solidFill>
              <w14:schemeClr w14:val="tx1"/>
            </w14:solidFill>
          </w14:textFill>
        </w:rPr>
        <w:t>：材料价格主要按照</w:t>
      </w:r>
      <w:r>
        <w:rPr>
          <w:b/>
          <w:bCs/>
          <w:color w:val="000000" w:themeColor="text1"/>
          <w:highlight w:val="none"/>
          <w:u w:val="single"/>
          <w14:textFill>
            <w14:solidFill>
              <w14:schemeClr w14:val="tx1"/>
            </w14:solidFill>
          </w14:textFill>
        </w:rPr>
        <w:t xml:space="preserve"> </w:t>
      </w:r>
      <w:r>
        <w:rPr>
          <w:rFonts w:hint="eastAsia"/>
          <w:b/>
          <w:bCs/>
          <w:color w:val="000000" w:themeColor="text1"/>
          <w:highlight w:val="none"/>
          <w:u w:val="single"/>
          <w14:textFill>
            <w14:solidFill>
              <w14:schemeClr w14:val="tx1"/>
            </w14:solidFill>
          </w14:textFill>
        </w:rPr>
        <w:t>贵港</w:t>
      </w:r>
      <w:r>
        <w:rPr>
          <w:b/>
          <w:bCs/>
          <w:color w:val="000000" w:themeColor="text1"/>
          <w:highlight w:val="none"/>
          <w:u w:val="single"/>
          <w14:textFill>
            <w14:solidFill>
              <w14:schemeClr w14:val="tx1"/>
            </w14:solidFill>
          </w14:textFill>
        </w:rPr>
        <w:t xml:space="preserve"> </w:t>
      </w:r>
      <w:r>
        <w:rPr>
          <w:rFonts w:hint="eastAsia" w:cs="宋体"/>
          <w:b/>
          <w:bCs/>
          <w:color w:val="000000" w:themeColor="text1"/>
          <w:highlight w:val="none"/>
          <w14:textFill>
            <w14:solidFill>
              <w14:schemeClr w14:val="tx1"/>
            </w14:solidFill>
          </w14:textFill>
        </w:rPr>
        <w:t>市建设工程造价管理机构发布的工程造价信息</w:t>
      </w:r>
      <w:r>
        <w:rPr>
          <w:rFonts w:hint="eastAsia" w:ascii="宋体" w:hAnsi="宋体" w:eastAsia="宋体" w:cs="宋体"/>
          <w:b/>
          <w:bCs/>
          <w:color w:val="000000" w:themeColor="text1"/>
          <w:highlight w:val="none"/>
          <w:u w:val="single"/>
          <w14:textFill>
            <w14:solidFill>
              <w14:schemeClr w14:val="tx1"/>
            </w14:solidFill>
          </w14:textFill>
        </w:rPr>
        <w:t xml:space="preserve"> </w:t>
      </w:r>
      <w:r>
        <w:rPr>
          <w:rFonts w:hint="eastAsia" w:ascii="宋体" w:hAnsi="宋体" w:cs="宋体"/>
          <w:b/>
          <w:bCs/>
          <w:color w:val="000000" w:themeColor="text1"/>
          <w:highlight w:val="none"/>
          <w:u w:val="single"/>
          <w:lang w:val="en-US" w:eastAsia="zh-CN"/>
          <w14:textFill>
            <w14:solidFill>
              <w14:schemeClr w14:val="tx1"/>
            </w14:solidFill>
          </w14:textFill>
        </w:rPr>
        <w:t>2026</w:t>
      </w:r>
      <w:r>
        <w:rPr>
          <w:rFonts w:hint="eastAsia" w:ascii="宋体" w:hAnsi="宋体" w:eastAsia="宋体" w:cs="宋体"/>
          <w:b/>
          <w:bCs/>
          <w:color w:val="000000" w:themeColor="text1"/>
          <w:highlight w:val="none"/>
          <w14:textFill>
            <w14:solidFill>
              <w14:schemeClr w14:val="tx1"/>
            </w14:solidFill>
          </w14:textFill>
        </w:rPr>
        <w:t>年第</w:t>
      </w:r>
      <w:r>
        <w:rPr>
          <w:rFonts w:hint="eastAsia" w:ascii="宋体" w:hAnsi="宋体" w:eastAsia="宋体" w:cs="宋体"/>
          <w:b/>
          <w:bCs/>
          <w:color w:val="000000" w:themeColor="text1"/>
          <w:highlight w:val="none"/>
          <w:u w:val="single"/>
          <w14:textFill>
            <w14:solidFill>
              <w14:schemeClr w14:val="tx1"/>
            </w14:solidFill>
          </w14:textFill>
        </w:rPr>
        <w:t xml:space="preserve"> </w:t>
      </w:r>
      <w:r>
        <w:rPr>
          <w:rFonts w:hint="eastAsia" w:ascii="宋体" w:hAnsi="宋体" w:cs="宋体"/>
          <w:b/>
          <w:bCs/>
          <w:color w:val="000000" w:themeColor="text1"/>
          <w:highlight w:val="none"/>
          <w:u w:val="single"/>
          <w:lang w:val="en-US" w:eastAsia="zh-CN"/>
          <w14:textFill>
            <w14:solidFill>
              <w14:schemeClr w14:val="tx1"/>
            </w14:solidFill>
          </w14:textFill>
        </w:rPr>
        <w:t>4</w:t>
      </w:r>
      <w:r>
        <w:rPr>
          <w:rFonts w:hint="eastAsia" w:ascii="宋体" w:hAnsi="宋体" w:eastAsia="宋体" w:cs="宋体"/>
          <w:b/>
          <w:bCs/>
          <w:color w:val="000000" w:themeColor="text1"/>
          <w:highlight w:val="none"/>
          <w14:textFill>
            <w14:solidFill>
              <w14:schemeClr w14:val="tx1"/>
            </w14:solidFill>
          </w14:textFill>
        </w:rPr>
        <w:t>期，</w:t>
      </w:r>
      <w:r>
        <w:rPr>
          <w:rFonts w:hint="eastAsia" w:cs="宋体"/>
          <w:b/>
          <w:bCs/>
          <w:color w:val="000000" w:themeColor="text1"/>
          <w:highlight w:val="none"/>
          <w14:textFill>
            <w14:solidFill>
              <w14:schemeClr w14:val="tx1"/>
            </w14:solidFill>
          </w14:textFill>
        </w:rPr>
        <w:t>不足部分参考市场定价</w:t>
      </w:r>
      <w:r>
        <w:rPr>
          <w:rFonts w:hint="eastAsia" w:hAnsi="宋体" w:cs="宋体"/>
          <w:b/>
          <w:bCs/>
          <w:color w:val="000000" w:themeColor="text1"/>
          <w:highlight w:val="none"/>
          <w14:textFill>
            <w14:solidFill>
              <w14:schemeClr w14:val="tx1"/>
            </w14:solidFill>
          </w14:textFill>
        </w:rPr>
        <w:t>。</w:t>
      </w:r>
    </w:p>
    <w:p w14:paraId="5653043D">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2.2 </w:t>
      </w:r>
      <w:r>
        <w:rPr>
          <w:rFonts w:hint="eastAsia" w:hAnsi="宋体" w:cs="宋体"/>
          <w:color w:val="000000" w:themeColor="text1"/>
          <w:highlight w:val="none"/>
          <w14:textFill>
            <w14:solidFill>
              <w14:schemeClr w14:val="tx1"/>
            </w14:solidFill>
          </w14:textFill>
        </w:rPr>
        <w:t>分部分项及单价措施项目综合单价应包括磋商文件中采购人要求供应商所承担的风险内容及其范围（幅度）产生的风险费用。</w:t>
      </w:r>
    </w:p>
    <w:p w14:paraId="47AF0765">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2.3 </w:t>
      </w:r>
      <w:r>
        <w:rPr>
          <w:rFonts w:hint="eastAsia" w:hAnsi="宋体" w:cs="宋体"/>
          <w:color w:val="000000" w:themeColor="text1"/>
          <w:highlight w:val="none"/>
          <w14:textFill>
            <w14:solidFill>
              <w14:schemeClr w14:val="tx1"/>
            </w14:solidFill>
          </w14:textFill>
        </w:rPr>
        <w:t>总价措施项目应根据拟定的磋商文件和常规施工方案按《计价规范》和《计算规范》规定编制。</w:t>
      </w:r>
    </w:p>
    <w:p w14:paraId="4507B1E0">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2.4 </w:t>
      </w:r>
      <w:r>
        <w:rPr>
          <w:rFonts w:hint="eastAsia" w:cs="宋体"/>
          <w:color w:val="000000" w:themeColor="text1"/>
          <w:highlight w:val="none"/>
          <w14:textFill>
            <w14:solidFill>
              <w14:schemeClr w14:val="tx1"/>
            </w14:solidFill>
          </w14:textFill>
        </w:rPr>
        <w:t>其他项目费应按下列规定报价：</w:t>
      </w:r>
    </w:p>
    <w:p w14:paraId="5008B797">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）暂列金额应按工程量清单中列出的金额填写；</w:t>
      </w:r>
    </w:p>
    <w:p w14:paraId="2425D7D1">
      <w:pPr>
        <w:pStyle w:val="339"/>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）材料、工程设备暂估价应按工程量清单中列出的单价计入综合单价；</w:t>
      </w:r>
    </w:p>
    <w:p w14:paraId="24F28927">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）专业工程暂估价应按工程量清单中列出的金额填写；</w:t>
      </w:r>
    </w:p>
    <w:p w14:paraId="3800ED71">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s="宋体"/>
          <w:color w:val="000000" w:themeColor="text1"/>
          <w:highlight w:val="none"/>
          <w14:textFill>
            <w14:solidFill>
              <w14:schemeClr w14:val="tx1"/>
            </w14:solidFill>
          </w14:textFill>
        </w:rPr>
        <w:t>）计日工应按工程量清单中列出的项目和数量，根据工程特点和有关计价依据确定的综合单价计算；</w:t>
      </w:r>
    </w:p>
    <w:p w14:paraId="0697B3F2">
      <w:pPr>
        <w:spacing w:line="360" w:lineRule="auto"/>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t>）总承包服务费应根据工程量清单列出的内容</w:t>
      </w:r>
      <w:r>
        <w:rPr>
          <w:rFonts w:hint="eastAsia" w:hAnsi="宋体" w:cs="宋体"/>
          <w:color w:val="000000" w:themeColor="text1"/>
          <w:highlight w:val="none"/>
          <w14:textFill>
            <w14:solidFill>
              <w14:schemeClr w14:val="tx1"/>
            </w14:solidFill>
          </w14:textFill>
        </w:rPr>
        <w:t>和要求，按广西壮族自治区住房城乡建设行政主管部门颁发的计价定额及有关规定计算</w:t>
      </w:r>
      <w:r>
        <w:rPr>
          <w:rFonts w:hint="eastAsia" w:cs="宋体"/>
          <w:color w:val="000000" w:themeColor="text1"/>
          <w:highlight w:val="none"/>
          <w14:textFill>
            <w14:solidFill>
              <w14:schemeClr w14:val="tx1"/>
            </w14:solidFill>
          </w14:textFill>
        </w:rPr>
        <w:t>。</w:t>
      </w:r>
    </w:p>
    <w:p w14:paraId="3A81F60E">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（6）对建设单位创建优质工程的，鼓励在招标控制价和预算中按广西区工程建设定额规定计列工程优质费，并明确工程优质费不可竞争。</w:t>
      </w:r>
    </w:p>
    <w:p w14:paraId="4BF83AFA">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2.5 </w:t>
      </w:r>
      <w:r>
        <w:rPr>
          <w:rFonts w:hint="eastAsia" w:cs="宋体"/>
          <w:color w:val="000000" w:themeColor="text1"/>
          <w:highlight w:val="none"/>
          <w14:textFill>
            <w14:solidFill>
              <w14:schemeClr w14:val="tx1"/>
            </w14:solidFill>
          </w14:textFill>
        </w:rPr>
        <w:t>规费和增值税应按规定确定，作为不可竞争费用。</w:t>
      </w:r>
    </w:p>
    <w:p w14:paraId="0D124E45">
      <w:pPr>
        <w:spacing w:line="360" w:lineRule="auto"/>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2.6 </w:t>
      </w:r>
      <w:r>
        <w:rPr>
          <w:rFonts w:hint="eastAsia" w:hAnsi="宋体" w:cs="宋体"/>
          <w:color w:val="000000" w:themeColor="text1"/>
          <w:highlight w:val="none"/>
          <w14:textFill>
            <w14:solidFill>
              <w14:schemeClr w14:val="tx1"/>
            </w14:solidFill>
          </w14:textFill>
        </w:rPr>
        <w:t>其它需要说明的问题：</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46762A13">
      <w:pPr>
        <w:pStyle w:val="3"/>
        <w:spacing w:before="0" w:after="0" w:line="360" w:lineRule="auto"/>
        <w:rPr>
          <w:color w:val="000000" w:themeColor="text1"/>
          <w:highlight w:val="none"/>
          <w14:textFill>
            <w14:solidFill>
              <w14:schemeClr w14:val="tx1"/>
            </w14:solidFill>
          </w14:textFill>
        </w:rPr>
      </w:pPr>
      <w:bookmarkStart w:id="81" w:name="_Toc1575"/>
      <w:bookmarkStart w:id="82" w:name="_Toc122424003"/>
      <w:bookmarkStart w:id="83" w:name="_Toc407135286"/>
      <w:bookmarkStart w:id="84" w:name="_Toc122424252"/>
      <w:bookmarkStart w:id="85" w:name="_Toc879821176"/>
      <w:bookmarkStart w:id="86" w:name="_Toc378483916"/>
      <w:bookmarkStart w:id="87" w:name="_Toc78449871"/>
      <w:bookmarkStart w:id="88" w:name="_Toc8238"/>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cs="黑体"/>
          <w:color w:val="000000" w:themeColor="text1"/>
          <w:highlight w:val="none"/>
          <w14:textFill>
            <w14:solidFill>
              <w14:schemeClr w14:val="tx1"/>
            </w14:solidFill>
          </w14:textFill>
        </w:rPr>
        <w:t>竞标报价（已标价工程量清单）编制说明</w:t>
      </w:r>
      <w:bookmarkEnd w:id="81"/>
      <w:bookmarkEnd w:id="82"/>
      <w:bookmarkEnd w:id="83"/>
      <w:bookmarkEnd w:id="84"/>
      <w:bookmarkEnd w:id="85"/>
      <w:bookmarkEnd w:id="86"/>
      <w:bookmarkEnd w:id="87"/>
      <w:bookmarkEnd w:id="88"/>
    </w:p>
    <w:p w14:paraId="17AF4AE7">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3.1 </w:t>
      </w:r>
      <w:r>
        <w:rPr>
          <w:rFonts w:hint="eastAsia" w:cs="宋体"/>
          <w:color w:val="000000" w:themeColor="text1"/>
          <w:highlight w:val="none"/>
          <w14:textFill>
            <w14:solidFill>
              <w14:schemeClr w14:val="tx1"/>
            </w14:solidFill>
          </w14:textFill>
        </w:rPr>
        <w:t>供应商应依据磋商文件、工程量清单以及《计价规范》、《计算规范》自主报价，自主报价</w:t>
      </w:r>
      <w:r>
        <w:rPr>
          <w:rFonts w:hint="eastAsia" w:hAnsi="宋体" w:cs="宋体"/>
          <w:color w:val="000000" w:themeColor="text1"/>
          <w:highlight w:val="none"/>
          <w14:textFill>
            <w14:solidFill>
              <w14:schemeClr w14:val="tx1"/>
            </w14:solidFill>
          </w14:textFill>
        </w:rPr>
        <w:t>不得违反计价规范强制性条文规定。</w:t>
      </w:r>
      <w:r>
        <w:rPr>
          <w:rFonts w:hint="eastAsia" w:cs="宋体"/>
          <w:color w:val="000000" w:themeColor="text1"/>
          <w:highlight w:val="none"/>
          <w14:textFill>
            <w14:solidFill>
              <w14:schemeClr w14:val="tx1"/>
            </w14:solidFill>
          </w14:textFill>
        </w:rPr>
        <w:t>供应商不得采用总价让利或以百分比让利等形式进行报价，任何优惠（或降价、让利）均应反映在相应清单项目的综合单价中。同时，不得出现任意一项单价重大让利，</w:t>
      </w:r>
      <w:r>
        <w:rPr>
          <w:rFonts w:hint="eastAsia" w:hAnsi="宋体" w:cs="宋体"/>
          <w:color w:val="000000" w:themeColor="text1"/>
          <w:highlight w:val="none"/>
          <w14:textFill>
            <w14:solidFill>
              <w14:schemeClr w14:val="tx1"/>
            </w14:solidFill>
          </w14:textFill>
        </w:rPr>
        <w:t>不得以自有机械闲置、自有材料等不计成本为由</w:t>
      </w:r>
      <w:r>
        <w:rPr>
          <w:rFonts w:hint="eastAsia" w:cs="宋体"/>
          <w:color w:val="000000" w:themeColor="text1"/>
          <w:highlight w:val="none"/>
          <w14:textFill>
            <w14:solidFill>
              <w14:schemeClr w14:val="tx1"/>
            </w14:solidFill>
          </w14:textFill>
        </w:rPr>
        <w:t>低于工程成本报价。</w:t>
      </w:r>
    </w:p>
    <w:p w14:paraId="053AFC0F">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3.2 </w:t>
      </w:r>
      <w:r>
        <w:rPr>
          <w:rFonts w:hint="eastAsia" w:cs="宋体"/>
          <w:color w:val="000000" w:themeColor="text1"/>
          <w:highlight w:val="none"/>
          <w14:textFill>
            <w14:solidFill>
              <w14:schemeClr w14:val="tx1"/>
            </w14:solidFill>
          </w14:textFill>
        </w:rPr>
        <w:t>供应商应按工程量清单填报价格。项目编码、项目名称、项目特征、计量单位、工程量必须与工程量清单一致，</w:t>
      </w:r>
      <w:r>
        <w:rPr>
          <w:rFonts w:hint="eastAsia" w:hAnsi="宋体" w:cs="宋体"/>
          <w:color w:val="000000" w:themeColor="text1"/>
          <w:highlight w:val="none"/>
          <w14:textFill>
            <w14:solidFill>
              <w14:schemeClr w14:val="tx1"/>
            </w14:solidFill>
          </w14:textFill>
        </w:rPr>
        <w:t>供应商不得对工程量清单项目进行增减调整。</w:t>
      </w:r>
    </w:p>
    <w:p w14:paraId="7A343231">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3.3 </w:t>
      </w:r>
      <w:r>
        <w:rPr>
          <w:rFonts w:hint="eastAsia" w:cs="宋体"/>
          <w:color w:val="000000" w:themeColor="text1"/>
          <w:highlight w:val="none"/>
          <w14:textFill>
            <w14:solidFill>
              <w14:schemeClr w14:val="tx1"/>
            </w14:solidFill>
          </w14:textFill>
        </w:rPr>
        <w:t>综合单价中应包含磋商文件中划分的应由供应商承担的风险范围及其费用。</w:t>
      </w:r>
    </w:p>
    <w:p w14:paraId="6344766A">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3.4 </w:t>
      </w:r>
      <w:r>
        <w:rPr>
          <w:rFonts w:hint="eastAsia" w:hAnsi="宋体" w:cs="宋体"/>
          <w:color w:val="000000" w:themeColor="text1"/>
          <w:highlight w:val="none"/>
          <w14:textFill>
            <w14:solidFill>
              <w14:schemeClr w14:val="tx1"/>
            </w14:solidFill>
          </w14:textFill>
        </w:rPr>
        <w:t>分部分项工程项目和单价措施项目，应根据磋商文件和工程量清单项目中的特征描述确定综合单价计算。如出现工程量清单特征描述与设计图纸不符时，供应商应以工程量清单的项目特征描述为准，确定竞标报价的综合单价。</w:t>
      </w:r>
    </w:p>
    <w:p w14:paraId="2570F4BF">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3.5 </w:t>
      </w:r>
      <w:r>
        <w:rPr>
          <w:rFonts w:hint="eastAsia" w:hAnsi="宋体" w:cs="宋体"/>
          <w:color w:val="000000" w:themeColor="text1"/>
          <w:highlight w:val="none"/>
          <w14:textFill>
            <w14:solidFill>
              <w14:schemeClr w14:val="tx1"/>
            </w14:solidFill>
          </w14:textFill>
        </w:rPr>
        <w:t>总价措施项目的金额应根据磋商文件及竞标时拟定的施工组织设计或施工方案，按计价规范的规定自主确定。但</w:t>
      </w:r>
      <w:r>
        <w:rPr>
          <w:rFonts w:hint="eastAsia" w:cs="宋体"/>
          <w:color w:val="000000" w:themeColor="text1"/>
          <w:highlight w:val="none"/>
          <w14:textFill>
            <w14:solidFill>
              <w14:schemeClr w14:val="tx1"/>
            </w14:solidFill>
          </w14:textFill>
        </w:rPr>
        <w:t>安全文明施工费按国家、省级或行业建设主管部门的有关规定执行，作为不竞争费用单列。</w:t>
      </w:r>
    </w:p>
    <w:p w14:paraId="2E6E0AFD">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3.6 </w:t>
      </w:r>
      <w:r>
        <w:rPr>
          <w:rFonts w:hint="eastAsia" w:cs="宋体"/>
          <w:color w:val="000000" w:themeColor="text1"/>
          <w:highlight w:val="none"/>
          <w14:textFill>
            <w14:solidFill>
              <w14:schemeClr w14:val="tx1"/>
            </w14:solidFill>
          </w14:textFill>
        </w:rPr>
        <w:t>其他项目费应按下列规定报价：</w:t>
      </w:r>
    </w:p>
    <w:p w14:paraId="4406259C">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）暂列金额应按工程量清单中列出的金额填写；</w:t>
      </w:r>
    </w:p>
    <w:p w14:paraId="7BEFBE8E">
      <w:pPr>
        <w:pStyle w:val="339"/>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）材料、工程设备暂估价应按工程量清单中列出的单价计入综合单价；</w:t>
      </w:r>
    </w:p>
    <w:p w14:paraId="0CE8E76D">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）专业工程暂估价应按工程量清单中列出的金额填写；</w:t>
      </w:r>
    </w:p>
    <w:p w14:paraId="777375CA">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s="宋体"/>
          <w:color w:val="000000" w:themeColor="text1"/>
          <w:highlight w:val="none"/>
          <w14:textFill>
            <w14:solidFill>
              <w14:schemeClr w14:val="tx1"/>
            </w14:solidFill>
          </w14:textFill>
        </w:rPr>
        <w:t>）计日工应按工程量清单中列出的项目和估算数量，自主确定综合单价并计算计日工总额；计日工单价均不含规费和税金；</w:t>
      </w:r>
    </w:p>
    <w:p w14:paraId="33462DD2">
      <w:pPr>
        <w:spacing w:line="360" w:lineRule="auto"/>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t>）总承包服务费应根据工程量清单中列出的内容</w:t>
      </w:r>
      <w:r>
        <w:rPr>
          <w:rFonts w:hint="eastAsia" w:hAnsi="宋体" w:cs="宋体"/>
          <w:color w:val="000000" w:themeColor="text1"/>
          <w:highlight w:val="none"/>
          <w14:textFill>
            <w14:solidFill>
              <w14:schemeClr w14:val="tx1"/>
            </w14:solidFill>
          </w14:textFill>
        </w:rPr>
        <w:t>和供应材料、设备情况，按照采购人提出的协调、配合与服务要求和施工现场管理需要</w:t>
      </w:r>
      <w:r>
        <w:rPr>
          <w:rFonts w:hint="eastAsia" w:cs="宋体"/>
          <w:color w:val="000000" w:themeColor="text1"/>
          <w:highlight w:val="none"/>
          <w14:textFill>
            <w14:solidFill>
              <w14:schemeClr w14:val="tx1"/>
            </w14:solidFill>
          </w14:textFill>
        </w:rPr>
        <w:t>自主确定。</w:t>
      </w:r>
    </w:p>
    <w:p w14:paraId="779AF30B">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（6）对建设单位创建优质工程的，鼓励在招标控制价和预算中按我区工程建设定额规定计列工程优质费，并明确工程优质费不可竞争。</w:t>
      </w:r>
    </w:p>
    <w:p w14:paraId="7A563EBE">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3.7 </w:t>
      </w:r>
      <w:r>
        <w:rPr>
          <w:rFonts w:hint="eastAsia" w:cs="宋体"/>
          <w:color w:val="000000" w:themeColor="text1"/>
          <w:highlight w:val="none"/>
          <w14:textFill>
            <w14:solidFill>
              <w14:schemeClr w14:val="tx1"/>
            </w14:solidFill>
          </w14:textFill>
        </w:rPr>
        <w:t>规费和增值税应按规定确定，作为不可竞争费用。</w:t>
      </w:r>
    </w:p>
    <w:p w14:paraId="6C71CBA6">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3.8 </w:t>
      </w:r>
      <w:r>
        <w:rPr>
          <w:rFonts w:hint="eastAsia" w:cs="宋体"/>
          <w:color w:val="000000" w:themeColor="text1"/>
          <w:highlight w:val="none"/>
          <w14:textFill>
            <w14:solidFill>
              <w14:schemeClr w14:val="tx1"/>
            </w14:solidFill>
          </w14:textFill>
        </w:rPr>
        <w:t>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647FF1A0">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3.9 </w:t>
      </w:r>
      <w:r>
        <w:rPr>
          <w:rFonts w:hint="eastAsia" w:cs="宋体"/>
          <w:color w:val="000000" w:themeColor="text1"/>
          <w:highlight w:val="none"/>
          <w14:textFill>
            <w14:solidFill>
              <w14:schemeClr w14:val="tx1"/>
            </w14:solidFill>
          </w14:textFill>
        </w:rPr>
        <w:t>投标总价应当与分部分项工程费、措施项目费、其他项目费和规费、增值税的合计金额一致。</w:t>
      </w:r>
    </w:p>
    <w:p w14:paraId="42270975">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3.1</w:t>
      </w:r>
      <w:r>
        <w:rPr>
          <w:rFonts w:hint="eastAsia"/>
          <w:color w:val="000000" w:themeColor="text1"/>
          <w:highlight w:val="none"/>
          <w14:textFill>
            <w14:solidFill>
              <w14:schemeClr w14:val="tx1"/>
            </w14:solidFill>
          </w14:textFill>
        </w:rPr>
        <w:t>0</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供应商应按《允许调整主要材料和工程设备一览表》的内容填报，不得擅自调整材料和设备名称型号规格、单位、风险系数、基准单价。</w:t>
      </w:r>
    </w:p>
    <w:p w14:paraId="5A704AE9">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3.1</w:t>
      </w:r>
      <w:r>
        <w:rPr>
          <w:rFonts w:hint="eastAsia"/>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竞标报价</w:t>
      </w:r>
      <w:r>
        <w:rPr>
          <w:rFonts w:hint="eastAsia" w:cs="宋体"/>
          <w:color w:val="000000" w:themeColor="text1"/>
          <w:highlight w:val="none"/>
          <w14:textFill>
            <w14:solidFill>
              <w14:schemeClr w14:val="tx1"/>
            </w14:solidFill>
          </w14:textFill>
        </w:rPr>
        <w:t>表格按本工程工程量清单表格要求填写，并</w:t>
      </w:r>
      <w:r>
        <w:rPr>
          <w:rFonts w:hint="eastAsia" w:hAnsi="宋体" w:cs="宋体"/>
          <w:color w:val="000000" w:themeColor="text1"/>
          <w:highlight w:val="none"/>
          <w14:textFill>
            <w14:solidFill>
              <w14:schemeClr w14:val="tx1"/>
            </w14:solidFill>
          </w14:textFill>
        </w:rPr>
        <w:t>应按磋商文件的要求，附上《工程量清单综合单价分析表》（表</w:t>
      </w:r>
      <w:r>
        <w:rPr>
          <w:color w:val="000000" w:themeColor="text1"/>
          <w:highlight w:val="none"/>
          <w14:textFill>
            <w14:solidFill>
              <w14:schemeClr w14:val="tx1"/>
            </w14:solidFill>
          </w14:textFill>
        </w:rPr>
        <w:t>-09</w:t>
      </w:r>
      <w:r>
        <w:rPr>
          <w:rFonts w:hint="eastAsia" w:hAnsi="宋体" w:cs="宋体"/>
          <w:color w:val="000000" w:themeColor="text1"/>
          <w:highlight w:val="none"/>
          <w14:textFill>
            <w14:solidFill>
              <w14:schemeClr w14:val="tx1"/>
            </w14:solidFill>
          </w14:textFill>
        </w:rPr>
        <w:t>）和《主要清单项目工料机分析表》（表</w:t>
      </w:r>
      <w:r>
        <w:rPr>
          <w:color w:val="000000" w:themeColor="text1"/>
          <w:highlight w:val="none"/>
          <w14:textFill>
            <w14:solidFill>
              <w14:schemeClr w14:val="tx1"/>
            </w14:solidFill>
          </w14:textFill>
        </w:rPr>
        <w:t>-10</w:t>
      </w:r>
      <w:r>
        <w:rPr>
          <w:rFonts w:hint="eastAsia" w:hAnsi="宋体" w:cs="宋体"/>
          <w:color w:val="000000" w:themeColor="text1"/>
          <w:highlight w:val="none"/>
          <w14:textFill>
            <w14:solidFill>
              <w14:schemeClr w14:val="tx1"/>
            </w14:solidFill>
          </w14:textFill>
        </w:rPr>
        <w:t>）。</w:t>
      </w:r>
    </w:p>
    <w:p w14:paraId="7B4CA5A7">
      <w:pPr>
        <w:spacing w:line="360" w:lineRule="auto"/>
        <w:ind w:firstLine="420"/>
        <w:rPr>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未尽事宜详见本工程工程量清单、招标控制价编制说明以及现行《计价规范》等有关规定执行。</w:t>
      </w:r>
    </w:p>
    <w:p w14:paraId="7C84F2E9">
      <w:pPr>
        <w:spacing w:line="360" w:lineRule="auto"/>
        <w:ind w:firstLine="420"/>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注：因2021年《广西壮族自治区园林绿化及仿古建筑工程费用定额》采用全费用综合单价形式，故园林绿化及仿古建筑工程的工程量清单及计价采用《自治区住房和城乡建设厅关于建设工程造价改革试点项目招投标及计价规定调整的通知》（桂建标〔2021〕6号）中附件1《建设工程工程量清单计价规范（GB50500-2013）广西壮族自治区实施细则》（适用于工程造价改革试点项目）相关表格，具体以采购人另册发放的工程量清单及相关说明为准。</w:t>
      </w:r>
    </w:p>
    <w:p w14:paraId="0FC077D1">
      <w:pPr>
        <w:pStyle w:val="3"/>
        <w:spacing w:before="0" w:after="0" w:line="360" w:lineRule="auto"/>
        <w:rPr>
          <w:rFonts w:hint="eastAsia" w:cs="黑体"/>
          <w:color w:val="000000" w:themeColor="text1"/>
          <w:highlight w:val="none"/>
          <w14:textFill>
            <w14:solidFill>
              <w14:schemeClr w14:val="tx1"/>
            </w14:solidFill>
          </w14:textFill>
        </w:rPr>
      </w:pPr>
      <w:bookmarkStart w:id="89" w:name="_Toc122424004"/>
      <w:bookmarkStart w:id="90" w:name="_Toc18584"/>
      <w:bookmarkStart w:id="91" w:name="_Toc17870"/>
      <w:bookmarkStart w:id="92" w:name="_Toc122424253"/>
      <w:r>
        <w:rPr>
          <w:rFonts w:hint="eastAsia" w:cs="黑体"/>
          <w:color w:val="000000" w:themeColor="text1"/>
          <w:highlight w:val="none"/>
          <w14:textFill>
            <w14:solidFill>
              <w14:schemeClr w14:val="tx1"/>
            </w14:solidFill>
          </w14:textFill>
        </w:rPr>
        <w:t>4.图纸（另册）</w:t>
      </w:r>
      <w:bookmarkEnd w:id="89"/>
      <w:bookmarkEnd w:id="90"/>
      <w:bookmarkEnd w:id="91"/>
      <w:bookmarkEnd w:id="92"/>
    </w:p>
    <w:p w14:paraId="5E02A705">
      <w:pPr>
        <w:pStyle w:val="4"/>
        <w:spacing w:before="0" w:after="0" w:line="360" w:lineRule="auto"/>
        <w:rPr>
          <w:color w:val="000000" w:themeColor="text1"/>
          <w:highlight w:val="none"/>
          <w14:textFill>
            <w14:solidFill>
              <w14:schemeClr w14:val="tx1"/>
            </w14:solidFill>
          </w14:textFill>
        </w:rPr>
      </w:pPr>
    </w:p>
    <w:p w14:paraId="4A00D589">
      <w:pPr>
        <w:rPr>
          <w:color w:val="000000" w:themeColor="text1"/>
          <w:highlight w:val="none"/>
          <w14:textFill>
            <w14:solidFill>
              <w14:schemeClr w14:val="tx1"/>
            </w14:solidFill>
          </w14:textFill>
        </w:rPr>
      </w:pPr>
    </w:p>
    <w:p w14:paraId="1D0CD844">
      <w:pPr>
        <w:rPr>
          <w:color w:val="000000" w:themeColor="text1"/>
          <w:highlight w:val="none"/>
          <w14:textFill>
            <w14:solidFill>
              <w14:schemeClr w14:val="tx1"/>
            </w14:solidFill>
          </w14:textFill>
        </w:rPr>
      </w:pPr>
    </w:p>
    <w:p w14:paraId="10D166F9">
      <w:pPr>
        <w:rPr>
          <w:color w:val="000000" w:themeColor="text1"/>
          <w:highlight w:val="none"/>
          <w14:textFill>
            <w14:solidFill>
              <w14:schemeClr w14:val="tx1"/>
            </w14:solidFill>
          </w14:textFill>
        </w:rPr>
      </w:pPr>
    </w:p>
    <w:p w14:paraId="4C680FC2">
      <w:pPr>
        <w:rPr>
          <w:color w:val="000000" w:themeColor="text1"/>
          <w:highlight w:val="none"/>
          <w14:textFill>
            <w14:solidFill>
              <w14:schemeClr w14:val="tx1"/>
            </w14:solidFill>
          </w14:textFill>
        </w:rPr>
      </w:pPr>
    </w:p>
    <w:p w14:paraId="4F31733F">
      <w:pPr>
        <w:rPr>
          <w:color w:val="000000" w:themeColor="text1"/>
          <w:highlight w:val="none"/>
          <w14:textFill>
            <w14:solidFill>
              <w14:schemeClr w14:val="tx1"/>
            </w14:solidFill>
          </w14:textFill>
        </w:rPr>
      </w:pPr>
    </w:p>
    <w:p w14:paraId="371F15B3">
      <w:pPr>
        <w:rPr>
          <w:color w:val="000000" w:themeColor="text1"/>
          <w:highlight w:val="none"/>
          <w14:textFill>
            <w14:solidFill>
              <w14:schemeClr w14:val="tx1"/>
            </w14:solidFill>
          </w14:textFill>
        </w:rPr>
      </w:pPr>
    </w:p>
    <w:p w14:paraId="3E903763">
      <w:pPr>
        <w:rPr>
          <w:color w:val="000000" w:themeColor="text1"/>
          <w:highlight w:val="none"/>
          <w14:textFill>
            <w14:solidFill>
              <w14:schemeClr w14:val="tx1"/>
            </w14:solidFill>
          </w14:textFill>
        </w:rPr>
      </w:pPr>
    </w:p>
    <w:p w14:paraId="3DA9B61E">
      <w:pPr>
        <w:rPr>
          <w:color w:val="000000" w:themeColor="text1"/>
          <w:highlight w:val="none"/>
          <w14:textFill>
            <w14:solidFill>
              <w14:schemeClr w14:val="tx1"/>
            </w14:solidFill>
          </w14:textFill>
        </w:rPr>
      </w:pPr>
    </w:p>
    <w:p w14:paraId="32BC7EFB">
      <w:pPr>
        <w:rPr>
          <w:color w:val="000000" w:themeColor="text1"/>
          <w:highlight w:val="none"/>
          <w14:textFill>
            <w14:solidFill>
              <w14:schemeClr w14:val="tx1"/>
            </w14:solidFill>
          </w14:textFill>
        </w:rPr>
      </w:pPr>
    </w:p>
    <w:p w14:paraId="0460341C">
      <w:pPr>
        <w:rPr>
          <w:color w:val="000000" w:themeColor="text1"/>
          <w:highlight w:val="none"/>
          <w14:textFill>
            <w14:solidFill>
              <w14:schemeClr w14:val="tx1"/>
            </w14:solidFill>
          </w14:textFill>
        </w:rPr>
      </w:pPr>
    </w:p>
    <w:p w14:paraId="79BBD03D">
      <w:pPr>
        <w:rPr>
          <w:color w:val="000000" w:themeColor="text1"/>
          <w:highlight w:val="none"/>
          <w14:textFill>
            <w14:solidFill>
              <w14:schemeClr w14:val="tx1"/>
            </w14:solidFill>
          </w14:textFill>
        </w:rPr>
      </w:pPr>
    </w:p>
    <w:p w14:paraId="3530AB99">
      <w:pPr>
        <w:rPr>
          <w:color w:val="000000" w:themeColor="text1"/>
          <w:highlight w:val="none"/>
          <w14:textFill>
            <w14:solidFill>
              <w14:schemeClr w14:val="tx1"/>
            </w14:solidFill>
          </w14:textFill>
        </w:rPr>
      </w:pPr>
    </w:p>
    <w:p w14:paraId="2733D4BD">
      <w:pPr>
        <w:rPr>
          <w:color w:val="000000" w:themeColor="text1"/>
          <w:highlight w:val="none"/>
          <w14:textFill>
            <w14:solidFill>
              <w14:schemeClr w14:val="tx1"/>
            </w14:solidFill>
          </w14:textFill>
        </w:rPr>
      </w:pPr>
    </w:p>
    <w:p w14:paraId="012F13D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clear="all"/>
      </w:r>
    </w:p>
    <w:p w14:paraId="694C219D">
      <w:pPr>
        <w:pStyle w:val="2"/>
        <w:jc w:val="center"/>
        <w:rPr>
          <w:rFonts w:hint="eastAsia"/>
          <w:color w:val="000000" w:themeColor="text1"/>
          <w:highlight w:val="none"/>
          <w14:textFill>
            <w14:solidFill>
              <w14:schemeClr w14:val="tx1"/>
            </w14:solidFill>
          </w14:textFill>
        </w:rPr>
      </w:pPr>
    </w:p>
    <w:p w14:paraId="5C74A8CD">
      <w:pPr>
        <w:pStyle w:val="2"/>
        <w:jc w:val="center"/>
        <w:rPr>
          <w:rFonts w:hint="eastAsia"/>
          <w:color w:val="000000" w:themeColor="text1"/>
          <w:highlight w:val="none"/>
          <w14:textFill>
            <w14:solidFill>
              <w14:schemeClr w14:val="tx1"/>
            </w14:solidFill>
          </w14:textFill>
        </w:rPr>
      </w:pPr>
    </w:p>
    <w:p w14:paraId="44D8A12C">
      <w:pPr>
        <w:pStyle w:val="2"/>
        <w:jc w:val="center"/>
        <w:rPr>
          <w:rFonts w:hint="eastAsia"/>
          <w:color w:val="000000" w:themeColor="text1"/>
          <w:highlight w:val="none"/>
          <w14:textFill>
            <w14:solidFill>
              <w14:schemeClr w14:val="tx1"/>
            </w14:solidFill>
          </w14:textFill>
        </w:rPr>
      </w:pPr>
    </w:p>
    <w:p w14:paraId="7A59BB3C">
      <w:pPr>
        <w:pStyle w:val="2"/>
        <w:jc w:val="both"/>
        <w:rPr>
          <w:rFonts w:hint="eastAsia"/>
          <w:color w:val="000000" w:themeColor="text1"/>
          <w:highlight w:val="none"/>
          <w14:textFill>
            <w14:solidFill>
              <w14:schemeClr w14:val="tx1"/>
            </w14:solidFill>
          </w14:textFill>
        </w:rPr>
      </w:pPr>
    </w:p>
    <w:p w14:paraId="15AF2F1D">
      <w:pPr>
        <w:pStyle w:val="2"/>
        <w:jc w:val="both"/>
        <w:rPr>
          <w:rFonts w:hint="eastAsia"/>
          <w:color w:val="000000" w:themeColor="text1"/>
          <w:highlight w:val="none"/>
          <w14:textFill>
            <w14:solidFill>
              <w14:schemeClr w14:val="tx1"/>
            </w14:solidFill>
          </w14:textFill>
        </w:rPr>
      </w:pPr>
    </w:p>
    <w:p w14:paraId="0A752D6E">
      <w:pPr>
        <w:pStyle w:val="2"/>
        <w:jc w:val="center"/>
        <w:rPr>
          <w:color w:val="000000" w:themeColor="text1"/>
          <w:highlight w:val="none"/>
          <w14:textFill>
            <w14:solidFill>
              <w14:schemeClr w14:val="tx1"/>
            </w14:solidFill>
          </w14:textFill>
        </w:rPr>
      </w:pPr>
      <w:bookmarkStart w:id="93" w:name="_Toc9510"/>
      <w:r>
        <w:rPr>
          <w:rFonts w:hint="eastAsia"/>
          <w:color w:val="000000" w:themeColor="text1"/>
          <w:highlight w:val="none"/>
          <w14:textFill>
            <w14:solidFill>
              <w14:schemeClr w14:val="tx1"/>
            </w14:solidFill>
          </w14:textFill>
        </w:rPr>
        <w:t>第六章</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响应文件格式</w:t>
      </w:r>
      <w:bookmarkEnd w:id="93"/>
    </w:p>
    <w:p w14:paraId="4C5C9579">
      <w:pPr>
        <w:spacing w:line="240" w:lineRule="atLeast"/>
        <w:rPr>
          <w:rFonts w:hint="eastAsia" w:ascii="宋体" w:hAnsi="宋体"/>
          <w:b/>
          <w:color w:val="000000" w:themeColor="text1"/>
          <w:sz w:val="32"/>
          <w:szCs w:val="32"/>
          <w:highlight w:val="none"/>
          <w14:textFill>
            <w14:solidFill>
              <w14:schemeClr w14:val="tx1"/>
            </w14:solidFill>
          </w14:textFill>
        </w:rPr>
      </w:pPr>
    </w:p>
    <w:p w14:paraId="16DF2BDC">
      <w:pPr>
        <w:spacing w:line="240" w:lineRule="atLeast"/>
        <w:rPr>
          <w:rFonts w:hint="eastAsia" w:ascii="宋体" w:hAnsi="宋体"/>
          <w:b/>
          <w:color w:val="000000" w:themeColor="text1"/>
          <w:sz w:val="32"/>
          <w:szCs w:val="32"/>
          <w:highlight w:val="none"/>
          <w14:textFill>
            <w14:solidFill>
              <w14:schemeClr w14:val="tx1"/>
            </w14:solidFill>
          </w14:textFill>
        </w:rPr>
      </w:pPr>
    </w:p>
    <w:p w14:paraId="0AA255CA">
      <w:pPr>
        <w:spacing w:line="240" w:lineRule="atLeast"/>
        <w:rPr>
          <w:rFonts w:hint="eastAsia" w:ascii="宋体" w:hAnsi="宋体"/>
          <w:b/>
          <w:color w:val="000000" w:themeColor="text1"/>
          <w:sz w:val="32"/>
          <w:szCs w:val="32"/>
          <w:highlight w:val="none"/>
          <w14:textFill>
            <w14:solidFill>
              <w14:schemeClr w14:val="tx1"/>
            </w14:solidFill>
          </w14:textFill>
        </w:rPr>
      </w:pPr>
    </w:p>
    <w:p w14:paraId="10C1E912">
      <w:pPr>
        <w:spacing w:line="240" w:lineRule="atLeast"/>
        <w:rPr>
          <w:rFonts w:hint="eastAsia" w:ascii="宋体" w:hAnsi="宋体"/>
          <w:b/>
          <w:color w:val="000000" w:themeColor="text1"/>
          <w:sz w:val="32"/>
          <w:szCs w:val="32"/>
          <w:highlight w:val="none"/>
          <w14:textFill>
            <w14:solidFill>
              <w14:schemeClr w14:val="tx1"/>
            </w14:solidFill>
          </w14:textFill>
        </w:rPr>
      </w:pPr>
    </w:p>
    <w:p w14:paraId="7A172456">
      <w:pPr>
        <w:spacing w:line="240" w:lineRule="atLeast"/>
        <w:rPr>
          <w:rFonts w:hint="eastAsia" w:ascii="宋体" w:hAnsi="宋体"/>
          <w:b/>
          <w:color w:val="000000" w:themeColor="text1"/>
          <w:sz w:val="32"/>
          <w:szCs w:val="32"/>
          <w:highlight w:val="none"/>
          <w14:textFill>
            <w14:solidFill>
              <w14:schemeClr w14:val="tx1"/>
            </w14:solidFill>
          </w14:textFill>
        </w:rPr>
      </w:pPr>
    </w:p>
    <w:p w14:paraId="64D9FE69">
      <w:pPr>
        <w:spacing w:line="240" w:lineRule="atLeast"/>
        <w:rPr>
          <w:rFonts w:hint="eastAsia" w:ascii="宋体" w:hAnsi="宋体"/>
          <w:b/>
          <w:color w:val="000000" w:themeColor="text1"/>
          <w:sz w:val="32"/>
          <w:szCs w:val="32"/>
          <w:highlight w:val="none"/>
          <w14:textFill>
            <w14:solidFill>
              <w14:schemeClr w14:val="tx1"/>
            </w14:solidFill>
          </w14:textFill>
        </w:rPr>
      </w:pPr>
    </w:p>
    <w:p w14:paraId="1A01F610">
      <w:pPr>
        <w:spacing w:line="240" w:lineRule="atLeast"/>
        <w:rPr>
          <w:rFonts w:hint="eastAsia" w:ascii="宋体" w:hAnsi="宋体"/>
          <w:b/>
          <w:color w:val="000000" w:themeColor="text1"/>
          <w:sz w:val="32"/>
          <w:szCs w:val="32"/>
          <w:highlight w:val="none"/>
          <w14:textFill>
            <w14:solidFill>
              <w14:schemeClr w14:val="tx1"/>
            </w14:solidFill>
          </w14:textFill>
        </w:rPr>
      </w:pPr>
    </w:p>
    <w:p w14:paraId="58497736">
      <w:pPr>
        <w:spacing w:line="240" w:lineRule="atLeast"/>
        <w:rPr>
          <w:rFonts w:hint="eastAsia" w:ascii="宋体" w:hAnsi="宋体"/>
          <w:b/>
          <w:color w:val="000000" w:themeColor="text1"/>
          <w:sz w:val="32"/>
          <w:szCs w:val="32"/>
          <w:highlight w:val="none"/>
          <w14:textFill>
            <w14:solidFill>
              <w14:schemeClr w14:val="tx1"/>
            </w14:solidFill>
          </w14:textFill>
        </w:rPr>
      </w:pPr>
    </w:p>
    <w:p w14:paraId="156F43B0">
      <w:pPr>
        <w:spacing w:line="240" w:lineRule="atLeast"/>
        <w:rPr>
          <w:rFonts w:hint="eastAsia" w:ascii="宋体" w:hAnsi="宋体"/>
          <w:b/>
          <w:color w:val="000000" w:themeColor="text1"/>
          <w:sz w:val="32"/>
          <w:szCs w:val="32"/>
          <w:highlight w:val="none"/>
          <w14:textFill>
            <w14:solidFill>
              <w14:schemeClr w14:val="tx1"/>
            </w14:solidFill>
          </w14:textFill>
        </w:rPr>
      </w:pPr>
    </w:p>
    <w:p w14:paraId="3AECA0BE">
      <w:pPr>
        <w:spacing w:before="50" w:after="50"/>
        <w:outlineLvl w:val="1"/>
        <w:rPr>
          <w:rFonts w:hint="eastAsia" w:ascii="宋体" w:hAnsi="宋体"/>
          <w:b/>
          <w:bCs/>
          <w:color w:val="000000" w:themeColor="text1"/>
          <w:sz w:val="24"/>
          <w:highlight w:val="none"/>
          <w14:textFill>
            <w14:solidFill>
              <w14:schemeClr w14:val="tx1"/>
            </w14:solidFill>
          </w14:textFill>
        </w:rPr>
      </w:pPr>
    </w:p>
    <w:p w14:paraId="22DF799C">
      <w:pPr>
        <w:spacing w:before="120" w:after="50"/>
        <w:jc w:val="center"/>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ascii="仿宋_GB2312" w:hAnsi="仿宋_GB2312" w:eastAsia="仿宋_GB2312" w:cs="仿宋_GB2312"/>
          <w:bCs/>
          <w:color w:val="000000" w:themeColor="text1"/>
          <w:sz w:val="32"/>
          <w:szCs w:val="32"/>
          <w:highlight w:val="none"/>
          <w14:textFill>
            <w14:solidFill>
              <w14:schemeClr w14:val="tx1"/>
            </w14:solidFill>
          </w14:textFill>
        </w:rPr>
        <w:br w:type="page" w:clear="all"/>
      </w:r>
    </w:p>
    <w:p w14:paraId="72490E51">
      <w:pPr>
        <w:rPr>
          <w:b/>
          <w:color w:val="000000" w:themeColor="text1"/>
          <w:sz w:val="32"/>
          <w:szCs w:val="32"/>
          <w:highlight w:val="none"/>
          <w14:textFill>
            <w14:solidFill>
              <w14:schemeClr w14:val="tx1"/>
            </w14:solidFill>
          </w14:textFill>
        </w:rPr>
      </w:pPr>
      <w:bookmarkStart w:id="94" w:name="_Toc71366186"/>
      <w:bookmarkStart w:id="95" w:name="_Toc44229899"/>
      <w:bookmarkStart w:id="96" w:name="_Toc31723070"/>
      <w:bookmarkStart w:id="97" w:name="_Toc35611516"/>
      <w:bookmarkStart w:id="98" w:name="_Toc31728084"/>
      <w:bookmarkStart w:id="99" w:name="_Toc35611438"/>
      <w:r>
        <w:rPr>
          <w:rFonts w:hint="eastAsia"/>
          <w:b/>
          <w:color w:val="000000" w:themeColor="text1"/>
          <w:sz w:val="32"/>
          <w:szCs w:val="32"/>
          <w:highlight w:val="none"/>
          <w14:textFill>
            <w14:solidFill>
              <w14:schemeClr w14:val="tx1"/>
            </w14:solidFill>
          </w14:textFill>
        </w:rPr>
        <w:t>一、资格证明文件格式</w:t>
      </w:r>
      <w:bookmarkEnd w:id="94"/>
      <w:bookmarkEnd w:id="95"/>
      <w:bookmarkEnd w:id="96"/>
      <w:bookmarkEnd w:id="97"/>
      <w:bookmarkEnd w:id="98"/>
      <w:bookmarkEnd w:id="99"/>
    </w:p>
    <w:p w14:paraId="77B71F8D">
      <w:pPr>
        <w:spacing w:before="120" w:after="50" w:line="360" w:lineRule="auto"/>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1.资格证明文件封面格式：</w:t>
      </w:r>
    </w:p>
    <w:p w14:paraId="4742543E">
      <w:pPr>
        <w:spacing w:before="120" w:after="50"/>
        <w:jc w:val="center"/>
        <w:rPr>
          <w:rFonts w:hint="eastAsia" w:ascii="宋体" w:hAnsi="宋体"/>
          <w:color w:val="000000" w:themeColor="text1"/>
          <w:sz w:val="44"/>
          <w:szCs w:val="44"/>
          <w:highlight w:val="none"/>
          <w14:textFill>
            <w14:solidFill>
              <w14:schemeClr w14:val="tx1"/>
            </w14:solidFill>
          </w14:textFill>
        </w:rPr>
      </w:pPr>
    </w:p>
    <w:p w14:paraId="56A69747">
      <w:pPr>
        <w:spacing w:before="120" w:after="50"/>
        <w:jc w:val="center"/>
        <w:rPr>
          <w:rFonts w:hint="eastAsia" w:ascii="宋体" w:hAnsi="宋体"/>
          <w:color w:val="000000" w:themeColor="text1"/>
          <w:sz w:val="44"/>
          <w:szCs w:val="44"/>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500666F1">
      <w:pPr>
        <w:spacing w:before="120" w:after="50"/>
        <w:rPr>
          <w:rFonts w:hint="eastAsia" w:ascii="宋体" w:hAnsi="宋体"/>
          <w:color w:val="000000" w:themeColor="text1"/>
          <w:sz w:val="24"/>
          <w:szCs w:val="20"/>
          <w:highlight w:val="none"/>
          <w14:textFill>
            <w14:solidFill>
              <w14:schemeClr w14:val="tx1"/>
            </w14:solidFill>
          </w14:textFill>
        </w:rPr>
      </w:pPr>
    </w:p>
    <w:p w14:paraId="20A817D3">
      <w:pPr>
        <w:spacing w:before="12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资  格  证  明  文  件</w:t>
      </w:r>
    </w:p>
    <w:p w14:paraId="6BA6BF2F">
      <w:pPr>
        <w:spacing w:before="120" w:after="50"/>
        <w:rPr>
          <w:rFonts w:hint="eastAsia" w:ascii="宋体" w:hAnsi="宋体"/>
          <w:bCs/>
          <w:color w:val="000000" w:themeColor="text1"/>
          <w:sz w:val="24"/>
          <w:szCs w:val="20"/>
          <w:highlight w:val="none"/>
          <w14:textFill>
            <w14:solidFill>
              <w14:schemeClr w14:val="tx1"/>
            </w14:solidFill>
          </w14:textFill>
        </w:rPr>
      </w:pPr>
    </w:p>
    <w:p w14:paraId="77015D7D">
      <w:pPr>
        <w:spacing w:before="120" w:after="50"/>
        <w:rPr>
          <w:rFonts w:hint="eastAsia" w:ascii="宋体" w:hAnsi="宋体"/>
          <w:bCs/>
          <w:color w:val="000000" w:themeColor="text1"/>
          <w:sz w:val="24"/>
          <w:szCs w:val="20"/>
          <w:highlight w:val="none"/>
          <w14:textFill>
            <w14:solidFill>
              <w14:schemeClr w14:val="tx1"/>
            </w14:solidFill>
          </w14:textFill>
        </w:rPr>
      </w:pPr>
    </w:p>
    <w:p w14:paraId="0A6C8883">
      <w:pPr>
        <w:spacing w:before="120" w:after="50"/>
        <w:rPr>
          <w:rFonts w:hint="eastAsia" w:ascii="宋体" w:hAnsi="宋体"/>
          <w:bCs/>
          <w:color w:val="000000" w:themeColor="text1"/>
          <w:sz w:val="24"/>
          <w:szCs w:val="20"/>
          <w:highlight w:val="none"/>
          <w14:textFill>
            <w14:solidFill>
              <w14:schemeClr w14:val="tx1"/>
            </w14:solidFill>
          </w14:textFill>
        </w:rPr>
      </w:pPr>
    </w:p>
    <w:p w14:paraId="00BDC610">
      <w:pPr>
        <w:spacing w:before="120" w:after="50"/>
        <w:rPr>
          <w:rFonts w:hint="eastAsia" w:ascii="宋体" w:hAnsi="宋体"/>
          <w:bCs/>
          <w:color w:val="000000" w:themeColor="text1"/>
          <w:sz w:val="24"/>
          <w:szCs w:val="20"/>
          <w:highlight w:val="none"/>
          <w14:textFill>
            <w14:solidFill>
              <w14:schemeClr w14:val="tx1"/>
            </w14:solidFill>
          </w14:textFill>
        </w:rPr>
      </w:pPr>
    </w:p>
    <w:p w14:paraId="0B63F755">
      <w:pPr>
        <w:spacing w:before="120" w:after="50"/>
        <w:rPr>
          <w:rFonts w:hint="eastAsia" w:ascii="宋体" w:hAnsi="宋体"/>
          <w:bCs/>
          <w:color w:val="000000" w:themeColor="text1"/>
          <w:sz w:val="24"/>
          <w:szCs w:val="20"/>
          <w:highlight w:val="none"/>
          <w14:textFill>
            <w14:solidFill>
              <w14:schemeClr w14:val="tx1"/>
            </w14:solidFill>
          </w14:textFill>
        </w:rPr>
      </w:pPr>
    </w:p>
    <w:p w14:paraId="15142F1B">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425FD8C4">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p>
    <w:p w14:paraId="720BB101">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459254C5">
      <w:pPr>
        <w:spacing w:before="120" w:after="50"/>
        <w:rPr>
          <w:rFonts w:hint="eastAsia" w:ascii="宋体" w:hAnsi="宋体" w:cs="仿宋_GB2312"/>
          <w:bCs/>
          <w:color w:val="000000" w:themeColor="text1"/>
          <w:sz w:val="32"/>
          <w:szCs w:val="32"/>
          <w:highlight w:val="none"/>
          <w14:textFill>
            <w14:solidFill>
              <w14:schemeClr w14:val="tx1"/>
            </w14:solidFill>
          </w14:textFill>
        </w:rPr>
      </w:pPr>
    </w:p>
    <w:p w14:paraId="19CAE881">
      <w:pPr>
        <w:pStyle w:val="7"/>
        <w:spacing w:before="50" w:after="50"/>
        <w:ind w:firstLine="72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184655A9">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p>
    <w:p w14:paraId="5D510218">
      <w:pPr>
        <w:pStyle w:val="7"/>
        <w:spacing w:before="50" w:after="50"/>
        <w:ind w:firstLine="720"/>
        <w:rPr>
          <w:rFonts w:hint="eastAsia" w:ascii="宋体" w:hAnsi="宋体" w:cs="仿宋_GB2312"/>
          <w:bCs/>
          <w:color w:val="000000" w:themeColor="text1"/>
          <w:sz w:val="32"/>
          <w:szCs w:val="32"/>
          <w:highlight w:val="none"/>
          <w14:textFill>
            <w14:solidFill>
              <w14:schemeClr w14:val="tx1"/>
            </w14:solidFill>
          </w14:textFill>
        </w:rPr>
      </w:pPr>
    </w:p>
    <w:p w14:paraId="07CA3A6C">
      <w:pPr>
        <w:pStyle w:val="7"/>
        <w:spacing w:before="50" w:after="50"/>
        <w:ind w:firstLine="720"/>
        <w:rPr>
          <w:rFonts w:hint="eastAsia" w:ascii="宋体" w:hAnsi="宋体" w:cs="仿宋_GB2312"/>
          <w:bCs/>
          <w:color w:val="000000" w:themeColor="text1"/>
          <w:sz w:val="32"/>
          <w:szCs w:val="32"/>
          <w:highlight w:val="none"/>
          <w14:textFill>
            <w14:solidFill>
              <w14:schemeClr w14:val="tx1"/>
            </w14:solidFill>
          </w14:textFill>
        </w:rPr>
      </w:pPr>
    </w:p>
    <w:p w14:paraId="743003B1">
      <w:pPr>
        <w:pStyle w:val="7"/>
        <w:spacing w:before="50" w:after="50"/>
        <w:ind w:firstLine="1280"/>
        <w:rPr>
          <w:rFonts w:hint="eastAsia" w:ascii="宋体" w:hAnsi="宋体" w:cs="仿宋_GB2312"/>
          <w:bCs/>
          <w:color w:val="000000" w:themeColor="text1"/>
          <w:sz w:val="32"/>
          <w:szCs w:val="32"/>
          <w:highlight w:val="none"/>
          <w14:textFill>
            <w14:solidFill>
              <w14:schemeClr w14:val="tx1"/>
            </w14:solidFill>
          </w14:textFill>
        </w:rPr>
      </w:pPr>
    </w:p>
    <w:p w14:paraId="710AA1EC">
      <w:pPr>
        <w:spacing w:before="12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3FF2C80E">
      <w:pPr>
        <w:spacing w:before="120" w:after="50" w:line="360" w:lineRule="auto"/>
        <w:ind w:left="142"/>
        <w:jc w:val="left"/>
        <w:rPr>
          <w:rFonts w:hint="eastAsia" w:ascii="宋体" w:hAnsi="宋体"/>
          <w:b/>
          <w:bCs/>
          <w:color w:val="000000" w:themeColor="text1"/>
          <w:sz w:val="32"/>
          <w:szCs w:val="32"/>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2.资格证明文件目录</w:t>
      </w:r>
    </w:p>
    <w:p w14:paraId="5FF19B86">
      <w:pPr>
        <w:spacing w:before="120" w:after="50" w:line="360" w:lineRule="auto"/>
        <w:ind w:firstLine="645"/>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14:paraId="52E846BC">
      <w:pPr>
        <w:spacing w:before="120" w:after="50"/>
        <w:rPr>
          <w:rFonts w:hint="eastAsia" w:ascii="宋体" w:hAnsi="宋体"/>
          <w:color w:val="000000" w:themeColor="text1"/>
          <w:sz w:val="24"/>
          <w:szCs w:val="20"/>
          <w:highlight w:val="none"/>
          <w14:textFill>
            <w14:solidFill>
              <w14:schemeClr w14:val="tx1"/>
            </w14:solidFill>
          </w14:textFill>
        </w:rPr>
      </w:pPr>
    </w:p>
    <w:p w14:paraId="33EE7915">
      <w:pPr>
        <w:spacing w:line="300" w:lineRule="auto"/>
        <w:rPr>
          <w:rFonts w:hint="eastAsia" w:ascii="宋体" w:hAnsi="宋体"/>
          <w:color w:val="000000" w:themeColor="text1"/>
          <w:szCs w:val="21"/>
          <w:highlight w:val="none"/>
          <w14:textFill>
            <w14:solidFill>
              <w14:schemeClr w14:val="tx1"/>
            </w14:solidFill>
          </w14:textFill>
        </w:rPr>
      </w:pPr>
    </w:p>
    <w:p w14:paraId="5EA7EBDA">
      <w:pPr>
        <w:spacing w:line="300" w:lineRule="auto"/>
        <w:rPr>
          <w:rFonts w:hint="eastAsia" w:ascii="宋体" w:hAnsi="宋体"/>
          <w:color w:val="000000" w:themeColor="text1"/>
          <w:szCs w:val="21"/>
          <w:highlight w:val="none"/>
          <w14:textFill>
            <w14:solidFill>
              <w14:schemeClr w14:val="tx1"/>
            </w14:solidFill>
          </w14:textFill>
        </w:rPr>
      </w:pPr>
    </w:p>
    <w:p w14:paraId="6B0FE023">
      <w:pPr>
        <w:spacing w:line="300" w:lineRule="auto"/>
        <w:rPr>
          <w:rFonts w:hint="eastAsia" w:ascii="宋体" w:hAnsi="宋体"/>
          <w:color w:val="000000" w:themeColor="text1"/>
          <w:szCs w:val="21"/>
          <w:highlight w:val="none"/>
          <w14:textFill>
            <w14:solidFill>
              <w14:schemeClr w14:val="tx1"/>
            </w14:solidFill>
          </w14:textFill>
        </w:rPr>
      </w:pPr>
    </w:p>
    <w:p w14:paraId="5B1685AA">
      <w:pPr>
        <w:spacing w:line="300" w:lineRule="auto"/>
        <w:rPr>
          <w:rFonts w:hint="eastAsia" w:ascii="宋体" w:hAnsi="宋体"/>
          <w:color w:val="000000" w:themeColor="text1"/>
          <w:szCs w:val="21"/>
          <w:highlight w:val="none"/>
          <w14:textFill>
            <w14:solidFill>
              <w14:schemeClr w14:val="tx1"/>
            </w14:solidFill>
          </w14:textFill>
        </w:rPr>
      </w:pPr>
    </w:p>
    <w:p w14:paraId="0A12BAC7">
      <w:pPr>
        <w:spacing w:line="300" w:lineRule="auto"/>
        <w:rPr>
          <w:rFonts w:hint="eastAsia" w:ascii="宋体" w:hAnsi="宋体"/>
          <w:color w:val="000000" w:themeColor="text1"/>
          <w:szCs w:val="21"/>
          <w:highlight w:val="none"/>
          <w14:textFill>
            <w14:solidFill>
              <w14:schemeClr w14:val="tx1"/>
            </w14:solidFill>
          </w14:textFill>
        </w:rPr>
      </w:pPr>
    </w:p>
    <w:p w14:paraId="0B942CFA">
      <w:pPr>
        <w:spacing w:line="300" w:lineRule="auto"/>
        <w:rPr>
          <w:rFonts w:hint="eastAsia" w:ascii="宋体" w:hAnsi="宋体"/>
          <w:color w:val="000000" w:themeColor="text1"/>
          <w:szCs w:val="21"/>
          <w:highlight w:val="none"/>
          <w14:textFill>
            <w14:solidFill>
              <w14:schemeClr w14:val="tx1"/>
            </w14:solidFill>
          </w14:textFill>
        </w:rPr>
      </w:pPr>
    </w:p>
    <w:p w14:paraId="4E8E2DA3">
      <w:pPr>
        <w:spacing w:line="300" w:lineRule="auto"/>
        <w:rPr>
          <w:rFonts w:hint="eastAsia" w:ascii="宋体" w:hAnsi="宋体"/>
          <w:color w:val="000000" w:themeColor="text1"/>
          <w:szCs w:val="21"/>
          <w:highlight w:val="none"/>
          <w14:textFill>
            <w14:solidFill>
              <w14:schemeClr w14:val="tx1"/>
            </w14:solidFill>
          </w14:textFill>
        </w:rPr>
      </w:pPr>
    </w:p>
    <w:p w14:paraId="3F79B69C">
      <w:pPr>
        <w:spacing w:line="300" w:lineRule="auto"/>
        <w:rPr>
          <w:rFonts w:hint="eastAsia" w:ascii="宋体" w:hAnsi="宋体"/>
          <w:color w:val="000000" w:themeColor="text1"/>
          <w:szCs w:val="21"/>
          <w:highlight w:val="none"/>
          <w14:textFill>
            <w14:solidFill>
              <w14:schemeClr w14:val="tx1"/>
            </w14:solidFill>
          </w14:textFill>
        </w:rPr>
      </w:pPr>
    </w:p>
    <w:p w14:paraId="3B5F43D5">
      <w:pPr>
        <w:spacing w:line="300" w:lineRule="auto"/>
        <w:rPr>
          <w:rFonts w:hint="eastAsia" w:ascii="宋体" w:hAnsi="宋体"/>
          <w:color w:val="000000" w:themeColor="text1"/>
          <w:szCs w:val="21"/>
          <w:highlight w:val="none"/>
          <w14:textFill>
            <w14:solidFill>
              <w14:schemeClr w14:val="tx1"/>
            </w14:solidFill>
          </w14:textFill>
        </w:rPr>
      </w:pPr>
    </w:p>
    <w:p w14:paraId="50BA0EF4">
      <w:pPr>
        <w:spacing w:line="300" w:lineRule="auto"/>
        <w:rPr>
          <w:rFonts w:hint="eastAsia" w:ascii="宋体" w:hAnsi="宋体"/>
          <w:color w:val="000000" w:themeColor="text1"/>
          <w:szCs w:val="21"/>
          <w:highlight w:val="none"/>
          <w14:textFill>
            <w14:solidFill>
              <w14:schemeClr w14:val="tx1"/>
            </w14:solidFill>
          </w14:textFill>
        </w:rPr>
      </w:pPr>
    </w:p>
    <w:p w14:paraId="0CDC98E9">
      <w:pPr>
        <w:spacing w:line="300" w:lineRule="auto"/>
        <w:rPr>
          <w:rFonts w:hint="eastAsia" w:ascii="宋体" w:hAnsi="宋体"/>
          <w:color w:val="000000" w:themeColor="text1"/>
          <w:szCs w:val="21"/>
          <w:highlight w:val="none"/>
          <w14:textFill>
            <w14:solidFill>
              <w14:schemeClr w14:val="tx1"/>
            </w14:solidFill>
          </w14:textFill>
        </w:rPr>
      </w:pPr>
    </w:p>
    <w:p w14:paraId="05E2D633">
      <w:pPr>
        <w:spacing w:line="300" w:lineRule="auto"/>
        <w:rPr>
          <w:rFonts w:hint="eastAsia" w:ascii="宋体" w:hAnsi="宋体"/>
          <w:color w:val="000000" w:themeColor="text1"/>
          <w:szCs w:val="21"/>
          <w:highlight w:val="none"/>
          <w14:textFill>
            <w14:solidFill>
              <w14:schemeClr w14:val="tx1"/>
            </w14:solidFill>
          </w14:textFill>
        </w:rPr>
      </w:pPr>
    </w:p>
    <w:p w14:paraId="6A4014CD">
      <w:pPr>
        <w:spacing w:line="300" w:lineRule="auto"/>
        <w:rPr>
          <w:rFonts w:hint="eastAsia" w:ascii="宋体" w:hAnsi="宋体"/>
          <w:color w:val="000000" w:themeColor="text1"/>
          <w:szCs w:val="21"/>
          <w:highlight w:val="none"/>
          <w14:textFill>
            <w14:solidFill>
              <w14:schemeClr w14:val="tx1"/>
            </w14:solidFill>
          </w14:textFill>
        </w:rPr>
      </w:pPr>
    </w:p>
    <w:p w14:paraId="376AF81B">
      <w:pPr>
        <w:spacing w:line="300" w:lineRule="auto"/>
        <w:rPr>
          <w:rFonts w:hint="eastAsia" w:ascii="宋体" w:hAnsi="宋体"/>
          <w:color w:val="000000" w:themeColor="text1"/>
          <w:szCs w:val="21"/>
          <w:highlight w:val="none"/>
          <w14:textFill>
            <w14:solidFill>
              <w14:schemeClr w14:val="tx1"/>
            </w14:solidFill>
          </w14:textFill>
        </w:rPr>
      </w:pPr>
    </w:p>
    <w:p w14:paraId="1DBCF269">
      <w:pPr>
        <w:spacing w:line="300" w:lineRule="auto"/>
        <w:rPr>
          <w:rFonts w:hint="eastAsia" w:ascii="宋体" w:hAnsi="宋体"/>
          <w:color w:val="000000" w:themeColor="text1"/>
          <w:szCs w:val="21"/>
          <w:highlight w:val="none"/>
          <w14:textFill>
            <w14:solidFill>
              <w14:schemeClr w14:val="tx1"/>
            </w14:solidFill>
          </w14:textFill>
        </w:rPr>
      </w:pPr>
    </w:p>
    <w:p w14:paraId="74AC6E5F">
      <w:pPr>
        <w:spacing w:line="320" w:lineRule="exact"/>
        <w:jc w:val="left"/>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clear="all"/>
      </w:r>
    </w:p>
    <w:p w14:paraId="1613369D">
      <w:pPr>
        <w:spacing w:before="120" w:after="50" w:line="320" w:lineRule="exact"/>
        <w:ind w:right="482" w:firstLine="210"/>
        <w:contextualSpacing/>
        <w:jc w:val="center"/>
        <w:rPr>
          <w:rFonts w:hint="eastAsia" w:ascii="宋体" w:hAnsi="宋体"/>
          <w:color w:val="000000" w:themeColor="text1"/>
          <w:szCs w:val="21"/>
          <w:highlight w:val="none"/>
          <w14:textFill>
            <w14:solidFill>
              <w14:schemeClr w14:val="tx1"/>
            </w14:solidFill>
          </w14:textFill>
        </w:rPr>
      </w:pPr>
    </w:p>
    <w:p w14:paraId="7A22E180">
      <w:pPr>
        <w:spacing w:line="32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供应商直接控股、管理关系信息表</w:t>
      </w:r>
    </w:p>
    <w:p w14:paraId="2731DBBF">
      <w:pPr>
        <w:spacing w:before="120" w:after="50" w:line="360" w:lineRule="auto"/>
        <w:jc w:val="center"/>
        <w:rPr>
          <w:rFonts w:hint="eastAsia" w:ascii="宋体" w:hAnsi="宋体"/>
          <w:b/>
          <w:color w:val="000000" w:themeColor="text1"/>
          <w:sz w:val="24"/>
          <w:highlight w:val="none"/>
          <w14:textFill>
            <w14:solidFill>
              <w14:schemeClr w14:val="tx1"/>
            </w14:solidFill>
          </w14:textFill>
        </w:rPr>
      </w:pPr>
    </w:p>
    <w:p w14:paraId="3EC7E5C2">
      <w:pPr>
        <w:spacing w:line="360" w:lineRule="auto"/>
        <w:contextualSpacing/>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供应商直接控股股东信息表</w:t>
      </w:r>
    </w:p>
    <w:p w14:paraId="15C6263C">
      <w:pPr>
        <w:spacing w:line="360" w:lineRule="auto"/>
        <w:contextualSpacing/>
        <w:jc w:val="center"/>
        <w:rPr>
          <w:rFonts w:hint="eastAsia" w:ascii="宋体" w:hAnsi="宋体"/>
          <w:b/>
          <w:color w:val="000000" w:themeColor="text1"/>
          <w:sz w:val="24"/>
          <w:highlight w:val="none"/>
          <w14:textFill>
            <w14:solidFill>
              <w14:schemeClr w14:val="tx1"/>
            </w14:solidFill>
          </w14:textFill>
        </w:rPr>
      </w:pPr>
    </w:p>
    <w:tbl>
      <w:tblPr>
        <w:tblStyle w:val="45"/>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3CDE69C">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DB58EB5">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9309775">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82F5E51">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C41F1BD">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8E3AEDC">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5E4FD1C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C05F5E6">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BB75E4F">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4A9C9CC">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0AF93CA">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AC58FD0">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0308FCA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3BEF6A2">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087CAC">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0A38177">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BAA87CD">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8288796">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4E14AA5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CC82C65">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5BF35D">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93F401">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7048D3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4A9B84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56AD295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BE4E25E">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6CD02DE">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F3ECDF">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D2E1E8">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6315248">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bl>
    <w:p w14:paraId="75872C1D">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5DB4435A">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788C669">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05308782">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w:t>
      </w:r>
      <w:r>
        <w:rPr>
          <w:rFonts w:hint="eastAsia" w:ascii="宋体" w:hAnsi="宋体"/>
          <w:color w:val="000000" w:themeColor="text1"/>
          <w:sz w:val="24"/>
          <w:highlight w:val="none"/>
          <w14:textFill>
            <w14:solidFill>
              <w14:schemeClr w14:val="tx1"/>
            </w14:solidFill>
          </w14:textFill>
        </w:rPr>
        <w:t>则在“直接控股股东名称”填“无”</w:t>
      </w:r>
      <w:r>
        <w:rPr>
          <w:rFonts w:hint="eastAsia" w:ascii="宋体" w:hAnsi="宋体" w:cs="宋体"/>
          <w:color w:val="000000" w:themeColor="text1"/>
          <w:sz w:val="24"/>
          <w:highlight w:val="none"/>
          <w14:textFill>
            <w14:solidFill>
              <w14:schemeClr w14:val="tx1"/>
            </w14:solidFill>
          </w14:textFill>
        </w:rPr>
        <w:t>。</w:t>
      </w:r>
    </w:p>
    <w:p w14:paraId="31CB4624">
      <w:pPr>
        <w:spacing w:line="360" w:lineRule="auto"/>
        <w:ind w:firstLine="420"/>
        <w:contextualSpacing/>
        <w:jc w:val="left"/>
        <w:rPr>
          <w:rFonts w:hint="eastAsia" w:ascii="宋体" w:hAnsi="宋体" w:cs="宋体"/>
          <w:color w:val="000000" w:themeColor="text1"/>
          <w:szCs w:val="21"/>
          <w:highlight w:val="none"/>
          <w14:textFill>
            <w14:solidFill>
              <w14:schemeClr w14:val="tx1"/>
            </w14:solidFill>
          </w14:textFill>
        </w:rPr>
      </w:pPr>
    </w:p>
    <w:p w14:paraId="5E4EAA98">
      <w:pPr>
        <w:spacing w:line="360" w:lineRule="auto"/>
        <w:ind w:firstLine="560"/>
        <w:contextualSpacing/>
        <w:jc w:val="left"/>
        <w:rPr>
          <w:rFonts w:hint="eastAsia" w:ascii="宋体" w:hAnsi="宋体" w:cs="宋体"/>
          <w:color w:val="000000" w:themeColor="text1"/>
          <w:sz w:val="28"/>
          <w:szCs w:val="28"/>
          <w:highlight w:val="none"/>
          <w14:textFill>
            <w14:solidFill>
              <w14:schemeClr w14:val="tx1"/>
            </w14:solidFill>
          </w14:textFill>
        </w:rPr>
      </w:pPr>
    </w:p>
    <w:p w14:paraId="0AF3690E">
      <w:pPr>
        <w:spacing w:line="360" w:lineRule="auto"/>
        <w:ind w:right="480"/>
        <w:contextualSpacing/>
        <w:jc w:val="center"/>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14:textFill>
            <w14:solidFill>
              <w14:schemeClr w14:val="tx1"/>
            </w14:solidFill>
          </w14:textFill>
        </w:rPr>
        <w:t>（签字或者盖章或者电子签名）</w:t>
      </w:r>
      <w:r>
        <w:rPr>
          <w:rFonts w:hint="eastAsia" w:ascii="宋体" w:hAnsi="宋体" w:cs="宋体"/>
          <w:color w:val="000000" w:themeColor="text1"/>
          <w:sz w:val="24"/>
          <w:highlight w:val="none"/>
          <w14:textFill>
            <w14:solidFill>
              <w14:schemeClr w14:val="tx1"/>
            </w14:solidFill>
          </w14:textFill>
        </w:rPr>
        <w:t>：</w:t>
      </w:r>
    </w:p>
    <w:p w14:paraId="3711FDC7">
      <w:pPr>
        <w:spacing w:line="360" w:lineRule="auto"/>
        <w:ind w:right="480" w:firstLine="300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（电子签章）</w:t>
      </w:r>
      <w:r>
        <w:rPr>
          <w:rFonts w:hint="eastAsia" w:ascii="宋体" w:hAnsi="宋体" w:cs="宋体"/>
          <w:color w:val="000000" w:themeColor="text1"/>
          <w:sz w:val="24"/>
          <w:highlight w:val="none"/>
          <w14:textFill>
            <w14:solidFill>
              <w14:schemeClr w14:val="tx1"/>
            </w14:solidFill>
          </w14:textFill>
        </w:rPr>
        <w:t xml:space="preserve">： </w:t>
      </w:r>
    </w:p>
    <w:p w14:paraId="48417DE7">
      <w:pPr>
        <w:spacing w:line="360" w:lineRule="auto"/>
        <w:ind w:firstLine="480"/>
        <w:contextualSpacing/>
        <w:jc w:val="right"/>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1387F31E">
      <w:pPr>
        <w:jc w:val="center"/>
        <w:rPr>
          <w:rFonts w:hint="eastAsia"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28"/>
          <w:szCs w:val="28"/>
          <w:highlight w:val="none"/>
          <w14:textFill>
            <w14:solidFill>
              <w14:schemeClr w14:val="tx1"/>
            </w14:solidFill>
          </w14:textFill>
        </w:rPr>
        <w:br w:type="page" w:clear="all"/>
      </w:r>
    </w:p>
    <w:p w14:paraId="61868476">
      <w:pPr>
        <w:spacing w:line="32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供应商直接管理关系信息表</w:t>
      </w:r>
    </w:p>
    <w:p w14:paraId="00949669">
      <w:pPr>
        <w:spacing w:line="360" w:lineRule="auto"/>
        <w:jc w:val="center"/>
        <w:rPr>
          <w:rFonts w:hint="eastAsia" w:ascii="宋体" w:hAnsi="宋体"/>
          <w:b/>
          <w:color w:val="000000" w:themeColor="text1"/>
          <w:sz w:val="24"/>
          <w:highlight w:val="none"/>
          <w14:textFill>
            <w14:solidFill>
              <w14:schemeClr w14:val="tx1"/>
            </w14:solidFill>
          </w14:textFill>
        </w:rPr>
      </w:pPr>
    </w:p>
    <w:tbl>
      <w:tblPr>
        <w:tblStyle w:val="45"/>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15CE8B6">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F5AF111">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DEF87C">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EF9427">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4134D3F">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相互关系</w:t>
            </w:r>
          </w:p>
        </w:tc>
      </w:tr>
      <w:tr w14:paraId="57976E6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718A9EC">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83BAB56">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428CB99">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C177FC0">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3A2B200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2A4037B">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926398A">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7A0AEC">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701C48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7C4A12C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C4CAD0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4964A7F">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4B4AE05">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284E56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30C3C47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F869412">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EB7BAF">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CF4E03C">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94B3AB5">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bl>
    <w:p w14:paraId="44DA885F">
      <w:pPr>
        <w:spacing w:line="360" w:lineRule="auto"/>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0EAE821A">
      <w:pPr>
        <w:spacing w:line="360" w:lineRule="auto"/>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57C1CDE6">
      <w:pPr>
        <w:spacing w:line="360" w:lineRule="auto"/>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4104E212">
      <w:pPr>
        <w:spacing w:line="360" w:lineRule="auto"/>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3.供应商不存在直接管理关系的，则在“直接管理关系单位名称”填“无”。</w:t>
      </w:r>
    </w:p>
    <w:p w14:paraId="7361AD7E">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0549BCA1">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78D617B8">
      <w:pPr>
        <w:spacing w:line="360" w:lineRule="auto"/>
        <w:contextualSpacing/>
        <w:jc w:val="left"/>
        <w:rPr>
          <w:color w:val="000000" w:themeColor="text1"/>
          <w:sz w:val="28"/>
          <w:szCs w:val="28"/>
          <w:highlight w:val="none"/>
          <w14:textFill>
            <w14:solidFill>
              <w14:schemeClr w14:val="tx1"/>
            </w14:solidFill>
          </w14:textFill>
        </w:rPr>
      </w:pPr>
    </w:p>
    <w:p w14:paraId="4858E6A1">
      <w:pPr>
        <w:spacing w:line="360" w:lineRule="auto"/>
        <w:contextualSpacing/>
        <w:jc w:val="left"/>
        <w:rPr>
          <w:color w:val="000000" w:themeColor="text1"/>
          <w:sz w:val="28"/>
          <w:szCs w:val="28"/>
          <w:highlight w:val="none"/>
          <w14:textFill>
            <w14:solidFill>
              <w14:schemeClr w14:val="tx1"/>
            </w14:solidFill>
          </w14:textFill>
        </w:rPr>
      </w:pPr>
    </w:p>
    <w:p w14:paraId="159480D6">
      <w:pPr>
        <w:spacing w:line="360" w:lineRule="auto"/>
        <w:contextualSpacing/>
        <w:jc w:val="left"/>
        <w:rPr>
          <w:color w:val="000000" w:themeColor="text1"/>
          <w:sz w:val="28"/>
          <w:szCs w:val="28"/>
          <w:highlight w:val="none"/>
          <w14:textFill>
            <w14:solidFill>
              <w14:schemeClr w14:val="tx1"/>
            </w14:solidFill>
          </w14:textFill>
        </w:rPr>
      </w:pPr>
    </w:p>
    <w:p w14:paraId="7D1F5D1E">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37443DC3">
      <w:pPr>
        <w:spacing w:line="360" w:lineRule="auto"/>
        <w:ind w:right="480"/>
        <w:contextualSpacing/>
        <w:jc w:val="center"/>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法定代表人或者委托代理人（签字或者盖章或者电子签名）：</w:t>
      </w:r>
    </w:p>
    <w:p w14:paraId="5002310A">
      <w:pPr>
        <w:spacing w:line="360" w:lineRule="auto"/>
        <w:ind w:right="480" w:firstLine="336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p>
    <w:p w14:paraId="7F20263E">
      <w:pPr>
        <w:spacing w:line="360" w:lineRule="auto"/>
        <w:ind w:firstLine="480"/>
        <w:contextualSpacing/>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0F682205">
      <w:pPr>
        <w:spacing w:line="320" w:lineRule="exact"/>
        <w:jc w:val="center"/>
        <w:rPr>
          <w:rFonts w:hint="eastAsia" w:ascii="宋体" w:hAnsi="宋体"/>
          <w:b/>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br w:type="page" w:clear="all"/>
      </w:r>
      <w:r>
        <w:rPr>
          <w:rFonts w:hint="eastAsia" w:ascii="宋体" w:hAnsi="宋体"/>
          <w:b/>
          <w:color w:val="000000" w:themeColor="text1"/>
          <w:sz w:val="32"/>
          <w:szCs w:val="32"/>
          <w:highlight w:val="none"/>
          <w14:textFill>
            <w14:solidFill>
              <w14:schemeClr w14:val="tx1"/>
            </w14:solidFill>
          </w14:textFill>
        </w:rPr>
        <w:t>竞标声明</w:t>
      </w:r>
    </w:p>
    <w:p w14:paraId="28EDD948">
      <w:pPr>
        <w:spacing w:line="320" w:lineRule="exact"/>
        <w:jc w:val="center"/>
        <w:rPr>
          <w:rFonts w:hint="eastAsia" w:ascii="宋体" w:hAnsi="宋体"/>
          <w:color w:val="000000" w:themeColor="text1"/>
          <w:sz w:val="24"/>
          <w:szCs w:val="20"/>
          <w:highlight w:val="none"/>
          <w14:textFill>
            <w14:solidFill>
              <w14:schemeClr w14:val="tx1"/>
            </w14:solidFill>
          </w14:textFill>
        </w:rPr>
      </w:pPr>
    </w:p>
    <w:p w14:paraId="47B5733A">
      <w:pPr>
        <w:spacing w:line="360" w:lineRule="auto"/>
        <w:contextualSpacing/>
        <w:rPr>
          <w:rFonts w:hint="eastAsia"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lang w:eastAsia="zh-CN"/>
          <w14:textFill>
            <w14:solidFill>
              <w14:schemeClr w14:val="tx1"/>
            </w14:solidFill>
          </w14:textFill>
        </w:rPr>
        <w:t>平南县江南中心幼儿园</w:t>
      </w:r>
    </w:p>
    <w:p w14:paraId="17124A45">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w:t>
      </w: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系中华人民共和国合法供应商，经营地址</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33B7F68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我方愿意参加贵方组织的</w:t>
      </w:r>
      <w:r>
        <w:rPr>
          <w:rFonts w:hint="eastAsia" w:ascii="宋体" w:hAnsi="宋体" w:cs="宋体"/>
          <w:color w:val="000000" w:themeColor="text1"/>
          <w:sz w:val="24"/>
          <w:highlight w:val="none"/>
          <w:u w:val="single"/>
          <w14:textFill>
            <w14:solidFill>
              <w14:schemeClr w14:val="tx1"/>
            </w14:solidFill>
          </w14:textFill>
        </w:rPr>
        <w:t>（项目名称）（项目编号）</w:t>
      </w:r>
      <w:r>
        <w:rPr>
          <w:rFonts w:hint="eastAsia" w:ascii="宋体" w:hAnsi="宋体" w:cs="宋体"/>
          <w:color w:val="000000" w:themeColor="text1"/>
          <w:sz w:val="24"/>
          <w:highlight w:val="none"/>
          <w14:textFill>
            <w14:solidFill>
              <w14:schemeClr w14:val="tx1"/>
            </w14:solidFill>
          </w14:textFill>
        </w:rPr>
        <w:t>项目的竞标，为便于贵方公正、择优地确定成交供应商及其服务，我方就本次竞标有关事项郑重声明如下：</w:t>
      </w:r>
    </w:p>
    <w:p w14:paraId="3378B0F8">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1.我方向贵方提交的所有响应文件、资料都是准确的和真实的。</w:t>
      </w:r>
    </w:p>
    <w:p w14:paraId="3829E878">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highlight w:val="none"/>
          <w14:textFill>
            <w14:solidFill>
              <w14:schemeClr w14:val="tx1"/>
            </w14:solidFill>
          </w14:textFill>
        </w:rPr>
        <w:t>。</w:t>
      </w:r>
    </w:p>
    <w:p w14:paraId="3AC81D49">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3.在此，我方宣布同意如下：</w:t>
      </w:r>
    </w:p>
    <w:p w14:paraId="2A183D4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（1）将按磋商文件的约定履行合同责任和义务；</w:t>
      </w:r>
    </w:p>
    <w:p w14:paraId="7EF2C83E">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（2）已详细审查全部磋商文件，包括澄清或者更正公告（如有）；</w:t>
      </w:r>
    </w:p>
    <w:p w14:paraId="42F8E65D">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（3）同意提供按照贵方可能要求的与磋商有关的一切数据或者资料；</w:t>
      </w:r>
    </w:p>
    <w:p w14:paraId="61AA50BB">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（4）响应磋商文件规定的竞标有效期。</w:t>
      </w:r>
    </w:p>
    <w:p w14:paraId="5DE7F2B1">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4.我方承诺符合《中华人民共和国政府采购法》第二十二条规定：</w:t>
      </w:r>
    </w:p>
    <w:p w14:paraId="26566B8F">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14:paraId="5C691F1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14:paraId="47D9D260">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14:paraId="0A6888BE">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14:paraId="675288A9">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14:paraId="6451989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14:paraId="29584AA7">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B34A210">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D3A1EE5">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□我方本次响应文件内容中未涉及商业秘密；</w:t>
      </w:r>
    </w:p>
    <w:p w14:paraId="69C02449">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□我方本次响应文件涉及商业秘密的内容有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0B3CF058">
      <w:pPr>
        <w:pStyle w:val="24"/>
        <w:spacing w:line="360" w:lineRule="auto"/>
        <w:ind w:firstLine="480"/>
        <w:contextualSpacing/>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7.与本磋商有关的一切正式往来信函请寄：邮政编号：</w:t>
      </w:r>
    </w:p>
    <w:p w14:paraId="3BDD220E">
      <w:pPr>
        <w:pStyle w:val="24"/>
        <w:spacing w:line="360" w:lineRule="auto"/>
        <w:ind w:firstLine="480"/>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电话/传真：</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电子邮箱：</w:t>
      </w:r>
      <w:r>
        <w:rPr>
          <w:rFonts w:hint="eastAsia" w:hAnsi="宋体" w:cs="宋体"/>
          <w:color w:val="000000" w:themeColor="text1"/>
          <w:sz w:val="24"/>
          <w:highlight w:val="none"/>
          <w:u w:val="single"/>
          <w14:textFill>
            <w14:solidFill>
              <w14:schemeClr w14:val="tx1"/>
            </w14:solidFill>
          </w14:textFill>
        </w:rPr>
        <w:t xml:space="preserve">                   </w:t>
      </w:r>
    </w:p>
    <w:p w14:paraId="2D7054DE">
      <w:pPr>
        <w:pStyle w:val="20"/>
        <w:tabs>
          <w:tab w:val="left" w:pos="939"/>
        </w:tabs>
        <w:spacing w:line="360" w:lineRule="auto"/>
        <w:ind w:left="141" w:firstLine="3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账号：</w:t>
      </w:r>
      <w:r>
        <w:rPr>
          <w:rFonts w:hint="eastAsia" w:ascii="宋体" w:hAnsi="宋体" w:cs="宋体"/>
          <w:color w:val="000000" w:themeColor="text1"/>
          <w:sz w:val="24"/>
          <w:highlight w:val="none"/>
          <w:u w:val="single"/>
          <w14:textFill>
            <w14:solidFill>
              <w14:schemeClr w14:val="tx1"/>
            </w14:solidFill>
          </w14:textFill>
        </w:rPr>
        <w:t xml:space="preserve">                       </w:t>
      </w:r>
    </w:p>
    <w:p w14:paraId="4974A410">
      <w:pPr>
        <w:pStyle w:val="20"/>
        <w:tabs>
          <w:tab w:val="left" w:pos="939"/>
        </w:tabs>
        <w:spacing w:line="360" w:lineRule="auto"/>
        <w:ind w:left="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1AC6C45E">
      <w:pPr>
        <w:pStyle w:val="20"/>
        <w:tabs>
          <w:tab w:val="left" w:pos="939"/>
        </w:tabs>
        <w:spacing w:line="360" w:lineRule="auto"/>
        <w:ind w:left="141" w:firstLine="3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566819B9">
      <w:pPr>
        <w:spacing w:line="360" w:lineRule="auto"/>
        <w:ind w:firstLine="482"/>
        <w:contextualSpacing/>
        <w:jc w:val="left"/>
        <w:rPr>
          <w:rFonts w:hint="eastAsia" w:ascii="宋体" w:hAnsi="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w:t>
      </w:r>
      <w:r>
        <w:rPr>
          <w:rFonts w:hint="eastAsia" w:ascii="宋体" w:hAnsi="宋体"/>
          <w:b/>
          <w:color w:val="000000" w:themeColor="text1"/>
          <w:sz w:val="24"/>
          <w:highlight w:val="none"/>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72AFA44C">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573EEC7F">
      <w:pPr>
        <w:spacing w:line="360" w:lineRule="auto"/>
        <w:ind w:firstLine="180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法定代表人（签字或者盖章或者电子签名）：</w:t>
      </w:r>
    </w:p>
    <w:p w14:paraId="2403ABC4">
      <w:pPr>
        <w:spacing w:line="360" w:lineRule="auto"/>
        <w:ind w:firstLine="180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p>
    <w:p w14:paraId="3BE139B2">
      <w:pPr>
        <w:pStyle w:val="7"/>
        <w:spacing w:line="360" w:lineRule="auto"/>
        <w:ind w:firstLine="0"/>
        <w:contextualSpacing/>
        <w:jc w:val="right"/>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年    月    日</w:t>
      </w:r>
    </w:p>
    <w:p w14:paraId="4A6F440B">
      <w:pPr>
        <w:pStyle w:val="7"/>
        <w:spacing w:line="360" w:lineRule="auto"/>
        <w:ind w:firstLine="0"/>
        <w:contextualSpacing/>
        <w:rPr>
          <w:rFonts w:hint="eastAsia" w:ascii="宋体" w:hAnsi="宋体" w:cs="仿宋_GB2312"/>
          <w:color w:val="000000" w:themeColor="text1"/>
          <w:sz w:val="24"/>
          <w:szCs w:val="24"/>
          <w:highlight w:val="none"/>
          <w14:textFill>
            <w14:solidFill>
              <w14:schemeClr w14:val="tx1"/>
            </w14:solidFill>
          </w14:textFill>
        </w:rPr>
      </w:pPr>
    </w:p>
    <w:p w14:paraId="299246CB">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6BB2A9B1">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4024E43C">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6254B23A">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66465281">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32D80D3C">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25807FA1">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4DAD0C3E">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02BB8EAE">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705D48C1">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45BD0003">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7EB65338">
      <w:pPr>
        <w:widowControl/>
        <w:jc w:val="center"/>
        <w:rPr>
          <w:rFonts w:hint="eastAsia" w:ascii="宋体" w:hAnsi="宋体" w:cs="宋体"/>
          <w:b/>
          <w:color w:val="000000" w:themeColor="text1"/>
          <w:sz w:val="32"/>
          <w:szCs w:val="32"/>
          <w:highlight w:val="none"/>
          <w14:textFill>
            <w14:solidFill>
              <w14:schemeClr w14:val="tx1"/>
            </w14:solidFill>
          </w14:textFill>
        </w:rPr>
      </w:pPr>
    </w:p>
    <w:p w14:paraId="33A38D45">
      <w:pPr>
        <w:widowControl/>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贵港市政府采购项目投标资格承诺函</w:t>
      </w:r>
    </w:p>
    <w:p w14:paraId="246F68B5">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p>
    <w:p w14:paraId="6110BD05">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5A305DC7">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1.具有独立承担民事责任的能力。 </w:t>
      </w:r>
    </w:p>
    <w:p w14:paraId="0C8A89E4">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2.具有良好的商业信誉和健全的财务会计制度。 </w:t>
      </w:r>
    </w:p>
    <w:p w14:paraId="39D8A733">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3.具有履行合同所必需的设备和专业技术能力。 </w:t>
      </w:r>
    </w:p>
    <w:p w14:paraId="47933248">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4.有依法缴纳税收和社会保障资金的良好记录。 </w:t>
      </w:r>
    </w:p>
    <w:p w14:paraId="74FCDD6D">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5. 提交响应文件截止日期前三年内，在经营活动中没有重大违法记录。 </w:t>
      </w:r>
    </w:p>
    <w:p w14:paraId="23C7A6AB">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本公司对上述承诺的真实性负责，并接受政府采购、税务、社会保障等监督管理部门、采购文件规定的资格审查机构、社会公众的监督和检查。如有虚假，将依法承担相应责任。</w:t>
      </w:r>
    </w:p>
    <w:p w14:paraId="3D51C291">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04A2035B">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566762E5">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5749C4CE">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440FF5F7">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法定代表人（签字或盖章或电子签名）：</w:t>
      </w:r>
    </w:p>
    <w:p w14:paraId="335BEA7C">
      <w:pPr>
        <w:spacing w:line="320" w:lineRule="exact"/>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供应商（公章或电子签章）：</w:t>
      </w:r>
    </w:p>
    <w:p w14:paraId="683F6425">
      <w:pPr>
        <w:spacing w:line="360" w:lineRule="auto"/>
        <w:contextualSpacing/>
        <w:jc w:val="both"/>
        <w:rPr>
          <w:rFonts w:hint="eastAsia" w:ascii="宋体" w:hAnsi="宋体"/>
          <w:b/>
          <w:bCs/>
          <w:color w:val="000000" w:themeColor="text1"/>
          <w:sz w:val="32"/>
          <w:szCs w:val="32"/>
          <w:highlight w:val="none"/>
          <w14:textFill>
            <w14:solidFill>
              <w14:schemeClr w14:val="tx1"/>
            </w14:solidFill>
          </w14:textFill>
        </w:rPr>
      </w:pPr>
    </w:p>
    <w:p w14:paraId="62F1DC1F">
      <w:pPr>
        <w:ind w:firstLine="4800"/>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年    月    日</w:t>
      </w:r>
    </w:p>
    <w:p w14:paraId="739674B0">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6E078590">
      <w:pPr>
        <w:spacing w:line="360" w:lineRule="auto"/>
        <w:ind w:firstLine="321"/>
        <w:contextualSpacing/>
        <w:jc w:val="center"/>
        <w:rPr>
          <w:rFonts w:hint="eastAsia" w:ascii="宋体" w:hAnsi="宋体"/>
          <w:b/>
          <w:bCs/>
          <w:color w:val="000000" w:themeColor="text1"/>
          <w:sz w:val="32"/>
          <w:szCs w:val="32"/>
          <w:highlight w:val="none"/>
          <w14:textFill>
            <w14:solidFill>
              <w14:schemeClr w14:val="tx1"/>
            </w14:solidFill>
          </w14:textFill>
        </w:rPr>
      </w:pPr>
    </w:p>
    <w:p w14:paraId="319BC872">
      <w:pP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br w:type="page" w:clear="all"/>
      </w:r>
    </w:p>
    <w:p w14:paraId="1D55B3EC">
      <w:pPr>
        <w:pStyle w:val="30"/>
        <w:rPr>
          <w:rFonts w:hint="eastAsia"/>
          <w:color w:val="000000" w:themeColor="text1"/>
          <w:highlight w:val="none"/>
          <w14:textFill>
            <w14:solidFill>
              <w14:schemeClr w14:val="tx1"/>
            </w14:solidFill>
          </w14:textFill>
        </w:rPr>
      </w:pPr>
    </w:p>
    <w:p w14:paraId="40657CE1">
      <w:pPr>
        <w:spacing w:line="360" w:lineRule="auto"/>
        <w:ind w:firstLine="321"/>
        <w:contextualSpacing/>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二、</w:t>
      </w:r>
      <w:r>
        <w:rPr>
          <w:rFonts w:hint="eastAsia" w:ascii="宋体" w:hAnsi="宋体"/>
          <w:b/>
          <w:color w:val="000000" w:themeColor="text1"/>
          <w:sz w:val="32"/>
          <w:szCs w:val="32"/>
          <w:highlight w:val="none"/>
          <w14:textFill>
            <w14:solidFill>
              <w14:schemeClr w14:val="tx1"/>
            </w14:solidFill>
          </w14:textFill>
        </w:rPr>
        <w:t xml:space="preserve">报价文件格式 </w:t>
      </w:r>
    </w:p>
    <w:p w14:paraId="107497D0">
      <w:pPr>
        <w:spacing w:before="120" w:after="50" w:line="360" w:lineRule="auto"/>
        <w:jc w:val="left"/>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1.报价文件封面格式</w:t>
      </w:r>
    </w:p>
    <w:p w14:paraId="63F0B265">
      <w:pPr>
        <w:spacing w:before="120" w:after="50"/>
        <w:rPr>
          <w:rFonts w:hint="eastAsia" w:ascii="宋体" w:hAnsi="宋体"/>
          <w:bCs/>
          <w:color w:val="000000" w:themeColor="text1"/>
          <w:sz w:val="32"/>
          <w:szCs w:val="20"/>
          <w:highlight w:val="none"/>
          <w14:textFill>
            <w14:solidFill>
              <w14:schemeClr w14:val="tx1"/>
            </w14:solidFill>
          </w14:textFill>
        </w:rPr>
      </w:pPr>
    </w:p>
    <w:p w14:paraId="23F8B07F">
      <w:pPr>
        <w:spacing w:before="120" w:after="5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1697CFE1">
      <w:pPr>
        <w:spacing w:before="120" w:after="50"/>
        <w:rPr>
          <w:rFonts w:hint="eastAsia" w:ascii="宋体" w:hAnsi="宋体"/>
          <w:color w:val="000000" w:themeColor="text1"/>
          <w:sz w:val="24"/>
          <w:szCs w:val="20"/>
          <w:highlight w:val="none"/>
          <w14:textFill>
            <w14:solidFill>
              <w14:schemeClr w14:val="tx1"/>
            </w14:solidFill>
          </w14:textFill>
        </w:rPr>
      </w:pPr>
    </w:p>
    <w:p w14:paraId="590EB91D">
      <w:pPr>
        <w:spacing w:before="120" w:after="50"/>
        <w:rPr>
          <w:rFonts w:hint="eastAsia" w:ascii="宋体" w:hAnsi="宋体"/>
          <w:color w:val="000000" w:themeColor="text1"/>
          <w:sz w:val="24"/>
          <w:szCs w:val="20"/>
          <w:highlight w:val="none"/>
          <w14:textFill>
            <w14:solidFill>
              <w14:schemeClr w14:val="tx1"/>
            </w14:solidFill>
          </w14:textFill>
        </w:rPr>
      </w:pPr>
    </w:p>
    <w:p w14:paraId="24E0673A">
      <w:pPr>
        <w:spacing w:before="12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报  价  文  件</w:t>
      </w:r>
    </w:p>
    <w:p w14:paraId="4FE4DFCE">
      <w:pPr>
        <w:spacing w:before="120" w:after="50"/>
        <w:rPr>
          <w:rFonts w:hint="eastAsia" w:ascii="宋体" w:hAnsi="宋体"/>
          <w:bCs/>
          <w:color w:val="000000" w:themeColor="text1"/>
          <w:sz w:val="24"/>
          <w:szCs w:val="20"/>
          <w:highlight w:val="none"/>
          <w14:textFill>
            <w14:solidFill>
              <w14:schemeClr w14:val="tx1"/>
            </w14:solidFill>
          </w14:textFill>
        </w:rPr>
      </w:pPr>
    </w:p>
    <w:p w14:paraId="1A6AC378">
      <w:pPr>
        <w:spacing w:before="120" w:after="50"/>
        <w:rPr>
          <w:rFonts w:hint="eastAsia" w:ascii="宋体" w:hAnsi="宋体"/>
          <w:bCs/>
          <w:color w:val="000000" w:themeColor="text1"/>
          <w:sz w:val="24"/>
          <w:szCs w:val="20"/>
          <w:highlight w:val="none"/>
          <w14:textFill>
            <w14:solidFill>
              <w14:schemeClr w14:val="tx1"/>
            </w14:solidFill>
          </w14:textFill>
        </w:rPr>
      </w:pPr>
    </w:p>
    <w:p w14:paraId="0CD9A013">
      <w:pPr>
        <w:spacing w:before="120" w:after="50"/>
        <w:rPr>
          <w:rFonts w:hint="eastAsia" w:ascii="宋体" w:hAnsi="宋体"/>
          <w:bCs/>
          <w:color w:val="000000" w:themeColor="text1"/>
          <w:sz w:val="24"/>
          <w:szCs w:val="20"/>
          <w:highlight w:val="none"/>
          <w14:textFill>
            <w14:solidFill>
              <w14:schemeClr w14:val="tx1"/>
            </w14:solidFill>
          </w14:textFill>
        </w:rPr>
      </w:pPr>
    </w:p>
    <w:p w14:paraId="13DEA556">
      <w:pPr>
        <w:spacing w:before="120" w:after="50"/>
        <w:rPr>
          <w:rFonts w:hint="eastAsia" w:ascii="宋体" w:hAnsi="宋体"/>
          <w:bCs/>
          <w:color w:val="000000" w:themeColor="text1"/>
          <w:sz w:val="24"/>
          <w:szCs w:val="20"/>
          <w:highlight w:val="none"/>
          <w14:textFill>
            <w14:solidFill>
              <w14:schemeClr w14:val="tx1"/>
            </w14:solidFill>
          </w14:textFill>
        </w:rPr>
      </w:pPr>
    </w:p>
    <w:p w14:paraId="5F79A311">
      <w:pPr>
        <w:spacing w:before="120" w:after="50"/>
        <w:rPr>
          <w:rFonts w:hint="eastAsia" w:ascii="宋体" w:hAnsi="宋体"/>
          <w:bCs/>
          <w:color w:val="000000" w:themeColor="text1"/>
          <w:sz w:val="24"/>
          <w:szCs w:val="20"/>
          <w:highlight w:val="none"/>
          <w14:textFill>
            <w14:solidFill>
              <w14:schemeClr w14:val="tx1"/>
            </w14:solidFill>
          </w14:textFill>
        </w:rPr>
      </w:pPr>
    </w:p>
    <w:p w14:paraId="5871A04F">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1A1FEE70">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p>
    <w:p w14:paraId="560AFC34">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7E7A3599">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p>
    <w:p w14:paraId="31671F33">
      <w:pPr>
        <w:pStyle w:val="7"/>
        <w:spacing w:before="5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5C24C1AA">
      <w:pPr>
        <w:pStyle w:val="7"/>
        <w:spacing w:before="50" w:after="50"/>
        <w:ind w:firstLine="640"/>
        <w:rPr>
          <w:rFonts w:hint="eastAsia" w:ascii="宋体" w:hAnsi="宋体" w:cs="仿宋_GB2312"/>
          <w:bCs/>
          <w:color w:val="000000" w:themeColor="text1"/>
          <w:sz w:val="32"/>
          <w:szCs w:val="32"/>
          <w:highlight w:val="none"/>
          <w14:textFill>
            <w14:solidFill>
              <w14:schemeClr w14:val="tx1"/>
            </w14:solidFill>
          </w14:textFill>
        </w:rPr>
      </w:pPr>
    </w:p>
    <w:p w14:paraId="0926844F">
      <w:pPr>
        <w:pStyle w:val="7"/>
        <w:spacing w:before="50" w:after="50"/>
        <w:ind w:firstLine="720"/>
        <w:rPr>
          <w:rFonts w:hint="eastAsia" w:ascii="宋体" w:hAnsi="宋体" w:cs="仿宋_GB2312"/>
          <w:bCs/>
          <w:color w:val="000000" w:themeColor="text1"/>
          <w:sz w:val="32"/>
          <w:szCs w:val="32"/>
          <w:highlight w:val="none"/>
          <w14:textFill>
            <w14:solidFill>
              <w14:schemeClr w14:val="tx1"/>
            </w14:solidFill>
          </w14:textFill>
        </w:rPr>
      </w:pPr>
    </w:p>
    <w:p w14:paraId="25AE6D3E">
      <w:pPr>
        <w:pStyle w:val="7"/>
        <w:spacing w:before="50" w:after="50"/>
        <w:ind w:firstLine="0"/>
        <w:rPr>
          <w:rFonts w:hint="eastAsia" w:ascii="宋体" w:hAnsi="宋体" w:cs="仿宋_GB2312"/>
          <w:bCs/>
          <w:color w:val="000000" w:themeColor="text1"/>
          <w:sz w:val="32"/>
          <w:szCs w:val="32"/>
          <w:highlight w:val="none"/>
          <w14:textFill>
            <w14:solidFill>
              <w14:schemeClr w14:val="tx1"/>
            </w14:solidFill>
          </w14:textFill>
        </w:rPr>
      </w:pPr>
    </w:p>
    <w:p w14:paraId="2FA1B340">
      <w:pPr>
        <w:pStyle w:val="7"/>
        <w:spacing w:before="50" w:after="50"/>
        <w:ind w:firstLine="1280"/>
        <w:rPr>
          <w:rFonts w:hint="eastAsia" w:ascii="宋体" w:hAnsi="宋体" w:cs="仿宋_GB2312"/>
          <w:bCs/>
          <w:color w:val="000000" w:themeColor="text1"/>
          <w:sz w:val="32"/>
          <w:szCs w:val="32"/>
          <w:highlight w:val="none"/>
          <w14:textFill>
            <w14:solidFill>
              <w14:schemeClr w14:val="tx1"/>
            </w14:solidFill>
          </w14:textFill>
        </w:rPr>
      </w:pPr>
    </w:p>
    <w:p w14:paraId="69665BEA">
      <w:pPr>
        <w:spacing w:before="12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16E10CA8">
      <w:pPr>
        <w:spacing w:before="120" w:after="50" w:line="360" w:lineRule="auto"/>
        <w:ind w:left="142"/>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2.报价文件目录</w:t>
      </w:r>
    </w:p>
    <w:p w14:paraId="52AF4B0B">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r>
        <w:rPr>
          <w:rFonts w:ascii="宋体" w:hAnsi="宋体"/>
          <w:b/>
          <w:bCs/>
          <w:color w:val="000000" w:themeColor="text1"/>
          <w:sz w:val="32"/>
          <w:szCs w:val="32"/>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竞标函及竞标函附录</w:t>
      </w:r>
    </w:p>
    <w:p w14:paraId="29DEBFD0">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p>
    <w:p w14:paraId="617147BB">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方正小标宋简体"/>
          <w:b/>
          <w:bCs/>
          <w:color w:val="000000" w:themeColor="text1"/>
          <w:sz w:val="32"/>
          <w:szCs w:val="32"/>
          <w:highlight w:val="none"/>
          <w14:textFill>
            <w14:solidFill>
              <w14:schemeClr w14:val="tx1"/>
            </w14:solidFill>
          </w14:textFill>
        </w:rPr>
        <w:t>（一）竞标函</w:t>
      </w:r>
    </w:p>
    <w:p w14:paraId="51D9C17A">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p>
    <w:p w14:paraId="29E0386B">
      <w:pPr>
        <w:spacing w:line="360" w:lineRule="auto"/>
        <w:rPr>
          <w:color w:val="000000" w:themeColor="text1"/>
          <w:szCs w:val="21"/>
          <w:highlight w:val="none"/>
          <w:u w:val="single"/>
          <w14:textFill>
            <w14:solidFill>
              <w14:schemeClr w14:val="tx1"/>
            </w14:solidFill>
          </w14:textFill>
        </w:rPr>
      </w:pPr>
      <w:r>
        <w:rPr>
          <w:rFonts w:hint="eastAsia"/>
          <w:color w:val="000000" w:themeColor="text1"/>
          <w:szCs w:val="21"/>
          <w:highlight w:val="none"/>
          <w:u w:val="single"/>
          <w:lang w:eastAsia="zh-CN"/>
          <w14:textFill>
            <w14:solidFill>
              <w14:schemeClr w14:val="tx1"/>
            </w14:solidFill>
          </w14:textFill>
        </w:rPr>
        <w:t>平南县江南中心幼儿园</w:t>
      </w:r>
      <w:r>
        <w:rPr>
          <w:color w:val="000000" w:themeColor="text1"/>
          <w:szCs w:val="21"/>
          <w:highlight w:val="none"/>
          <w:u w:val="single"/>
          <w14:textFill>
            <w14:solidFill>
              <w14:schemeClr w14:val="tx1"/>
            </w14:solidFill>
          </w14:textFill>
        </w:rPr>
        <w:t>：</w:t>
      </w:r>
    </w:p>
    <w:p w14:paraId="56F0121E">
      <w:pPr>
        <w:pStyle w:val="237"/>
        <w:numPr>
          <w:ilvl w:val="0"/>
          <w:numId w:val="3"/>
        </w:numPr>
        <w:tabs>
          <w:tab w:val="left" w:pos="762"/>
          <w:tab w:val="left" w:pos="2074"/>
          <w:tab w:val="left" w:pos="3430"/>
          <w:tab w:val="left" w:pos="4687"/>
          <w:tab w:val="left" w:pos="7898"/>
        </w:tabs>
        <w:ind w:firstLine="440"/>
        <w:rPr>
          <w:rFonts w:ascii="Times New Roman" w:hAnsi="Times New Roman" w:cs="Times New Roman"/>
          <w:color w:val="000000" w:themeColor="text1"/>
          <w:szCs w:val="21"/>
          <w:highlight w:val="none"/>
          <w14:textFill>
            <w14:solidFill>
              <w14:schemeClr w14:val="tx1"/>
            </w14:solidFill>
          </w14:textFill>
        </w:rPr>
      </w:pPr>
      <w:bookmarkStart w:id="100" w:name="bookmark2065"/>
      <w:bookmarkEnd w:id="100"/>
      <w:r>
        <w:rPr>
          <w:rFonts w:ascii="Times New Roman" w:hAnsi="Times New Roman" w:cs="Times New Roman"/>
          <w:color w:val="000000" w:themeColor="text1"/>
          <w:szCs w:val="21"/>
          <w:highlight w:val="none"/>
          <w14:textFill>
            <w14:solidFill>
              <w14:schemeClr w14:val="tx1"/>
            </w14:solidFill>
          </w14:textFill>
        </w:rPr>
        <w:t>我方已仔细研究了</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（项目名称</w:t>
      </w:r>
      <w:r>
        <w:rPr>
          <w:rFonts w:hint="eastAsia" w:ascii="Times New Roman" w:hAnsi="Times New Roman" w:cs="Times New Roman"/>
          <w:color w:val="000000" w:themeColor="text1"/>
          <w:szCs w:val="21"/>
          <w:highlight w:val="none"/>
          <w:u w:val="single"/>
          <w14:textFill>
            <w14:solidFill>
              <w14:schemeClr w14:val="tx1"/>
            </w14:solidFill>
          </w14:textFill>
        </w:rPr>
        <w:t>、项目编号</w:t>
      </w:r>
      <w:r>
        <w:rPr>
          <w:rFonts w:ascii="Times New Roman" w:hAnsi="Times New Roman" w:cs="Times New Roman"/>
          <w:color w:val="000000" w:themeColor="text1"/>
          <w:szCs w:val="21"/>
          <w:highlight w:val="none"/>
          <w:u w:val="single"/>
          <w14:textFill>
            <w14:solidFill>
              <w14:schemeClr w14:val="tx1"/>
            </w14:solidFill>
          </w14:textFill>
        </w:rPr>
        <w:t>）</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hint="eastAsia" w:ascii="Times New Roman" w:hAnsi="Times New Roman" w:cs="Times New Roman"/>
          <w:color w:val="000000" w:themeColor="text1"/>
          <w:szCs w:val="21"/>
          <w:highlight w:val="none"/>
          <w14:textFill>
            <w14:solidFill>
              <w14:schemeClr w14:val="tx1"/>
            </w14:solidFill>
          </w14:textFill>
        </w:rPr>
        <w:t>磋商</w:t>
      </w:r>
      <w:r>
        <w:rPr>
          <w:rFonts w:ascii="Times New Roman" w:hAnsi="Times New Roman" w:cs="Times New Roman"/>
          <w:color w:val="000000" w:themeColor="text1"/>
          <w:szCs w:val="21"/>
          <w:highlight w:val="none"/>
          <w14:textFill>
            <w14:solidFill>
              <w14:schemeClr w14:val="tx1"/>
            </w14:solidFill>
          </w14:textFill>
        </w:rPr>
        <w:t>文件的全部内容，愿意以人民币（大写）</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元（¥</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）的</w:t>
      </w:r>
      <w:r>
        <w:rPr>
          <w:rFonts w:hint="eastAsia" w:ascii="Times New Roman" w:hAnsi="Times New Roman" w:cs="Times New Roman"/>
          <w:color w:val="000000" w:themeColor="text1"/>
          <w:szCs w:val="21"/>
          <w:highlight w:val="none"/>
          <w14:textFill>
            <w14:solidFill>
              <w14:schemeClr w14:val="tx1"/>
            </w14:solidFill>
          </w14:textFill>
        </w:rPr>
        <w:t>竞</w:t>
      </w:r>
      <w:r>
        <w:rPr>
          <w:rFonts w:ascii="Times New Roman" w:hAnsi="Times New Roman" w:cs="Times New Roman"/>
          <w:color w:val="000000" w:themeColor="text1"/>
          <w:szCs w:val="21"/>
          <w:highlight w:val="none"/>
          <w14:textFill>
            <w14:solidFill>
              <w14:schemeClr w14:val="tx1"/>
            </w14:solidFill>
          </w14:textFill>
        </w:rPr>
        <w:t>标总报价，工期</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日历天，按合同约定实施和完成承包工程，修补工程中的任何缺陷，工程质量达到</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lang w:val="en-US" w:bidi="en-US"/>
          <w14:textFill>
            <w14:solidFill>
              <w14:schemeClr w14:val="tx1"/>
            </w14:solidFill>
          </w14:textFill>
        </w:rPr>
        <w:t>。</w:t>
      </w:r>
    </w:p>
    <w:p w14:paraId="4B1DE1D1">
      <w:pPr>
        <w:pStyle w:val="237"/>
        <w:numPr>
          <w:ilvl w:val="0"/>
          <w:numId w:val="3"/>
        </w:numPr>
        <w:tabs>
          <w:tab w:val="left" w:pos="762"/>
        </w:tabs>
        <w:ind w:firstLine="420"/>
        <w:rPr>
          <w:rFonts w:hint="eastAsia" w:ascii="Times New Roman" w:hAnsi="Times New Roman" w:cs="Times New Roman"/>
          <w:color w:val="000000" w:themeColor="text1"/>
          <w:szCs w:val="21"/>
          <w:highlight w:val="none"/>
          <w14:textFill>
            <w14:solidFill>
              <w14:schemeClr w14:val="tx1"/>
            </w14:solidFill>
          </w14:textFill>
        </w:rPr>
      </w:pPr>
      <w:bookmarkStart w:id="101" w:name="bookmark2066"/>
      <w:bookmarkEnd w:id="101"/>
      <w:bookmarkStart w:id="102" w:name="bookmark2068"/>
      <w:bookmarkEnd w:id="102"/>
      <w:bookmarkStart w:id="103" w:name="bookmark2067"/>
      <w:bookmarkEnd w:id="103"/>
      <w:r>
        <w:rPr>
          <w:rFonts w:hint="eastAsia"/>
          <w:color w:val="000000" w:themeColor="text1"/>
          <w:highlight w:val="none"/>
          <w14:textFill>
            <w14:solidFill>
              <w14:schemeClr w14:val="tx1"/>
            </w14:solidFill>
          </w14:textFill>
        </w:rPr>
        <w:t>我方承认竞标函附录是我方竞标函的组成部分。</w:t>
      </w:r>
    </w:p>
    <w:p w14:paraId="5A5330A9">
      <w:pPr>
        <w:pStyle w:val="237"/>
        <w:numPr>
          <w:ilvl w:val="0"/>
          <w:numId w:val="3"/>
        </w:numPr>
        <w:tabs>
          <w:tab w:val="left" w:pos="762"/>
        </w:tabs>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如我方</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w:t>
      </w:r>
    </w:p>
    <w:p w14:paraId="7736CAF2">
      <w:pPr>
        <w:pStyle w:val="237"/>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04" w:name="bookmark2069"/>
      <w:r>
        <w:rPr>
          <w:rFonts w:ascii="Times New Roman" w:hAnsi="Times New Roman" w:cs="Times New Roman"/>
          <w:color w:val="000000" w:themeColor="text1"/>
          <w:szCs w:val="21"/>
          <w:highlight w:val="none"/>
          <w14:textFill>
            <w14:solidFill>
              <w14:schemeClr w14:val="tx1"/>
            </w14:solidFill>
          </w14:textFill>
        </w:rPr>
        <w:t>（</w:t>
      </w:r>
      <w:bookmarkEnd w:id="104"/>
      <w:r>
        <w:rPr>
          <w:rFonts w:ascii="Times New Roman" w:hAnsi="Times New Roman" w:cs="Times New Roman"/>
          <w:color w:val="000000" w:themeColor="text1"/>
          <w:szCs w:val="21"/>
          <w:highlight w:val="none"/>
          <w14:textFill>
            <w14:solidFill>
              <w14:schemeClr w14:val="tx1"/>
            </w14:solidFill>
          </w14:textFill>
        </w:rPr>
        <w:t>1）我方承诺在收到</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通知书后，在</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通知书规定的期限内与你方签订合同。</w:t>
      </w:r>
    </w:p>
    <w:p w14:paraId="558263D9">
      <w:pPr>
        <w:pStyle w:val="237"/>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05" w:name="bookmark2070"/>
      <w:r>
        <w:rPr>
          <w:rFonts w:ascii="Times New Roman" w:hAnsi="Times New Roman" w:cs="Times New Roman"/>
          <w:color w:val="000000" w:themeColor="text1"/>
          <w:szCs w:val="21"/>
          <w:highlight w:val="none"/>
          <w14:textFill>
            <w14:solidFill>
              <w14:schemeClr w14:val="tx1"/>
            </w14:solidFill>
          </w14:textFill>
        </w:rPr>
        <w:t>（</w:t>
      </w:r>
      <w:bookmarkEnd w:id="105"/>
      <w:r>
        <w:rPr>
          <w:rFonts w:ascii="Times New Roman" w:hAnsi="Times New Roman" w:cs="Times New Roman"/>
          <w:color w:val="000000" w:themeColor="text1"/>
          <w:szCs w:val="21"/>
          <w:highlight w:val="none"/>
          <w14:textFill>
            <w14:solidFill>
              <w14:schemeClr w14:val="tx1"/>
            </w14:solidFill>
          </w14:textFill>
        </w:rPr>
        <w:t>2）</w:t>
      </w:r>
      <w:r>
        <w:rPr>
          <w:color w:val="000000" w:themeColor="text1"/>
          <w:highlight w:val="none"/>
          <w14:textFill>
            <w14:solidFill>
              <w14:schemeClr w14:val="tx1"/>
            </w14:solidFill>
          </w14:textFill>
        </w:rPr>
        <w:t>在签订合同时不向你方提出附加条件</w:t>
      </w:r>
      <w:r>
        <w:rPr>
          <w:rFonts w:ascii="Times New Roman" w:hAnsi="Times New Roman" w:cs="Times New Roman"/>
          <w:color w:val="000000" w:themeColor="text1"/>
          <w:szCs w:val="21"/>
          <w:highlight w:val="none"/>
          <w14:textFill>
            <w14:solidFill>
              <w14:schemeClr w14:val="tx1"/>
            </w14:solidFill>
          </w14:textFill>
        </w:rPr>
        <w:t>。</w:t>
      </w:r>
    </w:p>
    <w:p w14:paraId="03CF016A">
      <w:pPr>
        <w:pStyle w:val="237"/>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06" w:name="bookmark2071"/>
      <w:r>
        <w:rPr>
          <w:rFonts w:ascii="Times New Roman" w:hAnsi="Times New Roman" w:cs="Times New Roman"/>
          <w:color w:val="000000" w:themeColor="text1"/>
          <w:szCs w:val="21"/>
          <w:highlight w:val="none"/>
          <w14:textFill>
            <w14:solidFill>
              <w14:schemeClr w14:val="tx1"/>
            </w14:solidFill>
          </w14:textFill>
        </w:rPr>
        <w:t>（</w:t>
      </w:r>
      <w:bookmarkEnd w:id="106"/>
      <w:r>
        <w:rPr>
          <w:rFonts w:ascii="Times New Roman" w:hAnsi="Times New Roman" w:cs="Times New Roman"/>
          <w:color w:val="000000" w:themeColor="text1"/>
          <w:szCs w:val="21"/>
          <w:highlight w:val="none"/>
          <w14:textFill>
            <w14:solidFill>
              <w14:schemeClr w14:val="tx1"/>
            </w14:solidFill>
          </w14:textFill>
        </w:rPr>
        <w:t>3）我方承诺按照</w:t>
      </w:r>
      <w:r>
        <w:rPr>
          <w:rFonts w:hint="eastAsia" w:ascii="Times New Roman" w:hAnsi="Times New Roman" w:cs="Times New Roman"/>
          <w:color w:val="000000" w:themeColor="text1"/>
          <w:szCs w:val="21"/>
          <w:highlight w:val="none"/>
          <w14:textFill>
            <w14:solidFill>
              <w14:schemeClr w14:val="tx1"/>
            </w14:solidFill>
          </w14:textFill>
        </w:rPr>
        <w:t>磋商</w:t>
      </w:r>
      <w:r>
        <w:rPr>
          <w:rFonts w:ascii="Times New Roman" w:hAnsi="Times New Roman" w:cs="Times New Roman"/>
          <w:color w:val="000000" w:themeColor="text1"/>
          <w:szCs w:val="21"/>
          <w:highlight w:val="none"/>
          <w14:textFill>
            <w14:solidFill>
              <w14:schemeClr w14:val="tx1"/>
            </w14:solidFill>
          </w14:textFill>
        </w:rPr>
        <w:t>文件规定向你方递交履约担保。</w:t>
      </w:r>
    </w:p>
    <w:p w14:paraId="6FEA8558">
      <w:pPr>
        <w:pStyle w:val="237"/>
        <w:tabs>
          <w:tab w:val="left" w:pos="903"/>
        </w:tabs>
        <w:ind w:firstLine="420"/>
        <w:rPr>
          <w:rFonts w:hint="eastAsia" w:ascii="Times New Roman" w:hAnsi="Times New Roman" w:cs="Times New Roman"/>
          <w:color w:val="000000" w:themeColor="text1"/>
          <w:szCs w:val="21"/>
          <w:highlight w:val="none"/>
          <w14:textFill>
            <w14:solidFill>
              <w14:schemeClr w14:val="tx1"/>
            </w14:solidFill>
          </w14:textFill>
        </w:rPr>
      </w:pPr>
      <w:bookmarkStart w:id="107" w:name="bookmark2072"/>
      <w:r>
        <w:rPr>
          <w:rFonts w:ascii="Times New Roman" w:hAnsi="Times New Roman" w:cs="Times New Roman"/>
          <w:color w:val="000000" w:themeColor="text1"/>
          <w:szCs w:val="21"/>
          <w:highlight w:val="none"/>
          <w14:textFill>
            <w14:solidFill>
              <w14:schemeClr w14:val="tx1"/>
            </w14:solidFill>
          </w14:textFill>
        </w:rPr>
        <w:t>（</w:t>
      </w:r>
      <w:bookmarkEnd w:id="107"/>
      <w:r>
        <w:rPr>
          <w:rFonts w:ascii="Times New Roman" w:hAnsi="Times New Roman" w:cs="Times New Roman"/>
          <w:color w:val="000000" w:themeColor="text1"/>
          <w:szCs w:val="21"/>
          <w:highlight w:val="none"/>
          <w14:textFill>
            <w14:solidFill>
              <w14:schemeClr w14:val="tx1"/>
            </w14:solidFill>
          </w14:textFill>
        </w:rPr>
        <w:t>4）我方承诺在合同约定的期限内完成并移交全部合同工程。</w:t>
      </w:r>
    </w:p>
    <w:p w14:paraId="6016686B">
      <w:pPr>
        <w:pStyle w:val="237"/>
        <w:numPr>
          <w:ilvl w:val="0"/>
          <w:numId w:val="3"/>
        </w:numPr>
        <w:tabs>
          <w:tab w:val="left" w:pos="762"/>
        </w:tabs>
        <w:ind w:firstLine="440"/>
        <w:rPr>
          <w:rFonts w:ascii="Times New Roman" w:hAnsi="Times New Roman" w:cs="Times New Roman"/>
          <w:color w:val="000000" w:themeColor="text1"/>
          <w:szCs w:val="21"/>
          <w:highlight w:val="none"/>
          <w14:textFill>
            <w14:solidFill>
              <w14:schemeClr w14:val="tx1"/>
            </w14:solidFill>
          </w14:textFill>
        </w:rPr>
      </w:pPr>
      <w:bookmarkStart w:id="108" w:name="bookmark2073"/>
      <w:bookmarkEnd w:id="108"/>
      <w:r>
        <w:rPr>
          <w:color w:val="000000" w:themeColor="text1"/>
          <w:highlight w:val="none"/>
          <w14:textFill>
            <w14:solidFill>
              <w14:schemeClr w14:val="tx1"/>
            </w14:solidFill>
          </w14:textFill>
        </w:rPr>
        <w:t>在合同协议书正式签署生效之前，本</w:t>
      </w:r>
      <w:r>
        <w:rPr>
          <w:rFonts w:hint="eastAsia" w:ascii="Times New Roman" w:hAnsi="Times New Roman" w:cs="Times New Roman"/>
          <w:color w:val="000000" w:themeColor="text1"/>
          <w:szCs w:val="21"/>
          <w:highlight w:val="none"/>
          <w14:textFill>
            <w14:solidFill>
              <w14:schemeClr w14:val="tx1"/>
            </w14:solidFill>
          </w14:textFill>
        </w:rPr>
        <w:t>竞</w:t>
      </w:r>
      <w:r>
        <w:rPr>
          <w:rFonts w:ascii="Times New Roman" w:hAnsi="Times New Roman" w:cs="Times New Roman"/>
          <w:color w:val="000000" w:themeColor="text1"/>
          <w:szCs w:val="21"/>
          <w:highlight w:val="none"/>
          <w14:textFill>
            <w14:solidFill>
              <w14:schemeClr w14:val="tx1"/>
            </w14:solidFill>
          </w14:textFill>
        </w:rPr>
        <w:t>标</w:t>
      </w:r>
      <w:r>
        <w:rPr>
          <w:color w:val="000000" w:themeColor="text1"/>
          <w:highlight w:val="none"/>
          <w14:textFill>
            <w14:solidFill>
              <w14:schemeClr w14:val="tx1"/>
            </w14:solidFill>
          </w14:textFill>
        </w:rPr>
        <w:t>函连同你方的</w:t>
      </w:r>
      <w:r>
        <w:rPr>
          <w:rFonts w:hint="eastAsia"/>
          <w:color w:val="000000" w:themeColor="text1"/>
          <w:highlight w:val="none"/>
          <w14:textFill>
            <w14:solidFill>
              <w14:schemeClr w14:val="tx1"/>
            </w14:solidFill>
          </w14:textFill>
        </w:rPr>
        <w:t>成交</w:t>
      </w:r>
      <w:r>
        <w:rPr>
          <w:color w:val="000000" w:themeColor="text1"/>
          <w:highlight w:val="none"/>
          <w14:textFill>
            <w14:solidFill>
              <w14:schemeClr w14:val="tx1"/>
            </w14:solidFill>
          </w14:textFill>
        </w:rPr>
        <w:t>通知书将构成我们双方之间共同遵守的文件，对双方具有约束力</w:t>
      </w:r>
      <w:r>
        <w:rPr>
          <w:rFonts w:ascii="Times New Roman" w:hAnsi="Times New Roman" w:cs="Times New Roman"/>
          <w:color w:val="000000" w:themeColor="text1"/>
          <w:szCs w:val="21"/>
          <w:highlight w:val="none"/>
          <w14:textFill>
            <w14:solidFill>
              <w14:schemeClr w14:val="tx1"/>
            </w14:solidFill>
          </w14:textFill>
        </w:rPr>
        <w:t>。</w:t>
      </w:r>
    </w:p>
    <w:p w14:paraId="71C414E2">
      <w:pPr>
        <w:spacing w:line="360" w:lineRule="auto"/>
        <w:ind w:firstLine="420"/>
        <w:rPr>
          <w:rFonts w:hint="eastAsia"/>
          <w:color w:val="000000" w:themeColor="text1"/>
          <w:szCs w:val="21"/>
          <w:highlight w:val="none"/>
          <w14:textFill>
            <w14:solidFill>
              <w14:schemeClr w14:val="tx1"/>
            </w14:solidFill>
          </w14:textFill>
        </w:rPr>
      </w:pPr>
      <w:bookmarkStart w:id="109" w:name="bookmark2074"/>
      <w:bookmarkEnd w:id="109"/>
      <w:r>
        <w:rPr>
          <w:rFonts w:hint="eastAsia"/>
          <w:color w:val="000000" w:themeColor="text1"/>
          <w:szCs w:val="21"/>
          <w:highlight w:val="none"/>
          <w14:textFill>
            <w14:solidFill>
              <w14:schemeClr w14:val="tx1"/>
            </w14:solidFill>
          </w14:textFill>
        </w:rPr>
        <w:t>5.</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（其他补充说明）。</w:t>
      </w:r>
    </w:p>
    <w:p w14:paraId="67B09A55">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p>
    <w:p w14:paraId="5A250DE5">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z w:val="24"/>
          <w:highlight w:val="none"/>
          <w14:textFill>
            <w14:solidFill>
              <w14:schemeClr w14:val="tx1"/>
            </w14:solidFill>
          </w14:textFill>
        </w:rPr>
        <w:t>签字或盖章或电子签名</w:t>
      </w:r>
      <w:r>
        <w:rPr>
          <w:rFonts w:hint="eastAsia" w:ascii="宋体" w:hAnsi="宋体" w:cs="仿宋_GB2312"/>
          <w:color w:val="000000" w:themeColor="text1"/>
          <w:sz w:val="24"/>
          <w:highlight w:val="none"/>
          <w14:textFill>
            <w14:solidFill>
              <w14:schemeClr w14:val="tx1"/>
            </w14:solidFill>
          </w14:textFill>
        </w:rPr>
        <w:t xml:space="preserve">）：                    </w:t>
      </w:r>
    </w:p>
    <w:p w14:paraId="06FF3971">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7914E936">
      <w:pPr>
        <w:pStyle w:val="237"/>
        <w:tabs>
          <w:tab w:val="left" w:pos="903"/>
        </w:tabs>
        <w:ind w:firstLine="4800"/>
        <w:rPr>
          <w:rFonts w:hint="eastAsia" w:cs="方正小标宋简体"/>
          <w:b/>
          <w:bCs/>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r>
        <w:rPr>
          <w:rFonts w:ascii="宋体" w:hAnsi="宋体" w:cs="方正小标宋简体"/>
          <w:b/>
          <w:bCs/>
          <w:color w:val="000000" w:themeColor="text1"/>
          <w:sz w:val="32"/>
          <w:szCs w:val="32"/>
          <w:highlight w:val="none"/>
          <w14:textFill>
            <w14:solidFill>
              <w14:schemeClr w14:val="tx1"/>
            </w14:solidFill>
          </w14:textFill>
        </w:rPr>
        <w:br w:type="page" w:clear="all"/>
      </w:r>
    </w:p>
    <w:p w14:paraId="4EE23DE4">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方正小标宋简体"/>
          <w:b/>
          <w:bCs/>
          <w:color w:val="000000" w:themeColor="text1"/>
          <w:sz w:val="32"/>
          <w:szCs w:val="32"/>
          <w:highlight w:val="none"/>
          <w14:textFill>
            <w14:solidFill>
              <w14:schemeClr w14:val="tx1"/>
            </w14:solidFill>
          </w14:textFill>
        </w:rPr>
        <w:t>（二）竞标函附录</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2F4A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674FE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序</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号</w:t>
            </w:r>
          </w:p>
        </w:tc>
        <w:tc>
          <w:tcPr>
            <w:tcW w:w="1985" w:type="dxa"/>
            <w:noWrap w:val="0"/>
            <w:vAlign w:val="center"/>
          </w:tcPr>
          <w:p w14:paraId="237AC55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条款内容</w:t>
            </w:r>
          </w:p>
        </w:tc>
        <w:tc>
          <w:tcPr>
            <w:tcW w:w="2126" w:type="dxa"/>
            <w:noWrap w:val="0"/>
            <w:vAlign w:val="center"/>
          </w:tcPr>
          <w:p w14:paraId="6A26AD5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合同条款号</w:t>
            </w:r>
          </w:p>
        </w:tc>
        <w:tc>
          <w:tcPr>
            <w:tcW w:w="1984" w:type="dxa"/>
            <w:noWrap w:val="0"/>
            <w:vAlign w:val="center"/>
          </w:tcPr>
          <w:p w14:paraId="10C7924A">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约定内容</w:t>
            </w:r>
          </w:p>
        </w:tc>
        <w:tc>
          <w:tcPr>
            <w:tcW w:w="1843" w:type="dxa"/>
            <w:noWrap w:val="0"/>
            <w:vAlign w:val="center"/>
          </w:tcPr>
          <w:p w14:paraId="2DFFDC6D">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供应商响应情况</w:t>
            </w:r>
          </w:p>
        </w:tc>
      </w:tr>
      <w:tr w14:paraId="15AD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EA171F4">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1985" w:type="dxa"/>
            <w:noWrap w:val="0"/>
            <w:vAlign w:val="center"/>
          </w:tcPr>
          <w:p w14:paraId="454AD29D">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项目经理</w:t>
            </w:r>
          </w:p>
        </w:tc>
        <w:tc>
          <w:tcPr>
            <w:tcW w:w="2126" w:type="dxa"/>
            <w:noWrap w:val="0"/>
            <w:tcMar>
              <w:left w:w="170" w:type="dxa"/>
            </w:tcMar>
            <w:vAlign w:val="center"/>
          </w:tcPr>
          <w:p w14:paraId="4E6B56B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1E69023B">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r>
              <w:rPr>
                <w:color w:val="000000" w:themeColor="text1"/>
                <w:highlight w:val="none"/>
                <w:u w:val="single"/>
                <w14:textFill>
                  <w14:solidFill>
                    <w14:schemeClr w14:val="tx1"/>
                  </w14:solidFill>
                </w14:textFill>
              </w:rPr>
              <w:t xml:space="preserve">          </w:t>
            </w:r>
          </w:p>
        </w:tc>
        <w:tc>
          <w:tcPr>
            <w:tcW w:w="1843" w:type="dxa"/>
            <w:noWrap w:val="0"/>
            <w:vAlign w:val="center"/>
          </w:tcPr>
          <w:p w14:paraId="05B61C12">
            <w:pPr>
              <w:jc w:val="center"/>
              <w:rPr>
                <w:color w:val="000000" w:themeColor="text1"/>
                <w:highlight w:val="none"/>
                <w14:textFill>
                  <w14:solidFill>
                    <w14:schemeClr w14:val="tx1"/>
                  </w14:solidFill>
                </w14:textFill>
              </w:rPr>
            </w:pPr>
          </w:p>
        </w:tc>
      </w:tr>
      <w:tr w14:paraId="449F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DF523BB">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1985" w:type="dxa"/>
            <w:noWrap w:val="0"/>
            <w:vAlign w:val="center"/>
          </w:tcPr>
          <w:p w14:paraId="3A26ED55">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竞标有效期</w:t>
            </w:r>
          </w:p>
        </w:tc>
        <w:tc>
          <w:tcPr>
            <w:tcW w:w="2126" w:type="dxa"/>
            <w:noWrap w:val="0"/>
            <w:tcMar>
              <w:left w:w="170" w:type="dxa"/>
            </w:tcMar>
            <w:vAlign w:val="center"/>
          </w:tcPr>
          <w:p w14:paraId="4F7A87E8">
            <w:pPr>
              <w:rPr>
                <w:color w:val="000000" w:themeColor="text1"/>
                <w:highlight w:val="none"/>
                <w:u w:val="single"/>
                <w14:textFill>
                  <w14:solidFill>
                    <w14:schemeClr w14:val="tx1"/>
                  </w14:solidFill>
                </w14:textFill>
              </w:rPr>
            </w:pPr>
          </w:p>
        </w:tc>
        <w:tc>
          <w:tcPr>
            <w:tcW w:w="1984" w:type="dxa"/>
            <w:noWrap w:val="0"/>
            <w:vAlign w:val="center"/>
          </w:tcPr>
          <w:p w14:paraId="168C2BF5">
            <w:pPr>
              <w:jc w:val="center"/>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 xml:space="preserve">自首次响应文件提交截止之日起 </w:t>
            </w:r>
            <w:r>
              <w:rPr>
                <w:rFonts w:hint="eastAsia"/>
                <w:color w:val="000000" w:themeColor="text1"/>
                <w:highlight w:val="none"/>
                <w:u w:val="singl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 xml:space="preserve"> 日。</w:t>
            </w:r>
          </w:p>
        </w:tc>
        <w:tc>
          <w:tcPr>
            <w:tcW w:w="1843" w:type="dxa"/>
            <w:noWrap w:val="0"/>
            <w:vAlign w:val="center"/>
          </w:tcPr>
          <w:p w14:paraId="26EDB798">
            <w:pPr>
              <w:jc w:val="center"/>
              <w:rPr>
                <w:color w:val="000000" w:themeColor="text1"/>
                <w:highlight w:val="none"/>
                <w14:textFill>
                  <w14:solidFill>
                    <w14:schemeClr w14:val="tx1"/>
                  </w14:solidFill>
                </w14:textFill>
              </w:rPr>
            </w:pPr>
          </w:p>
        </w:tc>
      </w:tr>
      <w:tr w14:paraId="10B1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5A2A07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1985" w:type="dxa"/>
            <w:noWrap w:val="0"/>
            <w:vAlign w:val="center"/>
          </w:tcPr>
          <w:p w14:paraId="7329EF84">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工期</w:t>
            </w:r>
          </w:p>
        </w:tc>
        <w:tc>
          <w:tcPr>
            <w:tcW w:w="2126" w:type="dxa"/>
            <w:noWrap w:val="0"/>
            <w:tcMar>
              <w:left w:w="170" w:type="dxa"/>
            </w:tcMar>
            <w:vAlign w:val="center"/>
          </w:tcPr>
          <w:p w14:paraId="354BCF8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1C3F0D6F">
            <w:pPr>
              <w:jc w:val="center"/>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日历天</w:t>
            </w:r>
          </w:p>
        </w:tc>
        <w:tc>
          <w:tcPr>
            <w:tcW w:w="1843" w:type="dxa"/>
            <w:noWrap w:val="0"/>
            <w:vAlign w:val="center"/>
          </w:tcPr>
          <w:p w14:paraId="0CE42D4A">
            <w:pPr>
              <w:jc w:val="center"/>
              <w:rPr>
                <w:color w:val="000000" w:themeColor="text1"/>
                <w:highlight w:val="none"/>
                <w14:textFill>
                  <w14:solidFill>
                    <w14:schemeClr w14:val="tx1"/>
                  </w14:solidFill>
                </w14:textFill>
              </w:rPr>
            </w:pPr>
          </w:p>
        </w:tc>
      </w:tr>
      <w:tr w14:paraId="6999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AAB98F2">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1985" w:type="dxa"/>
            <w:noWrap w:val="0"/>
            <w:vAlign w:val="center"/>
          </w:tcPr>
          <w:p w14:paraId="39AEF605">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缺陷责任期</w:t>
            </w:r>
          </w:p>
        </w:tc>
        <w:tc>
          <w:tcPr>
            <w:tcW w:w="2126" w:type="dxa"/>
            <w:noWrap w:val="0"/>
            <w:tcMar>
              <w:left w:w="170" w:type="dxa"/>
            </w:tcMar>
            <w:vAlign w:val="center"/>
          </w:tcPr>
          <w:p w14:paraId="62621A5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2B8D36C3">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2年</w:t>
            </w:r>
          </w:p>
        </w:tc>
        <w:tc>
          <w:tcPr>
            <w:tcW w:w="1843" w:type="dxa"/>
            <w:noWrap w:val="0"/>
            <w:vAlign w:val="center"/>
          </w:tcPr>
          <w:p w14:paraId="756FB839">
            <w:pPr>
              <w:jc w:val="center"/>
              <w:rPr>
                <w:color w:val="000000" w:themeColor="text1"/>
                <w:highlight w:val="none"/>
                <w14:textFill>
                  <w14:solidFill>
                    <w14:schemeClr w14:val="tx1"/>
                  </w14:solidFill>
                </w14:textFill>
              </w:rPr>
            </w:pPr>
          </w:p>
        </w:tc>
      </w:tr>
      <w:tr w14:paraId="3E30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FBBAA3D">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1985" w:type="dxa"/>
            <w:noWrap w:val="0"/>
            <w:vAlign w:val="center"/>
          </w:tcPr>
          <w:p w14:paraId="0D5A8CDC">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发包人支付担保</w:t>
            </w:r>
          </w:p>
        </w:tc>
        <w:tc>
          <w:tcPr>
            <w:tcW w:w="2126" w:type="dxa"/>
            <w:noWrap w:val="0"/>
            <w:tcMar>
              <w:left w:w="170" w:type="dxa"/>
            </w:tcMar>
            <w:vAlign w:val="center"/>
          </w:tcPr>
          <w:p w14:paraId="55F54AB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54FDA0B4">
            <w:pPr>
              <w:jc w:val="center"/>
              <w:rPr>
                <w:color w:val="000000" w:themeColor="text1"/>
                <w:highlight w:val="none"/>
                <w14:textFill>
                  <w14:solidFill>
                    <w14:schemeClr w14:val="tx1"/>
                  </w14:solidFill>
                </w14:textFill>
              </w:rPr>
            </w:pPr>
          </w:p>
        </w:tc>
        <w:tc>
          <w:tcPr>
            <w:tcW w:w="1843" w:type="dxa"/>
            <w:noWrap w:val="0"/>
            <w:vAlign w:val="center"/>
          </w:tcPr>
          <w:p w14:paraId="7DAE8716">
            <w:pPr>
              <w:jc w:val="center"/>
              <w:rPr>
                <w:color w:val="000000" w:themeColor="text1"/>
                <w:highlight w:val="none"/>
                <w14:textFill>
                  <w14:solidFill>
                    <w14:schemeClr w14:val="tx1"/>
                  </w14:solidFill>
                </w14:textFill>
              </w:rPr>
            </w:pPr>
          </w:p>
        </w:tc>
      </w:tr>
      <w:tr w14:paraId="6163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92817AF">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p>
        </w:tc>
        <w:tc>
          <w:tcPr>
            <w:tcW w:w="1985" w:type="dxa"/>
            <w:noWrap w:val="0"/>
            <w:vAlign w:val="center"/>
          </w:tcPr>
          <w:p w14:paraId="7C52CF83">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承包人履约担保金额</w:t>
            </w:r>
          </w:p>
        </w:tc>
        <w:tc>
          <w:tcPr>
            <w:tcW w:w="2126" w:type="dxa"/>
            <w:noWrap w:val="0"/>
            <w:tcMar>
              <w:left w:w="170" w:type="dxa"/>
            </w:tcMar>
            <w:vAlign w:val="center"/>
          </w:tcPr>
          <w:p w14:paraId="7220706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18892BAE">
            <w:pPr>
              <w:jc w:val="center"/>
              <w:rPr>
                <w:color w:val="000000" w:themeColor="text1"/>
                <w:highlight w:val="none"/>
                <w14:textFill>
                  <w14:solidFill>
                    <w14:schemeClr w14:val="tx1"/>
                  </w14:solidFill>
                </w14:textFill>
              </w:rPr>
            </w:pPr>
          </w:p>
        </w:tc>
        <w:tc>
          <w:tcPr>
            <w:tcW w:w="1843" w:type="dxa"/>
            <w:noWrap w:val="0"/>
            <w:vAlign w:val="center"/>
          </w:tcPr>
          <w:p w14:paraId="3698A017">
            <w:pPr>
              <w:jc w:val="center"/>
              <w:rPr>
                <w:color w:val="000000" w:themeColor="text1"/>
                <w:highlight w:val="none"/>
                <w14:textFill>
                  <w14:solidFill>
                    <w14:schemeClr w14:val="tx1"/>
                  </w14:solidFill>
                </w14:textFill>
              </w:rPr>
            </w:pPr>
          </w:p>
        </w:tc>
      </w:tr>
      <w:tr w14:paraId="7AD7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F4B89E8">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w:t>
            </w:r>
          </w:p>
        </w:tc>
        <w:tc>
          <w:tcPr>
            <w:tcW w:w="1985" w:type="dxa"/>
            <w:noWrap w:val="0"/>
            <w:vAlign w:val="center"/>
          </w:tcPr>
          <w:p w14:paraId="2AEABA8D">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分包</w:t>
            </w:r>
          </w:p>
        </w:tc>
        <w:tc>
          <w:tcPr>
            <w:tcW w:w="2126" w:type="dxa"/>
            <w:noWrap w:val="0"/>
            <w:tcMar>
              <w:left w:w="170" w:type="dxa"/>
            </w:tcMar>
            <w:vAlign w:val="center"/>
          </w:tcPr>
          <w:p w14:paraId="015EEA1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396350AE">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见分包项目情况表</w:t>
            </w:r>
          </w:p>
        </w:tc>
        <w:tc>
          <w:tcPr>
            <w:tcW w:w="1843" w:type="dxa"/>
            <w:noWrap w:val="0"/>
            <w:vAlign w:val="center"/>
          </w:tcPr>
          <w:p w14:paraId="0266D4D0">
            <w:pPr>
              <w:jc w:val="center"/>
              <w:rPr>
                <w:color w:val="000000" w:themeColor="text1"/>
                <w:highlight w:val="none"/>
                <w14:textFill>
                  <w14:solidFill>
                    <w14:schemeClr w14:val="tx1"/>
                  </w14:solidFill>
                </w14:textFill>
              </w:rPr>
            </w:pPr>
          </w:p>
        </w:tc>
      </w:tr>
      <w:tr w14:paraId="2146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C0D436">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w:t>
            </w:r>
          </w:p>
        </w:tc>
        <w:tc>
          <w:tcPr>
            <w:tcW w:w="1985" w:type="dxa"/>
            <w:noWrap w:val="0"/>
            <w:vAlign w:val="center"/>
          </w:tcPr>
          <w:p w14:paraId="33427C6B">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逾期竣工违约金</w:t>
            </w:r>
          </w:p>
        </w:tc>
        <w:tc>
          <w:tcPr>
            <w:tcW w:w="2126" w:type="dxa"/>
            <w:noWrap w:val="0"/>
            <w:tcMar>
              <w:left w:w="170" w:type="dxa"/>
            </w:tcMar>
            <w:vAlign w:val="center"/>
          </w:tcPr>
          <w:p w14:paraId="0EF17CE3">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031E3FCB">
            <w:pPr>
              <w:rPr>
                <w:color w:val="000000" w:themeColor="text1"/>
                <w:highlight w:val="none"/>
                <w14:textFill>
                  <w14:solidFill>
                    <w14:schemeClr w14:val="tx1"/>
                  </w14:solidFill>
                </w14:textFill>
              </w:rPr>
            </w:pPr>
          </w:p>
        </w:tc>
        <w:tc>
          <w:tcPr>
            <w:tcW w:w="1843" w:type="dxa"/>
            <w:noWrap w:val="0"/>
            <w:vAlign w:val="center"/>
          </w:tcPr>
          <w:p w14:paraId="64BD06AE">
            <w:pPr>
              <w:jc w:val="center"/>
              <w:rPr>
                <w:color w:val="000000" w:themeColor="text1"/>
                <w:highlight w:val="none"/>
                <w14:textFill>
                  <w14:solidFill>
                    <w14:schemeClr w14:val="tx1"/>
                  </w14:solidFill>
                </w14:textFill>
              </w:rPr>
            </w:pPr>
          </w:p>
        </w:tc>
      </w:tr>
      <w:tr w14:paraId="31D1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7EF112E">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w:t>
            </w:r>
          </w:p>
        </w:tc>
        <w:tc>
          <w:tcPr>
            <w:tcW w:w="1985" w:type="dxa"/>
            <w:noWrap w:val="0"/>
            <w:vAlign w:val="center"/>
          </w:tcPr>
          <w:p w14:paraId="569BA614">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逾期竣工违约金最高限额</w:t>
            </w:r>
          </w:p>
        </w:tc>
        <w:tc>
          <w:tcPr>
            <w:tcW w:w="2126" w:type="dxa"/>
            <w:noWrap w:val="0"/>
            <w:tcMar>
              <w:left w:w="170" w:type="dxa"/>
            </w:tcMar>
            <w:vAlign w:val="center"/>
          </w:tcPr>
          <w:p w14:paraId="4E28B30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4ADAC241">
            <w:pPr>
              <w:rPr>
                <w:color w:val="000000" w:themeColor="text1"/>
                <w:highlight w:val="none"/>
                <w14:textFill>
                  <w14:solidFill>
                    <w14:schemeClr w14:val="tx1"/>
                  </w14:solidFill>
                </w14:textFill>
              </w:rPr>
            </w:pPr>
          </w:p>
        </w:tc>
        <w:tc>
          <w:tcPr>
            <w:tcW w:w="1843" w:type="dxa"/>
            <w:noWrap w:val="0"/>
            <w:vAlign w:val="center"/>
          </w:tcPr>
          <w:p w14:paraId="3EF252F1">
            <w:pPr>
              <w:jc w:val="center"/>
              <w:rPr>
                <w:color w:val="000000" w:themeColor="text1"/>
                <w:highlight w:val="none"/>
                <w14:textFill>
                  <w14:solidFill>
                    <w14:schemeClr w14:val="tx1"/>
                  </w14:solidFill>
                </w14:textFill>
              </w:rPr>
            </w:pPr>
          </w:p>
        </w:tc>
      </w:tr>
      <w:tr w14:paraId="12A9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39BA339">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w:t>
            </w:r>
          </w:p>
        </w:tc>
        <w:tc>
          <w:tcPr>
            <w:tcW w:w="1985" w:type="dxa"/>
            <w:noWrap w:val="0"/>
            <w:vAlign w:val="center"/>
          </w:tcPr>
          <w:p w14:paraId="5863054B">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质量标准</w:t>
            </w:r>
          </w:p>
        </w:tc>
        <w:tc>
          <w:tcPr>
            <w:tcW w:w="2126" w:type="dxa"/>
            <w:noWrap w:val="0"/>
            <w:tcMar>
              <w:left w:w="170" w:type="dxa"/>
            </w:tcMar>
            <w:vAlign w:val="center"/>
          </w:tcPr>
          <w:p w14:paraId="33E41FB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6790A9AB">
            <w:pPr>
              <w:jc w:val="center"/>
              <w:rPr>
                <w:color w:val="000000" w:themeColor="text1"/>
                <w:highlight w:val="none"/>
                <w14:textFill>
                  <w14:solidFill>
                    <w14:schemeClr w14:val="tx1"/>
                  </w14:solidFill>
                </w14:textFill>
              </w:rPr>
            </w:pPr>
          </w:p>
        </w:tc>
        <w:tc>
          <w:tcPr>
            <w:tcW w:w="1843" w:type="dxa"/>
            <w:noWrap w:val="0"/>
            <w:vAlign w:val="center"/>
          </w:tcPr>
          <w:p w14:paraId="569F6B22">
            <w:pPr>
              <w:jc w:val="center"/>
              <w:rPr>
                <w:color w:val="000000" w:themeColor="text1"/>
                <w:highlight w:val="none"/>
                <w14:textFill>
                  <w14:solidFill>
                    <w14:schemeClr w14:val="tx1"/>
                  </w14:solidFill>
                </w14:textFill>
              </w:rPr>
            </w:pPr>
          </w:p>
        </w:tc>
      </w:tr>
      <w:tr w14:paraId="2991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58AA549">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w:t>
            </w:r>
          </w:p>
        </w:tc>
        <w:tc>
          <w:tcPr>
            <w:tcW w:w="1985" w:type="dxa"/>
            <w:noWrap w:val="0"/>
            <w:vAlign w:val="center"/>
          </w:tcPr>
          <w:p w14:paraId="2457331C">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预付款额度</w:t>
            </w:r>
          </w:p>
        </w:tc>
        <w:tc>
          <w:tcPr>
            <w:tcW w:w="2126" w:type="dxa"/>
            <w:noWrap w:val="0"/>
            <w:tcMar>
              <w:left w:w="170" w:type="dxa"/>
            </w:tcMar>
            <w:vAlign w:val="center"/>
          </w:tcPr>
          <w:p w14:paraId="7724FE5A">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5C1A3B53">
            <w:pPr>
              <w:jc w:val="center"/>
              <w:rPr>
                <w:color w:val="000000" w:themeColor="text1"/>
                <w:highlight w:val="none"/>
                <w14:textFill>
                  <w14:solidFill>
                    <w14:schemeClr w14:val="tx1"/>
                  </w14:solidFill>
                </w14:textFill>
              </w:rPr>
            </w:pPr>
          </w:p>
        </w:tc>
        <w:tc>
          <w:tcPr>
            <w:tcW w:w="1843" w:type="dxa"/>
            <w:noWrap w:val="0"/>
            <w:vAlign w:val="center"/>
          </w:tcPr>
          <w:p w14:paraId="28D02FCE">
            <w:pPr>
              <w:jc w:val="center"/>
              <w:rPr>
                <w:color w:val="000000" w:themeColor="text1"/>
                <w:highlight w:val="none"/>
                <w14:textFill>
                  <w14:solidFill>
                    <w14:schemeClr w14:val="tx1"/>
                  </w14:solidFill>
                </w14:textFill>
              </w:rPr>
            </w:pPr>
          </w:p>
        </w:tc>
      </w:tr>
      <w:tr w14:paraId="6384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9731BCA">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w:t>
            </w:r>
          </w:p>
        </w:tc>
        <w:tc>
          <w:tcPr>
            <w:tcW w:w="1985" w:type="dxa"/>
            <w:noWrap w:val="0"/>
            <w:vAlign w:val="center"/>
          </w:tcPr>
          <w:p w14:paraId="0C55DA15">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预付款保函金额</w:t>
            </w:r>
          </w:p>
        </w:tc>
        <w:tc>
          <w:tcPr>
            <w:tcW w:w="2126" w:type="dxa"/>
            <w:noWrap w:val="0"/>
            <w:tcMar>
              <w:left w:w="170" w:type="dxa"/>
            </w:tcMar>
            <w:vAlign w:val="center"/>
          </w:tcPr>
          <w:p w14:paraId="17F526F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2278870C">
            <w:pPr>
              <w:jc w:val="center"/>
              <w:rPr>
                <w:color w:val="000000" w:themeColor="text1"/>
                <w:highlight w:val="none"/>
                <w14:textFill>
                  <w14:solidFill>
                    <w14:schemeClr w14:val="tx1"/>
                  </w14:solidFill>
                </w14:textFill>
              </w:rPr>
            </w:pPr>
          </w:p>
        </w:tc>
        <w:tc>
          <w:tcPr>
            <w:tcW w:w="1843" w:type="dxa"/>
            <w:noWrap w:val="0"/>
            <w:vAlign w:val="center"/>
          </w:tcPr>
          <w:p w14:paraId="48F9DDE5">
            <w:pPr>
              <w:jc w:val="center"/>
              <w:rPr>
                <w:color w:val="000000" w:themeColor="text1"/>
                <w:highlight w:val="none"/>
                <w14:textFill>
                  <w14:solidFill>
                    <w14:schemeClr w14:val="tx1"/>
                  </w14:solidFill>
                </w14:textFill>
              </w:rPr>
            </w:pPr>
          </w:p>
        </w:tc>
      </w:tr>
      <w:tr w14:paraId="6D1C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F9EC440">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13</w:t>
            </w:r>
          </w:p>
        </w:tc>
        <w:tc>
          <w:tcPr>
            <w:tcW w:w="1985" w:type="dxa"/>
            <w:noWrap w:val="0"/>
            <w:vAlign w:val="center"/>
          </w:tcPr>
          <w:p w14:paraId="34732293">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质量保证金额度</w:t>
            </w:r>
          </w:p>
        </w:tc>
        <w:tc>
          <w:tcPr>
            <w:tcW w:w="2126" w:type="dxa"/>
            <w:noWrap w:val="0"/>
            <w:tcMar>
              <w:left w:w="170" w:type="dxa"/>
            </w:tcMar>
            <w:vAlign w:val="center"/>
          </w:tcPr>
          <w:p w14:paraId="4602AA9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noWrap w:val="0"/>
            <w:vAlign w:val="center"/>
          </w:tcPr>
          <w:p w14:paraId="5690746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结算价的</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3</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p>
        </w:tc>
        <w:tc>
          <w:tcPr>
            <w:tcW w:w="1843" w:type="dxa"/>
            <w:noWrap w:val="0"/>
            <w:vAlign w:val="center"/>
          </w:tcPr>
          <w:p w14:paraId="298309AB">
            <w:pPr>
              <w:jc w:val="center"/>
              <w:rPr>
                <w:color w:val="000000" w:themeColor="text1"/>
                <w:highlight w:val="none"/>
                <w14:textFill>
                  <w14:solidFill>
                    <w14:schemeClr w14:val="tx1"/>
                  </w14:solidFill>
                </w14:textFill>
              </w:rPr>
            </w:pPr>
          </w:p>
        </w:tc>
      </w:tr>
      <w:tr w14:paraId="7857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505E17">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tc>
        <w:tc>
          <w:tcPr>
            <w:tcW w:w="1985" w:type="dxa"/>
            <w:noWrap w:val="0"/>
            <w:vAlign w:val="center"/>
          </w:tcPr>
          <w:p w14:paraId="05051398">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tc>
        <w:tc>
          <w:tcPr>
            <w:tcW w:w="2126" w:type="dxa"/>
            <w:noWrap w:val="0"/>
            <w:tcMar>
              <w:left w:w="170" w:type="dxa"/>
            </w:tcMar>
            <w:vAlign w:val="center"/>
          </w:tcPr>
          <w:p w14:paraId="789697C4">
            <w:pPr>
              <w:rPr>
                <w:color w:val="000000" w:themeColor="text1"/>
                <w:highlight w:val="none"/>
                <w14:textFill>
                  <w14:solidFill>
                    <w14:schemeClr w14:val="tx1"/>
                  </w14:solidFill>
                </w14:textFill>
              </w:rPr>
            </w:pPr>
          </w:p>
        </w:tc>
        <w:tc>
          <w:tcPr>
            <w:tcW w:w="1984" w:type="dxa"/>
            <w:noWrap w:val="0"/>
            <w:vAlign w:val="center"/>
          </w:tcPr>
          <w:p w14:paraId="18AC4C39">
            <w:pPr>
              <w:jc w:val="center"/>
              <w:rPr>
                <w:color w:val="000000" w:themeColor="text1"/>
                <w:highlight w:val="none"/>
                <w14:textFill>
                  <w14:solidFill>
                    <w14:schemeClr w14:val="tx1"/>
                  </w14:solidFill>
                </w14:textFill>
              </w:rPr>
            </w:pPr>
          </w:p>
        </w:tc>
        <w:tc>
          <w:tcPr>
            <w:tcW w:w="1843" w:type="dxa"/>
            <w:noWrap w:val="0"/>
            <w:vAlign w:val="center"/>
          </w:tcPr>
          <w:p w14:paraId="3CC93EC3">
            <w:pPr>
              <w:jc w:val="center"/>
              <w:rPr>
                <w:color w:val="000000" w:themeColor="text1"/>
                <w:highlight w:val="none"/>
                <w14:textFill>
                  <w14:solidFill>
                    <w14:schemeClr w14:val="tx1"/>
                  </w14:solidFill>
                </w14:textFill>
              </w:rPr>
            </w:pPr>
          </w:p>
        </w:tc>
      </w:tr>
      <w:tr w14:paraId="44FD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54DFE85D">
            <w:pPr>
              <w:spacing w:line="360" w:lineRule="auto"/>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说明：供应商在响应磋商文件中规定的实质性要求和条件的基础上，可做出其他有利于采购人的承诺。此类承诺可在本表中予以补充填写。</w:t>
            </w:r>
          </w:p>
        </w:tc>
      </w:tr>
    </w:tbl>
    <w:p w14:paraId="59BCBD90">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p>
    <w:p w14:paraId="2DB04791">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法定代表人或者委托代理人（签字或者</w:t>
      </w:r>
      <w:r>
        <w:rPr>
          <w:rFonts w:hint="eastAsia" w:ascii="宋体" w:hAnsi="宋体" w:cs="仿宋_GB2312"/>
          <w:color w:val="000000" w:themeColor="text1"/>
          <w:sz w:val="24"/>
          <w:highlight w:val="none"/>
          <w:lang w:eastAsia="zh-CN"/>
          <w14:textFill>
            <w14:solidFill>
              <w14:schemeClr w14:val="tx1"/>
            </w14:solidFill>
          </w14:textFill>
        </w:rPr>
        <w:t>盖章或者</w:t>
      </w:r>
      <w:r>
        <w:rPr>
          <w:rFonts w:hint="eastAsia" w:ascii="宋体" w:hAnsi="宋体" w:cs="仿宋_GB2312"/>
          <w:color w:val="000000" w:themeColor="text1"/>
          <w:sz w:val="24"/>
          <w:highlight w:val="none"/>
          <w14:textFill>
            <w14:solidFill>
              <w14:schemeClr w14:val="tx1"/>
            </w14:solidFill>
          </w14:textFill>
        </w:rPr>
        <w:t xml:space="preserve">电子签名）：                    </w:t>
      </w:r>
    </w:p>
    <w:p w14:paraId="5EEFC3F6">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630839B4">
      <w:pPr>
        <w:spacing w:line="360" w:lineRule="auto"/>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79684D09">
      <w:pPr>
        <w:spacing w:line="360" w:lineRule="auto"/>
        <w:jc w:val="cente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竞标报价表</w:t>
      </w:r>
    </w:p>
    <w:p w14:paraId="496F9BC1">
      <w:pPr>
        <w:spacing w:line="440" w:lineRule="exact"/>
        <w:jc w:val="cente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p>
    <w:p w14:paraId="22B84299">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项目名称：</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项目编号：</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 xml:space="preserve">     </w:t>
      </w:r>
    </w:p>
    <w:p w14:paraId="406B7700">
      <w:pPr>
        <w:spacing w:line="360" w:lineRule="auto"/>
        <w:contextualSpacing/>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分标（如有）：</w:t>
      </w:r>
      <w:r>
        <w:rPr>
          <w:rFonts w:hint="eastAsia" w:ascii="宋体" w:hAnsi="宋体" w:cs="仿宋_GB2312"/>
          <w:color w:val="000000" w:themeColor="text1"/>
          <w:sz w:val="24"/>
          <w:highlight w:val="none"/>
          <w:u w:val="single"/>
          <w14:textFill>
            <w14:solidFill>
              <w14:schemeClr w14:val="tx1"/>
            </w14:solidFill>
          </w14:textFill>
        </w:rPr>
        <w:t xml:space="preserve">            </w:t>
      </w:r>
    </w:p>
    <w:p w14:paraId="71E5EFC5">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 xml:space="preserve">   </w:t>
      </w:r>
    </w:p>
    <w:p w14:paraId="2D4D62BA">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单位：元</w:t>
      </w:r>
    </w:p>
    <w:tbl>
      <w:tblPr>
        <w:tblStyle w:val="45"/>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21C5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7543C934">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00A032F4">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w:t>
            </w:r>
            <w:r>
              <w:rPr>
                <w:rFonts w:ascii="宋体" w:hAnsi="宋体" w:cs="仿宋_GB2312"/>
                <w:color w:val="000000" w:themeColor="text1"/>
                <w:sz w:val="24"/>
                <w:highlight w:val="none"/>
                <w14:textFill>
                  <w14:solidFill>
                    <w14:schemeClr w14:val="tx1"/>
                  </w14:solidFill>
                </w14:textFill>
              </w:rPr>
              <w:t>名称</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90B687E">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数量及单位</w:t>
            </w:r>
          </w:p>
        </w:tc>
        <w:tc>
          <w:tcPr>
            <w:tcW w:w="3107" w:type="dxa"/>
            <w:tcBorders>
              <w:top w:val="single" w:color="auto" w:sz="4" w:space="0"/>
              <w:left w:val="single" w:color="auto" w:sz="4" w:space="0"/>
              <w:bottom w:val="single" w:color="auto" w:sz="4" w:space="0"/>
              <w:right w:val="single" w:color="auto" w:sz="4" w:space="0"/>
            </w:tcBorders>
            <w:noWrap w:val="0"/>
            <w:vAlign w:val="center"/>
          </w:tcPr>
          <w:p w14:paraId="7DC0B3CD">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总价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F3E08F4">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备注</w:t>
            </w:r>
          </w:p>
        </w:tc>
      </w:tr>
      <w:tr w14:paraId="5B01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7BC0620A">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7318D34F">
            <w:pPr>
              <w:spacing w:line="360" w:lineRule="auto"/>
              <w:contextualSpacing/>
              <w:jc w:val="center"/>
              <w:rPr>
                <w:rFonts w:ascii="宋体" w:hAnsi="宋体" w:cs="仿宋_GB2312"/>
                <w:color w:val="000000" w:themeColor="text1"/>
                <w:sz w:val="24"/>
                <w:highlight w:val="none"/>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B6AAC02">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1项</w:t>
            </w:r>
          </w:p>
        </w:tc>
        <w:tc>
          <w:tcPr>
            <w:tcW w:w="3107" w:type="dxa"/>
            <w:tcBorders>
              <w:top w:val="single" w:color="auto" w:sz="4" w:space="0"/>
              <w:left w:val="single" w:color="auto" w:sz="4" w:space="0"/>
              <w:bottom w:val="single" w:color="auto" w:sz="4" w:space="0"/>
              <w:right w:val="single" w:color="auto" w:sz="4" w:space="0"/>
            </w:tcBorders>
            <w:noWrap w:val="0"/>
            <w:vAlign w:val="top"/>
          </w:tcPr>
          <w:p w14:paraId="1D84414B">
            <w:pPr>
              <w:spacing w:line="360" w:lineRule="auto"/>
              <w:contextualSpacing/>
              <w:rPr>
                <w:rFonts w:ascii="宋体" w:hAnsi="宋体" w:cs="仿宋_GB2312"/>
                <w:color w:val="000000" w:themeColor="text1"/>
                <w:sz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69986AA">
            <w:pPr>
              <w:spacing w:line="360" w:lineRule="auto"/>
              <w:contextualSpacing/>
              <w:rPr>
                <w:rFonts w:ascii="宋体" w:hAnsi="宋体" w:cs="仿宋_GB2312"/>
                <w:color w:val="000000" w:themeColor="text1"/>
                <w:sz w:val="24"/>
                <w:highlight w:val="none"/>
                <w14:textFill>
                  <w14:solidFill>
                    <w14:schemeClr w14:val="tx1"/>
                  </w14:solidFill>
                </w14:textFill>
              </w:rPr>
            </w:pPr>
          </w:p>
        </w:tc>
      </w:tr>
      <w:tr w14:paraId="4CC4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5EE1AF1B">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合计金额（人民币）</w:t>
            </w:r>
            <w:r>
              <w:rPr>
                <w:rFonts w:hint="eastAsia" w:ascii="宋体" w:hAnsi="宋体" w:cs="仿宋_GB2312"/>
                <w:color w:val="000000" w:themeColor="text1"/>
                <w:sz w:val="24"/>
                <w:highlight w:val="none"/>
                <w:u w:val="single"/>
                <w14:textFill>
                  <w14:solidFill>
                    <w14:schemeClr w14:val="tx1"/>
                  </w14:solidFill>
                </w14:textFill>
              </w:rPr>
              <w:t xml:space="preserve">大写：                      </w:t>
            </w:r>
            <w:r>
              <w:rPr>
                <w:rFonts w:hint="eastAsia" w:ascii="宋体" w:hAnsi="宋体" w:cs="仿宋_GB2312"/>
                <w:color w:val="000000" w:themeColor="text1"/>
                <w:sz w:val="24"/>
                <w:highlight w:val="none"/>
                <w14:textFill>
                  <w14:solidFill>
                    <w14:schemeClr w14:val="tx1"/>
                  </w14:solidFill>
                </w14:textFill>
              </w:rPr>
              <w:t xml:space="preserve"> （¥</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w:t>
            </w:r>
          </w:p>
        </w:tc>
      </w:tr>
    </w:tbl>
    <w:p w14:paraId="55DFA065">
      <w:pPr>
        <w:spacing w:line="360" w:lineRule="auto"/>
        <w:contextualSpacing/>
        <w:jc w:val="left"/>
        <w:rPr>
          <w:rFonts w:ascii="宋体" w:hAnsi="宋体" w:cs="仿宋_GB2312"/>
          <w:color w:val="000000" w:themeColor="text1"/>
          <w:sz w:val="24"/>
          <w:highlight w:val="none"/>
          <w14:textFill>
            <w14:solidFill>
              <w14:schemeClr w14:val="tx1"/>
            </w14:solidFill>
          </w14:textFill>
        </w:rPr>
      </w:pPr>
    </w:p>
    <w:p w14:paraId="72E0CE10">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注: </w:t>
      </w:r>
    </w:p>
    <w:p w14:paraId="62A69EDB">
      <w:pPr>
        <w:spacing w:line="360" w:lineRule="auto"/>
        <w:ind w:firstLine="480"/>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 供应商的报价表必须加盖供应商电子签章并由法定代表人或者委托代理人签字或者电子签名，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r>
        <w:rPr>
          <w:rFonts w:hint="eastAsia" w:ascii="宋体" w:hAnsi="宋体" w:cs="仿宋_GB2312"/>
          <w:color w:val="000000" w:themeColor="text1"/>
          <w:sz w:val="24"/>
          <w:highlight w:val="none"/>
          <w14:textFill>
            <w14:solidFill>
              <w14:schemeClr w14:val="tx1"/>
            </w14:solidFill>
          </w14:textFill>
        </w:rPr>
        <w:t>。</w:t>
      </w:r>
    </w:p>
    <w:p w14:paraId="20D01EF8">
      <w:pPr>
        <w:spacing w:line="360" w:lineRule="auto"/>
        <w:ind w:firstLine="480"/>
        <w:contextualSpacing/>
        <w:jc w:val="left"/>
        <w:rPr>
          <w:rFonts w:hint="eastAsia" w:ascii="宋体" w:hAnsi="宋体" w:cs="仿宋_GB2312"/>
          <w:b/>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 xml:space="preserve"> 报价一经涂改，应在涂改处加盖供应商公章或者加盖电子签章或者由法定代表人或者授权委托人签字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7008C878">
      <w:pPr>
        <w:spacing w:line="360" w:lineRule="auto"/>
        <w:ind w:firstLine="480"/>
        <w:contextualSpacing/>
        <w:jc w:val="left"/>
        <w:rPr>
          <w:rFonts w:ascii="宋体" w:hAnsi="宋体" w:cs="仿宋_GB2312"/>
          <w:b/>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3</w:t>
      </w:r>
      <w:r>
        <w:rPr>
          <w:rFonts w:hint="eastAsia" w:ascii="宋体" w:hAnsi="宋体" w:cs="仿宋_GB2312"/>
          <w:color w:val="000000" w:themeColor="text1"/>
          <w:sz w:val="24"/>
          <w:highlight w:val="none"/>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3DA6598A">
      <w:pPr>
        <w:spacing w:line="360" w:lineRule="auto"/>
        <w:ind w:firstLine="480"/>
        <w:contextualSpacing/>
        <w:jc w:val="left"/>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4</w:t>
      </w:r>
      <w:r>
        <w:rPr>
          <w:rFonts w:hint="eastAsia" w:ascii="宋体" w:hAnsi="宋体" w:cs="仿宋_GB2312"/>
          <w:color w:val="000000" w:themeColor="text1"/>
          <w:sz w:val="24"/>
          <w:highlight w:val="none"/>
          <w14:textFill>
            <w14:solidFill>
              <w14:schemeClr w14:val="tx1"/>
            </w14:solidFill>
          </w14:textFill>
        </w:rPr>
        <w:t>. 如为联合体竞标，</w:t>
      </w:r>
      <w:r>
        <w:rPr>
          <w:rFonts w:hint="eastAsia" w:ascii="宋体" w:hAnsi="宋体"/>
          <w:color w:val="000000" w:themeColor="text1"/>
          <w:spacing w:val="-6"/>
          <w:sz w:val="24"/>
          <w:highlight w:val="none"/>
          <w14:textFill>
            <w14:solidFill>
              <w14:schemeClr w14:val="tx1"/>
            </w14:solidFill>
          </w14:textFill>
        </w:rPr>
        <w:t xml:space="preserve"> 盖章处须加盖联合体牵头人电子签章</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283707F4">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5</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color w:val="000000" w:themeColor="text1"/>
          <w:spacing w:val="-6"/>
          <w:sz w:val="24"/>
          <w:highlight w:val="none"/>
          <w14:textFill>
            <w14:solidFill>
              <w14:schemeClr w14:val="tx1"/>
            </w14:solidFill>
          </w14:textFill>
        </w:rPr>
        <w:t>如有多分标，分别列明各分标的报价表，</w:t>
      </w:r>
      <w:r>
        <w:rPr>
          <w:rFonts w:hint="eastAsia" w:ascii="宋体" w:hAnsi="宋体" w:cs="仿宋_GB2312"/>
          <w:b/>
          <w:color w:val="000000" w:themeColor="text1"/>
          <w:spacing w:val="-6"/>
          <w:sz w:val="24"/>
          <w:highlight w:val="none"/>
          <w14:textFill>
            <w14:solidFill>
              <w14:schemeClr w14:val="tx1"/>
            </w14:solidFill>
          </w14:textFill>
        </w:rPr>
        <w:t>否则其响应文件按无效处理。</w:t>
      </w:r>
    </w:p>
    <w:p w14:paraId="008A25EB">
      <w:pPr>
        <w:spacing w:line="360" w:lineRule="auto"/>
        <w:ind w:right="-817"/>
        <w:contextualSpacing/>
        <w:rPr>
          <w:rFonts w:hint="eastAsia" w:ascii="宋体" w:hAnsi="宋体" w:cs="仿宋_GB2312"/>
          <w:color w:val="000000" w:themeColor="text1"/>
          <w:sz w:val="24"/>
          <w:highlight w:val="none"/>
          <w14:textFill>
            <w14:solidFill>
              <w14:schemeClr w14:val="tx1"/>
            </w14:solidFill>
          </w14:textFill>
        </w:rPr>
      </w:pPr>
    </w:p>
    <w:p w14:paraId="0C1BD496">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法定代表人或者委托代理人（签字或者电子签名）：                    </w:t>
      </w:r>
    </w:p>
    <w:p w14:paraId="2F45C9C1">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0C0F59FA">
      <w:pPr>
        <w:spacing w:line="360" w:lineRule="auto"/>
        <w:ind w:right="-817" w:firstLine="40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36F5056A">
      <w:pPr>
        <w:spacing w:line="360" w:lineRule="auto"/>
        <w:contextualSpacing/>
        <w:jc w:val="center"/>
        <w:rPr>
          <w:rFonts w:hint="eastAsia" w:ascii="宋体" w:hAnsi="宋体" w:cs="仿宋_GB2312"/>
          <w:b/>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32"/>
          <w:szCs w:val="32"/>
          <w:highlight w:val="none"/>
          <w14:textFill>
            <w14:solidFill>
              <w14:schemeClr w14:val="tx1"/>
            </w14:solidFill>
          </w14:textFill>
        </w:rPr>
        <w:t>已标价工程量清单</w:t>
      </w:r>
    </w:p>
    <w:p w14:paraId="5F1FA634">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cs="宋体"/>
          <w:color w:val="000000" w:themeColor="text1"/>
          <w:highlight w:val="none"/>
          <w14:textFill>
            <w14:solidFill>
              <w14:schemeClr w14:val="tx1"/>
            </w14:solidFill>
          </w14:textFill>
        </w:rPr>
        <w:t>已标价工程量清单应按第五章</w:t>
      </w:r>
      <w:r>
        <w:rPr>
          <w:rFonts w:hint="eastAsia"/>
          <w:color w:val="000000" w:themeColor="text1"/>
          <w:highlight w:val="none"/>
          <w14:textFill>
            <w14:solidFill>
              <w14:schemeClr w14:val="tx1"/>
            </w14:solidFill>
          </w14:textFill>
        </w:rPr>
        <w:t>“工程量清单及图纸”</w:t>
      </w:r>
      <w:r>
        <w:rPr>
          <w:rFonts w:hint="eastAsia" w:cs="宋体"/>
          <w:color w:val="000000" w:themeColor="text1"/>
          <w:highlight w:val="none"/>
          <w14:textFill>
            <w14:solidFill>
              <w14:schemeClr w14:val="tx1"/>
            </w14:solidFill>
          </w14:textFill>
        </w:rPr>
        <w:t>中的相关表格及竞标报价说明填写。构成合同文件的已标价工程量清单包括第五章</w:t>
      </w:r>
      <w:r>
        <w:rPr>
          <w:rFonts w:hint="eastAsia"/>
          <w:color w:val="000000" w:themeColor="text1"/>
          <w:highlight w:val="none"/>
          <w14:textFill>
            <w14:solidFill>
              <w14:schemeClr w14:val="tx1"/>
            </w14:solidFill>
          </w14:textFill>
        </w:rPr>
        <w:t>“工程量清单及图纸”</w:t>
      </w:r>
      <w:r>
        <w:rPr>
          <w:rFonts w:hint="eastAsia" w:cs="宋体"/>
          <w:color w:val="000000" w:themeColor="text1"/>
          <w:highlight w:val="none"/>
          <w14:textFill>
            <w14:solidFill>
              <w14:schemeClr w14:val="tx1"/>
            </w14:solidFill>
          </w14:textFill>
        </w:rPr>
        <w:t>有关工程量清单、竞标报价以及其他说明的内容。</w:t>
      </w:r>
    </w:p>
    <w:p w14:paraId="1BF44ECA">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cs="宋体"/>
          <w:color w:val="000000" w:themeColor="text1"/>
          <w:highlight w:val="none"/>
          <w14:textFill>
            <w14:solidFill>
              <w14:schemeClr w14:val="tx1"/>
            </w14:solidFill>
          </w14:textFill>
        </w:rPr>
        <w:t>一般计税法建设工程已标价工程量清单表格按</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w:t>
      </w:r>
      <w:r>
        <w:rPr>
          <w:rFonts w:hint="eastAsia" w:ascii="宋体" w:hAnsi="宋体" w:cs="宋体"/>
          <w:color w:val="000000" w:themeColor="text1"/>
          <w:highlight w:val="none"/>
          <w14:textFill>
            <w14:solidFill>
              <w14:schemeClr w14:val="tx1"/>
            </w14:solidFill>
          </w14:textFill>
        </w:rPr>
        <w:t>附件“增值税一般计税方法工程计价表”</w:t>
      </w:r>
      <w:r>
        <w:rPr>
          <w:rFonts w:hint="eastAsia" w:cs="宋体"/>
          <w:color w:val="000000" w:themeColor="text1"/>
          <w:highlight w:val="none"/>
          <w14:textFill>
            <w14:solidFill>
              <w14:schemeClr w14:val="tx1"/>
            </w14:solidFill>
          </w14:textFill>
        </w:rPr>
        <w:t>要求提供，简易计税法表格按《</w:t>
      </w:r>
      <w:r>
        <w:rPr>
          <w:color w:val="000000" w:themeColor="text1"/>
          <w:highlight w:val="none"/>
          <w14:textFill>
            <w14:solidFill>
              <w14:schemeClr w14:val="tx1"/>
            </w14:solidFill>
          </w14:textFill>
        </w:rPr>
        <w:t>&lt;</w:t>
      </w:r>
      <w:r>
        <w:rPr>
          <w:rFonts w:hint="eastAsia" w:cs="宋体"/>
          <w:color w:val="000000" w:themeColor="text1"/>
          <w:highlight w:val="none"/>
          <w14:textFill>
            <w14:solidFill>
              <w14:schemeClr w14:val="tx1"/>
            </w14:solidFill>
          </w14:textFill>
        </w:rPr>
        <w:t>建设工程工程量清单计价规范</w:t>
      </w:r>
      <w:r>
        <w:rPr>
          <w:color w:val="000000" w:themeColor="text1"/>
          <w:highlight w:val="none"/>
          <w14:textFill>
            <w14:solidFill>
              <w14:schemeClr w14:val="tx1"/>
            </w14:solidFill>
          </w14:textFill>
        </w:rPr>
        <w:t>&gt;</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GB5050-2013</w:t>
      </w:r>
      <w:r>
        <w:rPr>
          <w:rFonts w:hint="eastAsia" w:cs="宋体"/>
          <w:color w:val="000000" w:themeColor="text1"/>
          <w:highlight w:val="none"/>
          <w14:textFill>
            <w14:solidFill>
              <w14:schemeClr w14:val="tx1"/>
            </w14:solidFill>
          </w14:textFill>
        </w:rPr>
        <w:t>）广西壮族自治区实施细则》要求的表格提供，但规费和税费按照</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000000" w:themeColor="text1"/>
          <w:highlight w:val="none"/>
          <w14:textFill>
            <w14:solidFill>
              <w14:schemeClr w14:val="tx1"/>
            </w14:solidFill>
          </w14:textFill>
        </w:rPr>
        <w:t>调整</w:t>
      </w:r>
      <w:r>
        <w:rPr>
          <w:rFonts w:hint="eastAsia" w:cs="宋体"/>
          <w:color w:val="000000" w:themeColor="text1"/>
          <w:highlight w:val="none"/>
          <w14:textFill>
            <w14:solidFill>
              <w14:schemeClr w14:val="tx1"/>
            </w14:solidFill>
          </w14:textFill>
        </w:rPr>
        <w:t>，具体内容包括：</w:t>
      </w:r>
    </w:p>
    <w:p w14:paraId="3695053E">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 </w:t>
      </w:r>
      <w:r>
        <w:rPr>
          <w:rFonts w:hint="eastAsia" w:cs="宋体"/>
          <w:color w:val="000000" w:themeColor="text1"/>
          <w:highlight w:val="none"/>
          <w14:textFill>
            <w14:solidFill>
              <w14:schemeClr w14:val="tx1"/>
            </w14:solidFill>
          </w14:textFill>
        </w:rPr>
        <w:t>投标总价（封</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w:t>
      </w:r>
    </w:p>
    <w:p w14:paraId="482AF1F9">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 </w:t>
      </w:r>
      <w:r>
        <w:rPr>
          <w:rFonts w:hint="eastAsia" w:cs="宋体"/>
          <w:color w:val="000000" w:themeColor="text1"/>
          <w:highlight w:val="none"/>
          <w14:textFill>
            <w14:solidFill>
              <w14:schemeClr w14:val="tx1"/>
            </w14:solidFill>
          </w14:textFill>
        </w:rPr>
        <w:t>投标总价（扉</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w:t>
      </w:r>
    </w:p>
    <w:p w14:paraId="3BF03F07">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1.3 </w:t>
      </w:r>
      <w:r>
        <w:rPr>
          <w:rFonts w:hint="eastAsia" w:cs="宋体"/>
          <w:color w:val="000000" w:themeColor="text1"/>
          <w:highlight w:val="none"/>
          <w14:textFill>
            <w14:solidFill>
              <w14:schemeClr w14:val="tx1"/>
            </w14:solidFill>
          </w14:textFill>
        </w:rPr>
        <w:t>总说明（表</w:t>
      </w:r>
      <w:r>
        <w:rPr>
          <w:color w:val="000000" w:themeColor="text1"/>
          <w:highlight w:val="none"/>
          <w14:textFill>
            <w14:solidFill>
              <w14:schemeClr w14:val="tx1"/>
            </w14:solidFill>
          </w14:textFill>
        </w:rPr>
        <w:t>-01</w:t>
      </w:r>
      <w:r>
        <w:rPr>
          <w:rFonts w:hint="eastAsia" w:cs="宋体"/>
          <w:color w:val="000000" w:themeColor="text1"/>
          <w:highlight w:val="none"/>
          <w14:textFill>
            <w14:solidFill>
              <w14:schemeClr w14:val="tx1"/>
            </w14:solidFill>
          </w14:textFill>
        </w:rPr>
        <w:t>）</w:t>
      </w:r>
    </w:p>
    <w:p w14:paraId="2A1CAC97">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1.4 </w:t>
      </w:r>
      <w:r>
        <w:rPr>
          <w:rFonts w:hint="eastAsia" w:cs="宋体"/>
          <w:color w:val="000000" w:themeColor="text1"/>
          <w:highlight w:val="none"/>
          <w14:textFill>
            <w14:solidFill>
              <w14:schemeClr w14:val="tx1"/>
            </w14:solidFill>
          </w14:textFill>
        </w:rPr>
        <w:t>建设项目投标报价汇总表（表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14:paraId="4506F935">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1.5 </w:t>
      </w:r>
      <w:r>
        <w:rPr>
          <w:rFonts w:hint="eastAsia" w:cs="宋体"/>
          <w:color w:val="000000" w:themeColor="text1"/>
          <w:highlight w:val="none"/>
          <w14:textFill>
            <w14:solidFill>
              <w14:schemeClr w14:val="tx1"/>
            </w14:solidFill>
          </w14:textFill>
        </w:rPr>
        <w:t>单项工程投标报价汇总表（表</w:t>
      </w:r>
      <w:r>
        <w:rPr>
          <w:color w:val="000000" w:themeColor="text1"/>
          <w:highlight w:val="none"/>
          <w14:textFill>
            <w14:solidFill>
              <w14:schemeClr w14:val="tx1"/>
            </w14:solidFill>
          </w14:textFill>
        </w:rPr>
        <w:t>-03</w:t>
      </w:r>
      <w:r>
        <w:rPr>
          <w:rFonts w:hint="eastAsia" w:cs="宋体"/>
          <w:color w:val="000000" w:themeColor="text1"/>
          <w:highlight w:val="none"/>
          <w14:textFill>
            <w14:solidFill>
              <w14:schemeClr w14:val="tx1"/>
            </w14:solidFill>
          </w14:textFill>
        </w:rPr>
        <w:t>）</w:t>
      </w:r>
    </w:p>
    <w:p w14:paraId="4D1E0A47">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1.6 </w:t>
      </w:r>
      <w:r>
        <w:rPr>
          <w:rFonts w:hint="eastAsia" w:cs="宋体"/>
          <w:color w:val="000000" w:themeColor="text1"/>
          <w:highlight w:val="none"/>
          <w14:textFill>
            <w14:solidFill>
              <w14:schemeClr w14:val="tx1"/>
            </w14:solidFill>
          </w14:textFill>
        </w:rPr>
        <w:t>单位工程投标报价汇总表（表</w:t>
      </w:r>
      <w:r>
        <w:rPr>
          <w:color w:val="000000" w:themeColor="text1"/>
          <w:highlight w:val="none"/>
          <w14:textFill>
            <w14:solidFill>
              <w14:schemeClr w14:val="tx1"/>
            </w14:solidFill>
          </w14:textFill>
        </w:rPr>
        <w:t>-04</w:t>
      </w:r>
      <w:r>
        <w:rPr>
          <w:rFonts w:hint="eastAsia" w:cs="宋体"/>
          <w:color w:val="000000" w:themeColor="text1"/>
          <w:highlight w:val="none"/>
          <w14:textFill>
            <w14:solidFill>
              <w14:schemeClr w14:val="tx1"/>
            </w14:solidFill>
          </w14:textFill>
        </w:rPr>
        <w:t>）</w:t>
      </w:r>
    </w:p>
    <w:p w14:paraId="1F197731">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1.7 </w:t>
      </w:r>
      <w:r>
        <w:rPr>
          <w:rFonts w:hint="eastAsia" w:cs="宋体"/>
          <w:color w:val="000000" w:themeColor="text1"/>
          <w:highlight w:val="none"/>
          <w14:textFill>
            <w14:solidFill>
              <w14:schemeClr w14:val="tx1"/>
            </w14:solidFill>
          </w14:textFill>
        </w:rPr>
        <w:t>分部分项工程和单价措施项目清单与计价表（表</w:t>
      </w:r>
      <w:r>
        <w:rPr>
          <w:color w:val="000000" w:themeColor="text1"/>
          <w:highlight w:val="none"/>
          <w14:textFill>
            <w14:solidFill>
              <w14:schemeClr w14:val="tx1"/>
            </w14:solidFill>
          </w14:textFill>
        </w:rPr>
        <w:t>-08</w:t>
      </w:r>
      <w:r>
        <w:rPr>
          <w:rFonts w:hint="eastAsia" w:cs="宋体"/>
          <w:color w:val="000000" w:themeColor="text1"/>
          <w:highlight w:val="none"/>
          <w14:textFill>
            <w14:solidFill>
              <w14:schemeClr w14:val="tx1"/>
            </w14:solidFill>
          </w14:textFill>
        </w:rPr>
        <w:t>）</w:t>
      </w:r>
    </w:p>
    <w:p w14:paraId="3E7A0CC3">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工程量清单综合单价分析表（表</w:t>
      </w:r>
      <w:r>
        <w:rPr>
          <w:color w:val="000000" w:themeColor="text1"/>
          <w:highlight w:val="none"/>
          <w14:textFill>
            <w14:solidFill>
              <w14:schemeClr w14:val="tx1"/>
            </w14:solidFill>
          </w14:textFill>
        </w:rPr>
        <w:t>-09</w:t>
      </w:r>
      <w:r>
        <w:rPr>
          <w:rFonts w:hint="eastAsia" w:cs="宋体"/>
          <w:color w:val="000000" w:themeColor="text1"/>
          <w:highlight w:val="none"/>
          <w14:textFill>
            <w14:solidFill>
              <w14:schemeClr w14:val="tx1"/>
            </w14:solidFill>
          </w14:textFill>
        </w:rPr>
        <w:t>）</w:t>
      </w:r>
    </w:p>
    <w:p w14:paraId="6C675FB8">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1.9 </w:t>
      </w:r>
      <w:r>
        <w:rPr>
          <w:rFonts w:hint="eastAsia" w:cs="宋体"/>
          <w:color w:val="000000" w:themeColor="text1"/>
          <w:highlight w:val="none"/>
          <w14:textFill>
            <w14:solidFill>
              <w14:schemeClr w14:val="tx1"/>
            </w14:solidFill>
          </w14:textFill>
        </w:rPr>
        <w:t>主要清单项目工料机分析表（表</w:t>
      </w:r>
      <w:r>
        <w:rPr>
          <w:color w:val="000000" w:themeColor="text1"/>
          <w:highlight w:val="none"/>
          <w14:textFill>
            <w14:solidFill>
              <w14:schemeClr w14:val="tx1"/>
            </w14:solidFill>
          </w14:textFill>
        </w:rPr>
        <w:t>-10</w:t>
      </w:r>
      <w:r>
        <w:rPr>
          <w:rFonts w:hint="eastAsia" w:cs="宋体"/>
          <w:color w:val="000000" w:themeColor="text1"/>
          <w:highlight w:val="none"/>
          <w14:textFill>
            <w14:solidFill>
              <w14:schemeClr w14:val="tx1"/>
            </w14:solidFill>
          </w14:textFill>
        </w:rPr>
        <w:t>）【备注：可按要求有选择的提供】</w:t>
      </w:r>
    </w:p>
    <w:p w14:paraId="74B65A71">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1.10 </w:t>
      </w:r>
      <w:r>
        <w:rPr>
          <w:rFonts w:hint="eastAsia" w:cs="宋体"/>
          <w:color w:val="000000" w:themeColor="text1"/>
          <w:highlight w:val="none"/>
          <w14:textFill>
            <w14:solidFill>
              <w14:schemeClr w14:val="tx1"/>
            </w14:solidFill>
          </w14:textFill>
        </w:rPr>
        <w:t>总价措施项目清单与计价表（表</w:t>
      </w:r>
      <w:r>
        <w:rPr>
          <w:color w:val="000000" w:themeColor="text1"/>
          <w:highlight w:val="none"/>
          <w14:textFill>
            <w14:solidFill>
              <w14:schemeClr w14:val="tx1"/>
            </w14:solidFill>
          </w14:textFill>
        </w:rPr>
        <w:t>-11</w:t>
      </w:r>
      <w:r>
        <w:rPr>
          <w:rFonts w:hint="eastAsia" w:cs="宋体"/>
          <w:color w:val="000000" w:themeColor="text1"/>
          <w:highlight w:val="none"/>
          <w14:textFill>
            <w14:solidFill>
              <w14:schemeClr w14:val="tx1"/>
            </w14:solidFill>
          </w14:textFill>
        </w:rPr>
        <w:t>）</w:t>
      </w:r>
    </w:p>
    <w:p w14:paraId="0FEA75CD">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1.11 </w:t>
      </w:r>
      <w:r>
        <w:rPr>
          <w:rFonts w:hint="eastAsia" w:cs="宋体"/>
          <w:color w:val="000000" w:themeColor="text1"/>
          <w:highlight w:val="none"/>
          <w14:textFill>
            <w14:solidFill>
              <w14:schemeClr w14:val="tx1"/>
            </w14:solidFill>
          </w14:textFill>
        </w:rPr>
        <w:t>其他项目清单与计价汇总表（表</w:t>
      </w:r>
      <w:r>
        <w:rPr>
          <w:color w:val="000000" w:themeColor="text1"/>
          <w:highlight w:val="none"/>
          <w14:textFill>
            <w14:solidFill>
              <w14:schemeClr w14:val="tx1"/>
            </w14:solidFill>
          </w14:textFill>
        </w:rPr>
        <w:t>-12</w:t>
      </w:r>
      <w:r>
        <w:rPr>
          <w:rFonts w:hint="eastAsia" w:cs="宋体"/>
          <w:color w:val="000000" w:themeColor="text1"/>
          <w:highlight w:val="none"/>
          <w14:textFill>
            <w14:solidFill>
              <w14:schemeClr w14:val="tx1"/>
            </w14:solidFill>
          </w14:textFill>
        </w:rPr>
        <w:t>）</w:t>
      </w:r>
    </w:p>
    <w:p w14:paraId="469237C4">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1.12 </w:t>
      </w:r>
      <w:r>
        <w:rPr>
          <w:rFonts w:hint="eastAsia" w:cs="宋体"/>
          <w:color w:val="000000" w:themeColor="text1"/>
          <w:highlight w:val="none"/>
          <w14:textFill>
            <w14:solidFill>
              <w14:schemeClr w14:val="tx1"/>
            </w14:solidFill>
          </w14:textFill>
        </w:rPr>
        <w:t>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14:paraId="4B76B138">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1.13 </w:t>
      </w:r>
      <w:r>
        <w:rPr>
          <w:rFonts w:hint="eastAsia" w:cs="宋体"/>
          <w:color w:val="000000" w:themeColor="text1"/>
          <w:highlight w:val="none"/>
          <w14:textFill>
            <w14:solidFill>
              <w14:schemeClr w14:val="tx1"/>
            </w14:solidFill>
          </w14:textFill>
        </w:rPr>
        <w:t>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14:paraId="18680E63">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1.14 </w:t>
      </w:r>
      <w:r>
        <w:rPr>
          <w:rFonts w:hint="eastAsia" w:cs="宋体"/>
          <w:color w:val="000000" w:themeColor="text1"/>
          <w:highlight w:val="none"/>
          <w14:textFill>
            <w14:solidFill>
              <w14:schemeClr w14:val="tx1"/>
            </w14:solidFill>
          </w14:textFill>
        </w:rPr>
        <w:t>专业工程暂估价及结算价表（表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14:paraId="7C90AD44">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1.15</w:t>
      </w:r>
      <w:r>
        <w:rPr>
          <w:rFonts w:hint="eastAsia" w:cs="宋体"/>
          <w:color w:val="000000" w:themeColor="text1"/>
          <w:highlight w:val="none"/>
          <w14:textFill>
            <w14:solidFill>
              <w14:schemeClr w14:val="tx1"/>
            </w14:solidFill>
          </w14:textFill>
        </w:rPr>
        <w:t>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14:paraId="6DDAFA72">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1.16 </w:t>
      </w:r>
      <w:r>
        <w:rPr>
          <w:rFonts w:hint="eastAsia" w:cs="宋体"/>
          <w:color w:val="000000" w:themeColor="text1"/>
          <w:highlight w:val="none"/>
          <w14:textFill>
            <w14:solidFill>
              <w14:schemeClr w14:val="tx1"/>
            </w14:solidFill>
          </w14:textFill>
        </w:rPr>
        <w:t>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14:paraId="04BE54C7">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1.17 </w:t>
      </w:r>
      <w:r>
        <w:rPr>
          <w:rFonts w:hint="eastAsia" w:cs="宋体"/>
          <w:color w:val="000000" w:themeColor="text1"/>
          <w:highlight w:val="none"/>
          <w14:textFill>
            <w14:solidFill>
              <w14:schemeClr w14:val="tx1"/>
            </w14:solidFill>
          </w14:textFill>
        </w:rPr>
        <w:t>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14:paraId="7E7325F6">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1.18 </w:t>
      </w:r>
      <w:r>
        <w:rPr>
          <w:rFonts w:hint="eastAsia" w:cs="宋体"/>
          <w:color w:val="000000" w:themeColor="text1"/>
          <w:highlight w:val="none"/>
          <w14:textFill>
            <w14:solidFill>
              <w14:schemeClr w14:val="tx1"/>
            </w14:solidFill>
          </w14:textFill>
        </w:rPr>
        <w:t>规费、增值税计价表（表</w:t>
      </w:r>
      <w:r>
        <w:rPr>
          <w:color w:val="000000" w:themeColor="text1"/>
          <w:highlight w:val="none"/>
          <w14:textFill>
            <w14:solidFill>
              <w14:schemeClr w14:val="tx1"/>
            </w14:solidFill>
          </w14:textFill>
        </w:rPr>
        <w:t>-15</w:t>
      </w:r>
      <w:r>
        <w:rPr>
          <w:rFonts w:hint="eastAsia" w:cs="宋体"/>
          <w:color w:val="000000" w:themeColor="text1"/>
          <w:highlight w:val="none"/>
          <w14:textFill>
            <w14:solidFill>
              <w14:schemeClr w14:val="tx1"/>
            </w14:solidFill>
          </w14:textFill>
        </w:rPr>
        <w:t>）</w:t>
      </w:r>
    </w:p>
    <w:p w14:paraId="37AE7E8C">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1.19 </w:t>
      </w:r>
      <w:r>
        <w:rPr>
          <w:rFonts w:hint="eastAsia" w:cs="宋体"/>
          <w:color w:val="000000" w:themeColor="text1"/>
          <w:highlight w:val="none"/>
          <w14:textFill>
            <w14:solidFill>
              <w14:schemeClr w14:val="tx1"/>
            </w14:solidFill>
          </w14:textFill>
        </w:rPr>
        <w:t>发包人提供主要材料和工程设备一览表（表</w:t>
      </w:r>
      <w:r>
        <w:rPr>
          <w:color w:val="000000" w:themeColor="text1"/>
          <w:highlight w:val="none"/>
          <w14:textFill>
            <w14:solidFill>
              <w14:schemeClr w14:val="tx1"/>
            </w14:solidFill>
          </w14:textFill>
        </w:rPr>
        <w:t>-21</w:t>
      </w:r>
      <w:r>
        <w:rPr>
          <w:rFonts w:hint="eastAsia" w:cs="宋体"/>
          <w:color w:val="000000" w:themeColor="text1"/>
          <w:highlight w:val="none"/>
          <w14:textFill>
            <w14:solidFill>
              <w14:schemeClr w14:val="tx1"/>
            </w14:solidFill>
          </w14:textFill>
        </w:rPr>
        <w:t>）</w:t>
      </w:r>
    </w:p>
    <w:p w14:paraId="545DF40E">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1.20 </w:t>
      </w:r>
      <w:r>
        <w:rPr>
          <w:rFonts w:hint="eastAsia" w:cs="宋体"/>
          <w:color w:val="000000" w:themeColor="text1"/>
          <w:highlight w:val="none"/>
          <w14:textFill>
            <w14:solidFill>
              <w14:schemeClr w14:val="tx1"/>
            </w14:solidFill>
          </w14:textFill>
        </w:rPr>
        <w:t>允许调整主要材料和工程设备一览表（适用于造价信息差额调整法）（表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w:t>
      </w:r>
    </w:p>
    <w:p w14:paraId="3D2C5E78">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1.21 </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14:paraId="07C6880B">
      <w:pPr>
        <w:spacing w:line="360" w:lineRule="auto"/>
        <w:ind w:firstLine="63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本工程</w:t>
      </w:r>
      <w:r>
        <w:rPr>
          <w:rFonts w:cs="宋体"/>
          <w:color w:val="000000" w:themeColor="text1"/>
          <w:highlight w:val="none"/>
          <w:lang w:val="en"/>
          <w14:textFill>
            <w14:solidFill>
              <w14:schemeClr w14:val="tx1"/>
            </w14:solidFill>
          </w14:textFill>
        </w:rPr>
        <w:t>材料和工程设备</w:t>
      </w:r>
      <w:r>
        <w:rPr>
          <w:rFonts w:hint="eastAsia" w:cs="宋体"/>
          <w:color w:val="000000" w:themeColor="text1"/>
          <w:highlight w:val="none"/>
          <w14:textFill>
            <w14:solidFill>
              <w14:schemeClr w14:val="tx1"/>
            </w14:solidFill>
          </w14:textFill>
        </w:rPr>
        <w:t>一览表（表-24）</w:t>
      </w:r>
    </w:p>
    <w:p w14:paraId="413B79DF">
      <w:pPr>
        <w:spacing w:line="360" w:lineRule="auto"/>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备注：</w:t>
      </w:r>
    </w:p>
    <w:p w14:paraId="182BF096">
      <w:pPr>
        <w:spacing w:line="360" w:lineRule="auto"/>
        <w:ind w:firstLine="422"/>
        <w:rPr>
          <w:b/>
          <w:bCs/>
          <w:color w:val="000000" w:themeColor="text1"/>
          <w:highlight w:val="none"/>
          <w14:textFill>
            <w14:solidFill>
              <w14:schemeClr w14:val="tx1"/>
            </w14:solidFill>
          </w14:textFill>
        </w:rPr>
      </w:pPr>
      <w:r>
        <w:rPr>
          <w:rFonts w:hint="eastAsia" w:cs="宋体"/>
          <w:b/>
          <w:bCs/>
          <w:color w:val="000000" w:themeColor="text1"/>
          <w:highlight w:val="none"/>
          <w14:textFill>
            <w14:solidFill>
              <w14:schemeClr w14:val="tx1"/>
            </w14:solidFill>
          </w14:textFill>
        </w:rPr>
        <w:t>（</w:t>
      </w:r>
      <w:r>
        <w:rPr>
          <w:b/>
          <w:bCs/>
          <w:color w:val="000000" w:themeColor="text1"/>
          <w:highlight w:val="none"/>
          <w14:textFill>
            <w14:solidFill>
              <w14:schemeClr w14:val="tx1"/>
            </w14:solidFill>
          </w14:textFill>
        </w:rPr>
        <w:t>1</w:t>
      </w:r>
      <w:r>
        <w:rPr>
          <w:rFonts w:hint="eastAsia" w:cs="宋体"/>
          <w:b/>
          <w:bCs/>
          <w:color w:val="000000" w:themeColor="text1"/>
          <w:highlight w:val="none"/>
          <w14:textFill>
            <w14:solidFill>
              <w14:schemeClr w14:val="tx1"/>
            </w14:solidFill>
          </w14:textFill>
        </w:rPr>
        <w:t>）供应商在上传竞标报价文件时应上传纸质投标总价封面的原件扫描件。</w:t>
      </w:r>
      <w:r>
        <w:rPr>
          <w:rFonts w:hint="eastAsia" w:cs="宋体"/>
          <w:b/>
          <w:bCs/>
          <w:color w:val="000000" w:themeColor="text1"/>
          <w:highlight w:val="none"/>
          <w:lang w:eastAsia="zh-CN"/>
          <w14:textFill>
            <w14:solidFill>
              <w14:schemeClr w14:val="tx1"/>
            </w14:solidFill>
          </w14:textFill>
        </w:rPr>
        <w:t>竞</w:t>
      </w:r>
      <w:r>
        <w:rPr>
          <w:rFonts w:hint="eastAsia" w:cs="宋体"/>
          <w:b/>
          <w:bCs/>
          <w:color w:val="000000" w:themeColor="text1"/>
          <w:highlight w:val="none"/>
          <w14:textFill>
            <w14:solidFill>
              <w14:schemeClr w14:val="tx1"/>
            </w14:solidFill>
          </w14:textFill>
        </w:rPr>
        <w:t>标总价封面必须经供应商盖章，并由法定代表人（或其授权人）签字（或盖章），同时由编制人签字盖专用章。</w:t>
      </w:r>
    </w:p>
    <w:p w14:paraId="32027406">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1.8</w:t>
      </w:r>
      <w:r>
        <w:rPr>
          <w:rFonts w:hint="eastAsia" w:cs="宋体"/>
          <w:color w:val="000000" w:themeColor="text1"/>
          <w:highlight w:val="none"/>
          <w14:textFill>
            <w14:solidFill>
              <w14:schemeClr w14:val="tx1"/>
            </w14:solidFill>
          </w14:textFill>
        </w:rPr>
        <w:t>工程量清单综合单价分析表和</w:t>
      </w:r>
      <w:r>
        <w:rPr>
          <w:color w:val="000000" w:themeColor="text1"/>
          <w:highlight w:val="none"/>
          <w14:textFill>
            <w14:solidFill>
              <w14:schemeClr w14:val="tx1"/>
            </w14:solidFill>
          </w14:textFill>
        </w:rPr>
        <w:t>1.9</w:t>
      </w:r>
      <w:r>
        <w:rPr>
          <w:rFonts w:hint="eastAsia" w:cs="宋体"/>
          <w:color w:val="000000" w:themeColor="text1"/>
          <w:highlight w:val="none"/>
          <w14:textFill>
            <w14:solidFill>
              <w14:schemeClr w14:val="tx1"/>
            </w14:solidFill>
          </w14:textFill>
        </w:rPr>
        <w:t>主要清单项目工料机分析表要求附上。</w:t>
      </w:r>
    </w:p>
    <w:p w14:paraId="06654BC7">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）已标价工程量清单表格要严格按照招标工程量清单给出的表格要求和内容填报。如本工程在合同中约定采用造价信息价差调整法，1.</w:t>
      </w: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允许调整主要材料和工程设备一览表（适用于造价信息差额调整法）（表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载明的主要材料和工程设备为本工程允许调整的材料和工程设备，招标工程量清单必须提供该表格，且不能提供空白表。以下表格视工程实际需要选用，如该工程不发生如下表格相关项目和费用，招标工程量清单不应列入该部分表格，已标价工程量清单亦不包括这部分表格。</w:t>
      </w:r>
    </w:p>
    <w:p w14:paraId="70EA9E7B">
      <w:pPr>
        <w:spacing w:line="360" w:lineRule="auto"/>
        <w:ind w:firstLine="42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w:t>
      </w:r>
      <w:r>
        <w:rPr>
          <w:rFonts w:hint="eastAsia" w:cs="宋体"/>
          <w:color w:val="000000" w:themeColor="text1"/>
          <w:highlight w:val="none"/>
          <w14:textFill>
            <w14:solidFill>
              <w14:schemeClr w14:val="tx1"/>
            </w14:solidFill>
          </w14:textFill>
        </w:rPr>
        <w:t>建设项目投标报价汇总表（表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14:paraId="505BBC11">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②暂列金额明细表（表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14:paraId="3A970EA8">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③材料（工程设备）暂估单位及调整表（表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14:paraId="0B65F872">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④专业工程暂估价及结算价表（表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14:paraId="0847AFBB">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⑤计日工表表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14:paraId="12A35431">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⑥总承包服务费计价表（表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14:paraId="63ED8635">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⑦税前项目清单与计价表（表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14:paraId="5AE33A3D">
      <w:pPr>
        <w:spacing w:line="360" w:lineRule="auto"/>
        <w:ind w:firstLine="420"/>
        <w:rPr>
          <w:rFonts w:cs="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w:instrText>
      </w:r>
      <w:r>
        <w:rPr>
          <w:rFonts w:hint="eastAsia"/>
          <w:color w:val="000000" w:themeColor="text1"/>
          <w:highlight w:val="none"/>
          <w14:textFill>
            <w14:solidFill>
              <w14:schemeClr w14:val="tx1"/>
            </w14:solidFill>
          </w14:textFill>
        </w:rPr>
        <w:instrText xml:space="preserve">= 8 \* GB3</w:instrText>
      </w:r>
      <w:r>
        <w:rPr>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⑧</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14:paraId="4CE87FB2">
      <w:pPr>
        <w:spacing w:line="360" w:lineRule="auto"/>
        <w:ind w:firstLine="420"/>
        <w:contextualSpacing/>
        <w:jc w:val="left"/>
        <w:rPr>
          <w:rFonts w:hint="eastAsia" w:hAnsi="宋体" w:cs="宋体"/>
          <w:color w:val="000000" w:themeColor="text1"/>
          <w:highlight w:val="none"/>
          <w:lang w:val="en"/>
          <w14:textFill>
            <w14:solidFill>
              <w14:schemeClr w14:val="tx1"/>
            </w14:solidFill>
          </w14:textFill>
        </w:rPr>
      </w:pPr>
      <w:r>
        <w:rPr>
          <w:rFonts w:hint="eastAsia" w:cs="宋体"/>
          <w:color w:val="000000" w:themeColor="text1"/>
          <w:highlight w:val="none"/>
          <w14:textFill>
            <w14:solidFill>
              <w14:schemeClr w14:val="tx1"/>
            </w14:solidFill>
          </w14:textFill>
        </w:rPr>
        <w:t>注：</w:t>
      </w:r>
      <w:r>
        <w:rPr>
          <w:rFonts w:hint="eastAsia" w:hAnsi="宋体" w:cs="宋体"/>
          <w:color w:val="000000" w:themeColor="text1"/>
          <w:highlight w:val="none"/>
          <w:lang w:val="en"/>
          <w14:textFill>
            <w14:solidFill>
              <w14:schemeClr w14:val="tx1"/>
            </w14:solidFill>
          </w14:textFill>
        </w:rPr>
        <w:t>因</w:t>
      </w:r>
      <w:r>
        <w:rPr>
          <w:rFonts w:hint="eastAsia" w:hAnsi="宋体" w:cs="宋体"/>
          <w:color w:val="000000" w:themeColor="text1"/>
          <w:highlight w:val="none"/>
          <w14:textFill>
            <w14:solidFill>
              <w14:schemeClr w14:val="tx1"/>
            </w14:solidFill>
          </w14:textFill>
        </w:rPr>
        <w:t>2021年《广西壮族自治区</w:t>
      </w:r>
      <w:r>
        <w:rPr>
          <w:rFonts w:hint="eastAsia" w:hAnsi="宋体" w:cs="宋体"/>
          <w:color w:val="000000" w:themeColor="text1"/>
          <w:highlight w:val="none"/>
          <w:lang w:val="en"/>
          <w14:textFill>
            <w14:solidFill>
              <w14:schemeClr w14:val="tx1"/>
            </w14:solidFill>
          </w14:textFill>
        </w:rPr>
        <w:t>园林绿化及仿古建筑工程费用定额</w:t>
      </w:r>
      <w:r>
        <w:rPr>
          <w:rFonts w:hint="eastAsia" w:hAnsi="宋体" w:cs="宋体"/>
          <w:color w:val="000000" w:themeColor="text1"/>
          <w:highlight w:val="none"/>
          <w14:textFill>
            <w14:solidFill>
              <w14:schemeClr w14:val="tx1"/>
            </w14:solidFill>
          </w14:textFill>
        </w:rPr>
        <w:t>》采用全费用综合单价形式，故园林绿化及仿古建筑工程的已标价工程量清单</w:t>
      </w:r>
      <w:r>
        <w:rPr>
          <w:rFonts w:hint="eastAsia" w:cs="黑体"/>
          <w:color w:val="000000" w:themeColor="text1"/>
          <w:highlight w:val="none"/>
          <w14:textFill>
            <w14:solidFill>
              <w14:schemeClr w14:val="tx1"/>
            </w14:solidFill>
          </w14:textFill>
        </w:rPr>
        <w:t>采用</w:t>
      </w:r>
      <w:r>
        <w:rPr>
          <w:rFonts w:hint="eastAsia" w:hAnsi="宋体" w:cs="宋体"/>
          <w:color w:val="000000" w:themeColor="text1"/>
          <w:highlight w:val="none"/>
          <w:lang w:val="en"/>
          <w14:textFill>
            <w14:solidFill>
              <w14:schemeClr w14:val="tx1"/>
            </w14:solidFill>
          </w14:textFill>
        </w:rPr>
        <w:t>《自治区住房和城乡建设厅关于建设工程造价改革试点项目招投标及计价规定调整的通知》（桂建标〔2021〕6号）中附件1《建设工程工程量清单计价规范（GB50500-2013）广西壮族自治区实施细则》（适用于工程造价改革试点项目）相关表格，具体以招标人另册发放的工程量清单及相关说明为准。</w:t>
      </w:r>
    </w:p>
    <w:p w14:paraId="2D6D6C5B">
      <w:pPr>
        <w:spacing w:line="360" w:lineRule="auto"/>
        <w:contextualSpacing/>
        <w:jc w:val="center"/>
        <w:rPr>
          <w:rFonts w:hint="eastAsia" w:ascii="宋体" w:hAnsi="宋体"/>
          <w:b/>
          <w:bCs/>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p>
    <w:p w14:paraId="59E2B154">
      <w:pPr>
        <w:spacing w:line="360" w:lineRule="auto"/>
        <w:ind w:firstLine="643"/>
        <w:contextualSpacing/>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w:t>
      </w:r>
      <w:r>
        <w:rPr>
          <w:rFonts w:hint="eastAsia" w:ascii="宋体" w:hAnsi="宋体"/>
          <w:b/>
          <w:color w:val="000000" w:themeColor="text1"/>
          <w:sz w:val="32"/>
          <w:szCs w:val="32"/>
          <w:highlight w:val="none"/>
          <w14:textFill>
            <w14:solidFill>
              <w14:schemeClr w14:val="tx1"/>
            </w14:solidFill>
          </w14:textFill>
        </w:rPr>
        <w:t>商务技术文件格式</w:t>
      </w:r>
    </w:p>
    <w:p w14:paraId="68B9CE49">
      <w:pPr>
        <w:spacing w:before="120" w:after="50" w:line="360" w:lineRule="auto"/>
        <w:jc w:val="left"/>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1.商务技术文件封面格式</w:t>
      </w:r>
    </w:p>
    <w:p w14:paraId="3B2BC081">
      <w:pPr>
        <w:spacing w:before="120" w:after="50"/>
        <w:rPr>
          <w:rFonts w:hint="eastAsia" w:ascii="宋体" w:hAnsi="宋体"/>
          <w:bCs/>
          <w:color w:val="000000" w:themeColor="text1"/>
          <w:sz w:val="32"/>
          <w:szCs w:val="20"/>
          <w:highlight w:val="none"/>
          <w14:textFill>
            <w14:solidFill>
              <w14:schemeClr w14:val="tx1"/>
            </w14:solidFill>
          </w14:textFill>
        </w:rPr>
      </w:pPr>
    </w:p>
    <w:p w14:paraId="1884E39E">
      <w:pPr>
        <w:spacing w:before="120" w:after="5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3D1CD434">
      <w:pPr>
        <w:spacing w:before="120" w:after="50"/>
        <w:rPr>
          <w:rFonts w:hint="eastAsia" w:ascii="宋体" w:hAnsi="宋体"/>
          <w:color w:val="000000" w:themeColor="text1"/>
          <w:sz w:val="24"/>
          <w:szCs w:val="20"/>
          <w:highlight w:val="none"/>
          <w14:textFill>
            <w14:solidFill>
              <w14:schemeClr w14:val="tx1"/>
            </w14:solidFill>
          </w14:textFill>
        </w:rPr>
      </w:pPr>
    </w:p>
    <w:p w14:paraId="1605A463">
      <w:pPr>
        <w:spacing w:before="120" w:after="50"/>
        <w:rPr>
          <w:rFonts w:hint="eastAsia" w:ascii="宋体" w:hAnsi="宋体"/>
          <w:color w:val="000000" w:themeColor="text1"/>
          <w:sz w:val="24"/>
          <w:szCs w:val="20"/>
          <w:highlight w:val="none"/>
          <w14:textFill>
            <w14:solidFill>
              <w14:schemeClr w14:val="tx1"/>
            </w14:solidFill>
          </w14:textFill>
        </w:rPr>
      </w:pPr>
    </w:p>
    <w:p w14:paraId="7180271B">
      <w:pPr>
        <w:spacing w:before="12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  务  技  术  文  件</w:t>
      </w:r>
    </w:p>
    <w:p w14:paraId="5C69190A">
      <w:pPr>
        <w:spacing w:before="120" w:after="50"/>
        <w:rPr>
          <w:rFonts w:hint="eastAsia" w:ascii="宋体" w:hAnsi="宋体"/>
          <w:bCs/>
          <w:color w:val="000000" w:themeColor="text1"/>
          <w:sz w:val="24"/>
          <w:szCs w:val="20"/>
          <w:highlight w:val="none"/>
          <w14:textFill>
            <w14:solidFill>
              <w14:schemeClr w14:val="tx1"/>
            </w14:solidFill>
          </w14:textFill>
        </w:rPr>
      </w:pPr>
    </w:p>
    <w:p w14:paraId="46F27391">
      <w:pPr>
        <w:spacing w:before="120" w:after="50"/>
        <w:rPr>
          <w:rFonts w:hint="eastAsia" w:ascii="宋体" w:hAnsi="宋体"/>
          <w:bCs/>
          <w:color w:val="000000" w:themeColor="text1"/>
          <w:sz w:val="24"/>
          <w:szCs w:val="20"/>
          <w:highlight w:val="none"/>
          <w14:textFill>
            <w14:solidFill>
              <w14:schemeClr w14:val="tx1"/>
            </w14:solidFill>
          </w14:textFill>
        </w:rPr>
      </w:pPr>
    </w:p>
    <w:p w14:paraId="5E4860D5">
      <w:pPr>
        <w:spacing w:before="120" w:after="50"/>
        <w:rPr>
          <w:rFonts w:hint="eastAsia" w:ascii="宋体" w:hAnsi="宋体"/>
          <w:bCs/>
          <w:color w:val="000000" w:themeColor="text1"/>
          <w:sz w:val="24"/>
          <w:szCs w:val="20"/>
          <w:highlight w:val="none"/>
          <w14:textFill>
            <w14:solidFill>
              <w14:schemeClr w14:val="tx1"/>
            </w14:solidFill>
          </w14:textFill>
        </w:rPr>
      </w:pPr>
    </w:p>
    <w:p w14:paraId="19B7BF72">
      <w:pPr>
        <w:spacing w:before="120" w:after="50"/>
        <w:rPr>
          <w:rFonts w:hint="eastAsia" w:ascii="宋体" w:hAnsi="宋体"/>
          <w:bCs/>
          <w:color w:val="000000" w:themeColor="text1"/>
          <w:sz w:val="24"/>
          <w:szCs w:val="20"/>
          <w:highlight w:val="none"/>
          <w14:textFill>
            <w14:solidFill>
              <w14:schemeClr w14:val="tx1"/>
            </w14:solidFill>
          </w14:textFill>
        </w:rPr>
      </w:pPr>
    </w:p>
    <w:p w14:paraId="393839C1">
      <w:pPr>
        <w:spacing w:before="120" w:after="50"/>
        <w:rPr>
          <w:rFonts w:hint="eastAsia" w:ascii="宋体" w:hAnsi="宋体"/>
          <w:bCs/>
          <w:color w:val="000000" w:themeColor="text1"/>
          <w:sz w:val="24"/>
          <w:szCs w:val="20"/>
          <w:highlight w:val="none"/>
          <w14:textFill>
            <w14:solidFill>
              <w14:schemeClr w14:val="tx1"/>
            </w14:solidFill>
          </w14:textFill>
        </w:rPr>
      </w:pPr>
    </w:p>
    <w:p w14:paraId="3D0C6393">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1F54DCAA">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p>
    <w:p w14:paraId="15A22C91">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0994831B">
      <w:pPr>
        <w:spacing w:before="120" w:after="50"/>
        <w:rPr>
          <w:rFonts w:hint="eastAsia" w:ascii="宋体" w:hAnsi="宋体" w:cs="仿宋_GB2312"/>
          <w:bCs/>
          <w:color w:val="000000" w:themeColor="text1"/>
          <w:sz w:val="32"/>
          <w:szCs w:val="32"/>
          <w:highlight w:val="none"/>
          <w14:textFill>
            <w14:solidFill>
              <w14:schemeClr w14:val="tx1"/>
            </w14:solidFill>
          </w14:textFill>
        </w:rPr>
      </w:pPr>
    </w:p>
    <w:p w14:paraId="217660C7">
      <w:pPr>
        <w:pStyle w:val="7"/>
        <w:spacing w:before="5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556B6E16">
      <w:pPr>
        <w:pStyle w:val="7"/>
        <w:spacing w:before="50" w:after="50"/>
        <w:ind w:firstLine="640"/>
        <w:rPr>
          <w:rFonts w:hint="eastAsia" w:ascii="宋体" w:hAnsi="宋体" w:cs="仿宋_GB2312"/>
          <w:bCs/>
          <w:color w:val="000000" w:themeColor="text1"/>
          <w:sz w:val="32"/>
          <w:szCs w:val="32"/>
          <w:highlight w:val="none"/>
          <w14:textFill>
            <w14:solidFill>
              <w14:schemeClr w14:val="tx1"/>
            </w14:solidFill>
          </w14:textFill>
        </w:rPr>
      </w:pPr>
    </w:p>
    <w:p w14:paraId="156B19E3">
      <w:pPr>
        <w:pStyle w:val="7"/>
        <w:spacing w:before="50" w:after="50"/>
        <w:ind w:firstLine="720"/>
        <w:rPr>
          <w:rFonts w:hint="eastAsia" w:ascii="宋体" w:hAnsi="宋体" w:cs="仿宋_GB2312"/>
          <w:bCs/>
          <w:color w:val="000000" w:themeColor="text1"/>
          <w:sz w:val="32"/>
          <w:szCs w:val="32"/>
          <w:highlight w:val="none"/>
          <w14:textFill>
            <w14:solidFill>
              <w14:schemeClr w14:val="tx1"/>
            </w14:solidFill>
          </w14:textFill>
        </w:rPr>
      </w:pPr>
    </w:p>
    <w:p w14:paraId="48CCCF6A">
      <w:pPr>
        <w:pStyle w:val="7"/>
        <w:spacing w:before="50" w:after="50"/>
        <w:ind w:firstLine="0"/>
        <w:rPr>
          <w:rFonts w:hint="eastAsia" w:ascii="宋体" w:hAnsi="宋体" w:cs="仿宋_GB2312"/>
          <w:bCs/>
          <w:color w:val="000000" w:themeColor="text1"/>
          <w:sz w:val="32"/>
          <w:szCs w:val="32"/>
          <w:highlight w:val="none"/>
          <w14:textFill>
            <w14:solidFill>
              <w14:schemeClr w14:val="tx1"/>
            </w14:solidFill>
          </w14:textFill>
        </w:rPr>
      </w:pPr>
    </w:p>
    <w:p w14:paraId="743DE6F4">
      <w:pPr>
        <w:pStyle w:val="7"/>
        <w:spacing w:before="50" w:after="50"/>
        <w:ind w:firstLine="1280"/>
        <w:rPr>
          <w:rFonts w:hint="eastAsia" w:ascii="宋体" w:hAnsi="宋体" w:cs="仿宋_GB2312"/>
          <w:bCs/>
          <w:color w:val="000000" w:themeColor="text1"/>
          <w:sz w:val="32"/>
          <w:szCs w:val="32"/>
          <w:highlight w:val="none"/>
          <w14:textFill>
            <w14:solidFill>
              <w14:schemeClr w14:val="tx1"/>
            </w14:solidFill>
          </w14:textFill>
        </w:rPr>
      </w:pPr>
    </w:p>
    <w:p w14:paraId="05D2097E">
      <w:pPr>
        <w:spacing w:before="12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65C2DB25">
      <w:pPr>
        <w:spacing w:before="120" w:after="50" w:line="360" w:lineRule="auto"/>
        <w:ind w:right="480" w:firstLine="240"/>
        <w:jc w:val="left"/>
        <w:rPr>
          <w:rFonts w:hint="eastAsia" w:ascii="宋体" w:hAnsi="宋体"/>
          <w:b/>
          <w:bCs/>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2.商务技术文件目录</w:t>
      </w:r>
    </w:p>
    <w:p w14:paraId="7F5E195E">
      <w:pPr>
        <w:spacing w:before="120" w:after="50" w:line="360" w:lineRule="auto"/>
        <w:ind w:firstLine="640"/>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14:paraId="58001FD0">
      <w:pPr>
        <w:spacing w:line="4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17D1415C">
      <w:pPr>
        <w:spacing w:line="52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无串通竞标行为的承诺函</w:t>
      </w:r>
    </w:p>
    <w:p w14:paraId="51C5353F">
      <w:pPr>
        <w:spacing w:line="360" w:lineRule="auto"/>
        <w:ind w:firstLine="640"/>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15988F07">
      <w:pPr>
        <w:spacing w:line="360" w:lineRule="auto"/>
        <w:ind w:firstLine="482"/>
        <w:contextualSpacing/>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一、我方承诺无下列相互串通竞标的情形：</w:t>
      </w:r>
    </w:p>
    <w:p w14:paraId="18B3AA8E">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1.不同供应商的响应文件由同一单位或者个人编制； </w:t>
      </w:r>
    </w:p>
    <w:p w14:paraId="3FA2C71A">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2.不同供应商委托同一单位或者个人办理竞标事宜；</w:t>
      </w:r>
    </w:p>
    <w:p w14:paraId="62BD0F27">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3.不同供应商的响应文件载明的项目管理员为同一个人；</w:t>
      </w:r>
    </w:p>
    <w:p w14:paraId="09FB3BCA">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4.不</w:t>
      </w:r>
      <w:r>
        <w:rPr>
          <w:rFonts w:hint="eastAsia" w:ascii="宋体" w:hAnsi="宋体" w:cs="仿宋_GB2312"/>
          <w:color w:val="000000" w:themeColor="text1"/>
          <w:spacing w:val="-6"/>
          <w:sz w:val="24"/>
          <w:highlight w:val="none"/>
          <w14:textFill>
            <w14:solidFill>
              <w14:schemeClr w14:val="tx1"/>
            </w14:solidFill>
          </w14:textFill>
        </w:rPr>
        <w:t>同供应商的响应文件异常一致或者竞标报价呈规律性差异；</w:t>
      </w:r>
    </w:p>
    <w:p w14:paraId="06316816">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5.不同供应商的响应文件相互混装；</w:t>
      </w:r>
    </w:p>
    <w:p w14:paraId="3072D435">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6.不同供应商的磋商保证金从同一单位或者个人账户转出。</w:t>
      </w:r>
    </w:p>
    <w:p w14:paraId="4043C248">
      <w:pPr>
        <w:spacing w:line="360" w:lineRule="auto"/>
        <w:ind w:firstLine="482"/>
        <w:contextualSpacing/>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二、我方承诺无下列恶意串通的情形：</w:t>
      </w:r>
    </w:p>
    <w:p w14:paraId="02811382">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2CD6236A">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2.供应商按照采购人或者采购代理机构的授意撤换、修改响应文件；</w:t>
      </w:r>
    </w:p>
    <w:p w14:paraId="2E197466">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w:t>
      </w:r>
      <w:r>
        <w:rPr>
          <w:rFonts w:hint="eastAsia" w:ascii="宋体" w:hAnsi="宋体" w:cs="仿宋_GB2312"/>
          <w:color w:val="000000" w:themeColor="text1"/>
          <w:spacing w:val="-6"/>
          <w:sz w:val="24"/>
          <w:highlight w:val="none"/>
          <w14:textFill>
            <w14:solidFill>
              <w14:schemeClr w14:val="tx1"/>
            </w14:solidFill>
          </w14:textFill>
        </w:rPr>
        <w:t>应商之间协商报价、技术方案等响应文件的实质性内容；</w:t>
      </w:r>
    </w:p>
    <w:p w14:paraId="21934433">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4.属于同一集团、协会、商会等组织成员的供应商按照该组织要求协同参加政府采购活动；</w:t>
      </w:r>
    </w:p>
    <w:p w14:paraId="29AC1585">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49C2639C">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6.供应商之间商定部分供应商放弃参加政府采购活动或者放弃成交；</w:t>
      </w:r>
    </w:p>
    <w:p w14:paraId="41743EC6">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highlight w:val="none"/>
          <w14:textFill>
            <w14:solidFill>
              <w14:schemeClr w14:val="tx1"/>
            </w14:solidFill>
          </w14:textFill>
        </w:rPr>
        <w:t>谋求特定供应商成交或者排斥其他供应商的其他串通行为。</w:t>
      </w:r>
    </w:p>
    <w:p w14:paraId="23990960">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p>
    <w:p w14:paraId="41095A60">
      <w:pPr>
        <w:spacing w:line="360" w:lineRule="auto"/>
        <w:ind w:firstLine="482"/>
        <w:contextualSpacing/>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1EDCFF0D">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1F3157F6">
      <w:pPr>
        <w:spacing w:line="360" w:lineRule="auto"/>
        <w:ind w:firstLine="36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430841B9">
      <w:pPr>
        <w:spacing w:line="360" w:lineRule="auto"/>
        <w:ind w:firstLine="480"/>
        <w:contextualSpacing/>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2ECE2961">
      <w:pPr>
        <w:spacing w:line="52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clear="all"/>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法定代表人证明书</w:t>
      </w:r>
    </w:p>
    <w:p w14:paraId="3616398B">
      <w:pPr>
        <w:spacing w:line="360" w:lineRule="auto"/>
        <w:ind w:left="540"/>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0DAA5208">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w:t>
      </w:r>
      <w:r>
        <w:rPr>
          <w:rFonts w:hint="eastAsia" w:ascii="宋体" w:hAnsi="宋体" w:cs="宋体"/>
          <w:color w:val="000000" w:themeColor="text1"/>
          <w:sz w:val="24"/>
          <w:highlight w:val="none"/>
          <w:u w:val="single"/>
          <w14:textFill>
            <w14:solidFill>
              <w14:schemeClr w14:val="tx1"/>
            </w14:solidFill>
          </w14:textFill>
        </w:rPr>
        <w:t xml:space="preserve">                                         </w:t>
      </w:r>
    </w:p>
    <w:p w14:paraId="5A19A9C9">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 xml:space="preserve">                                           </w:t>
      </w:r>
    </w:p>
    <w:p w14:paraId="25937CA8">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性     别：</w:t>
      </w:r>
      <w:r>
        <w:rPr>
          <w:rFonts w:hint="eastAsia" w:ascii="宋体" w:hAnsi="宋体" w:cs="宋体"/>
          <w:color w:val="000000" w:themeColor="text1"/>
          <w:sz w:val="24"/>
          <w:highlight w:val="none"/>
          <w:u w:val="single"/>
          <w14:textFill>
            <w14:solidFill>
              <w14:schemeClr w14:val="tx1"/>
            </w14:solidFill>
          </w14:textFill>
        </w:rPr>
        <w:t xml:space="preserve">                </w:t>
      </w:r>
    </w:p>
    <w:p w14:paraId="2621FD71">
      <w:pPr>
        <w:spacing w:line="360" w:lineRule="auto"/>
        <w:ind w:left="54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职     务：</w:t>
      </w:r>
      <w:r>
        <w:rPr>
          <w:rFonts w:hint="eastAsia" w:ascii="宋体" w:hAnsi="宋体" w:cs="宋体"/>
          <w:color w:val="000000" w:themeColor="text1"/>
          <w:sz w:val="24"/>
          <w:highlight w:val="none"/>
          <w:u w:val="single"/>
          <w14:textFill>
            <w14:solidFill>
              <w14:schemeClr w14:val="tx1"/>
            </w14:solidFill>
          </w14:textFill>
        </w:rPr>
        <w:t xml:space="preserve">                </w:t>
      </w:r>
    </w:p>
    <w:p w14:paraId="0104ABAD">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身份证号码：</w:t>
      </w:r>
      <w:r>
        <w:rPr>
          <w:rFonts w:hint="eastAsia" w:ascii="宋体" w:hAnsi="宋体" w:cs="宋体"/>
          <w:color w:val="000000" w:themeColor="text1"/>
          <w:sz w:val="24"/>
          <w:highlight w:val="none"/>
          <w:u w:val="single"/>
          <w14:textFill>
            <w14:solidFill>
              <w14:schemeClr w14:val="tx1"/>
            </w14:solidFill>
          </w14:textFill>
        </w:rPr>
        <w:t xml:space="preserve">                                        </w:t>
      </w:r>
    </w:p>
    <w:p w14:paraId="2B3AB43C">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的法定代表人。</w:t>
      </w:r>
    </w:p>
    <w:p w14:paraId="062137F8">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14:paraId="436CDFBA">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42CFAE5C">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3460E207">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03CC01E2">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附件：法定代表人有效身份证正反面复印件</w:t>
      </w:r>
    </w:p>
    <w:p w14:paraId="4470FEB0">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3DE779A2">
      <w:pPr>
        <w:spacing w:line="360" w:lineRule="auto"/>
        <w:ind w:left="540" w:firstLine="3000"/>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74321191">
      <w:pPr>
        <w:spacing w:line="360" w:lineRule="auto"/>
        <w:ind w:firstLine="40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月  日</w:t>
      </w:r>
    </w:p>
    <w:p w14:paraId="3FD8E016">
      <w:pPr>
        <w:spacing w:line="360" w:lineRule="auto"/>
        <w:contextualSpacing/>
        <w:jc w:val="center"/>
        <w:rPr>
          <w:rFonts w:hint="eastAsia" w:ascii="宋体" w:hAnsi="宋体" w:cs="仿宋_GB2312"/>
          <w:b/>
          <w:color w:val="000000" w:themeColor="text1"/>
          <w:sz w:val="24"/>
          <w:highlight w:val="none"/>
          <w14:textFill>
            <w14:solidFill>
              <w14:schemeClr w14:val="tx1"/>
            </w14:solidFill>
          </w14:textFill>
        </w:rPr>
      </w:pPr>
    </w:p>
    <w:p w14:paraId="7E1981EE">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p>
    <w:p w14:paraId="339A94C7">
      <w:pPr>
        <w:spacing w:line="300" w:lineRule="auto"/>
        <w:jc w:val="left"/>
        <w:rPr>
          <w:rFonts w:hint="eastAsia" w:ascii="宋体" w:hAnsi="宋体"/>
          <w:b/>
          <w:color w:val="000000" w:themeColor="text1"/>
          <w:szCs w:val="21"/>
          <w:highlight w:val="none"/>
          <w14:textFill>
            <w14:solidFill>
              <w14:schemeClr w14:val="tx1"/>
            </w14:solidFill>
          </w14:textFill>
        </w:rPr>
      </w:pPr>
    </w:p>
    <w:p w14:paraId="4C4A5FF2">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clear="all"/>
      </w:r>
    </w:p>
    <w:p w14:paraId="5C4FB5F5">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bookmarkStart w:id="110" w:name="_Hlk65853643"/>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7904592F">
      <w:pPr>
        <w:spacing w:line="520" w:lineRule="exact"/>
        <w:jc w:val="cente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（非联合体竞标格式）</w:t>
      </w:r>
    </w:p>
    <w:p w14:paraId="36DE5078">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（如有委托时）</w:t>
      </w:r>
    </w:p>
    <w:p w14:paraId="09C1D0C2">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6B7248B0">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致：</w:t>
      </w:r>
      <w:r>
        <w:rPr>
          <w:rFonts w:hint="eastAsia" w:ascii="宋体" w:hAnsi="宋体" w:cs="仿宋_GB2312"/>
          <w:color w:val="000000" w:themeColor="text1"/>
          <w:sz w:val="24"/>
          <w:highlight w:val="none"/>
          <w:u w:val="single"/>
          <w:lang w:eastAsia="zh-CN"/>
          <w14:textFill>
            <w14:solidFill>
              <w14:schemeClr w14:val="tx1"/>
            </w14:solidFill>
          </w14:textFill>
        </w:rPr>
        <w:t>平南县江南中心幼儿园</w:t>
      </w:r>
      <w:r>
        <w:rPr>
          <w:rFonts w:hint="eastAsia" w:ascii="宋体" w:hAnsi="宋体" w:cs="仿宋_GB2312"/>
          <w:color w:val="000000" w:themeColor="text1"/>
          <w:sz w:val="24"/>
          <w:highlight w:val="none"/>
          <w14:textFill>
            <w14:solidFill>
              <w14:schemeClr w14:val="tx1"/>
            </w14:solidFill>
          </w14:textFill>
        </w:rPr>
        <w:t>：</w:t>
      </w:r>
    </w:p>
    <w:p w14:paraId="1A5B7A35">
      <w:pPr>
        <w:spacing w:line="360" w:lineRule="auto"/>
        <w:ind w:firstLine="48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 xml:space="preserve">  （供应商名称）  </w:t>
      </w:r>
      <w:r>
        <w:rPr>
          <w:rFonts w:hint="eastAsia" w:ascii="宋体" w:hAnsi="宋体" w:cs="仿宋_GB2312"/>
          <w:color w:val="000000" w:themeColor="text1"/>
          <w:sz w:val="24"/>
          <w:highlight w:val="none"/>
          <w14:textFill>
            <w14:solidFill>
              <w14:schemeClr w14:val="tx1"/>
            </w14:solidFill>
          </w14:textFill>
        </w:rPr>
        <w:t>的（</w:t>
      </w:r>
      <w:r>
        <w:rPr>
          <w:rFonts w:hint="eastAsia" w:ascii="宋体" w:hAnsi="宋体" w:cs="仿宋_GB2312"/>
          <w:color w:val="000000" w:themeColor="text1"/>
          <w:sz w:val="24"/>
          <w:highlight w:val="none"/>
          <w:u w:val="single"/>
          <w14:textFill>
            <w14:solidFill>
              <w14:schemeClr w14:val="tx1"/>
            </w14:solidFill>
          </w14:textFill>
        </w:rPr>
        <w:t>□法定代表人/□负责人</w:t>
      </w:r>
      <w:r>
        <w:rPr>
          <w:rFonts w:hint="eastAsia" w:ascii="宋体" w:hAnsi="宋体" w:cs="仿宋_GB2312"/>
          <w:color w:val="000000" w:themeColor="text1"/>
          <w:sz w:val="24"/>
          <w:highlight w:val="none"/>
          <w14:textFill>
            <w14:solidFill>
              <w14:schemeClr w14:val="tx1"/>
            </w14:solidFill>
          </w14:textFill>
        </w:rPr>
        <w:t>），现授权</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以我方的名义参加项目的竞标活动，并代表我方全权办理针对上述项目的所有采购程序和环节的具体事务和签署相关文件。</w:t>
      </w:r>
    </w:p>
    <w:p w14:paraId="426BF6E1">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我方对委托代理人的签字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事项负全部责任。</w:t>
      </w:r>
    </w:p>
    <w:p w14:paraId="42EAF559">
      <w:pPr>
        <w:spacing w:line="360" w:lineRule="auto"/>
        <w:ind w:firstLine="48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4AD3287B">
      <w:pPr>
        <w:spacing w:line="360" w:lineRule="auto"/>
        <w:ind w:firstLine="48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21C4C5A9">
      <w:pPr>
        <w:spacing w:line="360" w:lineRule="auto"/>
        <w:ind w:firstLine="48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附：法定代表人身份证明书及委托代理人有效身份证正反面复印件</w:t>
      </w:r>
    </w:p>
    <w:p w14:paraId="14DFA91B">
      <w:pPr>
        <w:spacing w:line="360" w:lineRule="auto"/>
        <w:rPr>
          <w:rFonts w:hint="eastAsia" w:ascii="宋体" w:hAnsi="宋体" w:cs="仿宋_GB2312"/>
          <w:color w:val="000000" w:themeColor="text1"/>
          <w:sz w:val="24"/>
          <w:highlight w:val="none"/>
          <w14:textFill>
            <w14:solidFill>
              <w14:schemeClr w14:val="tx1"/>
            </w14:solidFill>
          </w14:textFill>
        </w:rPr>
      </w:pPr>
    </w:p>
    <w:p w14:paraId="4868C140">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委托代理人（签字或者盖章或者电子签名）： </w:t>
      </w:r>
    </w:p>
    <w:p w14:paraId="567C1073">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委托代理人身份证号码： </w:t>
      </w:r>
    </w:p>
    <w:p w14:paraId="1051B9C6">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636739F0">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法定代表人（签字或者盖章或者电子签名）：                    </w:t>
      </w:r>
    </w:p>
    <w:p w14:paraId="0A2690D2">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p>
    <w:p w14:paraId="048E7999">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68DB83A0">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供应商（电子签章）：                      </w:t>
      </w:r>
    </w:p>
    <w:p w14:paraId="48556EEF">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108DB08D">
      <w:pPr>
        <w:spacing w:line="360" w:lineRule="auto"/>
        <w:rPr>
          <w:rFonts w:hint="eastAsia" w:ascii="宋体" w:hAnsi="宋体" w:cs="仿宋_GB2312"/>
          <w:color w:val="000000" w:themeColor="text1"/>
          <w:sz w:val="24"/>
          <w:highlight w:val="none"/>
          <w14:textFill>
            <w14:solidFill>
              <w14:schemeClr w14:val="tx1"/>
            </w14:solidFill>
          </w14:textFill>
        </w:rPr>
      </w:pPr>
    </w:p>
    <w:p w14:paraId="26BAD004">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注：法定代表人必须在授权委托书上签字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bookmarkEnd w:id="110"/>
    <w:p w14:paraId="67CAE52B">
      <w:pPr>
        <w:spacing w:line="360" w:lineRule="auto"/>
        <w:ind w:firstLine="420"/>
        <w:jc w:val="left"/>
        <w:rPr>
          <w:rFonts w:hint="eastAsia" w:ascii="仿宋_GB2312" w:hAnsi="仿宋_GB2312" w:eastAsia="仿宋_GB2312" w:cs="仿宋_GB2312"/>
          <w:color w:val="000000" w:themeColor="text1"/>
          <w:szCs w:val="21"/>
          <w:highlight w:val="none"/>
          <w14:textFill>
            <w14:solidFill>
              <w14:schemeClr w14:val="tx1"/>
            </w14:solidFill>
          </w14:textFill>
        </w:rPr>
      </w:pPr>
    </w:p>
    <w:p w14:paraId="3A04FDEE">
      <w:pPr>
        <w:spacing w:line="360" w:lineRule="auto"/>
        <w:contextualSpacing/>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br w:type="page" w:clear="all"/>
      </w:r>
      <w: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t xml:space="preserve"> </w:t>
      </w:r>
      <w:r>
        <w:rPr>
          <w:rFonts w:hint="eastAsia" w:ascii="宋体" w:hAnsi="宋体" w:cs="方正小标宋简体"/>
          <w:b/>
          <w:bCs/>
          <w:color w:val="000000" w:themeColor="text1"/>
          <w:sz w:val="32"/>
          <w:szCs w:val="32"/>
          <w:highlight w:val="none"/>
          <w14:textFill>
            <w14:solidFill>
              <w14:schemeClr w14:val="tx1"/>
            </w14:solidFill>
          </w14:textFill>
        </w:rPr>
        <w:t>施工组织设计（参考格式）</w:t>
      </w:r>
    </w:p>
    <w:p w14:paraId="6E7F0DCB">
      <w:pPr>
        <w:spacing w:line="360" w:lineRule="auto"/>
        <w:ind w:firstLine="420"/>
        <w:rPr>
          <w:rFonts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 xml:space="preserve"> 施工组织</w:t>
      </w:r>
      <w:r>
        <w:rPr>
          <w:rFonts w:hint="eastAsia"/>
          <w:color w:val="000000" w:themeColor="text1"/>
          <w:highlight w:val="none"/>
          <w14:textFill>
            <w14:solidFill>
              <w14:schemeClr w14:val="tx1"/>
            </w14:solidFill>
          </w14:textFill>
        </w:rPr>
        <w:t>设计</w:t>
      </w:r>
      <w:r>
        <w:rPr>
          <w:rFonts w:hint="eastAsia" w:ascii="宋体" w:hAnsi="宋体"/>
          <w:color w:val="000000" w:themeColor="text1"/>
          <w:highlight w:val="none"/>
          <w14:textFill>
            <w14:solidFill>
              <w14:schemeClr w14:val="tx1"/>
            </w14:solidFill>
          </w14:textFill>
        </w:rPr>
        <w:t>应</w:t>
      </w:r>
      <w:r>
        <w:rPr>
          <w:rFonts w:hint="eastAsia"/>
          <w:color w:val="000000" w:themeColor="text1"/>
          <w:highlight w:val="none"/>
          <w:lang w:eastAsia="zh-CN"/>
          <w14:textFill>
            <w14:solidFill>
              <w14:schemeClr w14:val="tx1"/>
            </w14:solidFill>
          </w14:textFill>
        </w:rPr>
        <w:t>按</w:t>
      </w:r>
      <w:r>
        <w:rPr>
          <w:rFonts w:hint="eastAsia"/>
          <w:color w:val="000000" w:themeColor="text1"/>
          <w:highlight w:val="none"/>
          <w14:textFill>
            <w14:solidFill>
              <w14:schemeClr w14:val="tx1"/>
            </w14:solidFill>
          </w14:textFill>
        </w:rPr>
        <w:t>以下内容顺序编制，可</w:t>
      </w:r>
      <w:r>
        <w:rPr>
          <w:rFonts w:hint="eastAsia" w:ascii="宋体" w:hAnsi="宋体"/>
          <w:color w:val="000000" w:themeColor="text1"/>
          <w:highlight w:val="none"/>
          <w14:textFill>
            <w14:solidFill>
              <w14:schemeClr w14:val="tx1"/>
            </w14:solidFill>
          </w14:textFill>
        </w:rPr>
        <w:t>采用文字并结合图表形式说明施工方法，</w:t>
      </w:r>
      <w:r>
        <w:rPr>
          <w:color w:val="000000" w:themeColor="text1"/>
          <w:highlight w:val="none"/>
          <w14:textFill>
            <w14:solidFill>
              <w14:schemeClr w14:val="tx1"/>
            </w14:solidFill>
          </w14:textFill>
        </w:rPr>
        <w:t>施工组织</w:t>
      </w:r>
      <w:r>
        <w:rPr>
          <w:rFonts w:hint="eastAsia"/>
          <w:color w:val="000000" w:themeColor="text1"/>
          <w:highlight w:val="none"/>
          <w14:textFill>
            <w14:solidFill>
              <w14:schemeClr w14:val="tx1"/>
            </w14:solidFill>
          </w14:textFill>
        </w:rPr>
        <w:t>设计具体</w:t>
      </w:r>
      <w:r>
        <w:rPr>
          <w:color w:val="000000" w:themeColor="text1"/>
          <w:highlight w:val="none"/>
          <w14:textFill>
            <w14:solidFill>
              <w14:schemeClr w14:val="tx1"/>
            </w14:solidFill>
          </w14:textFill>
        </w:rPr>
        <w:t>内容</w:t>
      </w:r>
      <w:r>
        <w:rPr>
          <w:rFonts w:hint="eastAsia" w:cs="宋体"/>
          <w:color w:val="000000" w:themeColor="text1"/>
          <w:highlight w:val="none"/>
          <w14:textFill>
            <w14:solidFill>
              <w14:schemeClr w14:val="tx1"/>
            </w14:solidFill>
          </w14:textFill>
        </w:rPr>
        <w:t>如下：</w:t>
      </w:r>
    </w:p>
    <w:p w14:paraId="567BF3BF">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（1）概述</w:t>
      </w:r>
    </w:p>
    <w:p w14:paraId="0BF22A7F">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（2）主要施工方法；</w:t>
      </w:r>
    </w:p>
    <w:p w14:paraId="0077797B">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（3）拟投入的主要物资计划</w:t>
      </w:r>
    </w:p>
    <w:p w14:paraId="7C26008A">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）劳动力安排计划；</w:t>
      </w:r>
    </w:p>
    <w:p w14:paraId="4148F4CF">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）确保工程质量的技术组织措施；</w:t>
      </w:r>
    </w:p>
    <w:p w14:paraId="06B60CCC">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6</w:t>
      </w:r>
      <w:r>
        <w:rPr>
          <w:rFonts w:hint="eastAsia"/>
          <w:color w:val="000000" w:themeColor="text1"/>
          <w:highlight w:val="none"/>
          <w14:textFill>
            <w14:solidFill>
              <w14:schemeClr w14:val="tx1"/>
            </w14:solidFill>
          </w14:textFill>
        </w:rPr>
        <w:t>）确保安全生产的技术组织措施；</w:t>
      </w:r>
    </w:p>
    <w:p w14:paraId="14DE3571">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7</w:t>
      </w:r>
      <w:r>
        <w:rPr>
          <w:rFonts w:hint="eastAsia"/>
          <w:color w:val="000000" w:themeColor="text1"/>
          <w:highlight w:val="none"/>
          <w14:textFill>
            <w14:solidFill>
              <w14:schemeClr w14:val="tx1"/>
            </w14:solidFill>
          </w14:textFill>
        </w:rPr>
        <w:t>）确保工期的技术组织措施；</w:t>
      </w:r>
    </w:p>
    <w:p w14:paraId="563DCCDE">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8</w:t>
      </w:r>
      <w:r>
        <w:rPr>
          <w:rFonts w:hint="eastAsia"/>
          <w:color w:val="000000" w:themeColor="text1"/>
          <w:highlight w:val="none"/>
          <w14:textFill>
            <w14:solidFill>
              <w14:schemeClr w14:val="tx1"/>
            </w14:solidFill>
          </w14:textFill>
        </w:rPr>
        <w:t>）确保文明施工的技术组织措施；</w:t>
      </w:r>
    </w:p>
    <w:p w14:paraId="3A7296FB">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9</w:t>
      </w:r>
      <w:r>
        <w:rPr>
          <w:rFonts w:hint="eastAsia"/>
          <w:color w:val="000000" w:themeColor="text1"/>
          <w:highlight w:val="none"/>
          <w14:textFill>
            <w14:solidFill>
              <w14:schemeClr w14:val="tx1"/>
            </w14:solidFill>
          </w14:textFill>
        </w:rPr>
        <w:t>）工程施工的重点和难点及保证措施；</w:t>
      </w:r>
    </w:p>
    <w:p w14:paraId="7BE95E3E">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rFonts w:hint="eastAsia"/>
          <w:color w:val="000000" w:themeColor="text1"/>
          <w:highlight w:val="none"/>
          <w14:textFill>
            <w14:solidFill>
              <w14:schemeClr w14:val="tx1"/>
            </w14:solidFill>
          </w14:textFill>
        </w:rPr>
        <w:t>）施工总平面布置图；</w:t>
      </w:r>
    </w:p>
    <w:p w14:paraId="28785A5C">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）其他（</w:t>
      </w:r>
      <w:r>
        <w:rPr>
          <w:color w:val="000000" w:themeColor="text1"/>
          <w:highlight w:val="none"/>
          <w14:textFill>
            <w14:solidFill>
              <w14:schemeClr w14:val="tx1"/>
            </w14:solidFill>
          </w14:textFill>
        </w:rPr>
        <w:t>如有）</w:t>
      </w:r>
      <w:r>
        <w:rPr>
          <w:rFonts w:hint="eastAsia"/>
          <w:color w:val="000000" w:themeColor="text1"/>
          <w:highlight w:val="none"/>
          <w14:textFill>
            <w14:solidFill>
              <w14:schemeClr w14:val="tx1"/>
            </w14:solidFill>
          </w14:textFill>
        </w:rPr>
        <w:t>（与第四章“评审程序、评审方法和评审标准”中的评审</w:t>
      </w:r>
      <w:r>
        <w:rPr>
          <w:color w:val="000000" w:themeColor="text1"/>
          <w:highlight w:val="none"/>
          <w14:textFill>
            <w14:solidFill>
              <w14:schemeClr w14:val="tx1"/>
            </w14:solidFill>
          </w14:textFill>
        </w:rPr>
        <w:t>标准一致</w:t>
      </w:r>
      <w:r>
        <w:rPr>
          <w:rFonts w:hint="eastAsia"/>
          <w:color w:val="000000" w:themeColor="text1"/>
          <w:highlight w:val="none"/>
          <w14:textFill>
            <w14:solidFill>
              <w14:schemeClr w14:val="tx1"/>
            </w14:solidFill>
          </w14:textFill>
        </w:rPr>
        <w:t>）</w:t>
      </w:r>
    </w:p>
    <w:p w14:paraId="444CC327">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 技术标</w:t>
      </w:r>
      <w:r>
        <w:rPr>
          <w:color w:val="000000" w:themeColor="text1"/>
          <w:highlight w:val="none"/>
          <w14:textFill>
            <w14:solidFill>
              <w14:schemeClr w14:val="tx1"/>
            </w14:solidFill>
          </w14:textFill>
        </w:rPr>
        <w:t>施工组织</w:t>
      </w:r>
      <w:r>
        <w:rPr>
          <w:rFonts w:hint="eastAsia"/>
          <w:color w:val="000000" w:themeColor="text1"/>
          <w:highlight w:val="none"/>
          <w14:textFill>
            <w14:solidFill>
              <w14:schemeClr w14:val="tx1"/>
            </w14:solidFill>
          </w14:textFill>
        </w:rPr>
        <w:t>设计除采用文字表述外可附下列图表，图表及格式要求附后。</w:t>
      </w:r>
    </w:p>
    <w:p w14:paraId="7E40E2FE">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附表一</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劳动力计划表</w:t>
      </w:r>
    </w:p>
    <w:p w14:paraId="6C501DB0">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附表二</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计划开、竣工日期和施工进度计划（网络图或横道图）</w:t>
      </w:r>
    </w:p>
    <w:p w14:paraId="5D830CBB">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附表三</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施工总平面图</w:t>
      </w:r>
    </w:p>
    <w:p w14:paraId="3AD7902A">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附表四</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临时用地表</w:t>
      </w:r>
    </w:p>
    <w:p w14:paraId="551E442C">
      <w:pPr>
        <w:spacing w:line="360" w:lineRule="auto"/>
        <w:ind w:firstLine="420"/>
        <w:rPr>
          <w:rFonts w:hint="eastAsia"/>
          <w:color w:val="000000" w:themeColor="text1"/>
          <w:highlight w:val="none"/>
          <w14:textFill>
            <w14:solidFill>
              <w14:schemeClr w14:val="tx1"/>
            </w14:solidFill>
          </w14:textFill>
        </w:rPr>
      </w:pPr>
    </w:p>
    <w:p w14:paraId="730B8D90">
      <w:pP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br w:type="page" w:clear="all"/>
      </w:r>
    </w:p>
    <w:p w14:paraId="11081484">
      <w:pP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附表一：劳动力计划表</w:t>
      </w:r>
    </w:p>
    <w:p w14:paraId="64D084D0">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单位：人</w:t>
      </w:r>
    </w:p>
    <w:tbl>
      <w:tblPr>
        <w:tblStyle w:val="45"/>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57E3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4EC31325">
            <w:pPr>
              <w:spacing w:line="360" w:lineRule="auto"/>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工种</w:t>
            </w:r>
          </w:p>
        </w:tc>
        <w:tc>
          <w:tcPr>
            <w:tcW w:w="7248" w:type="dxa"/>
            <w:gridSpan w:val="6"/>
            <w:noWrap w:val="0"/>
            <w:vAlign w:val="center"/>
          </w:tcPr>
          <w:p w14:paraId="15E49B62">
            <w:pPr>
              <w:spacing w:line="360" w:lineRule="auto"/>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按工程施工阶段投入劳动力情况</w:t>
            </w:r>
          </w:p>
        </w:tc>
      </w:tr>
      <w:tr w14:paraId="5FF1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2D515775">
            <w:pPr>
              <w:spacing w:line="360" w:lineRule="auto"/>
              <w:jc w:val="center"/>
              <w:rPr>
                <w:color w:val="000000" w:themeColor="text1"/>
                <w:highlight w:val="none"/>
                <w14:textFill>
                  <w14:solidFill>
                    <w14:schemeClr w14:val="tx1"/>
                  </w14:solidFill>
                </w14:textFill>
              </w:rPr>
            </w:pPr>
          </w:p>
        </w:tc>
        <w:tc>
          <w:tcPr>
            <w:tcW w:w="961" w:type="dxa"/>
            <w:noWrap w:val="0"/>
            <w:vAlign w:val="center"/>
          </w:tcPr>
          <w:p w14:paraId="2ED210C2">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5DE9AAB2">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76039A71">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6D74D965">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6C0D7B80">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168E8780">
            <w:pPr>
              <w:spacing w:line="360" w:lineRule="auto"/>
              <w:jc w:val="center"/>
              <w:rPr>
                <w:color w:val="000000" w:themeColor="text1"/>
                <w:highlight w:val="none"/>
                <w14:textFill>
                  <w14:solidFill>
                    <w14:schemeClr w14:val="tx1"/>
                  </w14:solidFill>
                </w14:textFill>
              </w:rPr>
            </w:pPr>
          </w:p>
        </w:tc>
      </w:tr>
      <w:tr w14:paraId="15E6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1935DE74">
            <w:pPr>
              <w:spacing w:line="360" w:lineRule="auto"/>
              <w:jc w:val="center"/>
              <w:rPr>
                <w:color w:val="000000" w:themeColor="text1"/>
                <w:highlight w:val="none"/>
                <w14:textFill>
                  <w14:solidFill>
                    <w14:schemeClr w14:val="tx1"/>
                  </w14:solidFill>
                </w14:textFill>
              </w:rPr>
            </w:pPr>
          </w:p>
        </w:tc>
        <w:tc>
          <w:tcPr>
            <w:tcW w:w="961" w:type="dxa"/>
            <w:noWrap w:val="0"/>
            <w:vAlign w:val="center"/>
          </w:tcPr>
          <w:p w14:paraId="6E91D7A3">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4314B929">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0FF4D7CA">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5135A4F8">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4C9BD2E6">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25585CC6">
            <w:pPr>
              <w:spacing w:line="360" w:lineRule="auto"/>
              <w:jc w:val="center"/>
              <w:rPr>
                <w:color w:val="000000" w:themeColor="text1"/>
                <w:highlight w:val="none"/>
                <w14:textFill>
                  <w14:solidFill>
                    <w14:schemeClr w14:val="tx1"/>
                  </w14:solidFill>
                </w14:textFill>
              </w:rPr>
            </w:pPr>
          </w:p>
        </w:tc>
      </w:tr>
      <w:tr w14:paraId="0D79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62AEFDA0">
            <w:pPr>
              <w:spacing w:line="360" w:lineRule="auto"/>
              <w:jc w:val="center"/>
              <w:rPr>
                <w:color w:val="000000" w:themeColor="text1"/>
                <w:highlight w:val="none"/>
                <w14:textFill>
                  <w14:solidFill>
                    <w14:schemeClr w14:val="tx1"/>
                  </w14:solidFill>
                </w14:textFill>
              </w:rPr>
            </w:pPr>
          </w:p>
        </w:tc>
        <w:tc>
          <w:tcPr>
            <w:tcW w:w="961" w:type="dxa"/>
            <w:noWrap w:val="0"/>
            <w:vAlign w:val="center"/>
          </w:tcPr>
          <w:p w14:paraId="5F9A97C2">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19DCB3C0">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64BA8190">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0A21FFE4">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27FBA693">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519B1181">
            <w:pPr>
              <w:spacing w:line="360" w:lineRule="auto"/>
              <w:jc w:val="center"/>
              <w:rPr>
                <w:color w:val="000000" w:themeColor="text1"/>
                <w:highlight w:val="none"/>
                <w14:textFill>
                  <w14:solidFill>
                    <w14:schemeClr w14:val="tx1"/>
                  </w14:solidFill>
                </w14:textFill>
              </w:rPr>
            </w:pPr>
          </w:p>
        </w:tc>
      </w:tr>
      <w:tr w14:paraId="14F9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02C68932">
            <w:pPr>
              <w:spacing w:line="360" w:lineRule="auto"/>
              <w:jc w:val="center"/>
              <w:rPr>
                <w:color w:val="000000" w:themeColor="text1"/>
                <w:highlight w:val="none"/>
                <w14:textFill>
                  <w14:solidFill>
                    <w14:schemeClr w14:val="tx1"/>
                  </w14:solidFill>
                </w14:textFill>
              </w:rPr>
            </w:pPr>
          </w:p>
        </w:tc>
        <w:tc>
          <w:tcPr>
            <w:tcW w:w="961" w:type="dxa"/>
            <w:noWrap w:val="0"/>
            <w:vAlign w:val="center"/>
          </w:tcPr>
          <w:p w14:paraId="3BA1A57B">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2A996FF1">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6D1F4F66">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545BCECE">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6E753496">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34CD9041">
            <w:pPr>
              <w:spacing w:line="360" w:lineRule="auto"/>
              <w:jc w:val="center"/>
              <w:rPr>
                <w:color w:val="000000" w:themeColor="text1"/>
                <w:highlight w:val="none"/>
                <w14:textFill>
                  <w14:solidFill>
                    <w14:schemeClr w14:val="tx1"/>
                  </w14:solidFill>
                </w14:textFill>
              </w:rPr>
            </w:pPr>
          </w:p>
        </w:tc>
      </w:tr>
      <w:tr w14:paraId="6C66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12C11277">
            <w:pPr>
              <w:spacing w:line="360" w:lineRule="auto"/>
              <w:jc w:val="center"/>
              <w:rPr>
                <w:color w:val="000000" w:themeColor="text1"/>
                <w:highlight w:val="none"/>
                <w14:textFill>
                  <w14:solidFill>
                    <w14:schemeClr w14:val="tx1"/>
                  </w14:solidFill>
                </w14:textFill>
              </w:rPr>
            </w:pPr>
          </w:p>
        </w:tc>
        <w:tc>
          <w:tcPr>
            <w:tcW w:w="961" w:type="dxa"/>
            <w:noWrap w:val="0"/>
            <w:vAlign w:val="center"/>
          </w:tcPr>
          <w:p w14:paraId="560502F9">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3B1C0436">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38F965F7">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792A9C6E">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55D49921">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3C32EA43">
            <w:pPr>
              <w:spacing w:line="360" w:lineRule="auto"/>
              <w:jc w:val="center"/>
              <w:rPr>
                <w:color w:val="000000" w:themeColor="text1"/>
                <w:highlight w:val="none"/>
                <w14:textFill>
                  <w14:solidFill>
                    <w14:schemeClr w14:val="tx1"/>
                  </w14:solidFill>
                </w14:textFill>
              </w:rPr>
            </w:pPr>
          </w:p>
        </w:tc>
      </w:tr>
      <w:tr w14:paraId="4494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153D34EF">
            <w:pPr>
              <w:spacing w:line="360" w:lineRule="auto"/>
              <w:jc w:val="center"/>
              <w:rPr>
                <w:color w:val="000000" w:themeColor="text1"/>
                <w:highlight w:val="none"/>
                <w14:textFill>
                  <w14:solidFill>
                    <w14:schemeClr w14:val="tx1"/>
                  </w14:solidFill>
                </w14:textFill>
              </w:rPr>
            </w:pPr>
          </w:p>
        </w:tc>
        <w:tc>
          <w:tcPr>
            <w:tcW w:w="961" w:type="dxa"/>
            <w:noWrap w:val="0"/>
            <w:vAlign w:val="center"/>
          </w:tcPr>
          <w:p w14:paraId="6696CD9A">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02555C44">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5EEDFAFC">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67ED1345">
            <w:pPr>
              <w:spacing w:line="360" w:lineRule="auto"/>
              <w:jc w:val="center"/>
              <w:rPr>
                <w:color w:val="000000" w:themeColor="text1"/>
                <w:highlight w:val="none"/>
                <w14:textFill>
                  <w14:solidFill>
                    <w14:schemeClr w14:val="tx1"/>
                  </w14:solidFill>
                </w14:textFill>
              </w:rPr>
            </w:pPr>
          </w:p>
        </w:tc>
        <w:tc>
          <w:tcPr>
            <w:tcW w:w="1257" w:type="dxa"/>
            <w:noWrap w:val="0"/>
            <w:vAlign w:val="center"/>
          </w:tcPr>
          <w:p w14:paraId="0EB235E6">
            <w:pPr>
              <w:spacing w:line="360" w:lineRule="auto"/>
              <w:jc w:val="center"/>
              <w:rPr>
                <w:color w:val="000000" w:themeColor="text1"/>
                <w:highlight w:val="none"/>
                <w14:textFill>
                  <w14:solidFill>
                    <w14:schemeClr w14:val="tx1"/>
                  </w14:solidFill>
                </w14:textFill>
              </w:rPr>
            </w:pPr>
          </w:p>
        </w:tc>
        <w:tc>
          <w:tcPr>
            <w:tcW w:w="1258" w:type="dxa"/>
            <w:noWrap w:val="0"/>
            <w:vAlign w:val="center"/>
          </w:tcPr>
          <w:p w14:paraId="516EE202">
            <w:pPr>
              <w:spacing w:line="360" w:lineRule="auto"/>
              <w:jc w:val="center"/>
              <w:rPr>
                <w:color w:val="000000" w:themeColor="text1"/>
                <w:highlight w:val="none"/>
                <w14:textFill>
                  <w14:solidFill>
                    <w14:schemeClr w14:val="tx1"/>
                  </w14:solidFill>
                </w14:textFill>
              </w:rPr>
            </w:pPr>
          </w:p>
        </w:tc>
      </w:tr>
    </w:tbl>
    <w:p w14:paraId="009F246D">
      <w:pPr>
        <w:rPr>
          <w:color w:val="000000" w:themeColor="text1"/>
          <w:highlight w:val="none"/>
          <w14:textFill>
            <w14:solidFill>
              <w14:schemeClr w14:val="tx1"/>
            </w14:solidFill>
          </w14:textFill>
        </w:rPr>
      </w:pPr>
    </w:p>
    <w:p w14:paraId="49DAF282">
      <w:pPr>
        <w:rPr>
          <w:b/>
          <w:bCs/>
          <w:color w:val="000000" w:themeColor="text1"/>
          <w:highlight w:val="none"/>
          <w14:textFill>
            <w14:solidFill>
              <w14:schemeClr w14:val="tx1"/>
            </w14:solidFill>
          </w14:textFill>
        </w:rPr>
      </w:pPr>
    </w:p>
    <w:p w14:paraId="2E068FBB">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附表二：计划开、竣工日期和施工进度计划（网络图或横道图）</w:t>
      </w:r>
    </w:p>
    <w:p w14:paraId="4E63D6EF">
      <w:pPr>
        <w:spacing w:line="460" w:lineRule="exact"/>
        <w:ind w:left="-6"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cs="宋体"/>
          <w:color w:val="000000" w:themeColor="text1"/>
          <w:highlight w:val="none"/>
          <w14:textFill>
            <w14:solidFill>
              <w14:schemeClr w14:val="tx1"/>
            </w14:solidFill>
          </w14:textFill>
        </w:rPr>
        <w:t>供应商应提交施工进度计划，说明按磋商文件要求的工期进行施工的各个关键日期。成交的供应商还应按合同条件有关条款的要求提交详细的施工进度计划。</w:t>
      </w:r>
    </w:p>
    <w:p w14:paraId="6297D11D">
      <w:pPr>
        <w:spacing w:line="460" w:lineRule="exact"/>
        <w:ind w:left="-6"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cs="宋体"/>
          <w:color w:val="000000" w:themeColor="text1"/>
          <w:highlight w:val="none"/>
          <w14:textFill>
            <w14:solidFill>
              <w14:schemeClr w14:val="tx1"/>
            </w14:solidFill>
          </w14:textFill>
        </w:rPr>
        <w:t>施工进度计划可采用网络图（或横道图）表示，说明计划开工日期和各分项工程各阶段的完工日期和分包合同签订的日期。</w:t>
      </w:r>
    </w:p>
    <w:p w14:paraId="3BF2A337">
      <w:pPr>
        <w:spacing w:line="460" w:lineRule="exact"/>
        <w:ind w:left="-6"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 </w:t>
      </w:r>
      <w:r>
        <w:rPr>
          <w:rFonts w:hint="eastAsia" w:cs="宋体"/>
          <w:color w:val="000000" w:themeColor="text1"/>
          <w:highlight w:val="none"/>
          <w14:textFill>
            <w14:solidFill>
              <w14:schemeClr w14:val="tx1"/>
            </w14:solidFill>
          </w14:textFill>
        </w:rPr>
        <w:t>施工进度计划应与施工组织设计相适应。</w:t>
      </w:r>
    </w:p>
    <w:p w14:paraId="24C2CC4E">
      <w:pPr>
        <w:spacing w:line="360" w:lineRule="auto"/>
        <w:ind w:left="-6" w:firstLine="420"/>
        <w:rPr>
          <w:color w:val="000000" w:themeColor="text1"/>
          <w:highlight w:val="none"/>
          <w14:textFill>
            <w14:solidFill>
              <w14:schemeClr w14:val="tx1"/>
            </w14:solidFill>
          </w14:textFill>
        </w:rPr>
      </w:pPr>
    </w:p>
    <w:p w14:paraId="74C328D0">
      <w:pPr>
        <w:rPr>
          <w:color w:val="000000" w:themeColor="text1"/>
          <w:highlight w:val="none"/>
          <w14:textFill>
            <w14:solidFill>
              <w14:schemeClr w14:val="tx1"/>
            </w14:solidFill>
          </w14:textFill>
        </w:rPr>
      </w:pPr>
    </w:p>
    <w:p w14:paraId="23186084">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附表三：施工总平面图</w:t>
      </w:r>
    </w:p>
    <w:p w14:paraId="0B7F36E1">
      <w:pPr>
        <w:spacing w:line="460" w:lineRule="exact"/>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1D069F92">
      <w:pPr>
        <w:rPr>
          <w:color w:val="000000" w:themeColor="text1"/>
          <w:highlight w:val="none"/>
          <w14:textFill>
            <w14:solidFill>
              <w14:schemeClr w14:val="tx1"/>
            </w14:solidFill>
          </w14:textFill>
        </w:rPr>
      </w:pPr>
    </w:p>
    <w:p w14:paraId="74016A38">
      <w:pPr>
        <w:rPr>
          <w:color w:val="000000" w:themeColor="text1"/>
          <w:highlight w:val="none"/>
          <w14:textFill>
            <w14:solidFill>
              <w14:schemeClr w14:val="tx1"/>
            </w14:solidFill>
          </w14:textFill>
        </w:rPr>
      </w:pPr>
    </w:p>
    <w:p w14:paraId="788B56EE">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附表四：临时用地表</w:t>
      </w:r>
    </w:p>
    <w:tbl>
      <w:tblPr>
        <w:tblStyle w:val="45"/>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2708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5383894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用途</w:t>
            </w:r>
          </w:p>
        </w:tc>
        <w:tc>
          <w:tcPr>
            <w:tcW w:w="2357" w:type="dxa"/>
            <w:noWrap w:val="0"/>
            <w:vAlign w:val="center"/>
          </w:tcPr>
          <w:p w14:paraId="48169D4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面积（平方米）</w:t>
            </w:r>
          </w:p>
        </w:tc>
        <w:tc>
          <w:tcPr>
            <w:tcW w:w="2356" w:type="dxa"/>
            <w:noWrap w:val="0"/>
            <w:vAlign w:val="center"/>
          </w:tcPr>
          <w:p w14:paraId="2E42DA1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位置</w:t>
            </w:r>
          </w:p>
        </w:tc>
        <w:tc>
          <w:tcPr>
            <w:tcW w:w="2136" w:type="dxa"/>
            <w:noWrap w:val="0"/>
            <w:vAlign w:val="center"/>
          </w:tcPr>
          <w:p w14:paraId="5EFD9DCE">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需用时间</w:t>
            </w:r>
          </w:p>
        </w:tc>
      </w:tr>
      <w:tr w14:paraId="3275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78419F7C">
            <w:pPr>
              <w:rPr>
                <w:color w:val="000000" w:themeColor="text1"/>
                <w:highlight w:val="none"/>
                <w14:textFill>
                  <w14:solidFill>
                    <w14:schemeClr w14:val="tx1"/>
                  </w14:solidFill>
                </w14:textFill>
              </w:rPr>
            </w:pPr>
          </w:p>
        </w:tc>
        <w:tc>
          <w:tcPr>
            <w:tcW w:w="2357" w:type="dxa"/>
            <w:noWrap w:val="0"/>
            <w:vAlign w:val="top"/>
          </w:tcPr>
          <w:p w14:paraId="63097051">
            <w:pPr>
              <w:rPr>
                <w:color w:val="000000" w:themeColor="text1"/>
                <w:highlight w:val="none"/>
                <w14:textFill>
                  <w14:solidFill>
                    <w14:schemeClr w14:val="tx1"/>
                  </w14:solidFill>
                </w14:textFill>
              </w:rPr>
            </w:pPr>
          </w:p>
        </w:tc>
        <w:tc>
          <w:tcPr>
            <w:tcW w:w="2356" w:type="dxa"/>
            <w:noWrap w:val="0"/>
            <w:vAlign w:val="top"/>
          </w:tcPr>
          <w:p w14:paraId="6D13D53C">
            <w:pPr>
              <w:rPr>
                <w:color w:val="000000" w:themeColor="text1"/>
                <w:highlight w:val="none"/>
                <w14:textFill>
                  <w14:solidFill>
                    <w14:schemeClr w14:val="tx1"/>
                  </w14:solidFill>
                </w14:textFill>
              </w:rPr>
            </w:pPr>
          </w:p>
        </w:tc>
        <w:tc>
          <w:tcPr>
            <w:tcW w:w="2136" w:type="dxa"/>
            <w:noWrap w:val="0"/>
            <w:vAlign w:val="top"/>
          </w:tcPr>
          <w:p w14:paraId="428A90FB">
            <w:pPr>
              <w:rPr>
                <w:color w:val="000000" w:themeColor="text1"/>
                <w:highlight w:val="none"/>
                <w14:textFill>
                  <w14:solidFill>
                    <w14:schemeClr w14:val="tx1"/>
                  </w14:solidFill>
                </w14:textFill>
              </w:rPr>
            </w:pPr>
          </w:p>
        </w:tc>
      </w:tr>
      <w:tr w14:paraId="128B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23629E6C">
            <w:pPr>
              <w:rPr>
                <w:color w:val="000000" w:themeColor="text1"/>
                <w:highlight w:val="none"/>
                <w14:textFill>
                  <w14:solidFill>
                    <w14:schemeClr w14:val="tx1"/>
                  </w14:solidFill>
                </w14:textFill>
              </w:rPr>
            </w:pPr>
          </w:p>
        </w:tc>
        <w:tc>
          <w:tcPr>
            <w:tcW w:w="2357" w:type="dxa"/>
            <w:noWrap w:val="0"/>
            <w:vAlign w:val="top"/>
          </w:tcPr>
          <w:p w14:paraId="263F906A">
            <w:pPr>
              <w:rPr>
                <w:color w:val="000000" w:themeColor="text1"/>
                <w:highlight w:val="none"/>
                <w14:textFill>
                  <w14:solidFill>
                    <w14:schemeClr w14:val="tx1"/>
                  </w14:solidFill>
                </w14:textFill>
              </w:rPr>
            </w:pPr>
          </w:p>
        </w:tc>
        <w:tc>
          <w:tcPr>
            <w:tcW w:w="2356" w:type="dxa"/>
            <w:noWrap w:val="0"/>
            <w:vAlign w:val="top"/>
          </w:tcPr>
          <w:p w14:paraId="6D15529E">
            <w:pPr>
              <w:rPr>
                <w:color w:val="000000" w:themeColor="text1"/>
                <w:highlight w:val="none"/>
                <w14:textFill>
                  <w14:solidFill>
                    <w14:schemeClr w14:val="tx1"/>
                  </w14:solidFill>
                </w14:textFill>
              </w:rPr>
            </w:pPr>
          </w:p>
        </w:tc>
        <w:tc>
          <w:tcPr>
            <w:tcW w:w="2136" w:type="dxa"/>
            <w:noWrap w:val="0"/>
            <w:vAlign w:val="top"/>
          </w:tcPr>
          <w:p w14:paraId="666B6749">
            <w:pPr>
              <w:rPr>
                <w:color w:val="000000" w:themeColor="text1"/>
                <w:highlight w:val="none"/>
                <w14:textFill>
                  <w14:solidFill>
                    <w14:schemeClr w14:val="tx1"/>
                  </w14:solidFill>
                </w14:textFill>
              </w:rPr>
            </w:pPr>
          </w:p>
        </w:tc>
      </w:tr>
      <w:tr w14:paraId="2152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14:paraId="5886A41D">
            <w:pPr>
              <w:rPr>
                <w:color w:val="000000" w:themeColor="text1"/>
                <w:highlight w:val="none"/>
                <w14:textFill>
                  <w14:solidFill>
                    <w14:schemeClr w14:val="tx1"/>
                  </w14:solidFill>
                </w14:textFill>
              </w:rPr>
            </w:pPr>
          </w:p>
        </w:tc>
        <w:tc>
          <w:tcPr>
            <w:tcW w:w="2357" w:type="dxa"/>
            <w:noWrap w:val="0"/>
            <w:vAlign w:val="top"/>
          </w:tcPr>
          <w:p w14:paraId="048C8A4B">
            <w:pPr>
              <w:rPr>
                <w:color w:val="000000" w:themeColor="text1"/>
                <w:highlight w:val="none"/>
                <w14:textFill>
                  <w14:solidFill>
                    <w14:schemeClr w14:val="tx1"/>
                  </w14:solidFill>
                </w14:textFill>
              </w:rPr>
            </w:pPr>
          </w:p>
        </w:tc>
        <w:tc>
          <w:tcPr>
            <w:tcW w:w="2356" w:type="dxa"/>
            <w:noWrap w:val="0"/>
            <w:vAlign w:val="top"/>
          </w:tcPr>
          <w:p w14:paraId="66CB1858">
            <w:pPr>
              <w:rPr>
                <w:color w:val="000000" w:themeColor="text1"/>
                <w:highlight w:val="none"/>
                <w14:textFill>
                  <w14:solidFill>
                    <w14:schemeClr w14:val="tx1"/>
                  </w14:solidFill>
                </w14:textFill>
              </w:rPr>
            </w:pPr>
          </w:p>
        </w:tc>
        <w:tc>
          <w:tcPr>
            <w:tcW w:w="2136" w:type="dxa"/>
            <w:noWrap w:val="0"/>
            <w:vAlign w:val="top"/>
          </w:tcPr>
          <w:p w14:paraId="025CE9F6">
            <w:pPr>
              <w:rPr>
                <w:color w:val="000000" w:themeColor="text1"/>
                <w:highlight w:val="none"/>
                <w14:textFill>
                  <w14:solidFill>
                    <w14:schemeClr w14:val="tx1"/>
                  </w14:solidFill>
                </w14:textFill>
              </w:rPr>
            </w:pPr>
          </w:p>
        </w:tc>
      </w:tr>
      <w:tr w14:paraId="2A83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58CAD3F9">
            <w:pPr>
              <w:rPr>
                <w:color w:val="000000" w:themeColor="text1"/>
                <w:highlight w:val="none"/>
                <w14:textFill>
                  <w14:solidFill>
                    <w14:schemeClr w14:val="tx1"/>
                  </w14:solidFill>
                </w14:textFill>
              </w:rPr>
            </w:pPr>
          </w:p>
        </w:tc>
        <w:tc>
          <w:tcPr>
            <w:tcW w:w="2357" w:type="dxa"/>
            <w:noWrap w:val="0"/>
            <w:vAlign w:val="top"/>
          </w:tcPr>
          <w:p w14:paraId="3D8E724F">
            <w:pPr>
              <w:rPr>
                <w:color w:val="000000" w:themeColor="text1"/>
                <w:highlight w:val="none"/>
                <w14:textFill>
                  <w14:solidFill>
                    <w14:schemeClr w14:val="tx1"/>
                  </w14:solidFill>
                </w14:textFill>
              </w:rPr>
            </w:pPr>
          </w:p>
        </w:tc>
        <w:tc>
          <w:tcPr>
            <w:tcW w:w="2356" w:type="dxa"/>
            <w:noWrap w:val="0"/>
            <w:vAlign w:val="top"/>
          </w:tcPr>
          <w:p w14:paraId="2572052E">
            <w:pPr>
              <w:rPr>
                <w:color w:val="000000" w:themeColor="text1"/>
                <w:highlight w:val="none"/>
                <w14:textFill>
                  <w14:solidFill>
                    <w14:schemeClr w14:val="tx1"/>
                  </w14:solidFill>
                </w14:textFill>
              </w:rPr>
            </w:pPr>
          </w:p>
        </w:tc>
        <w:tc>
          <w:tcPr>
            <w:tcW w:w="2136" w:type="dxa"/>
            <w:noWrap w:val="0"/>
            <w:vAlign w:val="top"/>
          </w:tcPr>
          <w:p w14:paraId="15C0481A">
            <w:pPr>
              <w:rPr>
                <w:color w:val="000000" w:themeColor="text1"/>
                <w:highlight w:val="none"/>
                <w14:textFill>
                  <w14:solidFill>
                    <w14:schemeClr w14:val="tx1"/>
                  </w14:solidFill>
                </w14:textFill>
              </w:rPr>
            </w:pPr>
          </w:p>
        </w:tc>
      </w:tr>
    </w:tbl>
    <w:p w14:paraId="3480B1B6">
      <w:pPr>
        <w:spacing w:line="360" w:lineRule="auto"/>
        <w:ind w:firstLine="880"/>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1D515E35">
      <w:pPr>
        <w:pStyle w:val="9"/>
        <w:rPr>
          <w:rFonts w:hint="eastAsia" w:ascii="宋体" w:hAnsi="宋体" w:cs="宋体"/>
          <w:b w:val="0"/>
          <w:color w:val="000000" w:themeColor="text1"/>
          <w:sz w:val="28"/>
          <w:szCs w:val="28"/>
          <w:highlight w:val="none"/>
          <w14:textFill>
            <w14:solidFill>
              <w14:schemeClr w14:val="tx1"/>
            </w14:solidFill>
          </w14:textFill>
        </w:rPr>
      </w:pPr>
      <w:r>
        <w:rPr>
          <w:rFonts w:ascii="方正小标宋简体" w:hAnsi="方正小标宋简体" w:eastAsia="方正小标宋简体" w:cs="方正小标宋简体"/>
          <w:bCs w:val="0"/>
          <w:color w:val="000000" w:themeColor="text1"/>
          <w:sz w:val="44"/>
          <w:szCs w:val="44"/>
          <w:highlight w:val="none"/>
          <w14:textFill>
            <w14:solidFill>
              <w14:schemeClr w14:val="tx1"/>
            </w14:solidFill>
          </w14:textFill>
        </w:rPr>
        <w:br w:type="page" w:clear="all"/>
      </w:r>
      <w:bookmarkStart w:id="111" w:name="bookmark2230"/>
      <w:bookmarkStart w:id="112" w:name="bookmark2228"/>
      <w:bookmarkStart w:id="113" w:name="bookmark2229"/>
      <w:r>
        <w:rPr>
          <w:rFonts w:hint="eastAsia" w:ascii="宋体" w:hAnsi="宋体" w:cs="宋体"/>
          <w:b w:val="0"/>
          <w:color w:val="000000" w:themeColor="text1"/>
          <w:sz w:val="28"/>
          <w:szCs w:val="28"/>
          <w:highlight w:val="none"/>
          <w14:textFill>
            <w14:solidFill>
              <w14:schemeClr w14:val="tx1"/>
            </w14:solidFill>
          </w14:textFill>
        </w:rPr>
        <w:t>附件一：拟投入本合同的主要施工设备表</w:t>
      </w:r>
      <w:bookmarkEnd w:id="111"/>
      <w:bookmarkEnd w:id="112"/>
      <w:bookmarkEnd w:id="113"/>
    </w:p>
    <w:p w14:paraId="582D524C">
      <w:pPr>
        <w:rPr>
          <w:rFonts w:hint="eastAsia"/>
          <w:color w:val="000000" w:themeColor="text1"/>
          <w:highlight w:val="none"/>
          <w14:textFill>
            <w14:solidFill>
              <w14:schemeClr w14:val="tx1"/>
            </w14:solidFill>
          </w14:textFill>
        </w:rPr>
      </w:pPr>
    </w:p>
    <w:p w14:paraId="6DD221E9">
      <w:pPr>
        <w:jc w:val="center"/>
        <w:rPr>
          <w:rFonts w:hint="eastAsia" w:ascii="宋体" w:hAnsi="宋体" w:cs="宋体"/>
          <w:b/>
          <w:bCs/>
          <w:color w:val="000000" w:themeColor="text1"/>
          <w:sz w:val="28"/>
          <w:szCs w:val="28"/>
          <w:highlight w:val="none"/>
          <w14:textFill>
            <w14:solidFill>
              <w14:schemeClr w14:val="tx1"/>
            </w14:solidFill>
          </w14:textFill>
        </w:rPr>
      </w:pPr>
      <w:bookmarkStart w:id="114" w:name="bookmark2231"/>
      <w:bookmarkStart w:id="115" w:name="bookmark2232"/>
      <w:bookmarkStart w:id="116" w:name="bookmark2233"/>
      <w:bookmarkStart w:id="117" w:name="_Toc19570"/>
      <w:bookmarkStart w:id="118" w:name="_Toc13379"/>
      <w:r>
        <w:rPr>
          <w:rFonts w:hint="eastAsia" w:ascii="宋体" w:hAnsi="宋体" w:cs="宋体"/>
          <w:b/>
          <w:bCs/>
          <w:color w:val="000000" w:themeColor="text1"/>
          <w:sz w:val="28"/>
          <w:szCs w:val="28"/>
          <w:highlight w:val="none"/>
          <w14:textFill>
            <w14:solidFill>
              <w14:schemeClr w14:val="tx1"/>
            </w14:solidFill>
          </w14:textFill>
        </w:rPr>
        <w:t>拟投入本合同的主要施工设备表</w:t>
      </w:r>
      <w:bookmarkEnd w:id="114"/>
      <w:bookmarkEnd w:id="115"/>
      <w:bookmarkEnd w:id="116"/>
      <w:bookmarkEnd w:id="117"/>
      <w:bookmarkEnd w:id="118"/>
    </w:p>
    <w:p w14:paraId="7B7BFA95">
      <w:pPr>
        <w:jc w:val="center"/>
        <w:rPr>
          <w:color w:val="000000" w:themeColor="text1"/>
          <w:highlight w:val="none"/>
          <w14:textFill>
            <w14:solidFill>
              <w14:schemeClr w14:val="tx1"/>
            </w14:solidFill>
          </w14:textFill>
        </w:rPr>
      </w:pPr>
    </w:p>
    <w:tbl>
      <w:tblPr>
        <w:tblStyle w:val="45"/>
        <w:tblW w:w="0" w:type="auto"/>
        <w:jc w:val="center"/>
        <w:tblLayout w:type="fixed"/>
        <w:tblCellMar>
          <w:top w:w="0" w:type="dxa"/>
          <w:left w:w="10" w:type="dxa"/>
          <w:bottom w:w="0" w:type="dxa"/>
          <w:right w:w="10" w:type="dxa"/>
        </w:tblCellMar>
      </w:tblPr>
      <w:tblGrid>
        <w:gridCol w:w="293"/>
        <w:gridCol w:w="1133"/>
        <w:gridCol w:w="864"/>
        <w:gridCol w:w="869"/>
        <w:gridCol w:w="864"/>
        <w:gridCol w:w="864"/>
        <w:gridCol w:w="864"/>
        <w:gridCol w:w="864"/>
        <w:gridCol w:w="864"/>
        <w:gridCol w:w="874"/>
      </w:tblGrid>
      <w:tr w14:paraId="51160709">
        <w:tblPrEx>
          <w:tblCellMar>
            <w:top w:w="0" w:type="dxa"/>
            <w:left w:w="10" w:type="dxa"/>
            <w:bottom w:w="0" w:type="dxa"/>
            <w:right w:w="10" w:type="dxa"/>
          </w:tblCellMar>
        </w:tblPrEx>
        <w:trPr>
          <w:trHeight w:val="1142" w:hRule="exact"/>
          <w:jc w:val="center"/>
        </w:trPr>
        <w:tc>
          <w:tcPr>
            <w:tcW w:w="293" w:type="dxa"/>
            <w:tcBorders>
              <w:top w:val="single" w:color="auto" w:sz="4" w:space="0"/>
              <w:left w:val="single" w:color="auto" w:sz="4" w:space="0"/>
            </w:tcBorders>
            <w:noWrap w:val="0"/>
            <w:vAlign w:val="center"/>
          </w:tcPr>
          <w:p w14:paraId="166E479D">
            <w:pPr>
              <w:pStyle w:val="312"/>
              <w:spacing w:line="264" w:lineRule="exact"/>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 号</w:t>
            </w:r>
          </w:p>
        </w:tc>
        <w:tc>
          <w:tcPr>
            <w:tcW w:w="1133" w:type="dxa"/>
            <w:tcBorders>
              <w:top w:val="single" w:color="auto" w:sz="4" w:space="0"/>
              <w:left w:val="single" w:color="auto" w:sz="4" w:space="0"/>
            </w:tcBorders>
            <w:noWrap w:val="0"/>
            <w:vAlign w:val="center"/>
          </w:tcPr>
          <w:p w14:paraId="56FBDD4C">
            <w:pPr>
              <w:pStyle w:val="312"/>
              <w:spacing w:line="269" w:lineRule="exact"/>
              <w:ind w:left="180"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施工机械</w:t>
            </w:r>
          </w:p>
          <w:p w14:paraId="4AB5A946">
            <w:pPr>
              <w:pStyle w:val="312"/>
              <w:spacing w:line="269" w:lineRule="exact"/>
              <w:ind w:left="180"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名 称</w:t>
            </w:r>
          </w:p>
        </w:tc>
        <w:tc>
          <w:tcPr>
            <w:tcW w:w="864" w:type="dxa"/>
            <w:tcBorders>
              <w:top w:val="single" w:color="auto" w:sz="4" w:space="0"/>
              <w:left w:val="single" w:color="auto" w:sz="4" w:space="0"/>
            </w:tcBorders>
            <w:noWrap w:val="0"/>
            <w:vAlign w:val="center"/>
          </w:tcPr>
          <w:p w14:paraId="640C947A">
            <w:pPr>
              <w:pStyle w:val="312"/>
              <w:spacing w:after="60"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型号</w:t>
            </w:r>
          </w:p>
          <w:p w14:paraId="0E54D7E4">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规格</w:t>
            </w:r>
          </w:p>
        </w:tc>
        <w:tc>
          <w:tcPr>
            <w:tcW w:w="869" w:type="dxa"/>
            <w:tcBorders>
              <w:top w:val="single" w:color="auto" w:sz="4" w:space="0"/>
              <w:left w:val="single" w:color="auto" w:sz="4" w:space="0"/>
            </w:tcBorders>
            <w:noWrap w:val="0"/>
            <w:vAlign w:val="center"/>
          </w:tcPr>
          <w:p w14:paraId="7F7A7FEC">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数量</w:t>
            </w:r>
          </w:p>
        </w:tc>
        <w:tc>
          <w:tcPr>
            <w:tcW w:w="864" w:type="dxa"/>
            <w:tcBorders>
              <w:top w:val="single" w:color="auto" w:sz="4" w:space="0"/>
              <w:left w:val="single" w:color="auto" w:sz="4" w:space="0"/>
            </w:tcBorders>
            <w:noWrap w:val="0"/>
            <w:vAlign w:val="center"/>
          </w:tcPr>
          <w:p w14:paraId="166735D8">
            <w:pPr>
              <w:pStyle w:val="312"/>
              <w:spacing w:line="266" w:lineRule="exact"/>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制造 年份</w:t>
            </w:r>
          </w:p>
        </w:tc>
        <w:tc>
          <w:tcPr>
            <w:tcW w:w="864" w:type="dxa"/>
            <w:tcBorders>
              <w:top w:val="single" w:color="auto" w:sz="4" w:space="0"/>
              <w:left w:val="single" w:color="auto" w:sz="4" w:space="0"/>
            </w:tcBorders>
            <w:noWrap w:val="0"/>
            <w:vAlign w:val="center"/>
          </w:tcPr>
          <w:p w14:paraId="52DC1DAE">
            <w:pPr>
              <w:pStyle w:val="312"/>
              <w:spacing w:line="265" w:lineRule="exact"/>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 xml:space="preserve">额定功率 </w:t>
            </w:r>
            <w:r>
              <w:rPr>
                <w:rFonts w:ascii="Times New Roman" w:hAnsi="Times New Roman" w:eastAsia="Times New Roman" w:cs="Times New Roman"/>
                <w:color w:val="000000" w:themeColor="text1"/>
                <w:sz w:val="21"/>
                <w:szCs w:val="21"/>
                <w:highlight w:val="none"/>
                <w:lang w:val="en-US" w:bidi="en-US"/>
                <w14:textFill>
                  <w14:solidFill>
                    <w14:schemeClr w14:val="tx1"/>
                  </w14:solidFill>
                </w14:textFill>
              </w:rPr>
              <w:t>（KW）</w:t>
            </w:r>
            <w:r>
              <w:rPr>
                <w:color w:val="000000" w:themeColor="text1"/>
                <w:sz w:val="21"/>
                <w:szCs w:val="21"/>
                <w:highlight w:val="none"/>
                <w14:textFill>
                  <w14:solidFill>
                    <w14:schemeClr w14:val="tx1"/>
                  </w14:solidFill>
                </w14:textFill>
              </w:rPr>
              <w:t>或 生产能力</w:t>
            </w:r>
          </w:p>
        </w:tc>
        <w:tc>
          <w:tcPr>
            <w:tcW w:w="864" w:type="dxa"/>
            <w:tcBorders>
              <w:top w:val="single" w:color="auto" w:sz="4" w:space="0"/>
              <w:left w:val="single" w:color="auto" w:sz="4" w:space="0"/>
            </w:tcBorders>
            <w:noWrap w:val="0"/>
            <w:vAlign w:val="center"/>
          </w:tcPr>
          <w:p w14:paraId="554E14E8">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现在何处</w:t>
            </w:r>
          </w:p>
        </w:tc>
        <w:tc>
          <w:tcPr>
            <w:tcW w:w="864" w:type="dxa"/>
            <w:tcBorders>
              <w:top w:val="single" w:color="auto" w:sz="4" w:space="0"/>
              <w:left w:val="single" w:color="auto" w:sz="4" w:space="0"/>
            </w:tcBorders>
            <w:noWrap w:val="0"/>
            <w:vAlign w:val="center"/>
          </w:tcPr>
          <w:p w14:paraId="47EDE5C8">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进场时间</w:t>
            </w:r>
          </w:p>
        </w:tc>
        <w:tc>
          <w:tcPr>
            <w:tcW w:w="864" w:type="dxa"/>
            <w:tcBorders>
              <w:top w:val="single" w:color="auto" w:sz="4" w:space="0"/>
              <w:left w:val="single" w:color="auto" w:sz="4" w:space="0"/>
            </w:tcBorders>
            <w:noWrap w:val="0"/>
            <w:vAlign w:val="center"/>
          </w:tcPr>
          <w:p w14:paraId="5D3DF22D">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退场时间</w:t>
            </w:r>
          </w:p>
        </w:tc>
        <w:tc>
          <w:tcPr>
            <w:tcW w:w="874" w:type="dxa"/>
            <w:tcBorders>
              <w:top w:val="single" w:color="auto" w:sz="4" w:space="0"/>
              <w:left w:val="single" w:color="auto" w:sz="4" w:space="0"/>
              <w:right w:val="single" w:color="auto" w:sz="4" w:space="0"/>
            </w:tcBorders>
            <w:noWrap w:val="0"/>
            <w:vAlign w:val="center"/>
          </w:tcPr>
          <w:p w14:paraId="1E4EAB34">
            <w:pPr>
              <w:pStyle w:val="312"/>
              <w:spacing w:line="257" w:lineRule="exact"/>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用于施工 部位</w:t>
            </w:r>
          </w:p>
        </w:tc>
      </w:tr>
      <w:tr w14:paraId="40A1B4D9">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noWrap w:val="0"/>
            <w:vAlign w:val="top"/>
          </w:tcPr>
          <w:p w14:paraId="4F38F66C">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noWrap w:val="0"/>
            <w:vAlign w:val="top"/>
          </w:tcPr>
          <w:p w14:paraId="589C014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43E7472B">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noWrap w:val="0"/>
            <w:vAlign w:val="top"/>
          </w:tcPr>
          <w:p w14:paraId="644D52B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5F54161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112FEE9F">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24BAB74A">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0F0928F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66601B9C">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noWrap w:val="0"/>
            <w:vAlign w:val="top"/>
          </w:tcPr>
          <w:p w14:paraId="62E8879E">
            <w:pPr>
              <w:rPr>
                <w:color w:val="000000" w:themeColor="text1"/>
                <w:szCs w:val="21"/>
                <w:highlight w:val="none"/>
                <w14:textFill>
                  <w14:solidFill>
                    <w14:schemeClr w14:val="tx1"/>
                  </w14:solidFill>
                </w14:textFill>
              </w:rPr>
            </w:pPr>
          </w:p>
        </w:tc>
      </w:tr>
      <w:tr w14:paraId="28E96D29">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noWrap w:val="0"/>
            <w:vAlign w:val="top"/>
          </w:tcPr>
          <w:p w14:paraId="1D011F33">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noWrap w:val="0"/>
            <w:vAlign w:val="top"/>
          </w:tcPr>
          <w:p w14:paraId="21C14357">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4D10D4DA">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noWrap w:val="0"/>
            <w:vAlign w:val="top"/>
          </w:tcPr>
          <w:p w14:paraId="4B0D848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36D0421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2D96F51A">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39E1FDD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655DECA6">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04141A23">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noWrap w:val="0"/>
            <w:vAlign w:val="top"/>
          </w:tcPr>
          <w:p w14:paraId="66A742DB">
            <w:pPr>
              <w:rPr>
                <w:color w:val="000000" w:themeColor="text1"/>
                <w:szCs w:val="21"/>
                <w:highlight w:val="none"/>
                <w14:textFill>
                  <w14:solidFill>
                    <w14:schemeClr w14:val="tx1"/>
                  </w14:solidFill>
                </w14:textFill>
              </w:rPr>
            </w:pPr>
          </w:p>
        </w:tc>
      </w:tr>
      <w:tr w14:paraId="055D372A">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noWrap w:val="0"/>
            <w:vAlign w:val="top"/>
          </w:tcPr>
          <w:p w14:paraId="0BF83FCB">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noWrap w:val="0"/>
            <w:vAlign w:val="top"/>
          </w:tcPr>
          <w:p w14:paraId="022051BD">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2527BD0E">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noWrap w:val="0"/>
            <w:vAlign w:val="top"/>
          </w:tcPr>
          <w:p w14:paraId="7F72638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1BCA321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06589AA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0459EA0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51115B1D">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30FD0305">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noWrap w:val="0"/>
            <w:vAlign w:val="top"/>
          </w:tcPr>
          <w:p w14:paraId="71445460">
            <w:pPr>
              <w:rPr>
                <w:color w:val="000000" w:themeColor="text1"/>
                <w:szCs w:val="21"/>
                <w:highlight w:val="none"/>
                <w14:textFill>
                  <w14:solidFill>
                    <w14:schemeClr w14:val="tx1"/>
                  </w14:solidFill>
                </w14:textFill>
              </w:rPr>
            </w:pPr>
          </w:p>
        </w:tc>
      </w:tr>
      <w:tr w14:paraId="66F56B00">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noWrap w:val="0"/>
            <w:vAlign w:val="top"/>
          </w:tcPr>
          <w:p w14:paraId="67986510">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noWrap w:val="0"/>
            <w:vAlign w:val="top"/>
          </w:tcPr>
          <w:p w14:paraId="4927523A">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4CE8B7D5">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noWrap w:val="0"/>
            <w:vAlign w:val="top"/>
          </w:tcPr>
          <w:p w14:paraId="38F17E07">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1C9DA0E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5B320787">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3BF7875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2B07DAF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723884CD">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noWrap w:val="0"/>
            <w:vAlign w:val="top"/>
          </w:tcPr>
          <w:p w14:paraId="7CB30868">
            <w:pPr>
              <w:rPr>
                <w:color w:val="000000" w:themeColor="text1"/>
                <w:szCs w:val="21"/>
                <w:highlight w:val="none"/>
                <w14:textFill>
                  <w14:solidFill>
                    <w14:schemeClr w14:val="tx1"/>
                  </w14:solidFill>
                </w14:textFill>
              </w:rPr>
            </w:pPr>
          </w:p>
        </w:tc>
      </w:tr>
      <w:tr w14:paraId="38A9E525">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noWrap w:val="0"/>
            <w:vAlign w:val="top"/>
          </w:tcPr>
          <w:p w14:paraId="6E72BADB">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noWrap w:val="0"/>
            <w:vAlign w:val="top"/>
          </w:tcPr>
          <w:p w14:paraId="3C1B33B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1871FD41">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noWrap w:val="0"/>
            <w:vAlign w:val="top"/>
          </w:tcPr>
          <w:p w14:paraId="5913122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29E8907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3E81E69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6E5E9E86">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2D8FDF0E">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7640AF95">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noWrap w:val="0"/>
            <w:vAlign w:val="top"/>
          </w:tcPr>
          <w:p w14:paraId="50463250">
            <w:pPr>
              <w:rPr>
                <w:color w:val="000000" w:themeColor="text1"/>
                <w:szCs w:val="21"/>
                <w:highlight w:val="none"/>
                <w14:textFill>
                  <w14:solidFill>
                    <w14:schemeClr w14:val="tx1"/>
                  </w14:solidFill>
                </w14:textFill>
              </w:rPr>
            </w:pPr>
          </w:p>
        </w:tc>
      </w:tr>
      <w:tr w14:paraId="2BD75A3A">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noWrap w:val="0"/>
            <w:vAlign w:val="top"/>
          </w:tcPr>
          <w:p w14:paraId="2C926117">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noWrap w:val="0"/>
            <w:vAlign w:val="top"/>
          </w:tcPr>
          <w:p w14:paraId="6919F016">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7D886804">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noWrap w:val="0"/>
            <w:vAlign w:val="top"/>
          </w:tcPr>
          <w:p w14:paraId="092932B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5EEA13D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46D7118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7C04B9FE">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4BB5DBD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26D3AB4F">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noWrap w:val="0"/>
            <w:vAlign w:val="top"/>
          </w:tcPr>
          <w:p w14:paraId="7303B0D3">
            <w:pPr>
              <w:rPr>
                <w:color w:val="000000" w:themeColor="text1"/>
                <w:szCs w:val="21"/>
                <w:highlight w:val="none"/>
                <w14:textFill>
                  <w14:solidFill>
                    <w14:schemeClr w14:val="tx1"/>
                  </w14:solidFill>
                </w14:textFill>
              </w:rPr>
            </w:pPr>
          </w:p>
        </w:tc>
      </w:tr>
      <w:tr w14:paraId="326AEB18">
        <w:tblPrEx>
          <w:tblCellMar>
            <w:top w:w="0" w:type="dxa"/>
            <w:left w:w="10" w:type="dxa"/>
            <w:bottom w:w="0" w:type="dxa"/>
            <w:right w:w="10" w:type="dxa"/>
          </w:tblCellMar>
        </w:tblPrEx>
        <w:trPr>
          <w:trHeight w:val="571" w:hRule="exact"/>
          <w:jc w:val="center"/>
        </w:trPr>
        <w:tc>
          <w:tcPr>
            <w:tcW w:w="293" w:type="dxa"/>
            <w:tcBorders>
              <w:top w:val="single" w:color="auto" w:sz="4" w:space="0"/>
              <w:left w:val="single" w:color="auto" w:sz="4" w:space="0"/>
            </w:tcBorders>
            <w:noWrap w:val="0"/>
            <w:vAlign w:val="top"/>
          </w:tcPr>
          <w:p w14:paraId="6B085D5C">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noWrap w:val="0"/>
            <w:vAlign w:val="top"/>
          </w:tcPr>
          <w:p w14:paraId="025E650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6B4BD97D">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noWrap w:val="0"/>
            <w:vAlign w:val="top"/>
          </w:tcPr>
          <w:p w14:paraId="6CA7D25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60859E7E">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3DA7F40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4D73AD5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3BC2E17D">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5D6F6823">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noWrap w:val="0"/>
            <w:vAlign w:val="top"/>
          </w:tcPr>
          <w:p w14:paraId="18062BE0">
            <w:pPr>
              <w:rPr>
                <w:color w:val="000000" w:themeColor="text1"/>
                <w:szCs w:val="21"/>
                <w:highlight w:val="none"/>
                <w14:textFill>
                  <w14:solidFill>
                    <w14:schemeClr w14:val="tx1"/>
                  </w14:solidFill>
                </w14:textFill>
              </w:rPr>
            </w:pPr>
          </w:p>
        </w:tc>
      </w:tr>
      <w:tr w14:paraId="27800DF7">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noWrap w:val="0"/>
            <w:vAlign w:val="top"/>
          </w:tcPr>
          <w:p w14:paraId="49B73EC1">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noWrap w:val="0"/>
            <w:vAlign w:val="top"/>
          </w:tcPr>
          <w:p w14:paraId="1F4C0E6E">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1A09117F">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noWrap w:val="0"/>
            <w:vAlign w:val="top"/>
          </w:tcPr>
          <w:p w14:paraId="1E13288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40D6052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55E0FF2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17DA71E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0C5DC62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613FFD9C">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noWrap w:val="0"/>
            <w:vAlign w:val="top"/>
          </w:tcPr>
          <w:p w14:paraId="413A0E87">
            <w:pPr>
              <w:rPr>
                <w:color w:val="000000" w:themeColor="text1"/>
                <w:szCs w:val="21"/>
                <w:highlight w:val="none"/>
                <w14:textFill>
                  <w14:solidFill>
                    <w14:schemeClr w14:val="tx1"/>
                  </w14:solidFill>
                </w14:textFill>
              </w:rPr>
            </w:pPr>
          </w:p>
        </w:tc>
      </w:tr>
      <w:tr w14:paraId="4E70A051">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noWrap w:val="0"/>
            <w:vAlign w:val="top"/>
          </w:tcPr>
          <w:p w14:paraId="484C6E85">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noWrap w:val="0"/>
            <w:vAlign w:val="top"/>
          </w:tcPr>
          <w:p w14:paraId="52B1A6E6">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1E3160BF">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noWrap w:val="0"/>
            <w:vAlign w:val="top"/>
          </w:tcPr>
          <w:p w14:paraId="451BA71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7F21860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0E38F197">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4A506B2D">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660B51E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noWrap w:val="0"/>
            <w:vAlign w:val="top"/>
          </w:tcPr>
          <w:p w14:paraId="3E12E499">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noWrap w:val="0"/>
            <w:vAlign w:val="top"/>
          </w:tcPr>
          <w:p w14:paraId="16F5F741">
            <w:pPr>
              <w:rPr>
                <w:color w:val="000000" w:themeColor="text1"/>
                <w:szCs w:val="21"/>
                <w:highlight w:val="none"/>
                <w14:textFill>
                  <w14:solidFill>
                    <w14:schemeClr w14:val="tx1"/>
                  </w14:solidFill>
                </w14:textFill>
              </w:rPr>
            </w:pPr>
          </w:p>
        </w:tc>
      </w:tr>
      <w:tr w14:paraId="425C90E4">
        <w:tblPrEx>
          <w:tblCellMar>
            <w:top w:w="0" w:type="dxa"/>
            <w:left w:w="10" w:type="dxa"/>
            <w:bottom w:w="0" w:type="dxa"/>
            <w:right w:w="10" w:type="dxa"/>
          </w:tblCellMar>
        </w:tblPrEx>
        <w:trPr>
          <w:trHeight w:val="576" w:hRule="exact"/>
          <w:jc w:val="center"/>
        </w:trPr>
        <w:tc>
          <w:tcPr>
            <w:tcW w:w="293" w:type="dxa"/>
            <w:tcBorders>
              <w:top w:val="single" w:color="auto" w:sz="4" w:space="0"/>
              <w:left w:val="single" w:color="auto" w:sz="4" w:space="0"/>
              <w:bottom w:val="single" w:color="auto" w:sz="4" w:space="0"/>
            </w:tcBorders>
            <w:noWrap w:val="0"/>
            <w:vAlign w:val="top"/>
          </w:tcPr>
          <w:p w14:paraId="3DB33F2C">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single" w:color="auto" w:sz="4" w:space="0"/>
            </w:tcBorders>
            <w:noWrap w:val="0"/>
            <w:vAlign w:val="top"/>
          </w:tcPr>
          <w:p w14:paraId="1D0631D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noWrap w:val="0"/>
            <w:vAlign w:val="top"/>
          </w:tcPr>
          <w:p w14:paraId="7B0BDCE4">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single" w:color="auto" w:sz="4" w:space="0"/>
            </w:tcBorders>
            <w:noWrap w:val="0"/>
            <w:vAlign w:val="top"/>
          </w:tcPr>
          <w:p w14:paraId="4567D86A">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noWrap w:val="0"/>
            <w:vAlign w:val="top"/>
          </w:tcPr>
          <w:p w14:paraId="64DA68D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noWrap w:val="0"/>
            <w:vAlign w:val="top"/>
          </w:tcPr>
          <w:p w14:paraId="0C7A26B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noWrap w:val="0"/>
            <w:vAlign w:val="top"/>
          </w:tcPr>
          <w:p w14:paraId="1AC4630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noWrap w:val="0"/>
            <w:vAlign w:val="top"/>
          </w:tcPr>
          <w:p w14:paraId="137DF36F">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noWrap w:val="0"/>
            <w:vAlign w:val="top"/>
          </w:tcPr>
          <w:p w14:paraId="684DA60D">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1DB3F829">
            <w:pPr>
              <w:rPr>
                <w:color w:val="000000" w:themeColor="text1"/>
                <w:szCs w:val="21"/>
                <w:highlight w:val="none"/>
                <w14:textFill>
                  <w14:solidFill>
                    <w14:schemeClr w14:val="tx1"/>
                  </w14:solidFill>
                </w14:textFill>
              </w:rPr>
            </w:pPr>
          </w:p>
        </w:tc>
      </w:tr>
    </w:tbl>
    <w:p w14:paraId="701FBE49">
      <w:pPr>
        <w:spacing w:after="299" w:line="1" w:lineRule="exact"/>
        <w:rPr>
          <w:color w:val="000000" w:themeColor="text1"/>
          <w:highlight w:val="none"/>
          <w14:textFill>
            <w14:solidFill>
              <w14:schemeClr w14:val="tx1"/>
            </w14:solidFill>
          </w14:textFill>
        </w:rPr>
      </w:pPr>
    </w:p>
    <w:p w14:paraId="071AD1F6">
      <w:pPr>
        <w:pStyle w:val="237"/>
        <w:tabs>
          <w:tab w:val="left" w:pos="847"/>
          <w:tab w:val="left" w:leader="underscore" w:pos="850"/>
          <w:tab w:val="left" w:leader="underscore" w:pos="1906"/>
          <w:tab w:val="left" w:pos="1908"/>
          <w:tab w:val="left" w:pos="2964"/>
        </w:tabs>
        <w:spacing w:after="420" w:line="353" w:lineRule="exact"/>
        <w:ind w:firstLine="420"/>
        <w:jc w:val="right"/>
        <w:rPr>
          <w:color w:val="000000" w:themeColor="text1"/>
          <w:highlight w:val="none"/>
          <w14:textFill>
            <w14:solidFill>
              <w14:schemeClr w14:val="tx1"/>
            </w14:solidFill>
          </w14:textFill>
        </w:rPr>
        <w:sectPr>
          <w:headerReference r:id="rId9" w:type="default"/>
          <w:footerReference r:id="rId11" w:type="default"/>
          <w:headerReference r:id="rId10" w:type="even"/>
          <w:footerReference r:id="rId12" w:type="even"/>
          <w:pgSz w:w="11900" w:h="16832"/>
          <w:pgMar w:top="1440" w:right="1803" w:bottom="1440" w:left="1803" w:header="851" w:footer="851" w:gutter="0"/>
          <w:pgNumType w:start="1"/>
          <w:cols w:space="720" w:num="1"/>
        </w:sectPr>
      </w:pPr>
      <w:bookmarkStart w:id="119" w:name="_Toc27417"/>
      <w:bookmarkStart w:id="120" w:name="bookmark2236"/>
      <w:bookmarkStart w:id="121" w:name="bookmark2235"/>
      <w:bookmarkStart w:id="122" w:name="bookmark2234"/>
      <w:bookmarkStart w:id="123" w:name="_Toc3373"/>
    </w:p>
    <w:p w14:paraId="0A5CC60C">
      <w:pPr>
        <w:pStyle w:val="9"/>
        <w:rPr>
          <w:rFonts w:hint="eastAsia" w:ascii="宋体" w:hAnsi="宋体" w:cs="宋体"/>
          <w:b w:val="0"/>
          <w:color w:val="000000" w:themeColor="text1"/>
          <w:sz w:val="28"/>
          <w:szCs w:val="28"/>
          <w:highlight w:val="none"/>
          <w14:textFill>
            <w14:solidFill>
              <w14:schemeClr w14:val="tx1"/>
            </w14:solidFill>
          </w14:textFill>
        </w:rPr>
      </w:pPr>
      <w:r>
        <w:rPr>
          <w:rFonts w:hint="eastAsia" w:ascii="宋体" w:hAnsi="宋体" w:cs="宋体"/>
          <w:b w:val="0"/>
          <w:color w:val="000000" w:themeColor="text1"/>
          <w:sz w:val="28"/>
          <w:szCs w:val="28"/>
          <w:highlight w:val="none"/>
          <w14:textFill>
            <w14:solidFill>
              <w14:schemeClr w14:val="tx1"/>
            </w14:solidFill>
          </w14:textFill>
        </w:rPr>
        <w:t>附件二：拟投入本合同工程的试验和检测仪器设备表</w:t>
      </w:r>
      <w:bookmarkEnd w:id="119"/>
    </w:p>
    <w:p w14:paraId="5A2CB9A2">
      <w:pPr>
        <w:rPr>
          <w:rFonts w:hint="eastAsia"/>
          <w:color w:val="000000" w:themeColor="text1"/>
          <w:highlight w:val="none"/>
          <w14:textFill>
            <w14:solidFill>
              <w14:schemeClr w14:val="tx1"/>
            </w14:solidFill>
          </w14:textFill>
        </w:rPr>
      </w:pPr>
    </w:p>
    <w:p w14:paraId="3D69E6BC">
      <w:pPr>
        <w:jc w:val="center"/>
        <w:rPr>
          <w:rFonts w:hint="eastAsia" w:ascii="宋体" w:hAnsi="宋体" w:cs="宋体"/>
          <w:b/>
          <w:bCs/>
          <w:color w:val="000000" w:themeColor="text1"/>
          <w:sz w:val="28"/>
          <w:szCs w:val="28"/>
          <w:highlight w:val="none"/>
          <w14:textFill>
            <w14:solidFill>
              <w14:schemeClr w14:val="tx1"/>
            </w14:solidFill>
          </w14:textFill>
        </w:rPr>
      </w:pPr>
      <w:bookmarkStart w:id="124" w:name="_Toc24555"/>
      <w:r>
        <w:rPr>
          <w:rFonts w:hint="eastAsia" w:ascii="宋体" w:hAnsi="宋体" w:cs="宋体"/>
          <w:b/>
          <w:bCs/>
          <w:color w:val="000000" w:themeColor="text1"/>
          <w:sz w:val="28"/>
          <w:szCs w:val="28"/>
          <w:highlight w:val="none"/>
          <w14:textFill>
            <w14:solidFill>
              <w14:schemeClr w14:val="tx1"/>
            </w14:solidFill>
          </w14:textFill>
        </w:rPr>
        <w:t>拟投入本合同工程的试验和检测仪器设备表</w:t>
      </w:r>
      <w:bookmarkEnd w:id="120"/>
      <w:bookmarkEnd w:id="121"/>
      <w:bookmarkEnd w:id="122"/>
      <w:bookmarkEnd w:id="123"/>
      <w:bookmarkEnd w:id="124"/>
    </w:p>
    <w:p w14:paraId="092B9AF2">
      <w:pPr>
        <w:jc w:val="center"/>
        <w:rPr>
          <w:b/>
          <w:color w:val="000000" w:themeColor="text1"/>
          <w:highlight w:val="none"/>
          <w14:textFill>
            <w14:solidFill>
              <w14:schemeClr w14:val="tx1"/>
            </w14:solidFill>
          </w14:textFill>
        </w:rPr>
      </w:pPr>
    </w:p>
    <w:tbl>
      <w:tblPr>
        <w:tblStyle w:val="45"/>
        <w:tblW w:w="0" w:type="auto"/>
        <w:jc w:val="center"/>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2CA63675">
        <w:tblPrEx>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tcBorders>
            <w:shd w:val="clear" w:color="auto" w:fill="FFFFFF"/>
            <w:noWrap w:val="0"/>
            <w:vAlign w:val="center"/>
          </w:tcPr>
          <w:p w14:paraId="36E41BFA">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1416" w:type="dxa"/>
            <w:tcBorders>
              <w:top w:val="single" w:color="auto" w:sz="4" w:space="0"/>
              <w:left w:val="single" w:color="auto" w:sz="4" w:space="0"/>
            </w:tcBorders>
            <w:shd w:val="clear" w:color="auto" w:fill="FFFFFF"/>
            <w:noWrap w:val="0"/>
            <w:vAlign w:val="center"/>
          </w:tcPr>
          <w:p w14:paraId="7706D7C8">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仪器设备名称</w:t>
            </w:r>
          </w:p>
        </w:tc>
        <w:tc>
          <w:tcPr>
            <w:tcW w:w="907" w:type="dxa"/>
            <w:tcBorders>
              <w:top w:val="single" w:color="auto" w:sz="4" w:space="0"/>
              <w:left w:val="single" w:color="auto" w:sz="4" w:space="0"/>
            </w:tcBorders>
            <w:shd w:val="clear" w:color="auto" w:fill="FFFFFF"/>
            <w:noWrap w:val="0"/>
            <w:vAlign w:val="center"/>
          </w:tcPr>
          <w:p w14:paraId="7E443926">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型号规格</w:t>
            </w:r>
          </w:p>
        </w:tc>
        <w:tc>
          <w:tcPr>
            <w:tcW w:w="907" w:type="dxa"/>
            <w:tcBorders>
              <w:top w:val="single" w:color="auto" w:sz="4" w:space="0"/>
              <w:left w:val="single" w:color="auto" w:sz="4" w:space="0"/>
            </w:tcBorders>
            <w:shd w:val="clear" w:color="auto" w:fill="FFFFFF"/>
            <w:noWrap w:val="0"/>
            <w:vAlign w:val="center"/>
          </w:tcPr>
          <w:p w14:paraId="4EF9070F">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数量</w:t>
            </w:r>
          </w:p>
        </w:tc>
        <w:tc>
          <w:tcPr>
            <w:tcW w:w="907" w:type="dxa"/>
            <w:tcBorders>
              <w:top w:val="single" w:color="auto" w:sz="4" w:space="0"/>
              <w:left w:val="single" w:color="auto" w:sz="4" w:space="0"/>
            </w:tcBorders>
            <w:shd w:val="clear" w:color="auto" w:fill="FFFFFF"/>
            <w:noWrap w:val="0"/>
            <w:vAlign w:val="center"/>
          </w:tcPr>
          <w:p w14:paraId="380DC367">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国别产地</w:t>
            </w:r>
          </w:p>
        </w:tc>
        <w:tc>
          <w:tcPr>
            <w:tcW w:w="912" w:type="dxa"/>
            <w:tcBorders>
              <w:top w:val="single" w:color="auto" w:sz="4" w:space="0"/>
              <w:left w:val="single" w:color="auto" w:sz="4" w:space="0"/>
            </w:tcBorders>
            <w:shd w:val="clear" w:color="auto" w:fill="FFFFFF"/>
            <w:noWrap w:val="0"/>
            <w:vAlign w:val="center"/>
          </w:tcPr>
          <w:p w14:paraId="76EB60DA">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制造年份</w:t>
            </w:r>
          </w:p>
        </w:tc>
        <w:tc>
          <w:tcPr>
            <w:tcW w:w="902" w:type="dxa"/>
            <w:tcBorders>
              <w:top w:val="single" w:color="auto" w:sz="4" w:space="0"/>
              <w:left w:val="single" w:color="auto" w:sz="4" w:space="0"/>
            </w:tcBorders>
            <w:shd w:val="clear" w:color="auto" w:fill="FFFFFF"/>
            <w:noWrap w:val="0"/>
            <w:vAlign w:val="center"/>
          </w:tcPr>
          <w:p w14:paraId="2ACAC484">
            <w:pPr>
              <w:pStyle w:val="312"/>
              <w:spacing w:line="264" w:lineRule="exact"/>
              <w:ind w:firstLine="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已</w:t>
            </w:r>
            <w:r>
              <w:rPr>
                <w:color w:val="000000" w:themeColor="text1"/>
                <w:sz w:val="21"/>
                <w:szCs w:val="21"/>
                <w:highlight w:val="none"/>
                <w14:textFill>
                  <w14:solidFill>
                    <w14:schemeClr w14:val="tx1"/>
                  </w14:solidFill>
                </w14:textFill>
              </w:rPr>
              <w:t>使用</w:t>
            </w:r>
          </w:p>
          <w:p w14:paraId="5F14386F">
            <w:pPr>
              <w:pStyle w:val="312"/>
              <w:spacing w:line="264" w:lineRule="exact"/>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台时数</w:t>
            </w:r>
          </w:p>
        </w:tc>
        <w:tc>
          <w:tcPr>
            <w:tcW w:w="907" w:type="dxa"/>
            <w:tcBorders>
              <w:top w:val="single" w:color="auto" w:sz="4" w:space="0"/>
              <w:left w:val="single" w:color="auto" w:sz="4" w:space="0"/>
            </w:tcBorders>
            <w:shd w:val="clear" w:color="auto" w:fill="FFFFFF"/>
            <w:noWrap w:val="0"/>
            <w:vAlign w:val="center"/>
          </w:tcPr>
          <w:p w14:paraId="18F309AB">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用途</w:t>
            </w:r>
          </w:p>
        </w:tc>
        <w:tc>
          <w:tcPr>
            <w:tcW w:w="917" w:type="dxa"/>
            <w:tcBorders>
              <w:top w:val="single" w:color="auto" w:sz="4" w:space="0"/>
              <w:left w:val="single" w:color="auto" w:sz="4" w:space="0"/>
              <w:right w:val="single" w:color="auto" w:sz="4" w:space="0"/>
            </w:tcBorders>
            <w:shd w:val="clear" w:color="auto" w:fill="FFFFFF"/>
            <w:noWrap w:val="0"/>
            <w:vAlign w:val="center"/>
          </w:tcPr>
          <w:p w14:paraId="17610DB9">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备注</w:t>
            </w:r>
          </w:p>
        </w:tc>
      </w:tr>
      <w:tr w14:paraId="56AAB43B">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5402B5C">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3ED46250">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50B4043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F0D6BC7">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6E71726F">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7D7FE7E9">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279D65D6">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0F6B63EA">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45F985E0">
            <w:pPr>
              <w:rPr>
                <w:color w:val="000000" w:themeColor="text1"/>
                <w:szCs w:val="21"/>
                <w:highlight w:val="none"/>
                <w14:textFill>
                  <w14:solidFill>
                    <w14:schemeClr w14:val="tx1"/>
                  </w14:solidFill>
                </w14:textFill>
              </w:rPr>
            </w:pPr>
          </w:p>
        </w:tc>
      </w:tr>
      <w:tr w14:paraId="4D1F7A9E">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4B7F55D">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13B791B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775E56C6">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44720E3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64749490">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2B39AF32">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6BA1143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0FB4FA5A">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3E1A005D">
            <w:pPr>
              <w:rPr>
                <w:color w:val="000000" w:themeColor="text1"/>
                <w:szCs w:val="21"/>
                <w:highlight w:val="none"/>
                <w14:textFill>
                  <w14:solidFill>
                    <w14:schemeClr w14:val="tx1"/>
                  </w14:solidFill>
                </w14:textFill>
              </w:rPr>
            </w:pPr>
          </w:p>
        </w:tc>
      </w:tr>
      <w:tr w14:paraId="774F8C1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C7261A2">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0A52E88C">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38C44AC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0EBC91C8">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486DC1D7">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1F8A807D">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1B74749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40637D2">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7692600E">
            <w:pPr>
              <w:rPr>
                <w:color w:val="000000" w:themeColor="text1"/>
                <w:szCs w:val="21"/>
                <w:highlight w:val="none"/>
                <w14:textFill>
                  <w14:solidFill>
                    <w14:schemeClr w14:val="tx1"/>
                  </w14:solidFill>
                </w14:textFill>
              </w:rPr>
            </w:pPr>
          </w:p>
        </w:tc>
      </w:tr>
      <w:tr w14:paraId="314A1D59">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2BF68CE3">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5A8C576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4B9750F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3DA9E5E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65731E25">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436E8DFA">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3E36C158">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5C2D2A64">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5ECC6346">
            <w:pPr>
              <w:rPr>
                <w:color w:val="000000" w:themeColor="text1"/>
                <w:szCs w:val="21"/>
                <w:highlight w:val="none"/>
                <w14:textFill>
                  <w14:solidFill>
                    <w14:schemeClr w14:val="tx1"/>
                  </w14:solidFill>
                </w14:textFill>
              </w:rPr>
            </w:pPr>
          </w:p>
        </w:tc>
      </w:tr>
      <w:tr w14:paraId="2CD23D2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806BF54">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20FC4036">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5BA56D9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07CAD018">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24508F61">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061C9E52">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0444AF3D">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703B37BD">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4C04EC32">
            <w:pPr>
              <w:rPr>
                <w:color w:val="000000" w:themeColor="text1"/>
                <w:szCs w:val="21"/>
                <w:highlight w:val="none"/>
                <w14:textFill>
                  <w14:solidFill>
                    <w14:schemeClr w14:val="tx1"/>
                  </w14:solidFill>
                </w14:textFill>
              </w:rPr>
            </w:pPr>
          </w:p>
        </w:tc>
      </w:tr>
      <w:tr w14:paraId="098AD648">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D08D428">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647956D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324AD321">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7D2BFCA0">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0BC7F88B">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77131A0A">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5B62FD07">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33A9A288">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6E6BBC3B">
            <w:pPr>
              <w:rPr>
                <w:color w:val="000000" w:themeColor="text1"/>
                <w:szCs w:val="21"/>
                <w:highlight w:val="none"/>
                <w14:textFill>
                  <w14:solidFill>
                    <w14:schemeClr w14:val="tx1"/>
                  </w14:solidFill>
                </w14:textFill>
              </w:rPr>
            </w:pPr>
          </w:p>
        </w:tc>
      </w:tr>
      <w:tr w14:paraId="1C0D472E">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CE3C1B0">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036C18B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30F9445D">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71E500E6">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38F5ACC9">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5B54EB60">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723E2F70">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36CD8C2F">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B27A748">
            <w:pPr>
              <w:rPr>
                <w:color w:val="000000" w:themeColor="text1"/>
                <w:szCs w:val="21"/>
                <w:highlight w:val="none"/>
                <w14:textFill>
                  <w14:solidFill>
                    <w14:schemeClr w14:val="tx1"/>
                  </w14:solidFill>
                </w14:textFill>
              </w:rPr>
            </w:pPr>
          </w:p>
        </w:tc>
      </w:tr>
      <w:tr w14:paraId="6D69EC7E">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noWrap w:val="0"/>
            <w:vAlign w:val="top"/>
          </w:tcPr>
          <w:p w14:paraId="6DD596F8">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6410101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7DD2CD8">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E33117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F70D191">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121C04CA">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1D57AF2C">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56E0092">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25183B23">
            <w:pPr>
              <w:rPr>
                <w:color w:val="000000" w:themeColor="text1"/>
                <w:szCs w:val="21"/>
                <w:highlight w:val="none"/>
                <w14:textFill>
                  <w14:solidFill>
                    <w14:schemeClr w14:val="tx1"/>
                  </w14:solidFill>
                </w14:textFill>
              </w:rPr>
            </w:pPr>
          </w:p>
        </w:tc>
      </w:tr>
      <w:tr w14:paraId="0DB31E9E">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11502CC9">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6EE49B5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42B5644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2D8C7E4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16AAEAA">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33B7CF72">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3C8727B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4C9DF2BA">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5C775D80">
            <w:pPr>
              <w:rPr>
                <w:color w:val="000000" w:themeColor="text1"/>
                <w:szCs w:val="21"/>
                <w:highlight w:val="none"/>
                <w14:textFill>
                  <w14:solidFill>
                    <w14:schemeClr w14:val="tx1"/>
                  </w14:solidFill>
                </w14:textFill>
              </w:rPr>
            </w:pPr>
          </w:p>
        </w:tc>
      </w:tr>
      <w:tr w14:paraId="7E60806B">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2EB40C4">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23D1559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5964FC6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2BB2A2EC">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33684414">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725C5064">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0115C58D">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82777B0">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0FE99C76">
            <w:pPr>
              <w:rPr>
                <w:color w:val="000000" w:themeColor="text1"/>
                <w:szCs w:val="21"/>
                <w:highlight w:val="none"/>
                <w14:textFill>
                  <w14:solidFill>
                    <w14:schemeClr w14:val="tx1"/>
                  </w14:solidFill>
                </w14:textFill>
              </w:rPr>
            </w:pPr>
          </w:p>
        </w:tc>
      </w:tr>
      <w:tr w14:paraId="3708D172">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D22BBB6">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44F3FF07">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4BD03AD1">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FD3238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2A3F4C80">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7ED782B4">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177271E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07966DEA">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6ED0DB49">
            <w:pPr>
              <w:rPr>
                <w:color w:val="000000" w:themeColor="text1"/>
                <w:szCs w:val="21"/>
                <w:highlight w:val="none"/>
                <w14:textFill>
                  <w14:solidFill>
                    <w14:schemeClr w14:val="tx1"/>
                  </w14:solidFill>
                </w14:textFill>
              </w:rPr>
            </w:pPr>
          </w:p>
        </w:tc>
      </w:tr>
      <w:tr w14:paraId="14FE4063">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09EEA3E">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56918990">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3D2E532D">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46D8869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2BE46265">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012DD27D">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02F7D457">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68B7AE71">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01E3D67">
            <w:pPr>
              <w:rPr>
                <w:color w:val="000000" w:themeColor="text1"/>
                <w:szCs w:val="21"/>
                <w:highlight w:val="none"/>
                <w14:textFill>
                  <w14:solidFill>
                    <w14:schemeClr w14:val="tx1"/>
                  </w14:solidFill>
                </w14:textFill>
              </w:rPr>
            </w:pPr>
          </w:p>
        </w:tc>
      </w:tr>
      <w:tr w14:paraId="42112D73">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290E050D">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2D217311">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0AA58711">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5E0D1F4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709557CF">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4A5D6281">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2DE3B8B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2F4A21F0">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EECC037">
            <w:pPr>
              <w:rPr>
                <w:color w:val="000000" w:themeColor="text1"/>
                <w:szCs w:val="21"/>
                <w:highlight w:val="none"/>
                <w14:textFill>
                  <w14:solidFill>
                    <w14:schemeClr w14:val="tx1"/>
                  </w14:solidFill>
                </w14:textFill>
              </w:rPr>
            </w:pPr>
          </w:p>
        </w:tc>
      </w:tr>
      <w:tr w14:paraId="32237992">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23A60113">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59D1FC3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4C89218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506FC651">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F605A10">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7EF00AC2">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3264438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1F6297B3">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46F6C22E">
            <w:pPr>
              <w:rPr>
                <w:color w:val="000000" w:themeColor="text1"/>
                <w:szCs w:val="21"/>
                <w:highlight w:val="none"/>
                <w14:textFill>
                  <w14:solidFill>
                    <w14:schemeClr w14:val="tx1"/>
                  </w14:solidFill>
                </w14:textFill>
              </w:rPr>
            </w:pPr>
          </w:p>
        </w:tc>
      </w:tr>
      <w:tr w14:paraId="382D7B91">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1862DA4">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noWrap w:val="0"/>
            <w:vAlign w:val="top"/>
          </w:tcPr>
          <w:p w14:paraId="1E068D7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4321CF4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2EC752A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0FE34F7F">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top"/>
          </w:tcPr>
          <w:p w14:paraId="5A7CFC2F">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top"/>
          </w:tcPr>
          <w:p w14:paraId="37453201">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top"/>
          </w:tcPr>
          <w:p w14:paraId="39EB8C4B">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top"/>
          </w:tcPr>
          <w:p w14:paraId="26C52D57">
            <w:pPr>
              <w:rPr>
                <w:color w:val="000000" w:themeColor="text1"/>
                <w:szCs w:val="21"/>
                <w:highlight w:val="none"/>
                <w14:textFill>
                  <w14:solidFill>
                    <w14:schemeClr w14:val="tx1"/>
                  </w14:solidFill>
                </w14:textFill>
              </w:rPr>
            </w:pPr>
          </w:p>
        </w:tc>
      </w:tr>
      <w:tr w14:paraId="74CFEAC2">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69F7040C">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single" w:color="auto" w:sz="4" w:space="0"/>
            </w:tcBorders>
            <w:shd w:val="clear" w:color="auto" w:fill="FFFFFF"/>
            <w:noWrap w:val="0"/>
            <w:vAlign w:val="top"/>
          </w:tcPr>
          <w:p w14:paraId="54AD648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5C03CF0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54B2439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2B534CAF">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tcBorders>
            <w:shd w:val="clear" w:color="auto" w:fill="FFFFFF"/>
            <w:noWrap w:val="0"/>
            <w:vAlign w:val="top"/>
          </w:tcPr>
          <w:p w14:paraId="17D726FD">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tcBorders>
            <w:shd w:val="clear" w:color="auto" w:fill="FFFFFF"/>
            <w:noWrap w:val="0"/>
            <w:vAlign w:val="top"/>
          </w:tcPr>
          <w:p w14:paraId="19CD543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1EE93A1C">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16D27B93">
            <w:pPr>
              <w:rPr>
                <w:color w:val="000000" w:themeColor="text1"/>
                <w:szCs w:val="21"/>
                <w:highlight w:val="none"/>
                <w14:textFill>
                  <w14:solidFill>
                    <w14:schemeClr w14:val="tx1"/>
                  </w14:solidFill>
                </w14:textFill>
              </w:rPr>
            </w:pPr>
          </w:p>
        </w:tc>
      </w:tr>
    </w:tbl>
    <w:p w14:paraId="769DB5ED">
      <w:pPr>
        <w:spacing w:after="299" w:line="1" w:lineRule="exact"/>
        <w:rPr>
          <w:color w:val="000000" w:themeColor="text1"/>
          <w:highlight w:val="none"/>
          <w14:textFill>
            <w14:solidFill>
              <w14:schemeClr w14:val="tx1"/>
            </w14:solidFill>
          </w14:textFill>
        </w:rPr>
      </w:pPr>
    </w:p>
    <w:p w14:paraId="07AE905D">
      <w:pPr>
        <w:pStyle w:val="237"/>
        <w:tabs>
          <w:tab w:val="left" w:pos="847"/>
          <w:tab w:val="left" w:leader="underscore" w:pos="850"/>
          <w:tab w:val="left" w:leader="underscore" w:pos="1906"/>
          <w:tab w:val="left" w:pos="1908"/>
          <w:tab w:val="left" w:pos="2964"/>
        </w:tabs>
        <w:spacing w:after="420" w:line="353" w:lineRule="exact"/>
        <w:ind w:firstLine="420"/>
        <w:jc w:val="right"/>
        <w:rPr>
          <w:color w:val="000000" w:themeColor="text1"/>
          <w:highlight w:val="none"/>
          <w14:textFill>
            <w14:solidFill>
              <w14:schemeClr w14:val="tx1"/>
            </w14:solidFill>
          </w14:textFill>
        </w:rPr>
        <w:sectPr>
          <w:headerReference r:id="rId13" w:type="default"/>
          <w:footerReference r:id="rId15" w:type="default"/>
          <w:headerReference r:id="rId14" w:type="even"/>
          <w:footerReference r:id="rId16" w:type="even"/>
          <w:pgSz w:w="11900" w:h="16832"/>
          <w:pgMar w:top="1440" w:right="1803" w:bottom="1440" w:left="1803" w:header="851" w:footer="851" w:gutter="0"/>
          <w:cols w:space="720" w:num="1"/>
        </w:sectPr>
      </w:pPr>
      <w:bookmarkStart w:id="125" w:name="bookmark2239"/>
      <w:bookmarkStart w:id="126" w:name="bookmark2237"/>
      <w:bookmarkStart w:id="127" w:name="bookmark2238"/>
    </w:p>
    <w:p w14:paraId="4A1B44CD">
      <w:pPr>
        <w:pStyle w:val="9"/>
        <w:rPr>
          <w:rFonts w:hint="eastAsia" w:ascii="宋体" w:hAnsi="宋体" w:cs="宋体"/>
          <w:b w:val="0"/>
          <w:color w:val="000000" w:themeColor="text1"/>
          <w:sz w:val="28"/>
          <w:szCs w:val="28"/>
          <w:highlight w:val="none"/>
          <w14:textFill>
            <w14:solidFill>
              <w14:schemeClr w14:val="tx1"/>
            </w14:solidFill>
          </w14:textFill>
        </w:rPr>
      </w:pPr>
      <w:r>
        <w:rPr>
          <w:rFonts w:hint="eastAsia" w:ascii="宋体" w:hAnsi="宋体" w:cs="宋体"/>
          <w:b w:val="0"/>
          <w:color w:val="000000" w:themeColor="text1"/>
          <w:sz w:val="28"/>
          <w:szCs w:val="28"/>
          <w:highlight w:val="none"/>
          <w14:textFill>
            <w14:solidFill>
              <w14:schemeClr w14:val="tx1"/>
            </w14:solidFill>
          </w14:textFill>
        </w:rPr>
        <w:t>附件三：拟投入本合同工程的劳动力计划表</w:t>
      </w:r>
      <w:bookmarkEnd w:id="125"/>
      <w:bookmarkEnd w:id="126"/>
      <w:bookmarkEnd w:id="127"/>
    </w:p>
    <w:p w14:paraId="4695C099">
      <w:pPr>
        <w:rPr>
          <w:rFonts w:hint="eastAsia"/>
          <w:color w:val="000000" w:themeColor="text1"/>
          <w:highlight w:val="none"/>
          <w14:textFill>
            <w14:solidFill>
              <w14:schemeClr w14:val="tx1"/>
            </w14:solidFill>
          </w14:textFill>
        </w:rPr>
      </w:pPr>
    </w:p>
    <w:p w14:paraId="17CB43D5">
      <w:pPr>
        <w:jc w:val="center"/>
        <w:rPr>
          <w:rFonts w:hint="eastAsia" w:ascii="宋体" w:hAnsi="宋体" w:cs="宋体"/>
          <w:b/>
          <w:bCs/>
          <w:color w:val="000000" w:themeColor="text1"/>
          <w:sz w:val="28"/>
          <w:szCs w:val="28"/>
          <w:highlight w:val="none"/>
          <w14:textFill>
            <w14:solidFill>
              <w14:schemeClr w14:val="tx1"/>
            </w14:solidFill>
          </w14:textFill>
        </w:rPr>
      </w:pPr>
      <w:bookmarkStart w:id="128" w:name="bookmark2242"/>
      <w:bookmarkStart w:id="129" w:name="_Toc30824"/>
      <w:bookmarkStart w:id="130" w:name="bookmark2241"/>
      <w:bookmarkStart w:id="131" w:name="bookmark2240"/>
      <w:bookmarkStart w:id="132" w:name="_Toc26872"/>
      <w:r>
        <w:rPr>
          <w:rFonts w:hint="eastAsia" w:ascii="宋体" w:hAnsi="宋体" w:cs="宋体"/>
          <w:b/>
          <w:bCs/>
          <w:color w:val="000000" w:themeColor="text1"/>
          <w:sz w:val="28"/>
          <w:szCs w:val="28"/>
          <w:highlight w:val="none"/>
          <w14:textFill>
            <w14:solidFill>
              <w14:schemeClr w14:val="tx1"/>
            </w14:solidFill>
          </w14:textFill>
        </w:rPr>
        <w:t>拟投入本合同工程的劳动力计划表</w:t>
      </w:r>
      <w:bookmarkEnd w:id="128"/>
      <w:bookmarkEnd w:id="129"/>
      <w:bookmarkEnd w:id="130"/>
      <w:bookmarkEnd w:id="131"/>
      <w:bookmarkEnd w:id="132"/>
    </w:p>
    <w:p w14:paraId="764FE507">
      <w:pPr>
        <w:jc w:val="center"/>
        <w:rPr>
          <w:b/>
          <w:color w:val="000000" w:themeColor="text1"/>
          <w:highlight w:val="none"/>
          <w14:textFill>
            <w14:solidFill>
              <w14:schemeClr w14:val="tx1"/>
            </w14:solidFill>
          </w14:textFill>
        </w:rPr>
      </w:pPr>
      <w:r>
        <w:rPr>
          <w:color w:val="000000" w:themeColor="text1"/>
          <w:sz w:val="18"/>
          <w:szCs w:val="18"/>
          <w:highlight w:val="none"/>
          <w:lang w:bidi="mn-Mong-CN"/>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-26035</wp:posOffset>
                </wp:positionH>
                <wp:positionV relativeFrom="paragraph">
                  <wp:posOffset>173355</wp:posOffset>
                </wp:positionV>
                <wp:extent cx="1822450" cy="366395"/>
                <wp:effectExtent l="635" t="4445" r="5715" b="10160"/>
                <wp:wrapNone/>
                <wp:docPr id="13" name="直接箭头连接符 5"/>
                <wp:cNvGraphicFramePr/>
                <a:graphic xmlns:a="http://schemas.openxmlformats.org/drawingml/2006/main">
                  <a:graphicData uri="http://schemas.microsoft.com/office/word/2010/wordprocessingShape">
                    <wps:wsp>
                      <wps:cNvCnPr/>
                      <wps:spPr bwMode="auto">
                        <a:xfrm>
                          <a:off x="0" y="0"/>
                          <a:ext cx="1822450" cy="366395"/>
                        </a:xfrm>
                        <a:prstGeom prst="straightConnector1">
                          <a:avLst/>
                        </a:prstGeom>
                        <a:ln w="9525" cap="flat" cmpd="sng">
                          <a:solidFill>
                            <a:srgbClr val="000000"/>
                          </a:solidFill>
                          <a:prstDash val="solid"/>
                          <a:headEnd type="none" w="med" len="med"/>
                          <a:tailEnd type="none" w="med" len="med"/>
                        </a:ln>
                      </wps:spPr>
                      <wps:bodyPr rot="0">
                        <a:noAutofit/>
                      </wps:bodyPr>
                    </wps:wsp>
                  </a:graphicData>
                </a:graphic>
              </wp:anchor>
            </w:drawing>
          </mc:Choice>
          <mc:Fallback>
            <w:pict>
              <v:shape id="直接箭头连接符 5" o:spid="_x0000_s1026" o:spt="32" type="#_x0000_t32" style="position:absolute;left:0pt;margin-left:-2.05pt;margin-top:13.65pt;height:28.85pt;width:143.5pt;z-index:251659264;mso-width-relative:page;mso-height-relative:page;" filled="f" stroked="t" coordsize="21600,21600" o:gfxdata="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jkGhq1wAA&#10;AAgBAAAPAAAAAAAAAAEAIAAAACIAAABkcnMvZG93bnJldi54bWxQSwECFAAUAAAACACHTuJAhJ9e&#10;jB8CAAAiBAAADgAAAAAAAAABACAAAAAmAQAAZHJzL2Uyb0RvYy54bWxQSwUGAAAAAAYABgBZAQAA&#10;twUAAAAA&#10;">
                <v:fill on="f" focussize="0,0"/>
                <v:stroke color="#000000" joinstyle="round"/>
                <v:imagedata o:title=""/>
                <o:lock v:ext="edit" aspectratio="f"/>
              </v:shape>
            </w:pict>
          </mc:Fallback>
        </mc:AlternateContent>
      </w:r>
    </w:p>
    <w:tbl>
      <w:tblPr>
        <w:tblStyle w:val="45"/>
        <w:tblW w:w="0" w:type="auto"/>
        <w:jc w:val="center"/>
        <w:tblLayout w:type="fixed"/>
        <w:tblCellMar>
          <w:top w:w="0" w:type="dxa"/>
          <w:left w:w="10" w:type="dxa"/>
          <w:bottom w:w="0" w:type="dxa"/>
          <w:right w:w="10" w:type="dxa"/>
        </w:tblCellMar>
      </w:tblPr>
      <w:tblGrid>
        <w:gridCol w:w="1426"/>
        <w:gridCol w:w="1421"/>
        <w:gridCol w:w="643"/>
        <w:gridCol w:w="648"/>
        <w:gridCol w:w="643"/>
        <w:gridCol w:w="648"/>
        <w:gridCol w:w="648"/>
        <w:gridCol w:w="1133"/>
        <w:gridCol w:w="1142"/>
      </w:tblGrid>
      <w:tr w14:paraId="2B737C1C">
        <w:tblPrEx>
          <w:tblCellMar>
            <w:top w:w="0" w:type="dxa"/>
            <w:left w:w="10" w:type="dxa"/>
            <w:bottom w:w="0" w:type="dxa"/>
            <w:right w:w="10" w:type="dxa"/>
          </w:tblCellMar>
        </w:tblPrEx>
        <w:trPr>
          <w:trHeight w:val="576" w:hRule="exact"/>
          <w:jc w:val="center"/>
        </w:trPr>
        <w:tc>
          <w:tcPr>
            <w:tcW w:w="2847" w:type="dxa"/>
            <w:gridSpan w:val="2"/>
            <w:vMerge w:val="restart"/>
            <w:tcBorders>
              <w:top w:val="single" w:color="auto" w:sz="4" w:space="0"/>
              <w:left w:val="single" w:color="auto" w:sz="4" w:space="0"/>
            </w:tcBorders>
            <w:shd w:val="clear" w:color="auto" w:fill="FFFFFF"/>
            <w:noWrap w:val="0"/>
            <w:vAlign w:val="center"/>
          </w:tcPr>
          <w:p w14:paraId="7521FE51">
            <w:pPr>
              <w:pStyle w:val="312"/>
              <w:spacing w:line="266" w:lineRule="exact"/>
              <w:ind w:left="1060" w:firstLine="1220"/>
              <w:rPr>
                <w:color w:val="000000" w:themeColor="text1"/>
                <w:sz w:val="21"/>
                <w:szCs w:val="21"/>
                <w:highlight w:val="none"/>
                <w14:textFill>
                  <w14:solidFill>
                    <w14:schemeClr w14:val="tx1"/>
                  </w14:solidFill>
                </w14:textFill>
              </w:rPr>
            </w:pPr>
            <w:r>
              <w:rPr>
                <w:color w:val="000000" w:themeColor="text1"/>
                <w:sz w:val="21"/>
                <w:szCs w:val="21"/>
                <w:highlight w:val="none"/>
                <w:lang w:val="en-US" w:bidi="mn-Mong-CN"/>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-8255</wp:posOffset>
                      </wp:positionV>
                      <wp:extent cx="1139190" cy="728980"/>
                      <wp:effectExtent l="2540" t="3810" r="20320" b="10160"/>
                      <wp:wrapNone/>
                      <wp:docPr id="14" name="直接箭头连接符 6"/>
                      <wp:cNvGraphicFramePr/>
                      <a:graphic xmlns:a="http://schemas.openxmlformats.org/drawingml/2006/main">
                        <a:graphicData uri="http://schemas.microsoft.com/office/word/2010/wordprocessingShape">
                          <wps:wsp>
                            <wps:cNvCnPr/>
                            <wps:spPr bwMode="auto">
                              <a:xfrm>
                                <a:off x="0" y="0"/>
                                <a:ext cx="1139190" cy="728980"/>
                              </a:xfrm>
                              <a:prstGeom prst="straightConnector1">
                                <a:avLst/>
                              </a:prstGeom>
                              <a:ln w="9525" cap="flat" cmpd="sng">
                                <a:solidFill>
                                  <a:srgbClr val="000000"/>
                                </a:solidFill>
                                <a:prstDash val="solid"/>
                                <a:headEnd type="none" w="med" len="med"/>
                                <a:tailEnd type="none" w="med" len="med"/>
                              </a:ln>
                            </wps:spPr>
                            <wps:bodyPr rot="0">
                              <a:noAutofit/>
                            </wps:bodyPr>
                          </wps:wsp>
                        </a:graphicData>
                      </a:graphic>
                    </wp:anchor>
                  </w:drawing>
                </mc:Choice>
                <mc:Fallback>
                  <w:pict>
                    <v:shape id="直接箭头连接符 6" o:spid="_x0000_s1026" o:spt="32" type="#_x0000_t32" style="position:absolute;left:0pt;margin-left:-1.1pt;margin-top:-0.65pt;height:57.4pt;width:89.7pt;z-index:251660288;mso-width-relative:page;mso-height-relative:page;" filled="f" stroked="t" coordsize="21600,21600" o:gfxdata="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6Fr7VdcA&#10;AAAJAQAADwAAAAAAAAABACAAAAAiAAAAZHJzL2Rvd25yZXYueG1sUEsBAhQAFAAAAAgAh07iQLJ8&#10;w4EgAgAAIgQAAA4AAAAAAAAAAQAgAAAAJgEAAGRycy9lMm9Eb2MueG1sUEsFBgAAAAAGAAYAWQEA&#10;ALgFAAAAAA==&#10;">
                      <v:fill on="f" focussize="0,0"/>
                      <v:stroke color="#000000" joinstyle="round"/>
                      <v:imagedata o:title=""/>
                      <o:lock v:ext="edit" aspectratio="f"/>
                    </v:shape>
                  </w:pict>
                </mc:Fallback>
              </mc:AlternateContent>
            </w:r>
            <w:r>
              <w:rPr>
                <w:color w:val="000000" w:themeColor="text1"/>
                <w:sz w:val="21"/>
                <w:szCs w:val="21"/>
                <w:highlight w:val="none"/>
                <w14:textFill>
                  <w14:solidFill>
                    <w14:schemeClr w14:val="tx1"/>
                  </w14:solidFill>
                </w14:textFill>
              </w:rPr>
              <w:t>工种 人数</w:t>
            </w:r>
          </w:p>
          <w:p w14:paraId="4D354336">
            <w:pPr>
              <w:pStyle w:val="312"/>
              <w:spacing w:line="266" w:lineRule="exact"/>
              <w:ind w:firstLine="18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时间</w:t>
            </w:r>
          </w:p>
        </w:tc>
        <w:tc>
          <w:tcPr>
            <w:tcW w:w="643" w:type="dxa"/>
            <w:vMerge w:val="restart"/>
            <w:tcBorders>
              <w:top w:val="single" w:color="auto" w:sz="4" w:space="0"/>
              <w:left w:val="single" w:color="auto" w:sz="4" w:space="0"/>
            </w:tcBorders>
            <w:shd w:val="clear" w:color="auto" w:fill="FFFFFF"/>
            <w:noWrap w:val="0"/>
            <w:vAlign w:val="top"/>
          </w:tcPr>
          <w:p w14:paraId="54278953">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tcBorders>
            <w:shd w:val="clear" w:color="auto" w:fill="FFFFFF"/>
            <w:noWrap w:val="0"/>
            <w:vAlign w:val="top"/>
          </w:tcPr>
          <w:p w14:paraId="1E7D0ABA">
            <w:pPr>
              <w:rPr>
                <w:color w:val="000000" w:themeColor="text1"/>
                <w:szCs w:val="21"/>
                <w:highlight w:val="none"/>
                <w14:textFill>
                  <w14:solidFill>
                    <w14:schemeClr w14:val="tx1"/>
                  </w14:solidFill>
                </w14:textFill>
              </w:rPr>
            </w:pPr>
          </w:p>
        </w:tc>
        <w:tc>
          <w:tcPr>
            <w:tcW w:w="643" w:type="dxa"/>
            <w:vMerge w:val="restart"/>
            <w:tcBorders>
              <w:top w:val="single" w:color="auto" w:sz="4" w:space="0"/>
              <w:left w:val="single" w:color="auto" w:sz="4" w:space="0"/>
            </w:tcBorders>
            <w:shd w:val="clear" w:color="auto" w:fill="FFFFFF"/>
            <w:noWrap w:val="0"/>
            <w:vAlign w:val="top"/>
          </w:tcPr>
          <w:p w14:paraId="1712F146">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tcBorders>
            <w:shd w:val="clear" w:color="auto" w:fill="FFFFFF"/>
            <w:noWrap w:val="0"/>
            <w:vAlign w:val="top"/>
          </w:tcPr>
          <w:p w14:paraId="2A3E6791">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tcBorders>
            <w:shd w:val="clear" w:color="auto" w:fill="FFFFFF"/>
            <w:noWrap w:val="0"/>
            <w:vAlign w:val="top"/>
          </w:tcPr>
          <w:p w14:paraId="6BD6DB9A">
            <w:pPr>
              <w:rPr>
                <w:color w:val="000000" w:themeColor="text1"/>
                <w:szCs w:val="21"/>
                <w:highlight w:val="none"/>
                <w14:textFill>
                  <w14:solidFill>
                    <w14:schemeClr w14:val="tx1"/>
                  </w14:solidFill>
                </w14:textFill>
              </w:rPr>
            </w:pPr>
          </w:p>
        </w:tc>
        <w:tc>
          <w:tcPr>
            <w:tcW w:w="2275" w:type="dxa"/>
            <w:gridSpan w:val="2"/>
            <w:tcBorders>
              <w:top w:val="single" w:color="auto" w:sz="4" w:space="0"/>
              <w:left w:val="single" w:color="auto" w:sz="4" w:space="0"/>
              <w:right w:val="single" w:color="auto" w:sz="4" w:space="0"/>
            </w:tcBorders>
            <w:shd w:val="clear" w:color="auto" w:fill="FFFFFF"/>
            <w:noWrap w:val="0"/>
            <w:vAlign w:val="center"/>
          </w:tcPr>
          <w:p w14:paraId="074D2DB6">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合 计</w:t>
            </w:r>
          </w:p>
        </w:tc>
      </w:tr>
      <w:tr w14:paraId="5085B950">
        <w:tblPrEx>
          <w:tblCellMar>
            <w:top w:w="0" w:type="dxa"/>
            <w:left w:w="10" w:type="dxa"/>
            <w:bottom w:w="0" w:type="dxa"/>
            <w:right w:w="10" w:type="dxa"/>
          </w:tblCellMar>
        </w:tblPrEx>
        <w:trPr>
          <w:trHeight w:val="566" w:hRule="exact"/>
          <w:jc w:val="center"/>
        </w:trPr>
        <w:tc>
          <w:tcPr>
            <w:tcW w:w="2847" w:type="dxa"/>
            <w:gridSpan w:val="2"/>
            <w:vMerge w:val="continue"/>
            <w:tcBorders>
              <w:left w:val="single" w:color="auto" w:sz="4" w:space="0"/>
            </w:tcBorders>
            <w:shd w:val="clear" w:color="auto" w:fill="FFFFFF"/>
            <w:noWrap w:val="0"/>
            <w:vAlign w:val="center"/>
          </w:tcPr>
          <w:p w14:paraId="253D1870">
            <w:pPr>
              <w:rPr>
                <w:color w:val="000000" w:themeColor="text1"/>
                <w:szCs w:val="21"/>
                <w:highlight w:val="none"/>
                <w14:textFill>
                  <w14:solidFill>
                    <w14:schemeClr w14:val="tx1"/>
                  </w14:solidFill>
                </w14:textFill>
              </w:rPr>
            </w:pPr>
          </w:p>
        </w:tc>
        <w:tc>
          <w:tcPr>
            <w:tcW w:w="643" w:type="dxa"/>
            <w:vMerge w:val="continue"/>
            <w:tcBorders>
              <w:left w:val="single" w:color="auto" w:sz="4" w:space="0"/>
            </w:tcBorders>
            <w:shd w:val="clear" w:color="auto" w:fill="FFFFFF"/>
            <w:noWrap w:val="0"/>
            <w:vAlign w:val="top"/>
          </w:tcPr>
          <w:p w14:paraId="12C42F6F">
            <w:pPr>
              <w:rPr>
                <w:color w:val="000000" w:themeColor="text1"/>
                <w:szCs w:val="21"/>
                <w:highlight w:val="none"/>
                <w14:textFill>
                  <w14:solidFill>
                    <w14:schemeClr w14:val="tx1"/>
                  </w14:solidFill>
                </w14:textFill>
              </w:rPr>
            </w:pPr>
          </w:p>
        </w:tc>
        <w:tc>
          <w:tcPr>
            <w:tcW w:w="648" w:type="dxa"/>
            <w:vMerge w:val="continue"/>
            <w:tcBorders>
              <w:left w:val="single" w:color="auto" w:sz="4" w:space="0"/>
            </w:tcBorders>
            <w:shd w:val="clear" w:color="auto" w:fill="FFFFFF"/>
            <w:noWrap w:val="0"/>
            <w:vAlign w:val="top"/>
          </w:tcPr>
          <w:p w14:paraId="4E196C91">
            <w:pPr>
              <w:rPr>
                <w:color w:val="000000" w:themeColor="text1"/>
                <w:szCs w:val="21"/>
                <w:highlight w:val="none"/>
                <w14:textFill>
                  <w14:solidFill>
                    <w14:schemeClr w14:val="tx1"/>
                  </w14:solidFill>
                </w14:textFill>
              </w:rPr>
            </w:pPr>
          </w:p>
        </w:tc>
        <w:tc>
          <w:tcPr>
            <w:tcW w:w="643" w:type="dxa"/>
            <w:vMerge w:val="continue"/>
            <w:tcBorders>
              <w:left w:val="single" w:color="auto" w:sz="4" w:space="0"/>
            </w:tcBorders>
            <w:shd w:val="clear" w:color="auto" w:fill="FFFFFF"/>
            <w:noWrap w:val="0"/>
            <w:vAlign w:val="top"/>
          </w:tcPr>
          <w:p w14:paraId="36EF136B">
            <w:pPr>
              <w:rPr>
                <w:color w:val="000000" w:themeColor="text1"/>
                <w:szCs w:val="21"/>
                <w:highlight w:val="none"/>
                <w14:textFill>
                  <w14:solidFill>
                    <w14:schemeClr w14:val="tx1"/>
                  </w14:solidFill>
                </w14:textFill>
              </w:rPr>
            </w:pPr>
          </w:p>
        </w:tc>
        <w:tc>
          <w:tcPr>
            <w:tcW w:w="648" w:type="dxa"/>
            <w:vMerge w:val="continue"/>
            <w:tcBorders>
              <w:left w:val="single" w:color="auto" w:sz="4" w:space="0"/>
            </w:tcBorders>
            <w:shd w:val="clear" w:color="auto" w:fill="FFFFFF"/>
            <w:noWrap w:val="0"/>
            <w:vAlign w:val="top"/>
          </w:tcPr>
          <w:p w14:paraId="1CD907BD">
            <w:pPr>
              <w:rPr>
                <w:color w:val="000000" w:themeColor="text1"/>
                <w:szCs w:val="21"/>
                <w:highlight w:val="none"/>
                <w14:textFill>
                  <w14:solidFill>
                    <w14:schemeClr w14:val="tx1"/>
                  </w14:solidFill>
                </w14:textFill>
              </w:rPr>
            </w:pPr>
          </w:p>
        </w:tc>
        <w:tc>
          <w:tcPr>
            <w:tcW w:w="648" w:type="dxa"/>
            <w:vMerge w:val="continue"/>
            <w:tcBorders>
              <w:left w:val="single" w:color="auto" w:sz="4" w:space="0"/>
            </w:tcBorders>
            <w:shd w:val="clear" w:color="auto" w:fill="FFFFFF"/>
            <w:noWrap w:val="0"/>
            <w:vAlign w:val="top"/>
          </w:tcPr>
          <w:p w14:paraId="3210F56A">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noWrap w:val="0"/>
            <w:vAlign w:val="center"/>
          </w:tcPr>
          <w:p w14:paraId="0059170B">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人数</w:t>
            </w:r>
          </w:p>
        </w:tc>
        <w:tc>
          <w:tcPr>
            <w:tcW w:w="1142" w:type="dxa"/>
            <w:tcBorders>
              <w:top w:val="single" w:color="auto" w:sz="4" w:space="0"/>
              <w:left w:val="single" w:color="auto" w:sz="4" w:space="0"/>
              <w:right w:val="single" w:color="auto" w:sz="4" w:space="0"/>
            </w:tcBorders>
            <w:shd w:val="clear" w:color="auto" w:fill="FFFFFF"/>
            <w:noWrap w:val="0"/>
            <w:vAlign w:val="center"/>
          </w:tcPr>
          <w:p w14:paraId="085E9591">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人工工日数</w:t>
            </w:r>
          </w:p>
        </w:tc>
      </w:tr>
      <w:tr w14:paraId="6386FDCD">
        <w:tblPrEx>
          <w:tblCellMar>
            <w:top w:w="0" w:type="dxa"/>
            <w:left w:w="10" w:type="dxa"/>
            <w:bottom w:w="0" w:type="dxa"/>
            <w:right w:w="10" w:type="dxa"/>
          </w:tblCellMar>
        </w:tblPrEx>
        <w:trPr>
          <w:trHeight w:val="566" w:hRule="exact"/>
          <w:jc w:val="center"/>
        </w:trPr>
        <w:tc>
          <w:tcPr>
            <w:tcW w:w="1426" w:type="dxa"/>
            <w:vMerge w:val="restart"/>
            <w:tcBorders>
              <w:top w:val="single" w:color="auto" w:sz="4" w:space="0"/>
              <w:left w:val="single" w:color="auto" w:sz="4" w:space="0"/>
            </w:tcBorders>
            <w:shd w:val="clear" w:color="auto" w:fill="FFFFFF"/>
            <w:noWrap w:val="0"/>
            <w:vAlign w:val="center"/>
          </w:tcPr>
          <w:p w14:paraId="2A45B831">
            <w:pPr>
              <w:pStyle w:val="312"/>
              <w:spacing w:line="240" w:lineRule="auto"/>
              <w:ind w:left="1120" w:firstLine="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年</w:t>
            </w:r>
          </w:p>
        </w:tc>
        <w:tc>
          <w:tcPr>
            <w:tcW w:w="1421" w:type="dxa"/>
            <w:tcBorders>
              <w:top w:val="single" w:color="auto" w:sz="4" w:space="0"/>
              <w:left w:val="single" w:color="auto" w:sz="4" w:space="0"/>
            </w:tcBorders>
            <w:shd w:val="clear" w:color="auto" w:fill="FFFFFF"/>
            <w:noWrap w:val="0"/>
            <w:vAlign w:val="center"/>
          </w:tcPr>
          <w:p w14:paraId="698713B5">
            <w:pPr>
              <w:pStyle w:val="312"/>
              <w:spacing w:line="240" w:lineRule="auto"/>
              <w:ind w:left="1120" w:firstLine="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noWrap w:val="0"/>
            <w:vAlign w:val="top"/>
          </w:tcPr>
          <w:p w14:paraId="335C4EC3">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2E8B1FFD">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noWrap w:val="0"/>
            <w:vAlign w:val="top"/>
          </w:tcPr>
          <w:p w14:paraId="760EA0CC">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55C71296">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35AC0CB5">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noWrap w:val="0"/>
            <w:vAlign w:val="top"/>
          </w:tcPr>
          <w:p w14:paraId="721E44A7">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noWrap w:val="0"/>
            <w:vAlign w:val="center"/>
          </w:tcPr>
          <w:p w14:paraId="1AEA55FD">
            <w:pPr>
              <w:jc w:val="center"/>
              <w:rPr>
                <w:color w:val="000000" w:themeColor="text1"/>
                <w:szCs w:val="21"/>
                <w:highlight w:val="none"/>
                <w14:textFill>
                  <w14:solidFill>
                    <w14:schemeClr w14:val="tx1"/>
                  </w14:solidFill>
                </w14:textFill>
              </w:rPr>
            </w:pPr>
          </w:p>
        </w:tc>
      </w:tr>
      <w:tr w14:paraId="60E785DE">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12EA5D14">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noWrap w:val="0"/>
            <w:vAlign w:val="center"/>
          </w:tcPr>
          <w:p w14:paraId="272678BE">
            <w:pPr>
              <w:pStyle w:val="312"/>
              <w:spacing w:line="240" w:lineRule="auto"/>
              <w:ind w:left="1120" w:firstLine="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noWrap w:val="0"/>
            <w:vAlign w:val="top"/>
          </w:tcPr>
          <w:p w14:paraId="520B09DD">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033920F2">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noWrap w:val="0"/>
            <w:vAlign w:val="top"/>
          </w:tcPr>
          <w:p w14:paraId="287D6E04">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21A7EB13">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14A0868F">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noWrap w:val="0"/>
            <w:vAlign w:val="top"/>
          </w:tcPr>
          <w:p w14:paraId="3EF916BE">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noWrap w:val="0"/>
            <w:vAlign w:val="center"/>
          </w:tcPr>
          <w:p w14:paraId="50D75B6E">
            <w:pPr>
              <w:jc w:val="center"/>
              <w:rPr>
                <w:color w:val="000000" w:themeColor="text1"/>
                <w:szCs w:val="21"/>
                <w:highlight w:val="none"/>
                <w14:textFill>
                  <w14:solidFill>
                    <w14:schemeClr w14:val="tx1"/>
                  </w14:solidFill>
                </w14:textFill>
              </w:rPr>
            </w:pPr>
          </w:p>
        </w:tc>
      </w:tr>
      <w:tr w14:paraId="66E4C8AD">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3A38EDC9">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noWrap w:val="0"/>
            <w:vAlign w:val="center"/>
          </w:tcPr>
          <w:p w14:paraId="27C030C3">
            <w:pPr>
              <w:pStyle w:val="312"/>
              <w:spacing w:line="240" w:lineRule="auto"/>
              <w:ind w:left="1120" w:firstLine="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noWrap w:val="0"/>
            <w:vAlign w:val="top"/>
          </w:tcPr>
          <w:p w14:paraId="29A8FF63">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3F009806">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noWrap w:val="0"/>
            <w:vAlign w:val="top"/>
          </w:tcPr>
          <w:p w14:paraId="7D06FB94">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19C09143">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45DDF844">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noWrap w:val="0"/>
            <w:vAlign w:val="top"/>
          </w:tcPr>
          <w:p w14:paraId="22ACE072">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04753390">
            <w:pPr>
              <w:rPr>
                <w:color w:val="000000" w:themeColor="text1"/>
                <w:szCs w:val="21"/>
                <w:highlight w:val="none"/>
                <w14:textFill>
                  <w14:solidFill>
                    <w14:schemeClr w14:val="tx1"/>
                  </w14:solidFill>
                </w14:textFill>
              </w:rPr>
            </w:pPr>
          </w:p>
        </w:tc>
      </w:tr>
      <w:tr w14:paraId="526AB24B">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192E5243">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noWrap w:val="0"/>
            <w:vAlign w:val="center"/>
          </w:tcPr>
          <w:p w14:paraId="3F5219ED">
            <w:pPr>
              <w:pStyle w:val="312"/>
              <w:spacing w:line="240" w:lineRule="auto"/>
              <w:ind w:left="1120" w:firstLine="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noWrap w:val="0"/>
            <w:vAlign w:val="top"/>
          </w:tcPr>
          <w:p w14:paraId="062EFD96">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49CCE3F1">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noWrap w:val="0"/>
            <w:vAlign w:val="top"/>
          </w:tcPr>
          <w:p w14:paraId="077DA2E2">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2D9D8C7D">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4F8CAA18">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noWrap w:val="0"/>
            <w:vAlign w:val="top"/>
          </w:tcPr>
          <w:p w14:paraId="1C1270A9">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399F4741">
            <w:pPr>
              <w:rPr>
                <w:color w:val="000000" w:themeColor="text1"/>
                <w:szCs w:val="21"/>
                <w:highlight w:val="none"/>
                <w14:textFill>
                  <w14:solidFill>
                    <w14:schemeClr w14:val="tx1"/>
                  </w14:solidFill>
                </w14:textFill>
              </w:rPr>
            </w:pPr>
          </w:p>
        </w:tc>
      </w:tr>
      <w:tr w14:paraId="137F3FB7">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51610BD3">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noWrap w:val="0"/>
            <w:vAlign w:val="center"/>
          </w:tcPr>
          <w:p w14:paraId="716EBDFB">
            <w:pPr>
              <w:pStyle w:val="312"/>
              <w:spacing w:line="240" w:lineRule="auto"/>
              <w:ind w:left="1120" w:firstLine="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noWrap w:val="0"/>
            <w:vAlign w:val="top"/>
          </w:tcPr>
          <w:p w14:paraId="64E0D471">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153C10A3">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noWrap w:val="0"/>
            <w:vAlign w:val="top"/>
          </w:tcPr>
          <w:p w14:paraId="18FD53C3">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571FA6B9">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4B2E21F9">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noWrap w:val="0"/>
            <w:vAlign w:val="top"/>
          </w:tcPr>
          <w:p w14:paraId="51CD7658">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3C5C9CBF">
            <w:pPr>
              <w:rPr>
                <w:color w:val="000000" w:themeColor="text1"/>
                <w:szCs w:val="21"/>
                <w:highlight w:val="none"/>
                <w14:textFill>
                  <w14:solidFill>
                    <w14:schemeClr w14:val="tx1"/>
                  </w14:solidFill>
                </w14:textFill>
              </w:rPr>
            </w:pPr>
          </w:p>
        </w:tc>
      </w:tr>
      <w:tr w14:paraId="5D21E387">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455B2BD5">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noWrap w:val="0"/>
            <w:vAlign w:val="center"/>
          </w:tcPr>
          <w:p w14:paraId="3570A9E4">
            <w:pPr>
              <w:pStyle w:val="312"/>
              <w:spacing w:line="240" w:lineRule="auto"/>
              <w:ind w:left="1120" w:firstLine="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noWrap w:val="0"/>
            <w:vAlign w:val="top"/>
          </w:tcPr>
          <w:p w14:paraId="306D1D72">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0F0F5BFE">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noWrap w:val="0"/>
            <w:vAlign w:val="top"/>
          </w:tcPr>
          <w:p w14:paraId="2BBFA217">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4E73A666">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46FB1A7B">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noWrap w:val="0"/>
            <w:vAlign w:val="top"/>
          </w:tcPr>
          <w:p w14:paraId="4C739777">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1566E97F">
            <w:pPr>
              <w:rPr>
                <w:color w:val="000000" w:themeColor="text1"/>
                <w:szCs w:val="21"/>
                <w:highlight w:val="none"/>
                <w14:textFill>
                  <w14:solidFill>
                    <w14:schemeClr w14:val="tx1"/>
                  </w14:solidFill>
                </w14:textFill>
              </w:rPr>
            </w:pPr>
          </w:p>
        </w:tc>
      </w:tr>
      <w:tr w14:paraId="0D679F6D">
        <w:tblPrEx>
          <w:tblCellMar>
            <w:top w:w="0" w:type="dxa"/>
            <w:left w:w="10" w:type="dxa"/>
            <w:bottom w:w="0" w:type="dxa"/>
            <w:right w:w="10" w:type="dxa"/>
          </w:tblCellMar>
        </w:tblPrEx>
        <w:trPr>
          <w:trHeight w:val="571" w:hRule="exact"/>
          <w:jc w:val="center"/>
        </w:trPr>
        <w:tc>
          <w:tcPr>
            <w:tcW w:w="1426" w:type="dxa"/>
            <w:vMerge w:val="continue"/>
            <w:tcBorders>
              <w:left w:val="single" w:color="auto" w:sz="4" w:space="0"/>
            </w:tcBorders>
            <w:shd w:val="clear" w:color="auto" w:fill="FFFFFF"/>
            <w:noWrap w:val="0"/>
            <w:vAlign w:val="center"/>
          </w:tcPr>
          <w:p w14:paraId="6EBCB9AF">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noWrap w:val="0"/>
            <w:vAlign w:val="center"/>
          </w:tcPr>
          <w:p w14:paraId="736EAFC6">
            <w:pPr>
              <w:pStyle w:val="312"/>
              <w:tabs>
                <w:tab w:val="left" w:leader="dot" w:pos="326"/>
              </w:tabs>
              <w:spacing w:line="240" w:lineRule="auto"/>
              <w:ind w:firstLine="0"/>
              <w:jc w:val="right"/>
              <w:rPr>
                <w:color w:val="000000" w:themeColor="text1"/>
                <w:sz w:val="21"/>
                <w:szCs w:val="21"/>
                <w:highlight w:val="none"/>
                <w14:textFill>
                  <w14:solidFill>
                    <w14:schemeClr w14:val="tx1"/>
                  </w14:solidFill>
                </w14:textFill>
              </w:rPr>
            </w:pPr>
            <w:r>
              <w:rPr>
                <w:rFonts w:ascii="Arial" w:hAnsi="Arial" w:eastAsia="Arial" w:cs="Arial"/>
                <w:color w:val="000000" w:themeColor="text1"/>
                <w:sz w:val="21"/>
                <w:szCs w:val="21"/>
                <w:highlight w:val="none"/>
                <w:lang w:val="en-US" w:eastAsia="en-US" w:bidi="en-US"/>
                <w14:textFill>
                  <w14:solidFill>
                    <w14:schemeClr w14:val="tx1"/>
                  </w14:solidFill>
                </w14:textFill>
              </w:rPr>
              <w:tab/>
            </w:r>
          </w:p>
        </w:tc>
        <w:tc>
          <w:tcPr>
            <w:tcW w:w="643" w:type="dxa"/>
            <w:tcBorders>
              <w:top w:val="single" w:color="auto" w:sz="4" w:space="0"/>
              <w:left w:val="single" w:color="auto" w:sz="4" w:space="0"/>
            </w:tcBorders>
            <w:shd w:val="clear" w:color="auto" w:fill="FFFFFF"/>
            <w:noWrap w:val="0"/>
            <w:vAlign w:val="top"/>
          </w:tcPr>
          <w:p w14:paraId="397C156B">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20699A5D">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noWrap w:val="0"/>
            <w:vAlign w:val="top"/>
          </w:tcPr>
          <w:p w14:paraId="59C13024">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01A0BEE0">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noWrap w:val="0"/>
            <w:vAlign w:val="top"/>
          </w:tcPr>
          <w:p w14:paraId="355A3A25">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noWrap w:val="0"/>
            <w:vAlign w:val="top"/>
          </w:tcPr>
          <w:p w14:paraId="47A5ED60">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00C5906C">
            <w:pPr>
              <w:rPr>
                <w:color w:val="000000" w:themeColor="text1"/>
                <w:szCs w:val="21"/>
                <w:highlight w:val="none"/>
                <w14:textFill>
                  <w14:solidFill>
                    <w14:schemeClr w14:val="tx1"/>
                  </w14:solidFill>
                </w14:textFill>
              </w:rPr>
            </w:pPr>
          </w:p>
        </w:tc>
      </w:tr>
      <w:tr w14:paraId="1C2317FD">
        <w:tblPrEx>
          <w:tblCellMar>
            <w:top w:w="0" w:type="dxa"/>
            <w:left w:w="10" w:type="dxa"/>
            <w:bottom w:w="0" w:type="dxa"/>
            <w:right w:w="10" w:type="dxa"/>
          </w:tblCellMar>
        </w:tblPrEx>
        <w:trPr>
          <w:trHeight w:val="576" w:hRule="exact"/>
          <w:jc w:val="center"/>
        </w:trPr>
        <w:tc>
          <w:tcPr>
            <w:tcW w:w="6077" w:type="dxa"/>
            <w:gridSpan w:val="7"/>
            <w:tcBorders>
              <w:top w:val="single" w:color="auto" w:sz="4" w:space="0"/>
              <w:left w:val="single" w:color="auto" w:sz="4" w:space="0"/>
              <w:bottom w:val="single" w:color="auto" w:sz="4" w:space="0"/>
            </w:tcBorders>
            <w:shd w:val="clear" w:color="auto" w:fill="FFFFFF"/>
            <w:noWrap w:val="0"/>
            <w:vAlign w:val="center"/>
          </w:tcPr>
          <w:p w14:paraId="5F6F6C2A">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总 计</w:t>
            </w:r>
          </w:p>
        </w:tc>
        <w:tc>
          <w:tcPr>
            <w:tcW w:w="1133" w:type="dxa"/>
            <w:tcBorders>
              <w:top w:val="single" w:color="auto" w:sz="4" w:space="0"/>
              <w:left w:val="single" w:color="auto" w:sz="4" w:space="0"/>
              <w:bottom w:val="single" w:color="auto" w:sz="4" w:space="0"/>
            </w:tcBorders>
            <w:shd w:val="clear" w:color="auto" w:fill="FFFFFF"/>
            <w:noWrap w:val="0"/>
            <w:vAlign w:val="top"/>
          </w:tcPr>
          <w:p w14:paraId="09CBB2D6">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A1FBEDB">
            <w:pPr>
              <w:rPr>
                <w:color w:val="000000" w:themeColor="text1"/>
                <w:szCs w:val="21"/>
                <w:highlight w:val="none"/>
                <w14:textFill>
                  <w14:solidFill>
                    <w14:schemeClr w14:val="tx1"/>
                  </w14:solidFill>
                </w14:textFill>
              </w:rPr>
            </w:pPr>
          </w:p>
        </w:tc>
      </w:tr>
    </w:tbl>
    <w:p w14:paraId="05441989">
      <w:pPr>
        <w:spacing w:after="299" w:line="1" w:lineRule="exact"/>
        <w:rPr>
          <w:color w:val="000000" w:themeColor="text1"/>
          <w:highlight w:val="none"/>
          <w14:textFill>
            <w14:solidFill>
              <w14:schemeClr w14:val="tx1"/>
            </w14:solidFill>
          </w14:textFill>
        </w:rPr>
      </w:pPr>
    </w:p>
    <w:p w14:paraId="551D4EAE">
      <w:pPr>
        <w:pStyle w:val="237"/>
        <w:tabs>
          <w:tab w:val="left" w:pos="847"/>
          <w:tab w:val="left" w:leader="underscore" w:pos="850"/>
          <w:tab w:val="left" w:leader="underscore" w:pos="1906"/>
          <w:tab w:val="left" w:pos="1908"/>
          <w:tab w:val="left" w:pos="2964"/>
        </w:tabs>
        <w:spacing w:after="420" w:line="350" w:lineRule="exact"/>
        <w:ind w:firstLine="0"/>
        <w:rPr>
          <w:b/>
          <w:color w:val="000000" w:themeColor="text1"/>
          <w:sz w:val="28"/>
          <w:szCs w:val="28"/>
          <w:highlight w:val="none"/>
          <w14:textFill>
            <w14:solidFill>
              <w14:schemeClr w14:val="tx1"/>
            </w14:solidFill>
          </w14:textFill>
        </w:rPr>
      </w:pPr>
      <w:bookmarkStart w:id="133" w:name="bookmark2244"/>
      <w:bookmarkStart w:id="134" w:name="bookmark2245"/>
      <w:bookmarkStart w:id="135" w:name="bookmark2243"/>
      <w:r>
        <w:rPr>
          <w:rStyle w:val="213"/>
          <w:rFonts w:hint="eastAsia"/>
          <w:b w:val="0"/>
          <w:bCs w:val="0"/>
          <w:color w:val="000000" w:themeColor="text1"/>
          <w:sz w:val="28"/>
          <w:szCs w:val="28"/>
          <w:highlight w:val="none"/>
          <w:lang w:val="en-US"/>
          <w14:textFill>
            <w14:solidFill>
              <w14:schemeClr w14:val="tx1"/>
            </w14:solidFill>
          </w14:textFill>
        </w:rPr>
        <w:br w:type="page" w:clear="all"/>
      </w:r>
      <w:r>
        <w:rPr>
          <w:rStyle w:val="213"/>
          <w:rFonts w:hint="eastAsia"/>
          <w:b w:val="0"/>
          <w:bCs w:val="0"/>
          <w:color w:val="000000" w:themeColor="text1"/>
          <w:sz w:val="28"/>
          <w:szCs w:val="28"/>
          <w:highlight w:val="none"/>
          <w:lang w:val="en-US"/>
          <w14:textFill>
            <w14:solidFill>
              <w14:schemeClr w14:val="tx1"/>
            </w14:solidFill>
          </w14:textFill>
        </w:rPr>
        <w:t>附件四：拟投入本合同工程的材料进场计划表</w:t>
      </w:r>
      <w:bookmarkEnd w:id="133"/>
      <w:bookmarkEnd w:id="134"/>
      <w:bookmarkEnd w:id="135"/>
    </w:p>
    <w:p w14:paraId="55DF93A2">
      <w:pPr>
        <w:jc w:val="center"/>
        <w:rPr>
          <w:rFonts w:hint="eastAsia" w:ascii="宋体" w:hAnsi="宋体" w:cs="宋体"/>
          <w:b/>
          <w:bCs/>
          <w:color w:val="000000" w:themeColor="text1"/>
          <w:sz w:val="28"/>
          <w:szCs w:val="28"/>
          <w:highlight w:val="none"/>
          <w14:textFill>
            <w14:solidFill>
              <w14:schemeClr w14:val="tx1"/>
            </w14:solidFill>
          </w14:textFill>
        </w:rPr>
      </w:pPr>
      <w:bookmarkStart w:id="136" w:name="bookmark2246"/>
      <w:bookmarkStart w:id="137" w:name="bookmark2247"/>
      <w:bookmarkStart w:id="138" w:name="_Toc16708"/>
      <w:bookmarkStart w:id="139" w:name="_Toc16851"/>
      <w:bookmarkStart w:id="140" w:name="bookmark2248"/>
      <w:r>
        <w:rPr>
          <w:rFonts w:hint="eastAsia" w:ascii="宋体" w:hAnsi="宋体" w:cs="宋体"/>
          <w:b/>
          <w:bCs/>
          <w:color w:val="000000" w:themeColor="text1"/>
          <w:sz w:val="28"/>
          <w:szCs w:val="28"/>
          <w:highlight w:val="none"/>
          <w14:textFill>
            <w14:solidFill>
              <w14:schemeClr w14:val="tx1"/>
            </w14:solidFill>
          </w14:textFill>
        </w:rPr>
        <w:t>拟投入本合同工程的材料进场计划表</w:t>
      </w:r>
      <w:bookmarkEnd w:id="136"/>
      <w:bookmarkEnd w:id="137"/>
      <w:bookmarkEnd w:id="138"/>
      <w:bookmarkEnd w:id="139"/>
      <w:bookmarkEnd w:id="140"/>
    </w:p>
    <w:p w14:paraId="7A6E5579">
      <w:pPr>
        <w:jc w:val="center"/>
        <w:rPr>
          <w:b/>
          <w:color w:val="000000" w:themeColor="text1"/>
          <w:highlight w:val="none"/>
          <w14:textFill>
            <w14:solidFill>
              <w14:schemeClr w14:val="tx1"/>
            </w14:solidFill>
          </w14:textFill>
        </w:rPr>
      </w:pPr>
    </w:p>
    <w:tbl>
      <w:tblPr>
        <w:tblStyle w:val="45"/>
        <w:tblW w:w="0" w:type="auto"/>
        <w:jc w:val="center"/>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571AEABA">
        <w:tblPrEx>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tcBorders>
            <w:shd w:val="clear" w:color="auto" w:fill="FFFFFF"/>
            <w:noWrap w:val="0"/>
            <w:vAlign w:val="center"/>
          </w:tcPr>
          <w:p w14:paraId="3577B014">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名称</w:t>
            </w:r>
          </w:p>
        </w:tc>
        <w:tc>
          <w:tcPr>
            <w:tcW w:w="902" w:type="dxa"/>
            <w:vMerge w:val="restart"/>
            <w:tcBorders>
              <w:top w:val="single" w:color="auto" w:sz="4" w:space="0"/>
              <w:left w:val="single" w:color="auto" w:sz="4" w:space="0"/>
            </w:tcBorders>
            <w:shd w:val="clear" w:color="auto" w:fill="FFFFFF"/>
            <w:noWrap w:val="0"/>
            <w:vAlign w:val="center"/>
          </w:tcPr>
          <w:p w14:paraId="029E1260">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规格</w:t>
            </w:r>
          </w:p>
        </w:tc>
        <w:tc>
          <w:tcPr>
            <w:tcW w:w="907" w:type="dxa"/>
            <w:vMerge w:val="restart"/>
            <w:tcBorders>
              <w:top w:val="single" w:color="auto" w:sz="4" w:space="0"/>
              <w:left w:val="single" w:color="auto" w:sz="4" w:space="0"/>
            </w:tcBorders>
            <w:shd w:val="clear" w:color="auto" w:fill="FFFFFF"/>
            <w:noWrap w:val="0"/>
            <w:vAlign w:val="center"/>
          </w:tcPr>
          <w:p w14:paraId="6B04E5ED">
            <w:pPr>
              <w:pStyle w:val="312"/>
              <w:spacing w:line="269" w:lineRule="exact"/>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计量 单位</w:t>
            </w:r>
          </w:p>
        </w:tc>
        <w:tc>
          <w:tcPr>
            <w:tcW w:w="4535" w:type="dxa"/>
            <w:gridSpan w:val="5"/>
            <w:tcBorders>
              <w:top w:val="single" w:color="auto" w:sz="4" w:space="0"/>
              <w:left w:val="single" w:color="auto" w:sz="4" w:space="0"/>
            </w:tcBorders>
            <w:shd w:val="clear" w:color="auto" w:fill="FFFFFF"/>
            <w:noWrap w:val="0"/>
            <w:vAlign w:val="center"/>
          </w:tcPr>
          <w:p w14:paraId="288C68DD">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 量</w:t>
            </w:r>
          </w:p>
        </w:tc>
        <w:tc>
          <w:tcPr>
            <w:tcW w:w="917" w:type="dxa"/>
            <w:vMerge w:val="restart"/>
            <w:tcBorders>
              <w:top w:val="single" w:color="auto" w:sz="4" w:space="0"/>
              <w:left w:val="single" w:color="auto" w:sz="4" w:space="0"/>
              <w:right w:val="single" w:color="auto" w:sz="4" w:space="0"/>
            </w:tcBorders>
            <w:shd w:val="clear" w:color="auto" w:fill="FFFFFF"/>
            <w:noWrap w:val="0"/>
            <w:vAlign w:val="center"/>
          </w:tcPr>
          <w:p w14:paraId="074C5271">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备注</w:t>
            </w:r>
          </w:p>
        </w:tc>
      </w:tr>
      <w:tr w14:paraId="1725EBB6">
        <w:tblPrEx>
          <w:tblCellMar>
            <w:top w:w="0" w:type="dxa"/>
            <w:left w:w="10" w:type="dxa"/>
            <w:bottom w:w="0" w:type="dxa"/>
            <w:right w:w="10" w:type="dxa"/>
          </w:tblCellMar>
        </w:tblPrEx>
        <w:trPr>
          <w:trHeight w:val="566" w:hRule="exact"/>
          <w:jc w:val="center"/>
        </w:trPr>
        <w:tc>
          <w:tcPr>
            <w:tcW w:w="1090" w:type="dxa"/>
            <w:vMerge w:val="continue"/>
            <w:tcBorders>
              <w:left w:val="single" w:color="auto" w:sz="4" w:space="0"/>
            </w:tcBorders>
            <w:shd w:val="clear" w:color="auto" w:fill="FFFFFF"/>
            <w:noWrap w:val="0"/>
            <w:vAlign w:val="center"/>
          </w:tcPr>
          <w:p w14:paraId="3E2DCA41">
            <w:pPr>
              <w:jc w:val="center"/>
              <w:rPr>
                <w:color w:val="000000" w:themeColor="text1"/>
                <w:szCs w:val="21"/>
                <w:highlight w:val="none"/>
                <w14:textFill>
                  <w14:solidFill>
                    <w14:schemeClr w14:val="tx1"/>
                  </w14:solidFill>
                </w14:textFill>
              </w:rPr>
            </w:pPr>
          </w:p>
        </w:tc>
        <w:tc>
          <w:tcPr>
            <w:tcW w:w="902" w:type="dxa"/>
            <w:vMerge w:val="continue"/>
            <w:tcBorders>
              <w:left w:val="single" w:color="auto" w:sz="4" w:space="0"/>
            </w:tcBorders>
            <w:shd w:val="clear" w:color="auto" w:fill="FFFFFF"/>
            <w:noWrap w:val="0"/>
            <w:vAlign w:val="center"/>
          </w:tcPr>
          <w:p w14:paraId="4A86BA3A">
            <w:pPr>
              <w:jc w:val="center"/>
              <w:rPr>
                <w:color w:val="000000" w:themeColor="text1"/>
                <w:szCs w:val="21"/>
                <w:highlight w:val="none"/>
                <w14:textFill>
                  <w14:solidFill>
                    <w14:schemeClr w14:val="tx1"/>
                  </w14:solidFill>
                </w14:textFill>
              </w:rPr>
            </w:pPr>
          </w:p>
        </w:tc>
        <w:tc>
          <w:tcPr>
            <w:tcW w:w="907" w:type="dxa"/>
            <w:vMerge w:val="continue"/>
            <w:tcBorders>
              <w:left w:val="single" w:color="auto" w:sz="4" w:space="0"/>
            </w:tcBorders>
            <w:shd w:val="clear" w:color="auto" w:fill="FFFFFF"/>
            <w:noWrap w:val="0"/>
            <w:vAlign w:val="center"/>
          </w:tcPr>
          <w:p w14:paraId="351EABE2">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0EC213DC">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总量</w:t>
            </w:r>
          </w:p>
        </w:tc>
        <w:tc>
          <w:tcPr>
            <w:tcW w:w="907" w:type="dxa"/>
            <w:tcBorders>
              <w:top w:val="single" w:color="auto" w:sz="4" w:space="0"/>
              <w:left w:val="single" w:color="auto" w:sz="4" w:space="0"/>
            </w:tcBorders>
            <w:shd w:val="clear" w:color="auto" w:fill="FFFFFF"/>
            <w:noWrap w:val="0"/>
            <w:vAlign w:val="center"/>
          </w:tcPr>
          <w:p w14:paraId="7EB6DF78">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12" w:type="dxa"/>
            <w:tcBorders>
              <w:top w:val="single" w:color="auto" w:sz="4" w:space="0"/>
              <w:left w:val="single" w:color="auto" w:sz="4" w:space="0"/>
            </w:tcBorders>
            <w:shd w:val="clear" w:color="auto" w:fill="FFFFFF"/>
            <w:noWrap w:val="0"/>
            <w:vAlign w:val="center"/>
          </w:tcPr>
          <w:p w14:paraId="5F5FB63D">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02" w:type="dxa"/>
            <w:tcBorders>
              <w:top w:val="single" w:color="auto" w:sz="4" w:space="0"/>
              <w:left w:val="single" w:color="auto" w:sz="4" w:space="0"/>
            </w:tcBorders>
            <w:shd w:val="clear" w:color="auto" w:fill="FFFFFF"/>
            <w:noWrap w:val="0"/>
            <w:vAlign w:val="center"/>
          </w:tcPr>
          <w:p w14:paraId="1235C5DD">
            <w:pPr>
              <w:pStyle w:val="312"/>
              <w:spacing w:line="240" w:lineRule="auto"/>
              <w:ind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07" w:type="dxa"/>
            <w:tcBorders>
              <w:top w:val="single" w:color="auto" w:sz="4" w:space="0"/>
              <w:left w:val="single" w:color="auto" w:sz="4" w:space="0"/>
            </w:tcBorders>
            <w:shd w:val="clear" w:color="auto" w:fill="FFFFFF"/>
            <w:noWrap w:val="0"/>
            <w:vAlign w:val="center"/>
          </w:tcPr>
          <w:p w14:paraId="1DB9072C">
            <w:pPr>
              <w:pStyle w:val="312"/>
              <w:spacing w:line="240" w:lineRule="auto"/>
              <w:ind w:right="380" w:firstLine="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17" w:type="dxa"/>
            <w:vMerge w:val="continue"/>
            <w:tcBorders>
              <w:left w:val="single" w:color="auto" w:sz="4" w:space="0"/>
              <w:right w:val="single" w:color="auto" w:sz="4" w:space="0"/>
            </w:tcBorders>
            <w:shd w:val="clear" w:color="auto" w:fill="FFFFFF"/>
            <w:noWrap w:val="0"/>
            <w:vAlign w:val="center"/>
          </w:tcPr>
          <w:p w14:paraId="4B21E39D">
            <w:pPr>
              <w:jc w:val="center"/>
              <w:rPr>
                <w:color w:val="000000" w:themeColor="text1"/>
                <w:szCs w:val="21"/>
                <w:highlight w:val="none"/>
                <w14:textFill>
                  <w14:solidFill>
                    <w14:schemeClr w14:val="tx1"/>
                  </w14:solidFill>
                </w14:textFill>
              </w:rPr>
            </w:pPr>
          </w:p>
        </w:tc>
      </w:tr>
      <w:tr w14:paraId="6ADE71A9">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16D5FB5A">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center"/>
          </w:tcPr>
          <w:p w14:paraId="15E791E4">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5EA35463">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0837F92F">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22188C95">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center"/>
          </w:tcPr>
          <w:p w14:paraId="4EDA83A9">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center"/>
          </w:tcPr>
          <w:p w14:paraId="4B8AF446">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26A4617E">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7DE0A6D2">
            <w:pPr>
              <w:jc w:val="center"/>
              <w:rPr>
                <w:color w:val="000000" w:themeColor="text1"/>
                <w:szCs w:val="21"/>
                <w:highlight w:val="none"/>
                <w14:textFill>
                  <w14:solidFill>
                    <w14:schemeClr w14:val="tx1"/>
                  </w14:solidFill>
                </w14:textFill>
              </w:rPr>
            </w:pPr>
          </w:p>
        </w:tc>
      </w:tr>
      <w:tr w14:paraId="0AEF9D0A">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26D05487">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center"/>
          </w:tcPr>
          <w:p w14:paraId="5E090D62">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381FD7FE">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3E6C8977">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3051DA70">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center"/>
          </w:tcPr>
          <w:p w14:paraId="5FE93F1C">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center"/>
          </w:tcPr>
          <w:p w14:paraId="71509E78">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793E5BAA">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655BB941">
            <w:pPr>
              <w:jc w:val="center"/>
              <w:rPr>
                <w:color w:val="000000" w:themeColor="text1"/>
                <w:szCs w:val="21"/>
                <w:highlight w:val="none"/>
                <w14:textFill>
                  <w14:solidFill>
                    <w14:schemeClr w14:val="tx1"/>
                  </w14:solidFill>
                </w14:textFill>
              </w:rPr>
            </w:pPr>
          </w:p>
        </w:tc>
      </w:tr>
      <w:tr w14:paraId="1321FCF5">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030FD863">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center"/>
          </w:tcPr>
          <w:p w14:paraId="6C5D2396">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14610C60">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6FF151BD">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75F42C62">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center"/>
          </w:tcPr>
          <w:p w14:paraId="6D3AAA73">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center"/>
          </w:tcPr>
          <w:p w14:paraId="439E27DF">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32374126">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7E1DB95D">
            <w:pPr>
              <w:jc w:val="center"/>
              <w:rPr>
                <w:color w:val="000000" w:themeColor="text1"/>
                <w:szCs w:val="21"/>
                <w:highlight w:val="none"/>
                <w14:textFill>
                  <w14:solidFill>
                    <w14:schemeClr w14:val="tx1"/>
                  </w14:solidFill>
                </w14:textFill>
              </w:rPr>
            </w:pPr>
          </w:p>
        </w:tc>
      </w:tr>
      <w:tr w14:paraId="6FB9B739">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301C3D63">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center"/>
          </w:tcPr>
          <w:p w14:paraId="15CDEB27">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1D63628B">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1893F75D">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62BB805A">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center"/>
          </w:tcPr>
          <w:p w14:paraId="06FB9912">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center"/>
          </w:tcPr>
          <w:p w14:paraId="7AC0A186">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696B291B">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29616E9F">
            <w:pPr>
              <w:jc w:val="center"/>
              <w:rPr>
                <w:color w:val="000000" w:themeColor="text1"/>
                <w:szCs w:val="21"/>
                <w:highlight w:val="none"/>
                <w14:textFill>
                  <w14:solidFill>
                    <w14:schemeClr w14:val="tx1"/>
                  </w14:solidFill>
                </w14:textFill>
              </w:rPr>
            </w:pPr>
          </w:p>
        </w:tc>
      </w:tr>
      <w:tr w14:paraId="377359B4">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61EB3DE1">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center"/>
          </w:tcPr>
          <w:p w14:paraId="7014EB1A">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1B593933">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18E5CD7C">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5B6D48F0">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noWrap w:val="0"/>
            <w:vAlign w:val="center"/>
          </w:tcPr>
          <w:p w14:paraId="7E123EAF">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noWrap w:val="0"/>
            <w:vAlign w:val="center"/>
          </w:tcPr>
          <w:p w14:paraId="140FB876">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noWrap w:val="0"/>
            <w:vAlign w:val="center"/>
          </w:tcPr>
          <w:p w14:paraId="3E85DFFF">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6DA6E16B">
            <w:pPr>
              <w:jc w:val="center"/>
              <w:rPr>
                <w:color w:val="000000" w:themeColor="text1"/>
                <w:szCs w:val="21"/>
                <w:highlight w:val="none"/>
                <w14:textFill>
                  <w14:solidFill>
                    <w14:schemeClr w14:val="tx1"/>
                  </w14:solidFill>
                </w14:textFill>
              </w:rPr>
            </w:pPr>
          </w:p>
        </w:tc>
      </w:tr>
      <w:tr w14:paraId="75836549">
        <w:tblPrEx>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tcBorders>
            <w:shd w:val="clear" w:color="auto" w:fill="FFFFFF"/>
            <w:noWrap w:val="0"/>
            <w:vAlign w:val="center"/>
          </w:tcPr>
          <w:p w14:paraId="6B3E04B7">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tcBorders>
            <w:shd w:val="clear" w:color="auto" w:fill="FFFFFF"/>
            <w:noWrap w:val="0"/>
            <w:vAlign w:val="center"/>
          </w:tcPr>
          <w:p w14:paraId="29FD7A8D">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35772CFE">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5AF1187E">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08FA3932">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tcBorders>
            <w:shd w:val="clear" w:color="auto" w:fill="FFFFFF"/>
            <w:noWrap w:val="0"/>
            <w:vAlign w:val="center"/>
          </w:tcPr>
          <w:p w14:paraId="03902FE8">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tcBorders>
            <w:shd w:val="clear" w:color="auto" w:fill="FFFFFF"/>
            <w:noWrap w:val="0"/>
            <w:vAlign w:val="center"/>
          </w:tcPr>
          <w:p w14:paraId="21EB4631">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55C7C251">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7F0C52">
            <w:pPr>
              <w:jc w:val="center"/>
              <w:rPr>
                <w:color w:val="000000" w:themeColor="text1"/>
                <w:szCs w:val="21"/>
                <w:highlight w:val="none"/>
                <w14:textFill>
                  <w14:solidFill>
                    <w14:schemeClr w14:val="tx1"/>
                  </w14:solidFill>
                </w14:textFill>
              </w:rPr>
            </w:pPr>
          </w:p>
        </w:tc>
      </w:tr>
    </w:tbl>
    <w:p w14:paraId="7E4C2A80">
      <w:pPr>
        <w:spacing w:after="299" w:line="1" w:lineRule="exact"/>
        <w:rPr>
          <w:color w:val="000000" w:themeColor="text1"/>
          <w:highlight w:val="none"/>
          <w14:textFill>
            <w14:solidFill>
              <w14:schemeClr w14:val="tx1"/>
            </w14:solidFill>
          </w14:textFill>
        </w:rPr>
      </w:pPr>
    </w:p>
    <w:p w14:paraId="6D7DC294">
      <w:pPr>
        <w:pStyle w:val="237"/>
        <w:tabs>
          <w:tab w:val="left" w:pos="847"/>
          <w:tab w:val="left" w:leader="underscore" w:pos="850"/>
          <w:tab w:val="left" w:leader="underscore" w:pos="1906"/>
          <w:tab w:val="left" w:pos="1908"/>
          <w:tab w:val="left" w:pos="2964"/>
        </w:tabs>
        <w:spacing w:after="420" w:line="353" w:lineRule="exact"/>
        <w:ind w:firstLine="420"/>
        <w:jc w:val="right"/>
        <w:rPr>
          <w:color w:val="000000" w:themeColor="text1"/>
          <w:highlight w:val="none"/>
          <w14:textFill>
            <w14:solidFill>
              <w14:schemeClr w14:val="tx1"/>
            </w14:solidFill>
          </w14:textFill>
        </w:rPr>
        <w:sectPr>
          <w:headerReference r:id="rId17" w:type="default"/>
          <w:footerReference r:id="rId19" w:type="default"/>
          <w:headerReference r:id="rId18" w:type="even"/>
          <w:footerReference r:id="rId20" w:type="even"/>
          <w:pgSz w:w="11900" w:h="16832"/>
          <w:pgMar w:top="1440" w:right="1803" w:bottom="1440" w:left="1803" w:header="851" w:footer="851" w:gutter="0"/>
          <w:cols w:space="720" w:num="1"/>
        </w:sectPr>
      </w:pPr>
    </w:p>
    <w:p w14:paraId="1E7C27F8">
      <w:pPr>
        <w:pStyle w:val="9"/>
        <w:rPr>
          <w:rFonts w:hint="eastAsia"/>
          <w:b w:val="0"/>
          <w:bCs w:val="0"/>
          <w:color w:val="000000" w:themeColor="text1"/>
          <w:sz w:val="28"/>
          <w:szCs w:val="28"/>
          <w:highlight w:val="none"/>
          <w14:textFill>
            <w14:solidFill>
              <w14:schemeClr w14:val="tx1"/>
            </w14:solidFill>
          </w14:textFill>
        </w:rPr>
      </w:pPr>
      <w:bookmarkStart w:id="141" w:name="bookmark2249"/>
      <w:bookmarkStart w:id="142" w:name="bookmark2250"/>
      <w:bookmarkStart w:id="143" w:name="bookmark2251"/>
      <w:r>
        <w:rPr>
          <w:rFonts w:hint="eastAsia"/>
          <w:b w:val="0"/>
          <w:bCs w:val="0"/>
          <w:color w:val="000000" w:themeColor="text1"/>
          <w:sz w:val="28"/>
          <w:szCs w:val="28"/>
          <w:highlight w:val="none"/>
          <w14:textFill>
            <w14:solidFill>
              <w14:schemeClr w14:val="tx1"/>
            </w14:solidFill>
          </w14:textFill>
        </w:rPr>
        <w:t>附件五：计划开工日期、完工日期和施工进度网络图（或横道图）</w:t>
      </w:r>
      <w:bookmarkEnd w:id="141"/>
      <w:bookmarkEnd w:id="142"/>
      <w:bookmarkEnd w:id="143"/>
    </w:p>
    <w:p w14:paraId="040DFB58">
      <w:pPr>
        <w:rPr>
          <w:rFonts w:hint="eastAsia"/>
          <w:color w:val="000000" w:themeColor="text1"/>
          <w:highlight w:val="none"/>
          <w14:textFill>
            <w14:solidFill>
              <w14:schemeClr w14:val="tx1"/>
            </w14:solidFill>
          </w14:textFill>
        </w:rPr>
      </w:pPr>
    </w:p>
    <w:p w14:paraId="4E939A08">
      <w:pPr>
        <w:jc w:val="center"/>
        <w:rPr>
          <w:rFonts w:hint="eastAsia" w:ascii="宋体" w:hAnsi="宋体" w:cs="宋体"/>
          <w:b/>
          <w:bCs/>
          <w:color w:val="000000" w:themeColor="text1"/>
          <w:sz w:val="28"/>
          <w:szCs w:val="28"/>
          <w:highlight w:val="none"/>
          <w14:textFill>
            <w14:solidFill>
              <w14:schemeClr w14:val="tx1"/>
            </w14:solidFill>
          </w14:textFill>
        </w:rPr>
      </w:pPr>
      <w:bookmarkStart w:id="144" w:name="bookmark2254"/>
      <w:bookmarkStart w:id="145" w:name="_Toc2597"/>
      <w:bookmarkStart w:id="146" w:name="_Toc24573"/>
      <w:bookmarkStart w:id="147" w:name="bookmark2252"/>
      <w:bookmarkStart w:id="148" w:name="bookmark2253"/>
      <w:r>
        <w:rPr>
          <w:rFonts w:hint="eastAsia" w:ascii="宋体" w:hAnsi="宋体" w:cs="宋体"/>
          <w:b/>
          <w:bCs/>
          <w:color w:val="000000" w:themeColor="text1"/>
          <w:sz w:val="28"/>
          <w:szCs w:val="28"/>
          <w:highlight w:val="none"/>
          <w14:textFill>
            <w14:solidFill>
              <w14:schemeClr w14:val="tx1"/>
            </w14:solidFill>
          </w14:textFill>
        </w:rPr>
        <w:t>计划开工日期、完工日期和施工进度网络图（或横道图）</w:t>
      </w:r>
      <w:bookmarkEnd w:id="144"/>
      <w:bookmarkEnd w:id="145"/>
      <w:bookmarkEnd w:id="146"/>
      <w:bookmarkEnd w:id="147"/>
      <w:bookmarkEnd w:id="148"/>
    </w:p>
    <w:p w14:paraId="356F3BCD">
      <w:pPr>
        <w:jc w:val="center"/>
        <w:rPr>
          <w:b/>
          <w:color w:val="000000" w:themeColor="text1"/>
          <w:highlight w:val="none"/>
          <w14:textFill>
            <w14:solidFill>
              <w14:schemeClr w14:val="tx1"/>
            </w14:solidFill>
          </w14:textFill>
        </w:rPr>
      </w:pPr>
    </w:p>
    <w:p w14:paraId="02488992">
      <w:pPr>
        <w:pStyle w:val="237"/>
        <w:tabs>
          <w:tab w:val="left" w:pos="747"/>
        </w:tabs>
        <w:ind w:firstLine="420"/>
        <w:rPr>
          <w:color w:val="000000" w:themeColor="text1"/>
          <w:highlight w:val="none"/>
          <w14:textFill>
            <w14:solidFill>
              <w14:schemeClr w14:val="tx1"/>
            </w14:solidFill>
          </w14:textFill>
        </w:rPr>
      </w:pPr>
      <w:bookmarkStart w:id="149" w:name="bookmark2255"/>
      <w:bookmarkEnd w:id="149"/>
      <w:r>
        <w:rPr>
          <w:rFonts w:hint="eastAsia"/>
          <w:color w:val="000000" w:themeColor="text1"/>
          <w:highlight w:val="none"/>
          <w14:textFill>
            <w14:solidFill>
              <w14:schemeClr w14:val="tx1"/>
            </w14:solidFill>
          </w14:textFill>
        </w:rPr>
        <w:t>供应商</w:t>
      </w:r>
      <w:r>
        <w:rPr>
          <w:color w:val="000000" w:themeColor="text1"/>
          <w:highlight w:val="none"/>
          <w14:textFill>
            <w14:solidFill>
              <w14:schemeClr w14:val="tx1"/>
            </w14:solidFill>
          </w14:textFill>
        </w:rPr>
        <w:t>应递交施工进度网络图或施工进度表，说明按</w:t>
      </w:r>
      <w:r>
        <w:rPr>
          <w:rFonts w:hint="eastAsia"/>
          <w:color w:val="000000" w:themeColor="text1"/>
          <w:highlight w:val="none"/>
          <w14:textFill>
            <w14:solidFill>
              <w14:schemeClr w14:val="tx1"/>
            </w14:solidFill>
          </w14:textFill>
        </w:rPr>
        <w:t>磋商</w:t>
      </w:r>
      <w:r>
        <w:rPr>
          <w:color w:val="000000" w:themeColor="text1"/>
          <w:highlight w:val="none"/>
          <w14:textFill>
            <w14:solidFill>
              <w14:schemeClr w14:val="tx1"/>
            </w14:solidFill>
          </w14:textFill>
        </w:rPr>
        <w:t>文件要求的计划工期进行施工的各个关键日期。</w:t>
      </w:r>
    </w:p>
    <w:p w14:paraId="60996A03">
      <w:pPr>
        <w:spacing w:line="360" w:lineRule="auto"/>
        <w:ind w:firstLine="420"/>
        <w:rPr>
          <w:color w:val="000000" w:themeColor="text1"/>
          <w:highlight w:val="none"/>
          <w14:textFill>
            <w14:solidFill>
              <w14:schemeClr w14:val="tx1"/>
            </w14:solidFill>
          </w14:textFill>
        </w:rPr>
        <w:sectPr>
          <w:headerReference r:id="rId21" w:type="default"/>
          <w:footerReference r:id="rId23" w:type="default"/>
          <w:headerReference r:id="rId22" w:type="even"/>
          <w:footerReference r:id="rId24" w:type="even"/>
          <w:pgSz w:w="11900" w:h="16832"/>
          <w:pgMar w:top="1440" w:right="1803" w:bottom="1440" w:left="1803" w:header="851" w:footer="851" w:gutter="0"/>
          <w:cols w:space="720" w:num="1"/>
        </w:sectPr>
      </w:pPr>
      <w:bookmarkStart w:id="150" w:name="bookmark2256"/>
      <w:bookmarkEnd w:id="150"/>
      <w:r>
        <w:rPr>
          <w:color w:val="000000" w:themeColor="text1"/>
          <w:highlight w:val="none"/>
          <w14:textFill>
            <w14:solidFill>
              <w14:schemeClr w14:val="tx1"/>
            </w14:solidFill>
          </w14:textFill>
        </w:rPr>
        <w:t>施工进度表可采用网络图（或横道图）表示。</w:t>
      </w:r>
    </w:p>
    <w:p w14:paraId="0422F9A3">
      <w:pPr>
        <w:pStyle w:val="9"/>
        <w:rPr>
          <w:b w:val="0"/>
          <w:bCs w:val="0"/>
          <w:color w:val="000000" w:themeColor="text1"/>
          <w:sz w:val="28"/>
          <w:szCs w:val="28"/>
          <w:highlight w:val="none"/>
          <w14:textFill>
            <w14:solidFill>
              <w14:schemeClr w14:val="tx1"/>
            </w14:solidFill>
          </w14:textFill>
        </w:rPr>
      </w:pPr>
      <w:bookmarkStart w:id="151" w:name="bookmark2257"/>
      <w:bookmarkStart w:id="152" w:name="bookmark2258"/>
      <w:bookmarkStart w:id="153" w:name="bookmark2259"/>
      <w:r>
        <w:rPr>
          <w:rFonts w:hint="eastAsia"/>
          <w:b w:val="0"/>
          <w:bCs w:val="0"/>
          <w:color w:val="000000" w:themeColor="text1"/>
          <w:sz w:val="28"/>
          <w:szCs w:val="28"/>
          <w:highlight w:val="none"/>
          <w14:textFill>
            <w14:solidFill>
              <w14:schemeClr w14:val="tx1"/>
            </w14:solidFill>
          </w14:textFill>
        </w:rPr>
        <w:t>附件六：施工总平面图</w:t>
      </w:r>
      <w:bookmarkEnd w:id="151"/>
      <w:bookmarkEnd w:id="152"/>
      <w:bookmarkEnd w:id="153"/>
    </w:p>
    <w:p w14:paraId="180047D6">
      <w:pPr>
        <w:jc w:val="center"/>
        <w:rPr>
          <w:rFonts w:hint="eastAsia" w:ascii="宋体" w:hAnsi="宋体" w:cs="宋体"/>
          <w:b/>
          <w:bCs/>
          <w:color w:val="000000" w:themeColor="text1"/>
          <w:sz w:val="28"/>
          <w:szCs w:val="28"/>
          <w:highlight w:val="none"/>
          <w14:textFill>
            <w14:solidFill>
              <w14:schemeClr w14:val="tx1"/>
            </w14:solidFill>
          </w14:textFill>
        </w:rPr>
      </w:pPr>
      <w:bookmarkStart w:id="154" w:name="bookmark2260"/>
      <w:bookmarkStart w:id="155" w:name="_Toc768"/>
      <w:bookmarkStart w:id="156" w:name="bookmark2262"/>
      <w:bookmarkStart w:id="157" w:name="bookmark2261"/>
      <w:bookmarkStart w:id="158" w:name="_Toc30163"/>
    </w:p>
    <w:p w14:paraId="4D9E5BBB">
      <w:pPr>
        <w:jc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施工总平面图</w:t>
      </w:r>
      <w:bookmarkEnd w:id="154"/>
      <w:bookmarkEnd w:id="155"/>
      <w:bookmarkEnd w:id="156"/>
      <w:bookmarkEnd w:id="157"/>
      <w:bookmarkEnd w:id="158"/>
    </w:p>
    <w:p w14:paraId="22F91805">
      <w:pPr>
        <w:jc w:val="center"/>
        <w:rPr>
          <w:b/>
          <w:color w:val="000000" w:themeColor="text1"/>
          <w:highlight w:val="none"/>
          <w14:textFill>
            <w14:solidFill>
              <w14:schemeClr w14:val="tx1"/>
            </w14:solidFill>
          </w14:textFill>
        </w:rPr>
      </w:pPr>
    </w:p>
    <w:p w14:paraId="414ABDE2">
      <w:pPr>
        <w:pStyle w:val="237"/>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供应商</w:t>
      </w:r>
      <w:r>
        <w:rPr>
          <w:color w:val="000000" w:themeColor="text1"/>
          <w:highlight w:val="none"/>
          <w14:textFill>
            <w14:solidFill>
              <w14:schemeClr w14:val="tx1"/>
            </w14:solidFill>
          </w14:textFill>
        </w:rPr>
        <w:t>应递交一份施工总平面图，绘出现场临时设施布置图及表并附文字说明，说明临时设施、加工车间、现场办公、设备及仓储、供电、供水、卫生、生活、道路、消防等设施的情况和布置。</w:t>
      </w:r>
    </w:p>
    <w:p w14:paraId="7853968B">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color w:val="000000" w:themeColor="text1"/>
          <w:highlight w:val="none"/>
          <w14:textFill>
            <w14:solidFill>
              <w14:schemeClr w14:val="tx1"/>
            </w14:solidFill>
          </w14:textFill>
        </w:rPr>
        <w:t>其他平面图由供应商根据需要制作。</w:t>
      </w:r>
      <w:r>
        <w:rPr>
          <w:color w:val="000000" w:themeColor="text1"/>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项目管理机构配备情况表及主要人员简历表</w:t>
      </w:r>
    </w:p>
    <w:p w14:paraId="560761A2">
      <w:pPr>
        <w:spacing w:before="156" w:after="50" w:line="360" w:lineRule="auto"/>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（一）项目管理机构配备情况表</w:t>
      </w:r>
    </w:p>
    <w:p w14:paraId="24C48560">
      <w:pPr>
        <w:pStyle w:val="24"/>
        <w:spacing w:line="360" w:lineRule="auto"/>
        <w:contextualSpacing/>
        <w:rPr>
          <w:rFonts w:hint="eastAsia"/>
          <w:color w:val="000000" w:themeColor="text1"/>
          <w:sz w:val="24"/>
          <w:szCs w:val="24"/>
          <w:highlight w:val="none"/>
          <w14:textFill>
            <w14:solidFill>
              <w14:schemeClr w14:val="tx1"/>
            </w14:solidFill>
          </w14:textFill>
        </w:rPr>
      </w:pPr>
      <w:r>
        <w:rPr>
          <w:rFonts w:hint="eastAsia" w:hAnsi="宋体" w:cs="仿宋_GB2312"/>
          <w:color w:val="000000" w:themeColor="text1"/>
          <w:sz w:val="24"/>
          <w:highlight w:val="none"/>
          <w14:textFill>
            <w14:solidFill>
              <w14:schemeClr w14:val="tx1"/>
            </w14:solidFill>
          </w14:textFill>
        </w:rPr>
        <w:t>分标（如有）</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u w:val="single"/>
          <w14:textFill>
            <w14:solidFill>
              <w14:schemeClr w14:val="tx1"/>
            </w14:solidFill>
          </w14:textFill>
        </w:rPr>
        <w:t xml:space="preserve">         </w:t>
      </w:r>
    </w:p>
    <w:tbl>
      <w:tblPr>
        <w:tblStyle w:val="45"/>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472A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noWrap w:val="0"/>
            <w:vAlign w:val="center"/>
          </w:tcPr>
          <w:p w14:paraId="3405119F">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岗位</w:t>
            </w:r>
          </w:p>
        </w:tc>
        <w:tc>
          <w:tcPr>
            <w:tcW w:w="670" w:type="dxa"/>
            <w:vMerge w:val="restart"/>
            <w:noWrap w:val="0"/>
            <w:vAlign w:val="center"/>
          </w:tcPr>
          <w:p w14:paraId="0FF4BF10">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姓名</w:t>
            </w:r>
          </w:p>
        </w:tc>
        <w:tc>
          <w:tcPr>
            <w:tcW w:w="829" w:type="dxa"/>
            <w:vMerge w:val="restart"/>
            <w:noWrap w:val="0"/>
            <w:vAlign w:val="center"/>
          </w:tcPr>
          <w:p w14:paraId="32F804D9">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身份证号</w:t>
            </w:r>
          </w:p>
        </w:tc>
        <w:tc>
          <w:tcPr>
            <w:tcW w:w="816" w:type="dxa"/>
            <w:vMerge w:val="restart"/>
            <w:noWrap w:val="0"/>
            <w:vAlign w:val="center"/>
          </w:tcPr>
          <w:p w14:paraId="152294EB">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职称</w:t>
            </w:r>
          </w:p>
        </w:tc>
        <w:tc>
          <w:tcPr>
            <w:tcW w:w="4188" w:type="dxa"/>
            <w:gridSpan w:val="4"/>
            <w:noWrap w:val="0"/>
            <w:vAlign w:val="center"/>
          </w:tcPr>
          <w:p w14:paraId="1939347A">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执业或职业资格</w:t>
            </w:r>
          </w:p>
        </w:tc>
        <w:tc>
          <w:tcPr>
            <w:tcW w:w="2443" w:type="dxa"/>
            <w:gridSpan w:val="2"/>
            <w:noWrap w:val="0"/>
            <w:vAlign w:val="center"/>
          </w:tcPr>
          <w:p w14:paraId="09BB8C8C">
            <w:pPr>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承担完工</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在建工程情况</w:t>
            </w:r>
          </w:p>
        </w:tc>
      </w:tr>
      <w:tr w14:paraId="5F7A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noWrap w:val="0"/>
            <w:vAlign w:val="center"/>
          </w:tcPr>
          <w:p w14:paraId="03258401">
            <w:pPr>
              <w:ind w:left="223" w:hanging="222"/>
              <w:jc w:val="center"/>
              <w:rPr>
                <w:color w:val="000000" w:themeColor="text1"/>
                <w:highlight w:val="none"/>
                <w14:textFill>
                  <w14:solidFill>
                    <w14:schemeClr w14:val="tx1"/>
                  </w14:solidFill>
                </w14:textFill>
              </w:rPr>
            </w:pPr>
          </w:p>
        </w:tc>
        <w:tc>
          <w:tcPr>
            <w:tcW w:w="670" w:type="dxa"/>
            <w:vMerge w:val="continue"/>
            <w:noWrap w:val="0"/>
            <w:vAlign w:val="center"/>
          </w:tcPr>
          <w:p w14:paraId="3BFD6E75">
            <w:pPr>
              <w:ind w:left="223" w:hanging="222"/>
              <w:jc w:val="center"/>
              <w:rPr>
                <w:color w:val="000000" w:themeColor="text1"/>
                <w:highlight w:val="none"/>
                <w14:textFill>
                  <w14:solidFill>
                    <w14:schemeClr w14:val="tx1"/>
                  </w14:solidFill>
                </w14:textFill>
              </w:rPr>
            </w:pPr>
          </w:p>
        </w:tc>
        <w:tc>
          <w:tcPr>
            <w:tcW w:w="829" w:type="dxa"/>
            <w:vMerge w:val="continue"/>
            <w:noWrap w:val="0"/>
            <w:vAlign w:val="center"/>
          </w:tcPr>
          <w:p w14:paraId="66AE7E90">
            <w:pPr>
              <w:ind w:left="223" w:hanging="222"/>
              <w:jc w:val="center"/>
              <w:rPr>
                <w:color w:val="000000" w:themeColor="text1"/>
                <w:highlight w:val="none"/>
                <w14:textFill>
                  <w14:solidFill>
                    <w14:schemeClr w14:val="tx1"/>
                  </w14:solidFill>
                </w14:textFill>
              </w:rPr>
            </w:pPr>
          </w:p>
        </w:tc>
        <w:tc>
          <w:tcPr>
            <w:tcW w:w="816" w:type="dxa"/>
            <w:vMerge w:val="continue"/>
            <w:noWrap w:val="0"/>
            <w:vAlign w:val="center"/>
          </w:tcPr>
          <w:p w14:paraId="7FEB0A2D">
            <w:pPr>
              <w:ind w:left="223" w:hanging="222"/>
              <w:jc w:val="center"/>
              <w:rPr>
                <w:color w:val="000000" w:themeColor="text1"/>
                <w:highlight w:val="none"/>
                <w14:textFill>
                  <w14:solidFill>
                    <w14:schemeClr w14:val="tx1"/>
                  </w14:solidFill>
                </w14:textFill>
              </w:rPr>
            </w:pPr>
          </w:p>
        </w:tc>
        <w:tc>
          <w:tcPr>
            <w:tcW w:w="1148" w:type="dxa"/>
            <w:noWrap w:val="0"/>
            <w:vAlign w:val="center"/>
          </w:tcPr>
          <w:p w14:paraId="17E4C1D0">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证书名称</w:t>
            </w:r>
          </w:p>
        </w:tc>
        <w:tc>
          <w:tcPr>
            <w:tcW w:w="1148" w:type="dxa"/>
            <w:noWrap w:val="0"/>
            <w:vAlign w:val="center"/>
          </w:tcPr>
          <w:p w14:paraId="06B5B3E5">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148" w:type="dxa"/>
            <w:noWrap w:val="0"/>
            <w:vAlign w:val="center"/>
          </w:tcPr>
          <w:p w14:paraId="5220F340">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证号</w:t>
            </w:r>
          </w:p>
        </w:tc>
        <w:tc>
          <w:tcPr>
            <w:tcW w:w="744" w:type="dxa"/>
            <w:noWrap w:val="0"/>
            <w:vAlign w:val="center"/>
          </w:tcPr>
          <w:p w14:paraId="4A288367">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专业</w:t>
            </w:r>
          </w:p>
        </w:tc>
        <w:tc>
          <w:tcPr>
            <w:tcW w:w="1167" w:type="dxa"/>
            <w:noWrap w:val="0"/>
            <w:vAlign w:val="center"/>
          </w:tcPr>
          <w:p w14:paraId="26565524">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完工/在建</w:t>
            </w:r>
          </w:p>
        </w:tc>
        <w:tc>
          <w:tcPr>
            <w:tcW w:w="1276" w:type="dxa"/>
            <w:noWrap w:val="0"/>
            <w:vAlign w:val="center"/>
          </w:tcPr>
          <w:p w14:paraId="037051EF">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主要项目</w:t>
            </w:r>
          </w:p>
          <w:p w14:paraId="5D47FBAF">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名称</w:t>
            </w:r>
          </w:p>
        </w:tc>
      </w:tr>
      <w:tr w14:paraId="3B4D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670C7F86">
            <w:pPr>
              <w:pStyle w:val="312"/>
              <w:spacing w:line="240" w:lineRule="auto"/>
              <w:ind w:firstLine="0"/>
              <w:rPr>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1.</w:t>
            </w:r>
            <w:r>
              <w:rPr>
                <w:color w:val="000000" w:themeColor="text1"/>
                <w:sz w:val="21"/>
                <w:szCs w:val="21"/>
                <w:highlight w:val="none"/>
                <w14:textFill>
                  <w14:solidFill>
                    <w14:schemeClr w14:val="tx1"/>
                  </w14:solidFill>
                </w14:textFill>
              </w:rPr>
              <w:t>项目经理</w:t>
            </w:r>
          </w:p>
        </w:tc>
        <w:tc>
          <w:tcPr>
            <w:tcW w:w="670" w:type="dxa"/>
            <w:noWrap w:val="0"/>
            <w:vAlign w:val="center"/>
          </w:tcPr>
          <w:p w14:paraId="7F060181">
            <w:pPr>
              <w:ind w:left="223" w:hanging="222"/>
              <w:jc w:val="center"/>
              <w:rPr>
                <w:color w:val="000000" w:themeColor="text1"/>
                <w:szCs w:val="21"/>
                <w:highlight w:val="none"/>
                <w14:textFill>
                  <w14:solidFill>
                    <w14:schemeClr w14:val="tx1"/>
                  </w14:solidFill>
                </w14:textFill>
              </w:rPr>
            </w:pPr>
          </w:p>
        </w:tc>
        <w:tc>
          <w:tcPr>
            <w:tcW w:w="829" w:type="dxa"/>
            <w:noWrap w:val="0"/>
            <w:vAlign w:val="center"/>
          </w:tcPr>
          <w:p w14:paraId="76826335">
            <w:pPr>
              <w:ind w:left="223" w:hanging="222"/>
              <w:jc w:val="center"/>
              <w:rPr>
                <w:color w:val="000000" w:themeColor="text1"/>
                <w:szCs w:val="21"/>
                <w:highlight w:val="none"/>
                <w14:textFill>
                  <w14:solidFill>
                    <w14:schemeClr w14:val="tx1"/>
                  </w14:solidFill>
                </w14:textFill>
              </w:rPr>
            </w:pPr>
          </w:p>
        </w:tc>
        <w:tc>
          <w:tcPr>
            <w:tcW w:w="816" w:type="dxa"/>
            <w:noWrap w:val="0"/>
            <w:vAlign w:val="center"/>
          </w:tcPr>
          <w:p w14:paraId="0F20FE92">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2FA6EC62">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25C36B40">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2B34F819">
            <w:pPr>
              <w:ind w:left="223" w:hanging="222"/>
              <w:jc w:val="center"/>
              <w:rPr>
                <w:color w:val="000000" w:themeColor="text1"/>
                <w:szCs w:val="21"/>
                <w:highlight w:val="none"/>
                <w14:textFill>
                  <w14:solidFill>
                    <w14:schemeClr w14:val="tx1"/>
                  </w14:solidFill>
                </w14:textFill>
              </w:rPr>
            </w:pPr>
          </w:p>
        </w:tc>
        <w:tc>
          <w:tcPr>
            <w:tcW w:w="744" w:type="dxa"/>
            <w:noWrap w:val="0"/>
            <w:vAlign w:val="center"/>
          </w:tcPr>
          <w:p w14:paraId="670322EB">
            <w:pPr>
              <w:ind w:left="223" w:hanging="222"/>
              <w:jc w:val="center"/>
              <w:rPr>
                <w:color w:val="000000" w:themeColor="text1"/>
                <w:szCs w:val="21"/>
                <w:highlight w:val="none"/>
                <w14:textFill>
                  <w14:solidFill>
                    <w14:schemeClr w14:val="tx1"/>
                  </w14:solidFill>
                </w14:textFill>
              </w:rPr>
            </w:pPr>
          </w:p>
        </w:tc>
        <w:tc>
          <w:tcPr>
            <w:tcW w:w="1167" w:type="dxa"/>
            <w:noWrap w:val="0"/>
            <w:vAlign w:val="center"/>
          </w:tcPr>
          <w:p w14:paraId="0EC1A246">
            <w:pPr>
              <w:ind w:left="223" w:hanging="222"/>
              <w:jc w:val="center"/>
              <w:rPr>
                <w:color w:val="000000" w:themeColor="text1"/>
                <w:szCs w:val="21"/>
                <w:highlight w:val="none"/>
                <w14:textFill>
                  <w14:solidFill>
                    <w14:schemeClr w14:val="tx1"/>
                  </w14:solidFill>
                </w14:textFill>
              </w:rPr>
            </w:pPr>
          </w:p>
        </w:tc>
        <w:tc>
          <w:tcPr>
            <w:tcW w:w="1276" w:type="dxa"/>
            <w:noWrap w:val="0"/>
            <w:vAlign w:val="center"/>
          </w:tcPr>
          <w:p w14:paraId="1D2D559A">
            <w:pPr>
              <w:ind w:left="223" w:hanging="222"/>
              <w:jc w:val="center"/>
              <w:rPr>
                <w:color w:val="000000" w:themeColor="text1"/>
                <w:szCs w:val="21"/>
                <w:highlight w:val="none"/>
                <w14:textFill>
                  <w14:solidFill>
                    <w14:schemeClr w14:val="tx1"/>
                  </w14:solidFill>
                </w14:textFill>
              </w:rPr>
            </w:pPr>
          </w:p>
        </w:tc>
      </w:tr>
      <w:tr w14:paraId="44B6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6A1495A6">
            <w:pPr>
              <w:pStyle w:val="312"/>
              <w:spacing w:line="240" w:lineRule="auto"/>
              <w:ind w:firstLine="0"/>
              <w:rPr>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bidi="en-US"/>
                <w14:textFill>
                  <w14:solidFill>
                    <w14:schemeClr w14:val="tx1"/>
                  </w14:solidFill>
                </w14:textFill>
              </w:rPr>
              <w:t>2.</w:t>
            </w:r>
            <w:r>
              <w:rPr>
                <w:color w:val="000000" w:themeColor="text1"/>
                <w:sz w:val="21"/>
                <w:szCs w:val="21"/>
                <w:highlight w:val="none"/>
                <w14:textFill>
                  <w14:solidFill>
                    <w14:schemeClr w14:val="tx1"/>
                  </w14:solidFill>
                </w14:textFill>
              </w:rPr>
              <w:t>技术负责人</w:t>
            </w:r>
            <w:r>
              <w:rPr>
                <w:rFonts w:hint="eastAsia"/>
                <w:color w:val="000000" w:themeColor="text1"/>
                <w:sz w:val="21"/>
                <w:szCs w:val="21"/>
                <w:highlight w:val="none"/>
                <w14:textFill>
                  <w14:solidFill>
                    <w14:schemeClr w14:val="tx1"/>
                  </w14:solidFill>
                </w14:textFill>
              </w:rPr>
              <w:t>（项目总工）</w:t>
            </w:r>
          </w:p>
        </w:tc>
        <w:tc>
          <w:tcPr>
            <w:tcW w:w="670" w:type="dxa"/>
            <w:noWrap w:val="0"/>
            <w:vAlign w:val="center"/>
          </w:tcPr>
          <w:p w14:paraId="7722BE0A">
            <w:pPr>
              <w:ind w:left="223" w:hanging="222"/>
              <w:jc w:val="center"/>
              <w:rPr>
                <w:color w:val="000000" w:themeColor="text1"/>
                <w:szCs w:val="21"/>
                <w:highlight w:val="none"/>
                <w14:textFill>
                  <w14:solidFill>
                    <w14:schemeClr w14:val="tx1"/>
                  </w14:solidFill>
                </w14:textFill>
              </w:rPr>
            </w:pPr>
          </w:p>
        </w:tc>
        <w:tc>
          <w:tcPr>
            <w:tcW w:w="829" w:type="dxa"/>
            <w:noWrap w:val="0"/>
            <w:vAlign w:val="center"/>
          </w:tcPr>
          <w:p w14:paraId="008516F5">
            <w:pPr>
              <w:ind w:left="223" w:hanging="222"/>
              <w:jc w:val="center"/>
              <w:rPr>
                <w:color w:val="000000" w:themeColor="text1"/>
                <w:szCs w:val="21"/>
                <w:highlight w:val="none"/>
                <w14:textFill>
                  <w14:solidFill>
                    <w14:schemeClr w14:val="tx1"/>
                  </w14:solidFill>
                </w14:textFill>
              </w:rPr>
            </w:pPr>
          </w:p>
        </w:tc>
        <w:tc>
          <w:tcPr>
            <w:tcW w:w="816" w:type="dxa"/>
            <w:noWrap w:val="0"/>
            <w:vAlign w:val="center"/>
          </w:tcPr>
          <w:p w14:paraId="7E8D1768">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35A52040">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799C16C4">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11D5CA78">
            <w:pPr>
              <w:ind w:left="223" w:hanging="222"/>
              <w:jc w:val="center"/>
              <w:rPr>
                <w:color w:val="000000" w:themeColor="text1"/>
                <w:szCs w:val="21"/>
                <w:highlight w:val="none"/>
                <w14:textFill>
                  <w14:solidFill>
                    <w14:schemeClr w14:val="tx1"/>
                  </w14:solidFill>
                </w14:textFill>
              </w:rPr>
            </w:pPr>
          </w:p>
        </w:tc>
        <w:tc>
          <w:tcPr>
            <w:tcW w:w="744" w:type="dxa"/>
            <w:noWrap w:val="0"/>
            <w:vAlign w:val="center"/>
          </w:tcPr>
          <w:p w14:paraId="57246FF6">
            <w:pPr>
              <w:ind w:left="223" w:hanging="222"/>
              <w:jc w:val="center"/>
              <w:rPr>
                <w:color w:val="000000" w:themeColor="text1"/>
                <w:szCs w:val="21"/>
                <w:highlight w:val="none"/>
                <w14:textFill>
                  <w14:solidFill>
                    <w14:schemeClr w14:val="tx1"/>
                  </w14:solidFill>
                </w14:textFill>
              </w:rPr>
            </w:pPr>
          </w:p>
        </w:tc>
        <w:tc>
          <w:tcPr>
            <w:tcW w:w="1167" w:type="dxa"/>
            <w:noWrap w:val="0"/>
            <w:vAlign w:val="center"/>
          </w:tcPr>
          <w:p w14:paraId="24A719FE">
            <w:pPr>
              <w:ind w:left="223" w:hanging="222"/>
              <w:jc w:val="center"/>
              <w:rPr>
                <w:color w:val="000000" w:themeColor="text1"/>
                <w:szCs w:val="21"/>
                <w:highlight w:val="none"/>
                <w14:textFill>
                  <w14:solidFill>
                    <w14:schemeClr w14:val="tx1"/>
                  </w14:solidFill>
                </w14:textFill>
              </w:rPr>
            </w:pPr>
          </w:p>
        </w:tc>
        <w:tc>
          <w:tcPr>
            <w:tcW w:w="1276" w:type="dxa"/>
            <w:noWrap w:val="0"/>
            <w:vAlign w:val="center"/>
          </w:tcPr>
          <w:p w14:paraId="3B681A6E">
            <w:pPr>
              <w:ind w:left="223" w:hanging="222"/>
              <w:jc w:val="center"/>
              <w:rPr>
                <w:color w:val="000000" w:themeColor="text1"/>
                <w:szCs w:val="21"/>
                <w:highlight w:val="none"/>
                <w14:textFill>
                  <w14:solidFill>
                    <w14:schemeClr w14:val="tx1"/>
                  </w14:solidFill>
                </w14:textFill>
              </w:rPr>
            </w:pPr>
          </w:p>
        </w:tc>
      </w:tr>
      <w:tr w14:paraId="3271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48747F06">
            <w:pPr>
              <w:pStyle w:val="312"/>
              <w:spacing w:line="240" w:lineRule="auto"/>
              <w:ind w:firstLine="0"/>
              <w:rPr>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3.</w:t>
            </w:r>
            <w:r>
              <w:rPr>
                <w:rFonts w:hint="eastAsia"/>
                <w:color w:val="000000" w:themeColor="text1"/>
                <w:sz w:val="21"/>
                <w:szCs w:val="21"/>
                <w:highlight w:val="none"/>
                <w14:textFill>
                  <w14:solidFill>
                    <w14:schemeClr w14:val="tx1"/>
                  </w14:solidFill>
                </w14:textFill>
              </w:rPr>
              <w:t xml:space="preserve"> 施工员</w:t>
            </w:r>
          </w:p>
        </w:tc>
        <w:tc>
          <w:tcPr>
            <w:tcW w:w="670" w:type="dxa"/>
            <w:noWrap w:val="0"/>
            <w:vAlign w:val="center"/>
          </w:tcPr>
          <w:p w14:paraId="78A75593">
            <w:pPr>
              <w:ind w:left="223" w:hanging="222"/>
              <w:jc w:val="center"/>
              <w:rPr>
                <w:color w:val="000000" w:themeColor="text1"/>
                <w:szCs w:val="21"/>
                <w:highlight w:val="none"/>
                <w14:textFill>
                  <w14:solidFill>
                    <w14:schemeClr w14:val="tx1"/>
                  </w14:solidFill>
                </w14:textFill>
              </w:rPr>
            </w:pPr>
          </w:p>
        </w:tc>
        <w:tc>
          <w:tcPr>
            <w:tcW w:w="829" w:type="dxa"/>
            <w:noWrap w:val="0"/>
            <w:vAlign w:val="center"/>
          </w:tcPr>
          <w:p w14:paraId="3B6412A0">
            <w:pPr>
              <w:ind w:left="223" w:hanging="222"/>
              <w:jc w:val="center"/>
              <w:rPr>
                <w:color w:val="000000" w:themeColor="text1"/>
                <w:szCs w:val="21"/>
                <w:highlight w:val="none"/>
                <w14:textFill>
                  <w14:solidFill>
                    <w14:schemeClr w14:val="tx1"/>
                  </w14:solidFill>
                </w14:textFill>
              </w:rPr>
            </w:pPr>
          </w:p>
        </w:tc>
        <w:tc>
          <w:tcPr>
            <w:tcW w:w="816" w:type="dxa"/>
            <w:noWrap w:val="0"/>
            <w:vAlign w:val="center"/>
          </w:tcPr>
          <w:p w14:paraId="21F76E1F">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0FD185B2">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0CF63370">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1556CB8B">
            <w:pPr>
              <w:ind w:left="223" w:hanging="222"/>
              <w:jc w:val="center"/>
              <w:rPr>
                <w:color w:val="000000" w:themeColor="text1"/>
                <w:szCs w:val="21"/>
                <w:highlight w:val="none"/>
                <w14:textFill>
                  <w14:solidFill>
                    <w14:schemeClr w14:val="tx1"/>
                  </w14:solidFill>
                </w14:textFill>
              </w:rPr>
            </w:pPr>
          </w:p>
        </w:tc>
        <w:tc>
          <w:tcPr>
            <w:tcW w:w="744" w:type="dxa"/>
            <w:noWrap w:val="0"/>
            <w:vAlign w:val="center"/>
          </w:tcPr>
          <w:p w14:paraId="33649A14">
            <w:pPr>
              <w:ind w:left="223" w:hanging="222"/>
              <w:jc w:val="center"/>
              <w:rPr>
                <w:color w:val="000000" w:themeColor="text1"/>
                <w:szCs w:val="21"/>
                <w:highlight w:val="none"/>
                <w14:textFill>
                  <w14:solidFill>
                    <w14:schemeClr w14:val="tx1"/>
                  </w14:solidFill>
                </w14:textFill>
              </w:rPr>
            </w:pPr>
          </w:p>
        </w:tc>
        <w:tc>
          <w:tcPr>
            <w:tcW w:w="1167" w:type="dxa"/>
            <w:noWrap w:val="0"/>
            <w:vAlign w:val="center"/>
          </w:tcPr>
          <w:p w14:paraId="3A17881E">
            <w:pPr>
              <w:ind w:left="223" w:hanging="222"/>
              <w:jc w:val="center"/>
              <w:rPr>
                <w:color w:val="000000" w:themeColor="text1"/>
                <w:szCs w:val="21"/>
                <w:highlight w:val="none"/>
                <w14:textFill>
                  <w14:solidFill>
                    <w14:schemeClr w14:val="tx1"/>
                  </w14:solidFill>
                </w14:textFill>
              </w:rPr>
            </w:pPr>
          </w:p>
        </w:tc>
        <w:tc>
          <w:tcPr>
            <w:tcW w:w="1276" w:type="dxa"/>
            <w:noWrap w:val="0"/>
            <w:vAlign w:val="center"/>
          </w:tcPr>
          <w:p w14:paraId="61AE5831">
            <w:pPr>
              <w:ind w:left="223" w:hanging="222"/>
              <w:jc w:val="center"/>
              <w:rPr>
                <w:color w:val="000000" w:themeColor="text1"/>
                <w:szCs w:val="21"/>
                <w:highlight w:val="none"/>
                <w14:textFill>
                  <w14:solidFill>
                    <w14:schemeClr w14:val="tx1"/>
                  </w14:solidFill>
                </w14:textFill>
              </w:rPr>
            </w:pPr>
          </w:p>
        </w:tc>
      </w:tr>
      <w:tr w14:paraId="2B00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70222D8F">
            <w:pPr>
              <w:pStyle w:val="312"/>
              <w:spacing w:line="240" w:lineRule="auto"/>
              <w:ind w:firstLine="0"/>
              <w:rPr>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4.</w:t>
            </w:r>
            <w:r>
              <w:rPr>
                <w:rFonts w:hint="eastAsia"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专职安全生产管理人员</w:t>
            </w:r>
          </w:p>
        </w:tc>
        <w:tc>
          <w:tcPr>
            <w:tcW w:w="670" w:type="dxa"/>
            <w:noWrap w:val="0"/>
            <w:vAlign w:val="center"/>
          </w:tcPr>
          <w:p w14:paraId="2B5F3B3E">
            <w:pPr>
              <w:ind w:left="223" w:hanging="222"/>
              <w:jc w:val="center"/>
              <w:rPr>
                <w:color w:val="000000" w:themeColor="text1"/>
                <w:szCs w:val="21"/>
                <w:highlight w:val="none"/>
                <w14:textFill>
                  <w14:solidFill>
                    <w14:schemeClr w14:val="tx1"/>
                  </w14:solidFill>
                </w14:textFill>
              </w:rPr>
            </w:pPr>
          </w:p>
        </w:tc>
        <w:tc>
          <w:tcPr>
            <w:tcW w:w="829" w:type="dxa"/>
            <w:noWrap w:val="0"/>
            <w:vAlign w:val="center"/>
          </w:tcPr>
          <w:p w14:paraId="401B02DA">
            <w:pPr>
              <w:ind w:left="223" w:hanging="222"/>
              <w:jc w:val="center"/>
              <w:rPr>
                <w:color w:val="000000" w:themeColor="text1"/>
                <w:szCs w:val="21"/>
                <w:highlight w:val="none"/>
                <w14:textFill>
                  <w14:solidFill>
                    <w14:schemeClr w14:val="tx1"/>
                  </w14:solidFill>
                </w14:textFill>
              </w:rPr>
            </w:pPr>
          </w:p>
        </w:tc>
        <w:tc>
          <w:tcPr>
            <w:tcW w:w="816" w:type="dxa"/>
            <w:noWrap w:val="0"/>
            <w:vAlign w:val="center"/>
          </w:tcPr>
          <w:p w14:paraId="1DF033F6">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2F99DD89">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2F198840">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0827DFE1">
            <w:pPr>
              <w:ind w:left="223" w:hanging="222"/>
              <w:jc w:val="center"/>
              <w:rPr>
                <w:color w:val="000000" w:themeColor="text1"/>
                <w:szCs w:val="21"/>
                <w:highlight w:val="none"/>
                <w14:textFill>
                  <w14:solidFill>
                    <w14:schemeClr w14:val="tx1"/>
                  </w14:solidFill>
                </w14:textFill>
              </w:rPr>
            </w:pPr>
          </w:p>
        </w:tc>
        <w:tc>
          <w:tcPr>
            <w:tcW w:w="744" w:type="dxa"/>
            <w:noWrap w:val="0"/>
            <w:vAlign w:val="center"/>
          </w:tcPr>
          <w:p w14:paraId="7CDDD2B8">
            <w:pPr>
              <w:ind w:left="223" w:hanging="222"/>
              <w:jc w:val="center"/>
              <w:rPr>
                <w:color w:val="000000" w:themeColor="text1"/>
                <w:szCs w:val="21"/>
                <w:highlight w:val="none"/>
                <w14:textFill>
                  <w14:solidFill>
                    <w14:schemeClr w14:val="tx1"/>
                  </w14:solidFill>
                </w14:textFill>
              </w:rPr>
            </w:pPr>
          </w:p>
        </w:tc>
        <w:tc>
          <w:tcPr>
            <w:tcW w:w="1167" w:type="dxa"/>
            <w:noWrap w:val="0"/>
            <w:vAlign w:val="center"/>
          </w:tcPr>
          <w:p w14:paraId="46499657">
            <w:pPr>
              <w:ind w:left="223" w:hanging="222"/>
              <w:jc w:val="center"/>
              <w:rPr>
                <w:color w:val="000000" w:themeColor="text1"/>
                <w:szCs w:val="21"/>
                <w:highlight w:val="none"/>
                <w14:textFill>
                  <w14:solidFill>
                    <w14:schemeClr w14:val="tx1"/>
                  </w14:solidFill>
                </w14:textFill>
              </w:rPr>
            </w:pPr>
          </w:p>
        </w:tc>
        <w:tc>
          <w:tcPr>
            <w:tcW w:w="1276" w:type="dxa"/>
            <w:noWrap w:val="0"/>
            <w:vAlign w:val="center"/>
          </w:tcPr>
          <w:p w14:paraId="5971B640">
            <w:pPr>
              <w:ind w:left="223" w:hanging="222"/>
              <w:jc w:val="center"/>
              <w:rPr>
                <w:color w:val="000000" w:themeColor="text1"/>
                <w:szCs w:val="21"/>
                <w:highlight w:val="none"/>
                <w14:textFill>
                  <w14:solidFill>
                    <w14:schemeClr w14:val="tx1"/>
                  </w14:solidFill>
                </w14:textFill>
              </w:rPr>
            </w:pPr>
          </w:p>
        </w:tc>
      </w:tr>
      <w:tr w14:paraId="5597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1EBB59F2">
            <w:pPr>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 xml:space="preserve"> 质量员</w:t>
            </w:r>
          </w:p>
        </w:tc>
        <w:tc>
          <w:tcPr>
            <w:tcW w:w="670" w:type="dxa"/>
            <w:noWrap w:val="0"/>
            <w:vAlign w:val="center"/>
          </w:tcPr>
          <w:p w14:paraId="1D907A60">
            <w:pPr>
              <w:ind w:left="223" w:hanging="222"/>
              <w:jc w:val="center"/>
              <w:rPr>
                <w:color w:val="000000" w:themeColor="text1"/>
                <w:szCs w:val="21"/>
                <w:highlight w:val="none"/>
                <w14:textFill>
                  <w14:solidFill>
                    <w14:schemeClr w14:val="tx1"/>
                  </w14:solidFill>
                </w14:textFill>
              </w:rPr>
            </w:pPr>
          </w:p>
        </w:tc>
        <w:tc>
          <w:tcPr>
            <w:tcW w:w="829" w:type="dxa"/>
            <w:noWrap w:val="0"/>
            <w:vAlign w:val="center"/>
          </w:tcPr>
          <w:p w14:paraId="54531B0B">
            <w:pPr>
              <w:ind w:left="223" w:hanging="222"/>
              <w:jc w:val="center"/>
              <w:rPr>
                <w:color w:val="000000" w:themeColor="text1"/>
                <w:szCs w:val="21"/>
                <w:highlight w:val="none"/>
                <w14:textFill>
                  <w14:solidFill>
                    <w14:schemeClr w14:val="tx1"/>
                  </w14:solidFill>
                </w14:textFill>
              </w:rPr>
            </w:pPr>
          </w:p>
        </w:tc>
        <w:tc>
          <w:tcPr>
            <w:tcW w:w="816" w:type="dxa"/>
            <w:noWrap w:val="0"/>
            <w:vAlign w:val="center"/>
          </w:tcPr>
          <w:p w14:paraId="1DB09806">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429FF76B">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72A309D5">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117E2FC2">
            <w:pPr>
              <w:ind w:left="223" w:hanging="222"/>
              <w:jc w:val="center"/>
              <w:rPr>
                <w:color w:val="000000" w:themeColor="text1"/>
                <w:szCs w:val="21"/>
                <w:highlight w:val="none"/>
                <w14:textFill>
                  <w14:solidFill>
                    <w14:schemeClr w14:val="tx1"/>
                  </w14:solidFill>
                </w14:textFill>
              </w:rPr>
            </w:pPr>
          </w:p>
        </w:tc>
        <w:tc>
          <w:tcPr>
            <w:tcW w:w="744" w:type="dxa"/>
            <w:noWrap w:val="0"/>
            <w:vAlign w:val="center"/>
          </w:tcPr>
          <w:p w14:paraId="29F638C8">
            <w:pPr>
              <w:ind w:left="223" w:hanging="222"/>
              <w:jc w:val="center"/>
              <w:rPr>
                <w:color w:val="000000" w:themeColor="text1"/>
                <w:szCs w:val="21"/>
                <w:highlight w:val="none"/>
                <w14:textFill>
                  <w14:solidFill>
                    <w14:schemeClr w14:val="tx1"/>
                  </w14:solidFill>
                </w14:textFill>
              </w:rPr>
            </w:pPr>
          </w:p>
        </w:tc>
        <w:tc>
          <w:tcPr>
            <w:tcW w:w="1167" w:type="dxa"/>
            <w:noWrap w:val="0"/>
            <w:vAlign w:val="center"/>
          </w:tcPr>
          <w:p w14:paraId="40D0BC18">
            <w:pPr>
              <w:ind w:left="223" w:hanging="222"/>
              <w:jc w:val="center"/>
              <w:rPr>
                <w:color w:val="000000" w:themeColor="text1"/>
                <w:szCs w:val="21"/>
                <w:highlight w:val="none"/>
                <w14:textFill>
                  <w14:solidFill>
                    <w14:schemeClr w14:val="tx1"/>
                  </w14:solidFill>
                </w14:textFill>
              </w:rPr>
            </w:pPr>
          </w:p>
        </w:tc>
        <w:tc>
          <w:tcPr>
            <w:tcW w:w="1276" w:type="dxa"/>
            <w:noWrap w:val="0"/>
            <w:vAlign w:val="center"/>
          </w:tcPr>
          <w:p w14:paraId="25298BF2">
            <w:pPr>
              <w:ind w:left="223" w:hanging="222"/>
              <w:jc w:val="center"/>
              <w:rPr>
                <w:color w:val="000000" w:themeColor="text1"/>
                <w:szCs w:val="21"/>
                <w:highlight w:val="none"/>
                <w14:textFill>
                  <w14:solidFill>
                    <w14:schemeClr w14:val="tx1"/>
                  </w14:solidFill>
                </w14:textFill>
              </w:rPr>
            </w:pPr>
          </w:p>
        </w:tc>
      </w:tr>
      <w:tr w14:paraId="6464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3B93E358">
            <w:pPr>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6.材料员</w:t>
            </w:r>
          </w:p>
        </w:tc>
        <w:tc>
          <w:tcPr>
            <w:tcW w:w="670" w:type="dxa"/>
            <w:noWrap w:val="0"/>
            <w:vAlign w:val="center"/>
          </w:tcPr>
          <w:p w14:paraId="05AE7542">
            <w:pPr>
              <w:ind w:left="223" w:hanging="222"/>
              <w:jc w:val="center"/>
              <w:rPr>
                <w:color w:val="000000" w:themeColor="text1"/>
                <w:szCs w:val="21"/>
                <w:highlight w:val="none"/>
                <w14:textFill>
                  <w14:solidFill>
                    <w14:schemeClr w14:val="tx1"/>
                  </w14:solidFill>
                </w14:textFill>
              </w:rPr>
            </w:pPr>
          </w:p>
        </w:tc>
        <w:tc>
          <w:tcPr>
            <w:tcW w:w="829" w:type="dxa"/>
            <w:noWrap w:val="0"/>
            <w:vAlign w:val="center"/>
          </w:tcPr>
          <w:p w14:paraId="1E07968B">
            <w:pPr>
              <w:ind w:left="223" w:hanging="222"/>
              <w:jc w:val="center"/>
              <w:rPr>
                <w:color w:val="000000" w:themeColor="text1"/>
                <w:szCs w:val="21"/>
                <w:highlight w:val="none"/>
                <w14:textFill>
                  <w14:solidFill>
                    <w14:schemeClr w14:val="tx1"/>
                  </w14:solidFill>
                </w14:textFill>
              </w:rPr>
            </w:pPr>
          </w:p>
        </w:tc>
        <w:tc>
          <w:tcPr>
            <w:tcW w:w="816" w:type="dxa"/>
            <w:noWrap w:val="0"/>
            <w:vAlign w:val="center"/>
          </w:tcPr>
          <w:p w14:paraId="3761D1B1">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3A2A5FD8">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4B42B362">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318FFC28">
            <w:pPr>
              <w:ind w:left="223" w:hanging="222"/>
              <w:jc w:val="center"/>
              <w:rPr>
                <w:color w:val="000000" w:themeColor="text1"/>
                <w:szCs w:val="21"/>
                <w:highlight w:val="none"/>
                <w14:textFill>
                  <w14:solidFill>
                    <w14:schemeClr w14:val="tx1"/>
                  </w14:solidFill>
                </w14:textFill>
              </w:rPr>
            </w:pPr>
          </w:p>
        </w:tc>
        <w:tc>
          <w:tcPr>
            <w:tcW w:w="744" w:type="dxa"/>
            <w:noWrap w:val="0"/>
            <w:vAlign w:val="center"/>
          </w:tcPr>
          <w:p w14:paraId="49D9DA12">
            <w:pPr>
              <w:ind w:left="223" w:hanging="222"/>
              <w:jc w:val="center"/>
              <w:rPr>
                <w:color w:val="000000" w:themeColor="text1"/>
                <w:szCs w:val="21"/>
                <w:highlight w:val="none"/>
                <w14:textFill>
                  <w14:solidFill>
                    <w14:schemeClr w14:val="tx1"/>
                  </w14:solidFill>
                </w14:textFill>
              </w:rPr>
            </w:pPr>
          </w:p>
        </w:tc>
        <w:tc>
          <w:tcPr>
            <w:tcW w:w="1167" w:type="dxa"/>
            <w:noWrap w:val="0"/>
            <w:vAlign w:val="center"/>
          </w:tcPr>
          <w:p w14:paraId="6AD46E60">
            <w:pPr>
              <w:ind w:left="223" w:hanging="222"/>
              <w:jc w:val="center"/>
              <w:rPr>
                <w:color w:val="000000" w:themeColor="text1"/>
                <w:szCs w:val="21"/>
                <w:highlight w:val="none"/>
                <w14:textFill>
                  <w14:solidFill>
                    <w14:schemeClr w14:val="tx1"/>
                  </w14:solidFill>
                </w14:textFill>
              </w:rPr>
            </w:pPr>
          </w:p>
        </w:tc>
        <w:tc>
          <w:tcPr>
            <w:tcW w:w="1276" w:type="dxa"/>
            <w:noWrap w:val="0"/>
            <w:vAlign w:val="center"/>
          </w:tcPr>
          <w:p w14:paraId="4EB98D25">
            <w:pPr>
              <w:ind w:left="223" w:hanging="222"/>
              <w:jc w:val="center"/>
              <w:rPr>
                <w:color w:val="000000" w:themeColor="text1"/>
                <w:szCs w:val="21"/>
                <w:highlight w:val="none"/>
                <w14:textFill>
                  <w14:solidFill>
                    <w14:schemeClr w14:val="tx1"/>
                  </w14:solidFill>
                </w14:textFill>
              </w:rPr>
            </w:pPr>
          </w:p>
        </w:tc>
      </w:tr>
      <w:tr w14:paraId="7F15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3423CBCF">
            <w:pPr>
              <w:ind w:left="223" w:hanging="222"/>
              <w:jc w:val="center"/>
              <w:rPr>
                <w:color w:val="000000" w:themeColor="text1"/>
                <w:szCs w:val="21"/>
                <w:highlight w:val="none"/>
                <w14:textFill>
                  <w14:solidFill>
                    <w14:schemeClr w14:val="tx1"/>
                  </w14:solidFill>
                </w14:textFill>
              </w:rPr>
            </w:pPr>
          </w:p>
        </w:tc>
        <w:tc>
          <w:tcPr>
            <w:tcW w:w="670" w:type="dxa"/>
            <w:noWrap w:val="0"/>
            <w:vAlign w:val="center"/>
          </w:tcPr>
          <w:p w14:paraId="55D8DD0B">
            <w:pPr>
              <w:ind w:left="223" w:hanging="222"/>
              <w:jc w:val="center"/>
              <w:rPr>
                <w:color w:val="000000" w:themeColor="text1"/>
                <w:szCs w:val="21"/>
                <w:highlight w:val="none"/>
                <w14:textFill>
                  <w14:solidFill>
                    <w14:schemeClr w14:val="tx1"/>
                  </w14:solidFill>
                </w14:textFill>
              </w:rPr>
            </w:pPr>
          </w:p>
        </w:tc>
        <w:tc>
          <w:tcPr>
            <w:tcW w:w="829" w:type="dxa"/>
            <w:noWrap w:val="0"/>
            <w:vAlign w:val="center"/>
          </w:tcPr>
          <w:p w14:paraId="15295B96">
            <w:pPr>
              <w:ind w:left="223" w:hanging="222"/>
              <w:jc w:val="center"/>
              <w:rPr>
                <w:color w:val="000000" w:themeColor="text1"/>
                <w:szCs w:val="21"/>
                <w:highlight w:val="none"/>
                <w14:textFill>
                  <w14:solidFill>
                    <w14:schemeClr w14:val="tx1"/>
                  </w14:solidFill>
                </w14:textFill>
              </w:rPr>
            </w:pPr>
          </w:p>
        </w:tc>
        <w:tc>
          <w:tcPr>
            <w:tcW w:w="816" w:type="dxa"/>
            <w:noWrap w:val="0"/>
            <w:vAlign w:val="center"/>
          </w:tcPr>
          <w:p w14:paraId="4D51398D">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003CC043">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755C11EC">
            <w:pPr>
              <w:ind w:left="223" w:hanging="222"/>
              <w:jc w:val="center"/>
              <w:rPr>
                <w:color w:val="000000" w:themeColor="text1"/>
                <w:szCs w:val="21"/>
                <w:highlight w:val="none"/>
                <w14:textFill>
                  <w14:solidFill>
                    <w14:schemeClr w14:val="tx1"/>
                  </w14:solidFill>
                </w14:textFill>
              </w:rPr>
            </w:pPr>
          </w:p>
        </w:tc>
        <w:tc>
          <w:tcPr>
            <w:tcW w:w="1148" w:type="dxa"/>
            <w:noWrap w:val="0"/>
            <w:vAlign w:val="center"/>
          </w:tcPr>
          <w:p w14:paraId="77465D3E">
            <w:pPr>
              <w:ind w:left="223" w:hanging="222"/>
              <w:jc w:val="center"/>
              <w:rPr>
                <w:color w:val="000000" w:themeColor="text1"/>
                <w:szCs w:val="21"/>
                <w:highlight w:val="none"/>
                <w14:textFill>
                  <w14:solidFill>
                    <w14:schemeClr w14:val="tx1"/>
                  </w14:solidFill>
                </w14:textFill>
              </w:rPr>
            </w:pPr>
          </w:p>
        </w:tc>
        <w:tc>
          <w:tcPr>
            <w:tcW w:w="744" w:type="dxa"/>
            <w:noWrap w:val="0"/>
            <w:vAlign w:val="center"/>
          </w:tcPr>
          <w:p w14:paraId="3225A510">
            <w:pPr>
              <w:ind w:left="223" w:hanging="222"/>
              <w:jc w:val="center"/>
              <w:rPr>
                <w:color w:val="000000" w:themeColor="text1"/>
                <w:szCs w:val="21"/>
                <w:highlight w:val="none"/>
                <w14:textFill>
                  <w14:solidFill>
                    <w14:schemeClr w14:val="tx1"/>
                  </w14:solidFill>
                </w14:textFill>
              </w:rPr>
            </w:pPr>
          </w:p>
        </w:tc>
        <w:tc>
          <w:tcPr>
            <w:tcW w:w="1167" w:type="dxa"/>
            <w:noWrap w:val="0"/>
            <w:vAlign w:val="center"/>
          </w:tcPr>
          <w:p w14:paraId="1EE8EFBB">
            <w:pPr>
              <w:ind w:left="223" w:hanging="222"/>
              <w:jc w:val="center"/>
              <w:rPr>
                <w:color w:val="000000" w:themeColor="text1"/>
                <w:szCs w:val="21"/>
                <w:highlight w:val="none"/>
                <w14:textFill>
                  <w14:solidFill>
                    <w14:schemeClr w14:val="tx1"/>
                  </w14:solidFill>
                </w14:textFill>
              </w:rPr>
            </w:pPr>
          </w:p>
        </w:tc>
        <w:tc>
          <w:tcPr>
            <w:tcW w:w="1276" w:type="dxa"/>
            <w:noWrap w:val="0"/>
            <w:vAlign w:val="center"/>
          </w:tcPr>
          <w:p w14:paraId="7B126F8C">
            <w:pPr>
              <w:ind w:left="223" w:hanging="222"/>
              <w:jc w:val="center"/>
              <w:rPr>
                <w:color w:val="000000" w:themeColor="text1"/>
                <w:szCs w:val="21"/>
                <w:highlight w:val="none"/>
                <w14:textFill>
                  <w14:solidFill>
                    <w14:schemeClr w14:val="tx1"/>
                  </w14:solidFill>
                </w14:textFill>
              </w:rPr>
            </w:pPr>
          </w:p>
        </w:tc>
      </w:tr>
      <w:tr w14:paraId="3340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noWrap w:val="0"/>
            <w:vAlign w:val="center"/>
          </w:tcPr>
          <w:p w14:paraId="214969B8">
            <w:pPr>
              <w:spacing w:line="360" w:lineRule="auto"/>
              <w:ind w:left="223" w:hanging="222"/>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7C2A91D7">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备注：</w:t>
      </w:r>
    </w:p>
    <w:p w14:paraId="7A259B1F">
      <w:pPr>
        <w:spacing w:line="360" w:lineRule="auto"/>
        <w:ind w:firstLine="48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本表所列岗位的所有管理人员的情况均应如实填写。可按以上格式扩展为多页填写。</w:t>
      </w:r>
    </w:p>
    <w:p w14:paraId="4BB0AB9D">
      <w:pPr>
        <w:spacing w:line="360" w:lineRule="auto"/>
        <w:ind w:firstLine="48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2</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供应商应当在本表后附所有管理人员的身份证、职称证、执业或职业资格证书的复印件并加盖供应商电子签章。</w:t>
      </w:r>
    </w:p>
    <w:p w14:paraId="1D4B8147">
      <w:pPr>
        <w:spacing w:line="360" w:lineRule="auto"/>
        <w:ind w:firstLine="480"/>
        <w:contextualSpacing/>
        <w:rPr>
          <w:rFonts w:hint="eastAsia"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w:t>
      </w:r>
      <w:r>
        <w:rPr>
          <w:rFonts w:hint="eastAsia" w:ascii="宋体" w:hAnsi="宋体"/>
          <w:color w:val="000000" w:themeColor="text1"/>
          <w:spacing w:val="20"/>
          <w:sz w:val="24"/>
          <w:highlight w:val="none"/>
          <w:u w:val="single"/>
          <w14:textFill>
            <w14:solidFill>
              <w14:schemeClr w14:val="tx1"/>
            </w14:solidFill>
          </w14:textFill>
        </w:rPr>
        <w:t xml:space="preserve">        </w:t>
      </w:r>
    </w:p>
    <w:p w14:paraId="24A7BF47">
      <w:pPr>
        <w:spacing w:line="360" w:lineRule="auto"/>
        <w:ind w:firstLine="560"/>
        <w:contextualSpacing/>
        <w:jc w:val="left"/>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供应商（电子签章）：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55F25F5B">
      <w:pPr>
        <w:spacing w:line="360" w:lineRule="auto"/>
        <w:ind w:firstLine="56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7B1DAF16">
      <w:pPr>
        <w:spacing w:line="360" w:lineRule="auto"/>
        <w:jc w:val="center"/>
        <w:rPr>
          <w:rFonts w:hint="eastAsia"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28"/>
          <w:szCs w:val="28"/>
          <w:highlight w:val="none"/>
          <w14:textFill>
            <w14:solidFill>
              <w14:schemeClr w14:val="tx1"/>
            </w14:solidFill>
          </w14:textFill>
        </w:rPr>
        <w:t>（二）拟投入的主要人员简历表</w:t>
      </w:r>
    </w:p>
    <w:p w14:paraId="605F3A81">
      <w:pPr>
        <w:spacing w:line="360" w:lineRule="auto"/>
        <w:ind w:firstLine="562"/>
        <w:jc w:val="center"/>
        <w:rPr>
          <w:color w:val="000000" w:themeColor="text1"/>
          <w:sz w:val="28"/>
          <w:szCs w:val="28"/>
          <w:highlight w:val="none"/>
          <w:u w:val="single"/>
          <w14:textFill>
            <w14:solidFill>
              <w14:schemeClr w14:val="tx1"/>
            </w14:solidFill>
          </w14:textFill>
        </w:rPr>
      </w:pPr>
      <w:r>
        <w:rPr>
          <w:rFonts w:hint="eastAsia" w:cs="宋体"/>
          <w:b/>
          <w:color w:val="000000" w:themeColor="text1"/>
          <w:sz w:val="28"/>
          <w:szCs w:val="28"/>
          <w:highlight w:val="none"/>
          <w14:textFill>
            <w14:solidFill>
              <w14:schemeClr w14:val="tx1"/>
            </w14:solidFill>
          </w14:textFill>
        </w:rPr>
        <w:t>项目经理简历表</w:t>
      </w:r>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1417"/>
        <w:gridCol w:w="242"/>
        <w:gridCol w:w="1088"/>
        <w:gridCol w:w="88"/>
        <w:gridCol w:w="409"/>
        <w:gridCol w:w="1108"/>
        <w:gridCol w:w="36"/>
        <w:gridCol w:w="79"/>
        <w:gridCol w:w="1405"/>
        <w:gridCol w:w="11"/>
      </w:tblGrid>
      <w:tr w14:paraId="056B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noWrap w:val="0"/>
            <w:vAlign w:val="center"/>
          </w:tcPr>
          <w:p w14:paraId="2755B97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318" w:type="dxa"/>
            <w:gridSpan w:val="5"/>
            <w:noWrap w:val="0"/>
            <w:vAlign w:val="center"/>
          </w:tcPr>
          <w:p w14:paraId="218C7254">
            <w:pPr>
              <w:jc w:val="center"/>
              <w:rPr>
                <w:color w:val="000000" w:themeColor="text1"/>
                <w:highlight w:val="none"/>
                <w14:textFill>
                  <w14:solidFill>
                    <w14:schemeClr w14:val="tx1"/>
                  </w14:solidFill>
                </w14:textFill>
              </w:rPr>
            </w:pPr>
          </w:p>
        </w:tc>
        <w:tc>
          <w:tcPr>
            <w:tcW w:w="1893" w:type="dxa"/>
            <w:gridSpan w:val="3"/>
            <w:noWrap w:val="0"/>
            <w:vAlign w:val="center"/>
          </w:tcPr>
          <w:p w14:paraId="387ED4F1">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noWrap w:val="0"/>
            <w:vAlign w:val="center"/>
          </w:tcPr>
          <w:p w14:paraId="496F4179">
            <w:pPr>
              <w:jc w:val="center"/>
              <w:rPr>
                <w:color w:val="000000" w:themeColor="text1"/>
                <w:highlight w:val="none"/>
                <w14:textFill>
                  <w14:solidFill>
                    <w14:schemeClr w14:val="tx1"/>
                  </w14:solidFill>
                </w14:textFill>
              </w:rPr>
            </w:pPr>
          </w:p>
        </w:tc>
        <w:tc>
          <w:tcPr>
            <w:tcW w:w="1108" w:type="dxa"/>
            <w:noWrap w:val="0"/>
            <w:vAlign w:val="center"/>
          </w:tcPr>
          <w:p w14:paraId="5305837E">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noWrap w:val="0"/>
            <w:vAlign w:val="center"/>
          </w:tcPr>
          <w:p w14:paraId="026F01EB">
            <w:pPr>
              <w:jc w:val="center"/>
              <w:rPr>
                <w:color w:val="000000" w:themeColor="text1"/>
                <w:highlight w:val="none"/>
                <w14:textFill>
                  <w14:solidFill>
                    <w14:schemeClr w14:val="tx1"/>
                  </w14:solidFill>
                </w14:textFill>
              </w:rPr>
            </w:pPr>
          </w:p>
        </w:tc>
      </w:tr>
      <w:tr w14:paraId="3125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noWrap w:val="0"/>
            <w:vAlign w:val="center"/>
          </w:tcPr>
          <w:p w14:paraId="57E0FE71">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318" w:type="dxa"/>
            <w:gridSpan w:val="5"/>
            <w:noWrap w:val="0"/>
            <w:vAlign w:val="center"/>
          </w:tcPr>
          <w:p w14:paraId="1CA816C0">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项目经理</w:t>
            </w:r>
          </w:p>
        </w:tc>
        <w:tc>
          <w:tcPr>
            <w:tcW w:w="1893" w:type="dxa"/>
            <w:gridSpan w:val="3"/>
            <w:noWrap w:val="0"/>
            <w:vAlign w:val="center"/>
          </w:tcPr>
          <w:p w14:paraId="0A0DE0FD">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noWrap w:val="0"/>
            <w:vAlign w:val="center"/>
          </w:tcPr>
          <w:p w14:paraId="0AFBE482">
            <w:pPr>
              <w:jc w:val="center"/>
              <w:rPr>
                <w:color w:val="000000" w:themeColor="text1"/>
                <w:highlight w:val="none"/>
                <w14:textFill>
                  <w14:solidFill>
                    <w14:schemeClr w14:val="tx1"/>
                  </w14:solidFill>
                </w14:textFill>
              </w:rPr>
            </w:pPr>
          </w:p>
        </w:tc>
        <w:tc>
          <w:tcPr>
            <w:tcW w:w="1108" w:type="dxa"/>
            <w:noWrap w:val="0"/>
            <w:vAlign w:val="center"/>
          </w:tcPr>
          <w:p w14:paraId="5C36817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noWrap w:val="0"/>
            <w:vAlign w:val="center"/>
          </w:tcPr>
          <w:p w14:paraId="1294308C">
            <w:pPr>
              <w:jc w:val="center"/>
              <w:rPr>
                <w:color w:val="000000" w:themeColor="text1"/>
                <w:highlight w:val="none"/>
                <w14:textFill>
                  <w14:solidFill>
                    <w14:schemeClr w14:val="tx1"/>
                  </w14:solidFill>
                </w14:textFill>
              </w:rPr>
            </w:pPr>
          </w:p>
        </w:tc>
      </w:tr>
      <w:tr w14:paraId="2928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noWrap w:val="0"/>
            <w:vAlign w:val="center"/>
          </w:tcPr>
          <w:p w14:paraId="37E222EC">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318" w:type="dxa"/>
            <w:gridSpan w:val="5"/>
            <w:noWrap w:val="0"/>
            <w:vAlign w:val="center"/>
          </w:tcPr>
          <w:p w14:paraId="0594C8BF">
            <w:pPr>
              <w:jc w:val="center"/>
              <w:rPr>
                <w:color w:val="000000" w:themeColor="text1"/>
                <w:highlight w:val="none"/>
                <w14:textFill>
                  <w14:solidFill>
                    <w14:schemeClr w14:val="tx1"/>
                  </w14:solidFill>
                </w14:textFill>
              </w:rPr>
            </w:pPr>
          </w:p>
        </w:tc>
        <w:tc>
          <w:tcPr>
            <w:tcW w:w="1893" w:type="dxa"/>
            <w:gridSpan w:val="3"/>
            <w:noWrap w:val="0"/>
            <w:vAlign w:val="center"/>
          </w:tcPr>
          <w:p w14:paraId="1C795A2E">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noWrap w:val="0"/>
            <w:vAlign w:val="center"/>
          </w:tcPr>
          <w:p w14:paraId="6174F857">
            <w:pPr>
              <w:jc w:val="center"/>
              <w:rPr>
                <w:color w:val="000000" w:themeColor="text1"/>
                <w:highlight w:val="none"/>
                <w14:textFill>
                  <w14:solidFill>
                    <w14:schemeClr w14:val="tx1"/>
                  </w14:solidFill>
                </w14:textFill>
              </w:rPr>
            </w:pPr>
          </w:p>
        </w:tc>
        <w:tc>
          <w:tcPr>
            <w:tcW w:w="1108" w:type="dxa"/>
            <w:noWrap w:val="0"/>
            <w:vAlign w:val="center"/>
          </w:tcPr>
          <w:p w14:paraId="13ED090B">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noWrap w:val="0"/>
            <w:vAlign w:val="center"/>
          </w:tcPr>
          <w:p w14:paraId="70FFB961">
            <w:pPr>
              <w:jc w:val="center"/>
              <w:rPr>
                <w:color w:val="000000" w:themeColor="text1"/>
                <w:highlight w:val="none"/>
                <w14:textFill>
                  <w14:solidFill>
                    <w14:schemeClr w14:val="tx1"/>
                  </w14:solidFill>
                </w14:textFill>
              </w:rPr>
            </w:pPr>
          </w:p>
        </w:tc>
      </w:tr>
      <w:tr w14:paraId="1548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43DF7E1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担任项目经理年限</w:t>
            </w:r>
          </w:p>
        </w:tc>
        <w:tc>
          <w:tcPr>
            <w:tcW w:w="2497" w:type="dxa"/>
            <w:gridSpan w:val="5"/>
            <w:noWrap w:val="0"/>
            <w:vAlign w:val="center"/>
          </w:tcPr>
          <w:p w14:paraId="23AEECA2">
            <w:pPr>
              <w:jc w:val="center"/>
              <w:rPr>
                <w:color w:val="000000" w:themeColor="text1"/>
                <w:highlight w:val="none"/>
                <w14:textFill>
                  <w14:solidFill>
                    <w14:schemeClr w14:val="tx1"/>
                  </w14:solidFill>
                </w14:textFill>
              </w:rPr>
            </w:pPr>
          </w:p>
        </w:tc>
        <w:tc>
          <w:tcPr>
            <w:tcW w:w="1417" w:type="dxa"/>
            <w:noWrap w:val="0"/>
            <w:vAlign w:val="center"/>
          </w:tcPr>
          <w:p w14:paraId="00BB8840">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466" w:type="dxa"/>
            <w:gridSpan w:val="9"/>
            <w:noWrap w:val="0"/>
            <w:vAlign w:val="center"/>
          </w:tcPr>
          <w:p w14:paraId="5C04166A">
            <w:pPr>
              <w:jc w:val="center"/>
              <w:rPr>
                <w:color w:val="000000" w:themeColor="text1"/>
                <w:highlight w:val="none"/>
                <w14:textFill>
                  <w14:solidFill>
                    <w14:schemeClr w14:val="tx1"/>
                  </w14:solidFill>
                </w14:textFill>
              </w:rPr>
            </w:pPr>
          </w:p>
        </w:tc>
      </w:tr>
      <w:tr w14:paraId="1DC0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2CD4C75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275" w:type="dxa"/>
            <w:gridSpan w:val="2"/>
            <w:noWrap w:val="0"/>
            <w:vAlign w:val="center"/>
          </w:tcPr>
          <w:p w14:paraId="26D8026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noWrap w:val="0"/>
            <w:vAlign w:val="center"/>
          </w:tcPr>
          <w:p w14:paraId="6447E13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noWrap w:val="0"/>
            <w:vAlign w:val="center"/>
          </w:tcPr>
          <w:p w14:paraId="61CACA6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noWrap w:val="0"/>
            <w:vAlign w:val="center"/>
          </w:tcPr>
          <w:p w14:paraId="40DB18F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noWrap w:val="0"/>
            <w:vAlign w:val="center"/>
          </w:tcPr>
          <w:p w14:paraId="2EDAA08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noWrap w:val="0"/>
            <w:vAlign w:val="center"/>
          </w:tcPr>
          <w:p w14:paraId="0FEB75B4">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2244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2661917F">
            <w:pPr>
              <w:jc w:val="center"/>
              <w:rPr>
                <w:rFonts w:hint="eastAsia"/>
                <w:color w:val="000000" w:themeColor="text1"/>
                <w:highlight w:val="none"/>
                <w14:textFill>
                  <w14:solidFill>
                    <w14:schemeClr w14:val="tx1"/>
                  </w14:solidFill>
                </w14:textFill>
              </w:rPr>
            </w:pPr>
          </w:p>
        </w:tc>
        <w:tc>
          <w:tcPr>
            <w:tcW w:w="1275" w:type="dxa"/>
            <w:gridSpan w:val="2"/>
            <w:noWrap w:val="0"/>
            <w:vAlign w:val="center"/>
          </w:tcPr>
          <w:p w14:paraId="26284DC2">
            <w:pPr>
              <w:jc w:val="center"/>
              <w:rPr>
                <w:rFonts w:hint="eastAsia"/>
                <w:color w:val="000000" w:themeColor="text1"/>
                <w:highlight w:val="none"/>
                <w14:textFill>
                  <w14:solidFill>
                    <w14:schemeClr w14:val="tx1"/>
                  </w14:solidFill>
                </w14:textFill>
              </w:rPr>
            </w:pPr>
          </w:p>
        </w:tc>
        <w:tc>
          <w:tcPr>
            <w:tcW w:w="1222" w:type="dxa"/>
            <w:gridSpan w:val="3"/>
            <w:noWrap w:val="0"/>
            <w:vAlign w:val="center"/>
          </w:tcPr>
          <w:p w14:paraId="33BAC65A">
            <w:pPr>
              <w:jc w:val="center"/>
              <w:rPr>
                <w:rFonts w:hint="eastAsia" w:cs="宋体"/>
                <w:color w:val="000000" w:themeColor="text1"/>
                <w:highlight w:val="none"/>
                <w14:textFill>
                  <w14:solidFill>
                    <w14:schemeClr w14:val="tx1"/>
                  </w14:solidFill>
                </w14:textFill>
              </w:rPr>
            </w:pPr>
          </w:p>
        </w:tc>
        <w:tc>
          <w:tcPr>
            <w:tcW w:w="1417" w:type="dxa"/>
            <w:noWrap w:val="0"/>
            <w:vAlign w:val="center"/>
          </w:tcPr>
          <w:p w14:paraId="10500CB6">
            <w:pPr>
              <w:jc w:val="center"/>
              <w:rPr>
                <w:rFonts w:hint="eastAsia"/>
                <w:color w:val="000000" w:themeColor="text1"/>
                <w:highlight w:val="none"/>
                <w14:textFill>
                  <w14:solidFill>
                    <w14:schemeClr w14:val="tx1"/>
                  </w14:solidFill>
                </w14:textFill>
              </w:rPr>
            </w:pPr>
          </w:p>
        </w:tc>
        <w:tc>
          <w:tcPr>
            <w:tcW w:w="1418" w:type="dxa"/>
            <w:gridSpan w:val="3"/>
            <w:noWrap w:val="0"/>
            <w:vAlign w:val="center"/>
          </w:tcPr>
          <w:p w14:paraId="0F259EA0">
            <w:pPr>
              <w:jc w:val="center"/>
              <w:rPr>
                <w:rFonts w:hint="eastAsia"/>
                <w:color w:val="000000" w:themeColor="text1"/>
                <w:highlight w:val="none"/>
                <w14:textFill>
                  <w14:solidFill>
                    <w14:schemeClr w14:val="tx1"/>
                  </w14:solidFill>
                </w14:textFill>
              </w:rPr>
            </w:pPr>
          </w:p>
        </w:tc>
        <w:tc>
          <w:tcPr>
            <w:tcW w:w="1632" w:type="dxa"/>
            <w:gridSpan w:val="4"/>
            <w:noWrap w:val="0"/>
            <w:vAlign w:val="center"/>
          </w:tcPr>
          <w:p w14:paraId="237178DC">
            <w:pPr>
              <w:jc w:val="center"/>
              <w:rPr>
                <w:rFonts w:hint="eastAsia"/>
                <w:color w:val="000000" w:themeColor="text1"/>
                <w:highlight w:val="none"/>
                <w14:textFill>
                  <w14:solidFill>
                    <w14:schemeClr w14:val="tx1"/>
                  </w14:solidFill>
                </w14:textFill>
              </w:rPr>
            </w:pPr>
          </w:p>
        </w:tc>
        <w:tc>
          <w:tcPr>
            <w:tcW w:w="1416" w:type="dxa"/>
            <w:gridSpan w:val="2"/>
            <w:noWrap w:val="0"/>
            <w:vAlign w:val="center"/>
          </w:tcPr>
          <w:p w14:paraId="505E872A">
            <w:pPr>
              <w:jc w:val="center"/>
              <w:rPr>
                <w:rFonts w:hint="eastAsia"/>
                <w:color w:val="000000" w:themeColor="text1"/>
                <w:highlight w:val="none"/>
                <w14:textFill>
                  <w14:solidFill>
                    <w14:schemeClr w14:val="tx1"/>
                  </w14:solidFill>
                </w14:textFill>
              </w:rPr>
            </w:pPr>
          </w:p>
        </w:tc>
      </w:tr>
      <w:tr w14:paraId="4306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39EABD08">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安全生产考核合格证书</w:t>
            </w:r>
          </w:p>
        </w:tc>
        <w:tc>
          <w:tcPr>
            <w:tcW w:w="1275" w:type="dxa"/>
            <w:gridSpan w:val="2"/>
            <w:noWrap w:val="0"/>
            <w:vAlign w:val="center"/>
          </w:tcPr>
          <w:p w14:paraId="438799FF">
            <w:pPr>
              <w:jc w:val="center"/>
              <w:rPr>
                <w:rFonts w:hint="eastAsia"/>
                <w:color w:val="000000" w:themeColor="text1"/>
                <w:highlight w:val="none"/>
                <w14:textFill>
                  <w14:solidFill>
                    <w14:schemeClr w14:val="tx1"/>
                  </w14:solidFill>
                </w14:textFill>
              </w:rPr>
            </w:pPr>
          </w:p>
        </w:tc>
        <w:tc>
          <w:tcPr>
            <w:tcW w:w="1222" w:type="dxa"/>
            <w:gridSpan w:val="3"/>
            <w:noWrap w:val="0"/>
            <w:vAlign w:val="center"/>
          </w:tcPr>
          <w:p w14:paraId="22FA3DC0">
            <w:pPr>
              <w:jc w:val="center"/>
              <w:rPr>
                <w:rFonts w:hint="eastAsia"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B类</w:t>
            </w:r>
          </w:p>
        </w:tc>
        <w:tc>
          <w:tcPr>
            <w:tcW w:w="1417" w:type="dxa"/>
            <w:noWrap w:val="0"/>
            <w:vAlign w:val="center"/>
          </w:tcPr>
          <w:p w14:paraId="1E9E408C">
            <w:pPr>
              <w:jc w:val="center"/>
              <w:rPr>
                <w:rFonts w:hint="eastAsia"/>
                <w:color w:val="000000" w:themeColor="text1"/>
                <w:highlight w:val="none"/>
                <w14:textFill>
                  <w14:solidFill>
                    <w14:schemeClr w14:val="tx1"/>
                  </w14:solidFill>
                </w14:textFill>
              </w:rPr>
            </w:pPr>
          </w:p>
        </w:tc>
        <w:tc>
          <w:tcPr>
            <w:tcW w:w="1418" w:type="dxa"/>
            <w:gridSpan w:val="3"/>
            <w:noWrap w:val="0"/>
            <w:vAlign w:val="center"/>
          </w:tcPr>
          <w:p w14:paraId="04C9ECA1">
            <w:pPr>
              <w:jc w:val="center"/>
              <w:rPr>
                <w:rFonts w:hint="eastAsia"/>
                <w:color w:val="000000" w:themeColor="text1"/>
                <w:highlight w:val="none"/>
                <w14:textFill>
                  <w14:solidFill>
                    <w14:schemeClr w14:val="tx1"/>
                  </w14:solidFill>
                </w14:textFill>
              </w:rPr>
            </w:pPr>
          </w:p>
        </w:tc>
        <w:tc>
          <w:tcPr>
            <w:tcW w:w="1632" w:type="dxa"/>
            <w:gridSpan w:val="4"/>
            <w:noWrap w:val="0"/>
            <w:vAlign w:val="center"/>
          </w:tcPr>
          <w:p w14:paraId="6AFB5F86">
            <w:pPr>
              <w:jc w:val="center"/>
              <w:rPr>
                <w:rFonts w:hint="eastAsia"/>
                <w:color w:val="000000" w:themeColor="text1"/>
                <w:highlight w:val="none"/>
                <w14:textFill>
                  <w14:solidFill>
                    <w14:schemeClr w14:val="tx1"/>
                  </w14:solidFill>
                </w14:textFill>
              </w:rPr>
            </w:pPr>
          </w:p>
        </w:tc>
        <w:tc>
          <w:tcPr>
            <w:tcW w:w="1416" w:type="dxa"/>
            <w:gridSpan w:val="2"/>
            <w:noWrap w:val="0"/>
            <w:vAlign w:val="center"/>
          </w:tcPr>
          <w:p w14:paraId="6C952519">
            <w:pPr>
              <w:jc w:val="center"/>
              <w:rPr>
                <w:rFonts w:hint="eastAsia"/>
                <w:color w:val="000000" w:themeColor="text1"/>
                <w:highlight w:val="none"/>
                <w14:textFill>
                  <w14:solidFill>
                    <w14:schemeClr w14:val="tx1"/>
                  </w14:solidFill>
                </w14:textFill>
              </w:rPr>
            </w:pPr>
          </w:p>
        </w:tc>
      </w:tr>
      <w:tr w14:paraId="3D1B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7"/>
            <w:noWrap w:val="0"/>
            <w:vAlign w:val="center"/>
          </w:tcPr>
          <w:p w14:paraId="10CA99FD">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14B0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5758CE1C">
            <w:pPr>
              <w:jc w:val="center"/>
              <w:rPr>
                <w:color w:val="000000" w:themeColor="text1"/>
                <w:highlight w:val="none"/>
                <w14:textFill>
                  <w14:solidFill>
                    <w14:schemeClr w14:val="tx1"/>
                  </w14:solidFill>
                </w14:textFill>
              </w:rPr>
            </w:pPr>
          </w:p>
        </w:tc>
        <w:tc>
          <w:tcPr>
            <w:tcW w:w="1548" w:type="dxa"/>
            <w:gridSpan w:val="2"/>
            <w:noWrap w:val="0"/>
            <w:vAlign w:val="center"/>
          </w:tcPr>
          <w:p w14:paraId="079F8C4C">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1979" w:type="dxa"/>
            <w:gridSpan w:val="3"/>
            <w:noWrap w:val="0"/>
            <w:vAlign w:val="center"/>
          </w:tcPr>
          <w:p w14:paraId="62AD11C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330" w:type="dxa"/>
            <w:gridSpan w:val="2"/>
            <w:noWrap w:val="0"/>
            <w:vAlign w:val="center"/>
          </w:tcPr>
          <w:p w14:paraId="75CAE72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noWrap w:val="0"/>
            <w:vAlign w:val="center"/>
          </w:tcPr>
          <w:p w14:paraId="39A9B352">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noWrap w:val="0"/>
            <w:vAlign w:val="center"/>
          </w:tcPr>
          <w:p w14:paraId="30CAB9D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71F9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181FA5A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noWrap w:val="0"/>
            <w:vAlign w:val="center"/>
          </w:tcPr>
          <w:p w14:paraId="20FD149C">
            <w:pPr>
              <w:jc w:val="center"/>
              <w:rPr>
                <w:color w:val="000000" w:themeColor="text1"/>
                <w:highlight w:val="none"/>
                <w14:textFill>
                  <w14:solidFill>
                    <w14:schemeClr w14:val="tx1"/>
                  </w14:solidFill>
                </w14:textFill>
              </w:rPr>
            </w:pPr>
          </w:p>
        </w:tc>
        <w:tc>
          <w:tcPr>
            <w:tcW w:w="1979" w:type="dxa"/>
            <w:gridSpan w:val="3"/>
            <w:noWrap w:val="0"/>
            <w:vAlign w:val="center"/>
          </w:tcPr>
          <w:p w14:paraId="3DB13D8E">
            <w:pPr>
              <w:jc w:val="center"/>
              <w:rPr>
                <w:color w:val="000000" w:themeColor="text1"/>
                <w:highlight w:val="none"/>
                <w14:textFill>
                  <w14:solidFill>
                    <w14:schemeClr w14:val="tx1"/>
                  </w14:solidFill>
                </w14:textFill>
              </w:rPr>
            </w:pPr>
          </w:p>
        </w:tc>
        <w:tc>
          <w:tcPr>
            <w:tcW w:w="1330" w:type="dxa"/>
            <w:gridSpan w:val="2"/>
            <w:noWrap w:val="0"/>
            <w:vAlign w:val="center"/>
          </w:tcPr>
          <w:p w14:paraId="709D6D9D">
            <w:pPr>
              <w:jc w:val="center"/>
              <w:rPr>
                <w:color w:val="000000" w:themeColor="text1"/>
                <w:highlight w:val="none"/>
                <w14:textFill>
                  <w14:solidFill>
                    <w14:schemeClr w14:val="tx1"/>
                  </w14:solidFill>
                </w14:textFill>
              </w:rPr>
            </w:pPr>
          </w:p>
        </w:tc>
        <w:tc>
          <w:tcPr>
            <w:tcW w:w="1641" w:type="dxa"/>
            <w:gridSpan w:val="4"/>
            <w:noWrap w:val="0"/>
            <w:vAlign w:val="center"/>
          </w:tcPr>
          <w:p w14:paraId="0B5820FC">
            <w:pPr>
              <w:jc w:val="center"/>
              <w:rPr>
                <w:color w:val="000000" w:themeColor="text1"/>
                <w:highlight w:val="none"/>
                <w14:textFill>
                  <w14:solidFill>
                    <w14:schemeClr w14:val="tx1"/>
                  </w14:solidFill>
                </w14:textFill>
              </w:rPr>
            </w:pPr>
          </w:p>
        </w:tc>
        <w:tc>
          <w:tcPr>
            <w:tcW w:w="1484" w:type="dxa"/>
            <w:gridSpan w:val="2"/>
            <w:noWrap w:val="0"/>
            <w:vAlign w:val="center"/>
          </w:tcPr>
          <w:p w14:paraId="451E5BCB">
            <w:pPr>
              <w:jc w:val="center"/>
              <w:rPr>
                <w:color w:val="000000" w:themeColor="text1"/>
                <w:highlight w:val="none"/>
                <w14:textFill>
                  <w14:solidFill>
                    <w14:schemeClr w14:val="tx1"/>
                  </w14:solidFill>
                </w14:textFill>
              </w:rPr>
            </w:pPr>
          </w:p>
        </w:tc>
      </w:tr>
      <w:tr w14:paraId="0700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1654924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noWrap w:val="0"/>
            <w:vAlign w:val="center"/>
          </w:tcPr>
          <w:p w14:paraId="145E210D">
            <w:pPr>
              <w:jc w:val="center"/>
              <w:rPr>
                <w:color w:val="000000" w:themeColor="text1"/>
                <w:highlight w:val="none"/>
                <w14:textFill>
                  <w14:solidFill>
                    <w14:schemeClr w14:val="tx1"/>
                  </w14:solidFill>
                </w14:textFill>
              </w:rPr>
            </w:pPr>
          </w:p>
        </w:tc>
        <w:tc>
          <w:tcPr>
            <w:tcW w:w="1979" w:type="dxa"/>
            <w:gridSpan w:val="3"/>
            <w:noWrap w:val="0"/>
            <w:vAlign w:val="center"/>
          </w:tcPr>
          <w:p w14:paraId="78343A49">
            <w:pPr>
              <w:jc w:val="center"/>
              <w:rPr>
                <w:color w:val="000000" w:themeColor="text1"/>
                <w:highlight w:val="none"/>
                <w14:textFill>
                  <w14:solidFill>
                    <w14:schemeClr w14:val="tx1"/>
                  </w14:solidFill>
                </w14:textFill>
              </w:rPr>
            </w:pPr>
          </w:p>
        </w:tc>
        <w:tc>
          <w:tcPr>
            <w:tcW w:w="1330" w:type="dxa"/>
            <w:gridSpan w:val="2"/>
            <w:noWrap w:val="0"/>
            <w:vAlign w:val="center"/>
          </w:tcPr>
          <w:p w14:paraId="03B58C8D">
            <w:pPr>
              <w:jc w:val="center"/>
              <w:rPr>
                <w:color w:val="000000" w:themeColor="text1"/>
                <w:highlight w:val="none"/>
                <w14:textFill>
                  <w14:solidFill>
                    <w14:schemeClr w14:val="tx1"/>
                  </w14:solidFill>
                </w14:textFill>
              </w:rPr>
            </w:pPr>
          </w:p>
        </w:tc>
        <w:tc>
          <w:tcPr>
            <w:tcW w:w="1641" w:type="dxa"/>
            <w:gridSpan w:val="4"/>
            <w:noWrap w:val="0"/>
            <w:vAlign w:val="center"/>
          </w:tcPr>
          <w:p w14:paraId="67270A5C">
            <w:pPr>
              <w:jc w:val="center"/>
              <w:rPr>
                <w:color w:val="000000" w:themeColor="text1"/>
                <w:highlight w:val="none"/>
                <w14:textFill>
                  <w14:solidFill>
                    <w14:schemeClr w14:val="tx1"/>
                  </w14:solidFill>
                </w14:textFill>
              </w:rPr>
            </w:pPr>
          </w:p>
        </w:tc>
        <w:tc>
          <w:tcPr>
            <w:tcW w:w="1484" w:type="dxa"/>
            <w:gridSpan w:val="2"/>
            <w:noWrap w:val="0"/>
            <w:vAlign w:val="center"/>
          </w:tcPr>
          <w:p w14:paraId="15387D06">
            <w:pPr>
              <w:jc w:val="center"/>
              <w:rPr>
                <w:color w:val="000000" w:themeColor="text1"/>
                <w:highlight w:val="none"/>
                <w14:textFill>
                  <w14:solidFill>
                    <w14:schemeClr w14:val="tx1"/>
                  </w14:solidFill>
                </w14:textFill>
              </w:rPr>
            </w:pPr>
          </w:p>
        </w:tc>
      </w:tr>
      <w:tr w14:paraId="7DF9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58A0526A">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noWrap w:val="0"/>
            <w:vAlign w:val="center"/>
          </w:tcPr>
          <w:p w14:paraId="522DAA54">
            <w:pPr>
              <w:jc w:val="center"/>
              <w:rPr>
                <w:color w:val="000000" w:themeColor="text1"/>
                <w:highlight w:val="none"/>
                <w14:textFill>
                  <w14:solidFill>
                    <w14:schemeClr w14:val="tx1"/>
                  </w14:solidFill>
                </w14:textFill>
              </w:rPr>
            </w:pPr>
          </w:p>
        </w:tc>
        <w:tc>
          <w:tcPr>
            <w:tcW w:w="1979" w:type="dxa"/>
            <w:gridSpan w:val="3"/>
            <w:noWrap w:val="0"/>
            <w:vAlign w:val="center"/>
          </w:tcPr>
          <w:p w14:paraId="68D54ADC">
            <w:pPr>
              <w:jc w:val="center"/>
              <w:rPr>
                <w:color w:val="000000" w:themeColor="text1"/>
                <w:highlight w:val="none"/>
                <w14:textFill>
                  <w14:solidFill>
                    <w14:schemeClr w14:val="tx1"/>
                  </w14:solidFill>
                </w14:textFill>
              </w:rPr>
            </w:pPr>
          </w:p>
        </w:tc>
        <w:tc>
          <w:tcPr>
            <w:tcW w:w="1330" w:type="dxa"/>
            <w:gridSpan w:val="2"/>
            <w:noWrap w:val="0"/>
            <w:vAlign w:val="center"/>
          </w:tcPr>
          <w:p w14:paraId="35BD79BF">
            <w:pPr>
              <w:jc w:val="center"/>
              <w:rPr>
                <w:color w:val="000000" w:themeColor="text1"/>
                <w:highlight w:val="none"/>
                <w14:textFill>
                  <w14:solidFill>
                    <w14:schemeClr w14:val="tx1"/>
                  </w14:solidFill>
                </w14:textFill>
              </w:rPr>
            </w:pPr>
          </w:p>
        </w:tc>
        <w:tc>
          <w:tcPr>
            <w:tcW w:w="1641" w:type="dxa"/>
            <w:gridSpan w:val="4"/>
            <w:noWrap w:val="0"/>
            <w:vAlign w:val="center"/>
          </w:tcPr>
          <w:p w14:paraId="0EAB0FDE">
            <w:pPr>
              <w:jc w:val="center"/>
              <w:rPr>
                <w:color w:val="000000" w:themeColor="text1"/>
                <w:highlight w:val="none"/>
                <w14:textFill>
                  <w14:solidFill>
                    <w14:schemeClr w14:val="tx1"/>
                  </w14:solidFill>
                </w14:textFill>
              </w:rPr>
            </w:pPr>
          </w:p>
        </w:tc>
        <w:tc>
          <w:tcPr>
            <w:tcW w:w="1484" w:type="dxa"/>
            <w:gridSpan w:val="2"/>
            <w:noWrap w:val="0"/>
            <w:vAlign w:val="center"/>
          </w:tcPr>
          <w:p w14:paraId="5E7D80B7">
            <w:pPr>
              <w:jc w:val="center"/>
              <w:rPr>
                <w:color w:val="000000" w:themeColor="text1"/>
                <w:highlight w:val="none"/>
                <w14:textFill>
                  <w14:solidFill>
                    <w14:schemeClr w14:val="tx1"/>
                  </w14:solidFill>
                </w14:textFill>
              </w:rPr>
            </w:pPr>
          </w:p>
        </w:tc>
      </w:tr>
      <w:tr w14:paraId="05D7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153CC56C">
            <w:pPr>
              <w:jc w:val="center"/>
              <w:rPr>
                <w:rFonts w:hint="eastAsia" w:ascii="宋体" w:hAnsi="宋体" w:cs="宋体"/>
                <w:color w:val="000000" w:themeColor="text1"/>
                <w:sz w:val="27"/>
                <w:szCs w:val="27"/>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noWrap w:val="0"/>
            <w:vAlign w:val="center"/>
          </w:tcPr>
          <w:p w14:paraId="2D33523E">
            <w:pPr>
              <w:jc w:val="center"/>
              <w:rPr>
                <w:color w:val="000000" w:themeColor="text1"/>
                <w:highlight w:val="none"/>
                <w14:textFill>
                  <w14:solidFill>
                    <w14:schemeClr w14:val="tx1"/>
                  </w14:solidFill>
                </w14:textFill>
              </w:rPr>
            </w:pPr>
          </w:p>
        </w:tc>
        <w:tc>
          <w:tcPr>
            <w:tcW w:w="1979" w:type="dxa"/>
            <w:gridSpan w:val="3"/>
            <w:noWrap w:val="0"/>
            <w:vAlign w:val="center"/>
          </w:tcPr>
          <w:p w14:paraId="2088E4A6">
            <w:pPr>
              <w:jc w:val="center"/>
              <w:rPr>
                <w:color w:val="000000" w:themeColor="text1"/>
                <w:highlight w:val="none"/>
                <w14:textFill>
                  <w14:solidFill>
                    <w14:schemeClr w14:val="tx1"/>
                  </w14:solidFill>
                </w14:textFill>
              </w:rPr>
            </w:pPr>
          </w:p>
        </w:tc>
        <w:tc>
          <w:tcPr>
            <w:tcW w:w="1330" w:type="dxa"/>
            <w:gridSpan w:val="2"/>
            <w:noWrap w:val="0"/>
            <w:vAlign w:val="center"/>
          </w:tcPr>
          <w:p w14:paraId="0F068F75">
            <w:pPr>
              <w:jc w:val="center"/>
              <w:rPr>
                <w:color w:val="000000" w:themeColor="text1"/>
                <w:highlight w:val="none"/>
                <w14:textFill>
                  <w14:solidFill>
                    <w14:schemeClr w14:val="tx1"/>
                  </w14:solidFill>
                </w14:textFill>
              </w:rPr>
            </w:pPr>
          </w:p>
        </w:tc>
        <w:tc>
          <w:tcPr>
            <w:tcW w:w="1641" w:type="dxa"/>
            <w:gridSpan w:val="4"/>
            <w:noWrap w:val="0"/>
            <w:vAlign w:val="center"/>
          </w:tcPr>
          <w:p w14:paraId="5D74B904">
            <w:pPr>
              <w:jc w:val="center"/>
              <w:rPr>
                <w:color w:val="000000" w:themeColor="text1"/>
                <w:highlight w:val="none"/>
                <w14:textFill>
                  <w14:solidFill>
                    <w14:schemeClr w14:val="tx1"/>
                  </w14:solidFill>
                </w14:textFill>
              </w:rPr>
            </w:pPr>
          </w:p>
        </w:tc>
        <w:tc>
          <w:tcPr>
            <w:tcW w:w="1484" w:type="dxa"/>
            <w:gridSpan w:val="2"/>
            <w:noWrap w:val="0"/>
            <w:vAlign w:val="center"/>
          </w:tcPr>
          <w:p w14:paraId="63DBF44A">
            <w:pPr>
              <w:jc w:val="center"/>
              <w:rPr>
                <w:color w:val="000000" w:themeColor="text1"/>
                <w:highlight w:val="none"/>
                <w14:textFill>
                  <w14:solidFill>
                    <w14:schemeClr w14:val="tx1"/>
                  </w14:solidFill>
                </w14:textFill>
              </w:rPr>
            </w:pPr>
          </w:p>
        </w:tc>
      </w:tr>
      <w:tr w14:paraId="220A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F4E544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noWrap w:val="0"/>
            <w:vAlign w:val="center"/>
          </w:tcPr>
          <w:p w14:paraId="0B304294">
            <w:pPr>
              <w:jc w:val="center"/>
              <w:rPr>
                <w:color w:val="000000" w:themeColor="text1"/>
                <w:highlight w:val="none"/>
                <w14:textFill>
                  <w14:solidFill>
                    <w14:schemeClr w14:val="tx1"/>
                  </w14:solidFill>
                </w14:textFill>
              </w:rPr>
            </w:pPr>
          </w:p>
        </w:tc>
        <w:tc>
          <w:tcPr>
            <w:tcW w:w="1979" w:type="dxa"/>
            <w:gridSpan w:val="3"/>
            <w:noWrap w:val="0"/>
            <w:vAlign w:val="center"/>
          </w:tcPr>
          <w:p w14:paraId="4FAF9F27">
            <w:pPr>
              <w:jc w:val="center"/>
              <w:rPr>
                <w:color w:val="000000" w:themeColor="text1"/>
                <w:highlight w:val="none"/>
                <w14:textFill>
                  <w14:solidFill>
                    <w14:schemeClr w14:val="tx1"/>
                  </w14:solidFill>
                </w14:textFill>
              </w:rPr>
            </w:pPr>
          </w:p>
        </w:tc>
        <w:tc>
          <w:tcPr>
            <w:tcW w:w="1330" w:type="dxa"/>
            <w:gridSpan w:val="2"/>
            <w:noWrap w:val="0"/>
            <w:vAlign w:val="center"/>
          </w:tcPr>
          <w:p w14:paraId="18D81B31">
            <w:pPr>
              <w:jc w:val="center"/>
              <w:rPr>
                <w:color w:val="000000" w:themeColor="text1"/>
                <w:highlight w:val="none"/>
                <w14:textFill>
                  <w14:solidFill>
                    <w14:schemeClr w14:val="tx1"/>
                  </w14:solidFill>
                </w14:textFill>
              </w:rPr>
            </w:pPr>
          </w:p>
        </w:tc>
        <w:tc>
          <w:tcPr>
            <w:tcW w:w="1641" w:type="dxa"/>
            <w:gridSpan w:val="4"/>
            <w:noWrap w:val="0"/>
            <w:vAlign w:val="center"/>
          </w:tcPr>
          <w:p w14:paraId="7EB1D3D8">
            <w:pPr>
              <w:jc w:val="center"/>
              <w:rPr>
                <w:color w:val="000000" w:themeColor="text1"/>
                <w:highlight w:val="none"/>
                <w14:textFill>
                  <w14:solidFill>
                    <w14:schemeClr w14:val="tx1"/>
                  </w14:solidFill>
                </w14:textFill>
              </w:rPr>
            </w:pPr>
          </w:p>
        </w:tc>
        <w:tc>
          <w:tcPr>
            <w:tcW w:w="1484" w:type="dxa"/>
            <w:gridSpan w:val="2"/>
            <w:noWrap w:val="0"/>
            <w:vAlign w:val="center"/>
          </w:tcPr>
          <w:p w14:paraId="25E83D45">
            <w:pPr>
              <w:jc w:val="center"/>
              <w:rPr>
                <w:color w:val="000000" w:themeColor="text1"/>
                <w:highlight w:val="none"/>
                <w14:textFill>
                  <w14:solidFill>
                    <w14:schemeClr w14:val="tx1"/>
                  </w14:solidFill>
                </w14:textFill>
              </w:rPr>
            </w:pPr>
          </w:p>
        </w:tc>
      </w:tr>
      <w:tr w14:paraId="4D99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402C7BC4">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noWrap w:val="0"/>
            <w:vAlign w:val="center"/>
          </w:tcPr>
          <w:p w14:paraId="4F147B91">
            <w:pPr>
              <w:jc w:val="center"/>
              <w:rPr>
                <w:color w:val="000000" w:themeColor="text1"/>
                <w:highlight w:val="none"/>
                <w14:textFill>
                  <w14:solidFill>
                    <w14:schemeClr w14:val="tx1"/>
                  </w14:solidFill>
                </w14:textFill>
              </w:rPr>
            </w:pPr>
          </w:p>
        </w:tc>
        <w:tc>
          <w:tcPr>
            <w:tcW w:w="1979" w:type="dxa"/>
            <w:gridSpan w:val="3"/>
            <w:noWrap w:val="0"/>
            <w:vAlign w:val="center"/>
          </w:tcPr>
          <w:p w14:paraId="5663FF07">
            <w:pPr>
              <w:jc w:val="center"/>
              <w:rPr>
                <w:color w:val="000000" w:themeColor="text1"/>
                <w:highlight w:val="none"/>
                <w14:textFill>
                  <w14:solidFill>
                    <w14:schemeClr w14:val="tx1"/>
                  </w14:solidFill>
                </w14:textFill>
              </w:rPr>
            </w:pPr>
          </w:p>
        </w:tc>
        <w:tc>
          <w:tcPr>
            <w:tcW w:w="1330" w:type="dxa"/>
            <w:gridSpan w:val="2"/>
            <w:noWrap w:val="0"/>
            <w:vAlign w:val="center"/>
          </w:tcPr>
          <w:p w14:paraId="6BDC9E1E">
            <w:pPr>
              <w:jc w:val="center"/>
              <w:rPr>
                <w:color w:val="000000" w:themeColor="text1"/>
                <w:highlight w:val="none"/>
                <w14:textFill>
                  <w14:solidFill>
                    <w14:schemeClr w14:val="tx1"/>
                  </w14:solidFill>
                </w14:textFill>
              </w:rPr>
            </w:pPr>
          </w:p>
        </w:tc>
        <w:tc>
          <w:tcPr>
            <w:tcW w:w="1641" w:type="dxa"/>
            <w:gridSpan w:val="4"/>
            <w:noWrap w:val="0"/>
            <w:vAlign w:val="center"/>
          </w:tcPr>
          <w:p w14:paraId="4502304F">
            <w:pPr>
              <w:jc w:val="center"/>
              <w:rPr>
                <w:color w:val="000000" w:themeColor="text1"/>
                <w:highlight w:val="none"/>
                <w14:textFill>
                  <w14:solidFill>
                    <w14:schemeClr w14:val="tx1"/>
                  </w14:solidFill>
                </w14:textFill>
              </w:rPr>
            </w:pPr>
          </w:p>
        </w:tc>
        <w:tc>
          <w:tcPr>
            <w:tcW w:w="1484" w:type="dxa"/>
            <w:gridSpan w:val="2"/>
            <w:noWrap w:val="0"/>
            <w:vAlign w:val="center"/>
          </w:tcPr>
          <w:p w14:paraId="42783D84">
            <w:pPr>
              <w:jc w:val="center"/>
              <w:rPr>
                <w:color w:val="000000" w:themeColor="text1"/>
                <w:highlight w:val="none"/>
                <w14:textFill>
                  <w14:solidFill>
                    <w14:schemeClr w14:val="tx1"/>
                  </w14:solidFill>
                </w14:textFill>
              </w:rPr>
            </w:pPr>
          </w:p>
        </w:tc>
      </w:tr>
      <w:tr w14:paraId="674C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52082169">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noWrap w:val="0"/>
            <w:vAlign w:val="center"/>
          </w:tcPr>
          <w:p w14:paraId="173153FC">
            <w:pPr>
              <w:jc w:val="center"/>
              <w:rPr>
                <w:color w:val="000000" w:themeColor="text1"/>
                <w:highlight w:val="none"/>
                <w14:textFill>
                  <w14:solidFill>
                    <w14:schemeClr w14:val="tx1"/>
                  </w14:solidFill>
                </w14:textFill>
              </w:rPr>
            </w:pPr>
          </w:p>
        </w:tc>
        <w:tc>
          <w:tcPr>
            <w:tcW w:w="1979" w:type="dxa"/>
            <w:gridSpan w:val="3"/>
            <w:noWrap w:val="0"/>
            <w:vAlign w:val="center"/>
          </w:tcPr>
          <w:p w14:paraId="3311F66C">
            <w:pPr>
              <w:jc w:val="center"/>
              <w:rPr>
                <w:color w:val="000000" w:themeColor="text1"/>
                <w:highlight w:val="none"/>
                <w14:textFill>
                  <w14:solidFill>
                    <w14:schemeClr w14:val="tx1"/>
                  </w14:solidFill>
                </w14:textFill>
              </w:rPr>
            </w:pPr>
          </w:p>
        </w:tc>
        <w:tc>
          <w:tcPr>
            <w:tcW w:w="1330" w:type="dxa"/>
            <w:gridSpan w:val="2"/>
            <w:noWrap w:val="0"/>
            <w:vAlign w:val="center"/>
          </w:tcPr>
          <w:p w14:paraId="02C6A6FD">
            <w:pPr>
              <w:jc w:val="center"/>
              <w:rPr>
                <w:color w:val="000000" w:themeColor="text1"/>
                <w:highlight w:val="none"/>
                <w14:textFill>
                  <w14:solidFill>
                    <w14:schemeClr w14:val="tx1"/>
                  </w14:solidFill>
                </w14:textFill>
              </w:rPr>
            </w:pPr>
          </w:p>
        </w:tc>
        <w:tc>
          <w:tcPr>
            <w:tcW w:w="1641" w:type="dxa"/>
            <w:gridSpan w:val="4"/>
            <w:noWrap w:val="0"/>
            <w:vAlign w:val="center"/>
          </w:tcPr>
          <w:p w14:paraId="15779E25">
            <w:pPr>
              <w:jc w:val="center"/>
              <w:rPr>
                <w:color w:val="000000" w:themeColor="text1"/>
                <w:highlight w:val="none"/>
                <w14:textFill>
                  <w14:solidFill>
                    <w14:schemeClr w14:val="tx1"/>
                  </w14:solidFill>
                </w14:textFill>
              </w:rPr>
            </w:pPr>
          </w:p>
        </w:tc>
        <w:tc>
          <w:tcPr>
            <w:tcW w:w="1484" w:type="dxa"/>
            <w:gridSpan w:val="2"/>
            <w:noWrap w:val="0"/>
            <w:vAlign w:val="center"/>
          </w:tcPr>
          <w:p w14:paraId="29D46B46">
            <w:pPr>
              <w:jc w:val="center"/>
              <w:rPr>
                <w:color w:val="000000" w:themeColor="text1"/>
                <w:highlight w:val="none"/>
                <w14:textFill>
                  <w14:solidFill>
                    <w14:schemeClr w14:val="tx1"/>
                  </w14:solidFill>
                </w14:textFill>
              </w:rPr>
            </w:pPr>
          </w:p>
        </w:tc>
      </w:tr>
      <w:tr w14:paraId="206F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6140E0C2">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noWrap w:val="0"/>
            <w:vAlign w:val="center"/>
          </w:tcPr>
          <w:p w14:paraId="016DCAD5">
            <w:pPr>
              <w:jc w:val="center"/>
              <w:rPr>
                <w:color w:val="000000" w:themeColor="text1"/>
                <w:highlight w:val="none"/>
                <w14:textFill>
                  <w14:solidFill>
                    <w14:schemeClr w14:val="tx1"/>
                  </w14:solidFill>
                </w14:textFill>
              </w:rPr>
            </w:pPr>
          </w:p>
        </w:tc>
        <w:tc>
          <w:tcPr>
            <w:tcW w:w="1979" w:type="dxa"/>
            <w:gridSpan w:val="3"/>
            <w:noWrap w:val="0"/>
            <w:vAlign w:val="center"/>
          </w:tcPr>
          <w:p w14:paraId="75F34A6B">
            <w:pPr>
              <w:jc w:val="center"/>
              <w:rPr>
                <w:color w:val="000000" w:themeColor="text1"/>
                <w:highlight w:val="none"/>
                <w14:textFill>
                  <w14:solidFill>
                    <w14:schemeClr w14:val="tx1"/>
                  </w14:solidFill>
                </w14:textFill>
              </w:rPr>
            </w:pPr>
          </w:p>
        </w:tc>
        <w:tc>
          <w:tcPr>
            <w:tcW w:w="1330" w:type="dxa"/>
            <w:gridSpan w:val="2"/>
            <w:noWrap w:val="0"/>
            <w:vAlign w:val="center"/>
          </w:tcPr>
          <w:p w14:paraId="62A2C4F2">
            <w:pPr>
              <w:jc w:val="center"/>
              <w:rPr>
                <w:color w:val="000000" w:themeColor="text1"/>
                <w:highlight w:val="none"/>
                <w14:textFill>
                  <w14:solidFill>
                    <w14:schemeClr w14:val="tx1"/>
                  </w14:solidFill>
                </w14:textFill>
              </w:rPr>
            </w:pPr>
          </w:p>
        </w:tc>
        <w:tc>
          <w:tcPr>
            <w:tcW w:w="1641" w:type="dxa"/>
            <w:gridSpan w:val="4"/>
            <w:noWrap w:val="0"/>
            <w:vAlign w:val="center"/>
          </w:tcPr>
          <w:p w14:paraId="32D78C6D">
            <w:pPr>
              <w:jc w:val="center"/>
              <w:rPr>
                <w:color w:val="000000" w:themeColor="text1"/>
                <w:highlight w:val="none"/>
                <w14:textFill>
                  <w14:solidFill>
                    <w14:schemeClr w14:val="tx1"/>
                  </w14:solidFill>
                </w14:textFill>
              </w:rPr>
            </w:pPr>
          </w:p>
        </w:tc>
        <w:tc>
          <w:tcPr>
            <w:tcW w:w="1484" w:type="dxa"/>
            <w:gridSpan w:val="2"/>
            <w:noWrap w:val="0"/>
            <w:vAlign w:val="center"/>
          </w:tcPr>
          <w:p w14:paraId="1E7D5DB4">
            <w:pPr>
              <w:jc w:val="center"/>
              <w:rPr>
                <w:color w:val="000000" w:themeColor="text1"/>
                <w:highlight w:val="none"/>
                <w14:textFill>
                  <w14:solidFill>
                    <w14:schemeClr w14:val="tx1"/>
                  </w14:solidFill>
                </w14:textFill>
              </w:rPr>
            </w:pPr>
          </w:p>
        </w:tc>
      </w:tr>
      <w:tr w14:paraId="06EF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28E56753">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noWrap w:val="0"/>
            <w:vAlign w:val="center"/>
          </w:tcPr>
          <w:p w14:paraId="71E39862">
            <w:pPr>
              <w:jc w:val="center"/>
              <w:rPr>
                <w:color w:val="000000" w:themeColor="text1"/>
                <w:highlight w:val="none"/>
                <w14:textFill>
                  <w14:solidFill>
                    <w14:schemeClr w14:val="tx1"/>
                  </w14:solidFill>
                </w14:textFill>
              </w:rPr>
            </w:pPr>
          </w:p>
        </w:tc>
        <w:tc>
          <w:tcPr>
            <w:tcW w:w="1979" w:type="dxa"/>
            <w:gridSpan w:val="3"/>
            <w:noWrap w:val="0"/>
            <w:vAlign w:val="center"/>
          </w:tcPr>
          <w:p w14:paraId="6914C0C4">
            <w:pPr>
              <w:jc w:val="center"/>
              <w:rPr>
                <w:color w:val="000000" w:themeColor="text1"/>
                <w:highlight w:val="none"/>
                <w14:textFill>
                  <w14:solidFill>
                    <w14:schemeClr w14:val="tx1"/>
                  </w14:solidFill>
                </w14:textFill>
              </w:rPr>
            </w:pPr>
          </w:p>
        </w:tc>
        <w:tc>
          <w:tcPr>
            <w:tcW w:w="1330" w:type="dxa"/>
            <w:gridSpan w:val="2"/>
            <w:noWrap w:val="0"/>
            <w:vAlign w:val="center"/>
          </w:tcPr>
          <w:p w14:paraId="7320AD3C">
            <w:pPr>
              <w:jc w:val="center"/>
              <w:rPr>
                <w:color w:val="000000" w:themeColor="text1"/>
                <w:highlight w:val="none"/>
                <w14:textFill>
                  <w14:solidFill>
                    <w14:schemeClr w14:val="tx1"/>
                  </w14:solidFill>
                </w14:textFill>
              </w:rPr>
            </w:pPr>
          </w:p>
        </w:tc>
        <w:tc>
          <w:tcPr>
            <w:tcW w:w="1641" w:type="dxa"/>
            <w:gridSpan w:val="4"/>
            <w:noWrap w:val="0"/>
            <w:vAlign w:val="center"/>
          </w:tcPr>
          <w:p w14:paraId="2D3B6CB7">
            <w:pPr>
              <w:jc w:val="center"/>
              <w:rPr>
                <w:color w:val="000000" w:themeColor="text1"/>
                <w:highlight w:val="none"/>
                <w14:textFill>
                  <w14:solidFill>
                    <w14:schemeClr w14:val="tx1"/>
                  </w14:solidFill>
                </w14:textFill>
              </w:rPr>
            </w:pPr>
          </w:p>
        </w:tc>
        <w:tc>
          <w:tcPr>
            <w:tcW w:w="1484" w:type="dxa"/>
            <w:gridSpan w:val="2"/>
            <w:noWrap w:val="0"/>
            <w:vAlign w:val="center"/>
          </w:tcPr>
          <w:p w14:paraId="4C39D168">
            <w:pPr>
              <w:jc w:val="center"/>
              <w:rPr>
                <w:color w:val="000000" w:themeColor="text1"/>
                <w:highlight w:val="none"/>
                <w14:textFill>
                  <w14:solidFill>
                    <w14:schemeClr w14:val="tx1"/>
                  </w14:solidFill>
                </w14:textFill>
              </w:rPr>
            </w:pPr>
          </w:p>
        </w:tc>
      </w:tr>
    </w:tbl>
    <w:p w14:paraId="6CF51719">
      <w:pPr>
        <w:rPr>
          <w:rFonts w:ascii="宋体" w:hAnsi="宋体"/>
          <w:color w:val="000000" w:themeColor="text1"/>
          <w:szCs w:val="21"/>
          <w:highlight w:val="none"/>
          <w14:textFill>
            <w14:solidFill>
              <w14:schemeClr w14:val="tx1"/>
            </w14:solidFill>
          </w14:textFill>
        </w:rPr>
      </w:pPr>
      <w:r>
        <w:rPr>
          <w:rFonts w:hint="eastAsia" w:ascii="宋体" w:hAnsi="宋体" w:cs="楷体_GB2312"/>
          <w:color w:val="000000" w:themeColor="text1"/>
          <w:szCs w:val="21"/>
          <w:highlight w:val="none"/>
          <w14:textFill>
            <w14:solidFill>
              <w14:schemeClr w14:val="tx1"/>
            </w14:solidFill>
          </w14:textFill>
        </w:rPr>
        <w:t>备注：</w:t>
      </w:r>
    </w:p>
    <w:p w14:paraId="5D1647B4">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1.项目</w:t>
      </w:r>
      <w:r>
        <w:rPr>
          <w:rFonts w:ascii="宋体" w:hAnsi="宋体"/>
          <w:color w:val="000000" w:themeColor="text1"/>
          <w:szCs w:val="21"/>
          <w:highlight w:val="none"/>
          <w14:textFill>
            <w14:solidFill>
              <w14:schemeClr w14:val="tx1"/>
            </w14:solidFill>
          </w14:textFill>
        </w:rPr>
        <w:t>数</w:t>
      </w:r>
      <w:r>
        <w:rPr>
          <w:rFonts w:hint="eastAsia" w:ascii="宋体" w:hAnsi="宋体"/>
          <w:color w:val="000000" w:themeColor="text1"/>
          <w:szCs w:val="21"/>
          <w:highlight w:val="none"/>
          <w14:textFill>
            <w14:solidFill>
              <w14:schemeClr w14:val="tx1"/>
            </w14:solidFill>
          </w14:textFill>
        </w:rPr>
        <w:t>可</w:t>
      </w:r>
      <w:r>
        <w:rPr>
          <w:rFonts w:ascii="宋体" w:hAnsi="宋体"/>
          <w:color w:val="000000" w:themeColor="text1"/>
          <w:szCs w:val="21"/>
          <w:highlight w:val="none"/>
          <w14:textFill>
            <w14:solidFill>
              <w14:schemeClr w14:val="tx1"/>
            </w14:solidFill>
          </w14:textFill>
        </w:rPr>
        <w:t>以根据需要增加</w:t>
      </w:r>
      <w:r>
        <w:rPr>
          <w:rFonts w:hint="eastAsia" w:ascii="宋体" w:hAnsi="宋体"/>
          <w:color w:val="000000" w:themeColor="text1"/>
          <w:szCs w:val="21"/>
          <w:highlight w:val="none"/>
          <w14:textFill>
            <w14:solidFill>
              <w14:schemeClr w14:val="tx1"/>
            </w14:solidFill>
          </w14:textFill>
        </w:rPr>
        <w:t>。</w:t>
      </w:r>
    </w:p>
    <w:p w14:paraId="0E8AFD4D">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2.本表后附项目经理的学历证、安全生产考核合格证（B类）、本表所列证书复印件并加盖供应商电子签章。</w:t>
      </w:r>
    </w:p>
    <w:p w14:paraId="549A8133">
      <w:pPr>
        <w:spacing w:before="156"/>
        <w:ind w:firstLine="643"/>
        <w:jc w:val="center"/>
        <w:rPr>
          <w:color w:val="000000" w:themeColor="text1"/>
          <w:sz w:val="28"/>
          <w:szCs w:val="28"/>
          <w:highlight w:val="none"/>
          <w:u w:val="single"/>
          <w14:textFill>
            <w14:solidFill>
              <w14:schemeClr w14:val="tx1"/>
            </w14:solidFill>
          </w14:textFill>
        </w:rPr>
      </w:pPr>
      <w:r>
        <w:rPr>
          <w:rFonts w:cs="宋体"/>
          <w:b/>
          <w:color w:val="000000" w:themeColor="text1"/>
          <w:sz w:val="32"/>
          <w:szCs w:val="32"/>
          <w:highlight w:val="none"/>
          <w14:textFill>
            <w14:solidFill>
              <w14:schemeClr w14:val="tx1"/>
            </w14:solidFill>
          </w14:textFill>
        </w:rPr>
        <w:br w:type="page" w:clear="all"/>
      </w:r>
      <w:r>
        <w:rPr>
          <w:rFonts w:hint="eastAsia" w:cs="宋体"/>
          <w:b/>
          <w:color w:val="000000" w:themeColor="text1"/>
          <w:sz w:val="28"/>
          <w:szCs w:val="28"/>
          <w:highlight w:val="none"/>
          <w14:textFill>
            <w14:solidFill>
              <w14:schemeClr w14:val="tx1"/>
            </w14:solidFill>
          </w14:textFill>
        </w:rPr>
        <w:t>项目技术负责人（项目总工）简历表</w:t>
      </w:r>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1417"/>
        <w:gridCol w:w="242"/>
        <w:gridCol w:w="1088"/>
        <w:gridCol w:w="88"/>
        <w:gridCol w:w="409"/>
        <w:gridCol w:w="1108"/>
        <w:gridCol w:w="36"/>
        <w:gridCol w:w="79"/>
        <w:gridCol w:w="1405"/>
        <w:gridCol w:w="11"/>
      </w:tblGrid>
      <w:tr w14:paraId="5267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noWrap w:val="0"/>
            <w:vAlign w:val="center"/>
          </w:tcPr>
          <w:p w14:paraId="564354F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340" w:type="dxa"/>
            <w:gridSpan w:val="5"/>
            <w:noWrap w:val="0"/>
            <w:vAlign w:val="center"/>
          </w:tcPr>
          <w:p w14:paraId="4132A903">
            <w:pPr>
              <w:jc w:val="center"/>
              <w:rPr>
                <w:color w:val="000000" w:themeColor="text1"/>
                <w:highlight w:val="none"/>
                <w14:textFill>
                  <w14:solidFill>
                    <w14:schemeClr w14:val="tx1"/>
                  </w14:solidFill>
                </w14:textFill>
              </w:rPr>
            </w:pPr>
          </w:p>
        </w:tc>
        <w:tc>
          <w:tcPr>
            <w:tcW w:w="1893" w:type="dxa"/>
            <w:gridSpan w:val="3"/>
            <w:noWrap w:val="0"/>
            <w:vAlign w:val="center"/>
          </w:tcPr>
          <w:p w14:paraId="03678A03">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noWrap w:val="0"/>
            <w:vAlign w:val="center"/>
          </w:tcPr>
          <w:p w14:paraId="2D211192">
            <w:pPr>
              <w:jc w:val="center"/>
              <w:rPr>
                <w:color w:val="000000" w:themeColor="text1"/>
                <w:highlight w:val="none"/>
                <w14:textFill>
                  <w14:solidFill>
                    <w14:schemeClr w14:val="tx1"/>
                  </w14:solidFill>
                </w14:textFill>
              </w:rPr>
            </w:pPr>
          </w:p>
        </w:tc>
        <w:tc>
          <w:tcPr>
            <w:tcW w:w="1108" w:type="dxa"/>
            <w:noWrap w:val="0"/>
            <w:vAlign w:val="center"/>
          </w:tcPr>
          <w:p w14:paraId="1AA611B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noWrap w:val="0"/>
            <w:vAlign w:val="center"/>
          </w:tcPr>
          <w:p w14:paraId="788E5429">
            <w:pPr>
              <w:jc w:val="center"/>
              <w:rPr>
                <w:color w:val="000000" w:themeColor="text1"/>
                <w:highlight w:val="none"/>
                <w14:textFill>
                  <w14:solidFill>
                    <w14:schemeClr w14:val="tx1"/>
                  </w14:solidFill>
                </w14:textFill>
              </w:rPr>
            </w:pPr>
          </w:p>
        </w:tc>
      </w:tr>
      <w:tr w14:paraId="72FA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3429C20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340" w:type="dxa"/>
            <w:gridSpan w:val="5"/>
            <w:noWrap w:val="0"/>
            <w:vAlign w:val="center"/>
          </w:tcPr>
          <w:p w14:paraId="5839A5E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项目技术负责人（项目总工）</w:t>
            </w:r>
          </w:p>
        </w:tc>
        <w:tc>
          <w:tcPr>
            <w:tcW w:w="1893" w:type="dxa"/>
            <w:gridSpan w:val="3"/>
            <w:noWrap w:val="0"/>
            <w:vAlign w:val="center"/>
          </w:tcPr>
          <w:p w14:paraId="33FCD0A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noWrap w:val="0"/>
            <w:vAlign w:val="center"/>
          </w:tcPr>
          <w:p w14:paraId="50A7C591">
            <w:pPr>
              <w:jc w:val="center"/>
              <w:rPr>
                <w:color w:val="000000" w:themeColor="text1"/>
                <w:highlight w:val="none"/>
                <w14:textFill>
                  <w14:solidFill>
                    <w14:schemeClr w14:val="tx1"/>
                  </w14:solidFill>
                </w14:textFill>
              </w:rPr>
            </w:pPr>
          </w:p>
        </w:tc>
        <w:tc>
          <w:tcPr>
            <w:tcW w:w="1108" w:type="dxa"/>
            <w:noWrap w:val="0"/>
            <w:vAlign w:val="center"/>
          </w:tcPr>
          <w:p w14:paraId="6B2999E6">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noWrap w:val="0"/>
            <w:vAlign w:val="center"/>
          </w:tcPr>
          <w:p w14:paraId="4AB06F82">
            <w:pPr>
              <w:jc w:val="center"/>
              <w:rPr>
                <w:color w:val="000000" w:themeColor="text1"/>
                <w:highlight w:val="none"/>
                <w14:textFill>
                  <w14:solidFill>
                    <w14:schemeClr w14:val="tx1"/>
                  </w14:solidFill>
                </w14:textFill>
              </w:rPr>
            </w:pPr>
          </w:p>
        </w:tc>
      </w:tr>
      <w:tr w14:paraId="3B45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7493A627">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340" w:type="dxa"/>
            <w:gridSpan w:val="5"/>
            <w:noWrap w:val="0"/>
            <w:vAlign w:val="center"/>
          </w:tcPr>
          <w:p w14:paraId="2D2787A2">
            <w:pPr>
              <w:jc w:val="center"/>
              <w:rPr>
                <w:color w:val="000000" w:themeColor="text1"/>
                <w:highlight w:val="none"/>
                <w14:textFill>
                  <w14:solidFill>
                    <w14:schemeClr w14:val="tx1"/>
                  </w14:solidFill>
                </w14:textFill>
              </w:rPr>
            </w:pPr>
          </w:p>
        </w:tc>
        <w:tc>
          <w:tcPr>
            <w:tcW w:w="1893" w:type="dxa"/>
            <w:gridSpan w:val="3"/>
            <w:noWrap w:val="0"/>
            <w:vAlign w:val="center"/>
          </w:tcPr>
          <w:p w14:paraId="58F232BF">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noWrap w:val="0"/>
            <w:vAlign w:val="center"/>
          </w:tcPr>
          <w:p w14:paraId="20734D3E">
            <w:pPr>
              <w:jc w:val="center"/>
              <w:rPr>
                <w:color w:val="000000" w:themeColor="text1"/>
                <w:highlight w:val="none"/>
                <w14:textFill>
                  <w14:solidFill>
                    <w14:schemeClr w14:val="tx1"/>
                  </w14:solidFill>
                </w14:textFill>
              </w:rPr>
            </w:pPr>
          </w:p>
        </w:tc>
        <w:tc>
          <w:tcPr>
            <w:tcW w:w="1108" w:type="dxa"/>
            <w:noWrap w:val="0"/>
            <w:vAlign w:val="center"/>
          </w:tcPr>
          <w:p w14:paraId="0DD66A68">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noWrap w:val="0"/>
            <w:vAlign w:val="center"/>
          </w:tcPr>
          <w:p w14:paraId="5A6CC2BF">
            <w:pPr>
              <w:jc w:val="center"/>
              <w:rPr>
                <w:color w:val="000000" w:themeColor="text1"/>
                <w:highlight w:val="none"/>
                <w14:textFill>
                  <w14:solidFill>
                    <w14:schemeClr w14:val="tx1"/>
                  </w14:solidFill>
                </w14:textFill>
              </w:rPr>
            </w:pPr>
          </w:p>
        </w:tc>
      </w:tr>
      <w:tr w14:paraId="4428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492B2C2E">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w:t>
            </w:r>
            <w:r>
              <w:rPr>
                <w:rFonts w:hint="eastAsia"/>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年限</w:t>
            </w:r>
          </w:p>
        </w:tc>
        <w:tc>
          <w:tcPr>
            <w:tcW w:w="2410" w:type="dxa"/>
            <w:gridSpan w:val="5"/>
            <w:noWrap w:val="0"/>
            <w:vAlign w:val="center"/>
          </w:tcPr>
          <w:p w14:paraId="609123E2">
            <w:pPr>
              <w:jc w:val="center"/>
              <w:rPr>
                <w:color w:val="000000" w:themeColor="text1"/>
                <w:highlight w:val="none"/>
                <w14:textFill>
                  <w14:solidFill>
                    <w14:schemeClr w14:val="tx1"/>
                  </w14:solidFill>
                </w14:textFill>
              </w:rPr>
            </w:pPr>
          </w:p>
        </w:tc>
        <w:tc>
          <w:tcPr>
            <w:tcW w:w="1417" w:type="dxa"/>
            <w:noWrap w:val="0"/>
            <w:vAlign w:val="center"/>
          </w:tcPr>
          <w:p w14:paraId="5215B33F">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466" w:type="dxa"/>
            <w:gridSpan w:val="9"/>
            <w:noWrap w:val="0"/>
            <w:vAlign w:val="center"/>
          </w:tcPr>
          <w:p w14:paraId="5B14F1A2">
            <w:pPr>
              <w:jc w:val="center"/>
              <w:rPr>
                <w:color w:val="000000" w:themeColor="text1"/>
                <w:highlight w:val="none"/>
                <w14:textFill>
                  <w14:solidFill>
                    <w14:schemeClr w14:val="tx1"/>
                  </w14:solidFill>
                </w14:textFill>
              </w:rPr>
            </w:pPr>
          </w:p>
        </w:tc>
      </w:tr>
      <w:tr w14:paraId="07FA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7CFFFD50">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188" w:type="dxa"/>
            <w:gridSpan w:val="2"/>
            <w:noWrap w:val="0"/>
            <w:vAlign w:val="center"/>
          </w:tcPr>
          <w:p w14:paraId="21BB237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noWrap w:val="0"/>
            <w:vAlign w:val="center"/>
          </w:tcPr>
          <w:p w14:paraId="190A4C3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noWrap w:val="0"/>
            <w:vAlign w:val="center"/>
          </w:tcPr>
          <w:p w14:paraId="673FBFD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noWrap w:val="0"/>
            <w:vAlign w:val="center"/>
          </w:tcPr>
          <w:p w14:paraId="728A4A7F">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noWrap w:val="0"/>
            <w:vAlign w:val="center"/>
          </w:tcPr>
          <w:p w14:paraId="2D496EF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noWrap w:val="0"/>
            <w:vAlign w:val="center"/>
          </w:tcPr>
          <w:p w14:paraId="34898C42">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0636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7875D0C2">
            <w:pPr>
              <w:jc w:val="center"/>
              <w:rPr>
                <w:rFonts w:hint="eastAsia"/>
                <w:color w:val="000000" w:themeColor="text1"/>
                <w:highlight w:val="none"/>
                <w14:textFill>
                  <w14:solidFill>
                    <w14:schemeClr w14:val="tx1"/>
                  </w14:solidFill>
                </w14:textFill>
              </w:rPr>
            </w:pPr>
          </w:p>
        </w:tc>
        <w:tc>
          <w:tcPr>
            <w:tcW w:w="1188" w:type="dxa"/>
            <w:gridSpan w:val="2"/>
            <w:noWrap w:val="0"/>
            <w:vAlign w:val="center"/>
          </w:tcPr>
          <w:p w14:paraId="275B5EF5">
            <w:pPr>
              <w:jc w:val="center"/>
              <w:rPr>
                <w:rFonts w:hint="eastAsia"/>
                <w:color w:val="000000" w:themeColor="text1"/>
                <w:highlight w:val="none"/>
                <w14:textFill>
                  <w14:solidFill>
                    <w14:schemeClr w14:val="tx1"/>
                  </w14:solidFill>
                </w14:textFill>
              </w:rPr>
            </w:pPr>
          </w:p>
        </w:tc>
        <w:tc>
          <w:tcPr>
            <w:tcW w:w="1222" w:type="dxa"/>
            <w:gridSpan w:val="3"/>
            <w:noWrap w:val="0"/>
            <w:vAlign w:val="center"/>
          </w:tcPr>
          <w:p w14:paraId="7C60331A">
            <w:pPr>
              <w:jc w:val="center"/>
              <w:rPr>
                <w:rFonts w:hint="eastAsia" w:cs="宋体"/>
                <w:color w:val="000000" w:themeColor="text1"/>
                <w:highlight w:val="none"/>
                <w14:textFill>
                  <w14:solidFill>
                    <w14:schemeClr w14:val="tx1"/>
                  </w14:solidFill>
                </w14:textFill>
              </w:rPr>
            </w:pPr>
          </w:p>
        </w:tc>
        <w:tc>
          <w:tcPr>
            <w:tcW w:w="1417" w:type="dxa"/>
            <w:noWrap w:val="0"/>
            <w:vAlign w:val="center"/>
          </w:tcPr>
          <w:p w14:paraId="16AB1BC5">
            <w:pPr>
              <w:jc w:val="center"/>
              <w:rPr>
                <w:rFonts w:hint="eastAsia"/>
                <w:color w:val="000000" w:themeColor="text1"/>
                <w:highlight w:val="none"/>
                <w14:textFill>
                  <w14:solidFill>
                    <w14:schemeClr w14:val="tx1"/>
                  </w14:solidFill>
                </w14:textFill>
              </w:rPr>
            </w:pPr>
          </w:p>
        </w:tc>
        <w:tc>
          <w:tcPr>
            <w:tcW w:w="1418" w:type="dxa"/>
            <w:gridSpan w:val="3"/>
            <w:noWrap w:val="0"/>
            <w:vAlign w:val="center"/>
          </w:tcPr>
          <w:p w14:paraId="70FC5A1F">
            <w:pPr>
              <w:jc w:val="center"/>
              <w:rPr>
                <w:rFonts w:hint="eastAsia"/>
                <w:color w:val="000000" w:themeColor="text1"/>
                <w:highlight w:val="none"/>
                <w14:textFill>
                  <w14:solidFill>
                    <w14:schemeClr w14:val="tx1"/>
                  </w14:solidFill>
                </w14:textFill>
              </w:rPr>
            </w:pPr>
          </w:p>
        </w:tc>
        <w:tc>
          <w:tcPr>
            <w:tcW w:w="1632" w:type="dxa"/>
            <w:gridSpan w:val="4"/>
            <w:noWrap w:val="0"/>
            <w:vAlign w:val="center"/>
          </w:tcPr>
          <w:p w14:paraId="33F7094D">
            <w:pPr>
              <w:jc w:val="center"/>
              <w:rPr>
                <w:rFonts w:hint="eastAsia"/>
                <w:color w:val="000000" w:themeColor="text1"/>
                <w:highlight w:val="none"/>
                <w14:textFill>
                  <w14:solidFill>
                    <w14:schemeClr w14:val="tx1"/>
                  </w14:solidFill>
                </w14:textFill>
              </w:rPr>
            </w:pPr>
          </w:p>
        </w:tc>
        <w:tc>
          <w:tcPr>
            <w:tcW w:w="1416" w:type="dxa"/>
            <w:gridSpan w:val="2"/>
            <w:noWrap w:val="0"/>
            <w:vAlign w:val="center"/>
          </w:tcPr>
          <w:p w14:paraId="6EB2A1FE">
            <w:pPr>
              <w:jc w:val="center"/>
              <w:rPr>
                <w:rFonts w:hint="eastAsia"/>
                <w:color w:val="000000" w:themeColor="text1"/>
                <w:highlight w:val="none"/>
                <w14:textFill>
                  <w14:solidFill>
                    <w14:schemeClr w14:val="tx1"/>
                  </w14:solidFill>
                </w14:textFill>
              </w:rPr>
            </w:pPr>
          </w:p>
        </w:tc>
      </w:tr>
      <w:tr w14:paraId="6F56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494CFF3A">
            <w:pPr>
              <w:jc w:val="center"/>
              <w:rPr>
                <w:rFonts w:hint="eastAsia"/>
                <w:color w:val="000000" w:themeColor="text1"/>
                <w:highlight w:val="none"/>
                <w14:textFill>
                  <w14:solidFill>
                    <w14:schemeClr w14:val="tx1"/>
                  </w14:solidFill>
                </w14:textFill>
              </w:rPr>
            </w:pPr>
          </w:p>
        </w:tc>
        <w:tc>
          <w:tcPr>
            <w:tcW w:w="1188" w:type="dxa"/>
            <w:gridSpan w:val="2"/>
            <w:noWrap w:val="0"/>
            <w:vAlign w:val="center"/>
          </w:tcPr>
          <w:p w14:paraId="0CCB4588">
            <w:pPr>
              <w:jc w:val="center"/>
              <w:rPr>
                <w:rFonts w:hint="eastAsia"/>
                <w:color w:val="000000" w:themeColor="text1"/>
                <w:highlight w:val="none"/>
                <w14:textFill>
                  <w14:solidFill>
                    <w14:schemeClr w14:val="tx1"/>
                  </w14:solidFill>
                </w14:textFill>
              </w:rPr>
            </w:pPr>
          </w:p>
        </w:tc>
        <w:tc>
          <w:tcPr>
            <w:tcW w:w="1222" w:type="dxa"/>
            <w:gridSpan w:val="3"/>
            <w:noWrap w:val="0"/>
            <w:vAlign w:val="center"/>
          </w:tcPr>
          <w:p w14:paraId="7E136789">
            <w:pPr>
              <w:jc w:val="center"/>
              <w:rPr>
                <w:rFonts w:hint="eastAsia" w:cs="宋体"/>
                <w:color w:val="000000" w:themeColor="text1"/>
                <w:highlight w:val="none"/>
                <w14:textFill>
                  <w14:solidFill>
                    <w14:schemeClr w14:val="tx1"/>
                  </w14:solidFill>
                </w14:textFill>
              </w:rPr>
            </w:pPr>
          </w:p>
        </w:tc>
        <w:tc>
          <w:tcPr>
            <w:tcW w:w="1417" w:type="dxa"/>
            <w:noWrap w:val="0"/>
            <w:vAlign w:val="center"/>
          </w:tcPr>
          <w:p w14:paraId="60331F70">
            <w:pPr>
              <w:jc w:val="center"/>
              <w:rPr>
                <w:rFonts w:hint="eastAsia"/>
                <w:color w:val="000000" w:themeColor="text1"/>
                <w:highlight w:val="none"/>
                <w14:textFill>
                  <w14:solidFill>
                    <w14:schemeClr w14:val="tx1"/>
                  </w14:solidFill>
                </w14:textFill>
              </w:rPr>
            </w:pPr>
          </w:p>
        </w:tc>
        <w:tc>
          <w:tcPr>
            <w:tcW w:w="1418" w:type="dxa"/>
            <w:gridSpan w:val="3"/>
            <w:noWrap w:val="0"/>
            <w:vAlign w:val="center"/>
          </w:tcPr>
          <w:p w14:paraId="14DEB483">
            <w:pPr>
              <w:jc w:val="center"/>
              <w:rPr>
                <w:rFonts w:hint="eastAsia"/>
                <w:color w:val="000000" w:themeColor="text1"/>
                <w:highlight w:val="none"/>
                <w14:textFill>
                  <w14:solidFill>
                    <w14:schemeClr w14:val="tx1"/>
                  </w14:solidFill>
                </w14:textFill>
              </w:rPr>
            </w:pPr>
          </w:p>
        </w:tc>
        <w:tc>
          <w:tcPr>
            <w:tcW w:w="1632" w:type="dxa"/>
            <w:gridSpan w:val="4"/>
            <w:noWrap w:val="0"/>
            <w:vAlign w:val="center"/>
          </w:tcPr>
          <w:p w14:paraId="448C24A5">
            <w:pPr>
              <w:jc w:val="center"/>
              <w:rPr>
                <w:rFonts w:hint="eastAsia"/>
                <w:color w:val="000000" w:themeColor="text1"/>
                <w:highlight w:val="none"/>
                <w14:textFill>
                  <w14:solidFill>
                    <w14:schemeClr w14:val="tx1"/>
                  </w14:solidFill>
                </w14:textFill>
              </w:rPr>
            </w:pPr>
          </w:p>
        </w:tc>
        <w:tc>
          <w:tcPr>
            <w:tcW w:w="1416" w:type="dxa"/>
            <w:gridSpan w:val="2"/>
            <w:noWrap w:val="0"/>
            <w:vAlign w:val="center"/>
          </w:tcPr>
          <w:p w14:paraId="362E9582">
            <w:pPr>
              <w:jc w:val="center"/>
              <w:rPr>
                <w:rFonts w:hint="eastAsia"/>
                <w:color w:val="000000" w:themeColor="text1"/>
                <w:highlight w:val="none"/>
                <w14:textFill>
                  <w14:solidFill>
                    <w14:schemeClr w14:val="tx1"/>
                  </w14:solidFill>
                </w14:textFill>
              </w:rPr>
            </w:pPr>
          </w:p>
        </w:tc>
      </w:tr>
      <w:tr w14:paraId="0A13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7"/>
            <w:noWrap w:val="0"/>
            <w:vAlign w:val="center"/>
          </w:tcPr>
          <w:p w14:paraId="26F03AD6">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57FD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09213D9F">
            <w:pPr>
              <w:jc w:val="center"/>
              <w:rPr>
                <w:color w:val="000000" w:themeColor="text1"/>
                <w:highlight w:val="none"/>
                <w14:textFill>
                  <w14:solidFill>
                    <w14:schemeClr w14:val="tx1"/>
                  </w14:solidFill>
                </w14:textFill>
              </w:rPr>
            </w:pPr>
          </w:p>
        </w:tc>
        <w:tc>
          <w:tcPr>
            <w:tcW w:w="1548" w:type="dxa"/>
            <w:gridSpan w:val="2"/>
            <w:noWrap w:val="0"/>
            <w:vAlign w:val="center"/>
          </w:tcPr>
          <w:p w14:paraId="77B2C9BA">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1979" w:type="dxa"/>
            <w:gridSpan w:val="3"/>
            <w:noWrap w:val="0"/>
            <w:vAlign w:val="center"/>
          </w:tcPr>
          <w:p w14:paraId="1513A30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330" w:type="dxa"/>
            <w:gridSpan w:val="2"/>
            <w:noWrap w:val="0"/>
            <w:vAlign w:val="center"/>
          </w:tcPr>
          <w:p w14:paraId="282F056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noWrap w:val="0"/>
            <w:vAlign w:val="center"/>
          </w:tcPr>
          <w:p w14:paraId="430A6500">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noWrap w:val="0"/>
            <w:vAlign w:val="center"/>
          </w:tcPr>
          <w:p w14:paraId="1A36AB5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4125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78949E47">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noWrap w:val="0"/>
            <w:vAlign w:val="center"/>
          </w:tcPr>
          <w:p w14:paraId="268540DE">
            <w:pPr>
              <w:jc w:val="center"/>
              <w:rPr>
                <w:color w:val="000000" w:themeColor="text1"/>
                <w:highlight w:val="none"/>
                <w14:textFill>
                  <w14:solidFill>
                    <w14:schemeClr w14:val="tx1"/>
                  </w14:solidFill>
                </w14:textFill>
              </w:rPr>
            </w:pPr>
          </w:p>
        </w:tc>
        <w:tc>
          <w:tcPr>
            <w:tcW w:w="1979" w:type="dxa"/>
            <w:gridSpan w:val="3"/>
            <w:noWrap w:val="0"/>
            <w:vAlign w:val="center"/>
          </w:tcPr>
          <w:p w14:paraId="5A849964">
            <w:pPr>
              <w:jc w:val="center"/>
              <w:rPr>
                <w:color w:val="000000" w:themeColor="text1"/>
                <w:highlight w:val="none"/>
                <w14:textFill>
                  <w14:solidFill>
                    <w14:schemeClr w14:val="tx1"/>
                  </w14:solidFill>
                </w14:textFill>
              </w:rPr>
            </w:pPr>
          </w:p>
        </w:tc>
        <w:tc>
          <w:tcPr>
            <w:tcW w:w="1330" w:type="dxa"/>
            <w:gridSpan w:val="2"/>
            <w:noWrap w:val="0"/>
            <w:vAlign w:val="center"/>
          </w:tcPr>
          <w:p w14:paraId="0198FF24">
            <w:pPr>
              <w:jc w:val="center"/>
              <w:rPr>
                <w:color w:val="000000" w:themeColor="text1"/>
                <w:highlight w:val="none"/>
                <w14:textFill>
                  <w14:solidFill>
                    <w14:schemeClr w14:val="tx1"/>
                  </w14:solidFill>
                </w14:textFill>
              </w:rPr>
            </w:pPr>
          </w:p>
        </w:tc>
        <w:tc>
          <w:tcPr>
            <w:tcW w:w="1641" w:type="dxa"/>
            <w:gridSpan w:val="4"/>
            <w:noWrap w:val="0"/>
            <w:vAlign w:val="center"/>
          </w:tcPr>
          <w:p w14:paraId="2C3B5197">
            <w:pPr>
              <w:jc w:val="center"/>
              <w:rPr>
                <w:color w:val="000000" w:themeColor="text1"/>
                <w:highlight w:val="none"/>
                <w14:textFill>
                  <w14:solidFill>
                    <w14:schemeClr w14:val="tx1"/>
                  </w14:solidFill>
                </w14:textFill>
              </w:rPr>
            </w:pPr>
          </w:p>
        </w:tc>
        <w:tc>
          <w:tcPr>
            <w:tcW w:w="1484" w:type="dxa"/>
            <w:gridSpan w:val="2"/>
            <w:noWrap w:val="0"/>
            <w:vAlign w:val="center"/>
          </w:tcPr>
          <w:p w14:paraId="7C040DA7">
            <w:pPr>
              <w:jc w:val="center"/>
              <w:rPr>
                <w:color w:val="000000" w:themeColor="text1"/>
                <w:highlight w:val="none"/>
                <w14:textFill>
                  <w14:solidFill>
                    <w14:schemeClr w14:val="tx1"/>
                  </w14:solidFill>
                </w14:textFill>
              </w:rPr>
            </w:pPr>
          </w:p>
        </w:tc>
      </w:tr>
      <w:tr w14:paraId="5B9C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158674D3">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noWrap w:val="0"/>
            <w:vAlign w:val="center"/>
          </w:tcPr>
          <w:p w14:paraId="78C4F05C">
            <w:pPr>
              <w:jc w:val="center"/>
              <w:rPr>
                <w:color w:val="000000" w:themeColor="text1"/>
                <w:highlight w:val="none"/>
                <w14:textFill>
                  <w14:solidFill>
                    <w14:schemeClr w14:val="tx1"/>
                  </w14:solidFill>
                </w14:textFill>
              </w:rPr>
            </w:pPr>
          </w:p>
        </w:tc>
        <w:tc>
          <w:tcPr>
            <w:tcW w:w="1979" w:type="dxa"/>
            <w:gridSpan w:val="3"/>
            <w:noWrap w:val="0"/>
            <w:vAlign w:val="center"/>
          </w:tcPr>
          <w:p w14:paraId="373F9FDC">
            <w:pPr>
              <w:jc w:val="center"/>
              <w:rPr>
                <w:color w:val="000000" w:themeColor="text1"/>
                <w:highlight w:val="none"/>
                <w14:textFill>
                  <w14:solidFill>
                    <w14:schemeClr w14:val="tx1"/>
                  </w14:solidFill>
                </w14:textFill>
              </w:rPr>
            </w:pPr>
          </w:p>
        </w:tc>
        <w:tc>
          <w:tcPr>
            <w:tcW w:w="1330" w:type="dxa"/>
            <w:gridSpan w:val="2"/>
            <w:noWrap w:val="0"/>
            <w:vAlign w:val="center"/>
          </w:tcPr>
          <w:p w14:paraId="0F090502">
            <w:pPr>
              <w:jc w:val="center"/>
              <w:rPr>
                <w:color w:val="000000" w:themeColor="text1"/>
                <w:highlight w:val="none"/>
                <w14:textFill>
                  <w14:solidFill>
                    <w14:schemeClr w14:val="tx1"/>
                  </w14:solidFill>
                </w14:textFill>
              </w:rPr>
            </w:pPr>
          </w:p>
        </w:tc>
        <w:tc>
          <w:tcPr>
            <w:tcW w:w="1641" w:type="dxa"/>
            <w:gridSpan w:val="4"/>
            <w:noWrap w:val="0"/>
            <w:vAlign w:val="center"/>
          </w:tcPr>
          <w:p w14:paraId="4401A618">
            <w:pPr>
              <w:jc w:val="center"/>
              <w:rPr>
                <w:color w:val="000000" w:themeColor="text1"/>
                <w:highlight w:val="none"/>
                <w14:textFill>
                  <w14:solidFill>
                    <w14:schemeClr w14:val="tx1"/>
                  </w14:solidFill>
                </w14:textFill>
              </w:rPr>
            </w:pPr>
          </w:p>
        </w:tc>
        <w:tc>
          <w:tcPr>
            <w:tcW w:w="1484" w:type="dxa"/>
            <w:gridSpan w:val="2"/>
            <w:noWrap w:val="0"/>
            <w:vAlign w:val="center"/>
          </w:tcPr>
          <w:p w14:paraId="03949A40">
            <w:pPr>
              <w:jc w:val="center"/>
              <w:rPr>
                <w:color w:val="000000" w:themeColor="text1"/>
                <w:highlight w:val="none"/>
                <w14:textFill>
                  <w14:solidFill>
                    <w14:schemeClr w14:val="tx1"/>
                  </w14:solidFill>
                </w14:textFill>
              </w:rPr>
            </w:pPr>
          </w:p>
        </w:tc>
      </w:tr>
      <w:tr w14:paraId="3066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0AC590FD">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noWrap w:val="0"/>
            <w:vAlign w:val="center"/>
          </w:tcPr>
          <w:p w14:paraId="70213074">
            <w:pPr>
              <w:jc w:val="center"/>
              <w:rPr>
                <w:color w:val="000000" w:themeColor="text1"/>
                <w:highlight w:val="none"/>
                <w14:textFill>
                  <w14:solidFill>
                    <w14:schemeClr w14:val="tx1"/>
                  </w14:solidFill>
                </w14:textFill>
              </w:rPr>
            </w:pPr>
          </w:p>
        </w:tc>
        <w:tc>
          <w:tcPr>
            <w:tcW w:w="1979" w:type="dxa"/>
            <w:gridSpan w:val="3"/>
            <w:noWrap w:val="0"/>
            <w:vAlign w:val="center"/>
          </w:tcPr>
          <w:p w14:paraId="076970A7">
            <w:pPr>
              <w:jc w:val="center"/>
              <w:rPr>
                <w:color w:val="000000" w:themeColor="text1"/>
                <w:highlight w:val="none"/>
                <w14:textFill>
                  <w14:solidFill>
                    <w14:schemeClr w14:val="tx1"/>
                  </w14:solidFill>
                </w14:textFill>
              </w:rPr>
            </w:pPr>
          </w:p>
        </w:tc>
        <w:tc>
          <w:tcPr>
            <w:tcW w:w="1330" w:type="dxa"/>
            <w:gridSpan w:val="2"/>
            <w:noWrap w:val="0"/>
            <w:vAlign w:val="center"/>
          </w:tcPr>
          <w:p w14:paraId="189403D2">
            <w:pPr>
              <w:jc w:val="center"/>
              <w:rPr>
                <w:color w:val="000000" w:themeColor="text1"/>
                <w:highlight w:val="none"/>
                <w14:textFill>
                  <w14:solidFill>
                    <w14:schemeClr w14:val="tx1"/>
                  </w14:solidFill>
                </w14:textFill>
              </w:rPr>
            </w:pPr>
          </w:p>
        </w:tc>
        <w:tc>
          <w:tcPr>
            <w:tcW w:w="1641" w:type="dxa"/>
            <w:gridSpan w:val="4"/>
            <w:noWrap w:val="0"/>
            <w:vAlign w:val="center"/>
          </w:tcPr>
          <w:p w14:paraId="5F8F0A31">
            <w:pPr>
              <w:jc w:val="center"/>
              <w:rPr>
                <w:color w:val="000000" w:themeColor="text1"/>
                <w:highlight w:val="none"/>
                <w14:textFill>
                  <w14:solidFill>
                    <w14:schemeClr w14:val="tx1"/>
                  </w14:solidFill>
                </w14:textFill>
              </w:rPr>
            </w:pPr>
          </w:p>
        </w:tc>
        <w:tc>
          <w:tcPr>
            <w:tcW w:w="1484" w:type="dxa"/>
            <w:gridSpan w:val="2"/>
            <w:noWrap w:val="0"/>
            <w:vAlign w:val="center"/>
          </w:tcPr>
          <w:p w14:paraId="00891770">
            <w:pPr>
              <w:jc w:val="center"/>
              <w:rPr>
                <w:color w:val="000000" w:themeColor="text1"/>
                <w:highlight w:val="none"/>
                <w14:textFill>
                  <w14:solidFill>
                    <w14:schemeClr w14:val="tx1"/>
                  </w14:solidFill>
                </w14:textFill>
              </w:rPr>
            </w:pPr>
          </w:p>
        </w:tc>
      </w:tr>
      <w:tr w14:paraId="22F3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5B9294B8">
            <w:pPr>
              <w:jc w:val="center"/>
              <w:rPr>
                <w:rFonts w:hint="eastAsia" w:ascii="宋体" w:hAnsi="宋体" w:cs="宋体"/>
                <w:color w:val="000000" w:themeColor="text1"/>
                <w:sz w:val="27"/>
                <w:szCs w:val="27"/>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noWrap w:val="0"/>
            <w:vAlign w:val="center"/>
          </w:tcPr>
          <w:p w14:paraId="0058A600">
            <w:pPr>
              <w:jc w:val="center"/>
              <w:rPr>
                <w:color w:val="000000" w:themeColor="text1"/>
                <w:highlight w:val="none"/>
                <w14:textFill>
                  <w14:solidFill>
                    <w14:schemeClr w14:val="tx1"/>
                  </w14:solidFill>
                </w14:textFill>
              </w:rPr>
            </w:pPr>
          </w:p>
        </w:tc>
        <w:tc>
          <w:tcPr>
            <w:tcW w:w="1979" w:type="dxa"/>
            <w:gridSpan w:val="3"/>
            <w:noWrap w:val="0"/>
            <w:vAlign w:val="center"/>
          </w:tcPr>
          <w:p w14:paraId="2E9E550F">
            <w:pPr>
              <w:jc w:val="center"/>
              <w:rPr>
                <w:color w:val="000000" w:themeColor="text1"/>
                <w:highlight w:val="none"/>
                <w14:textFill>
                  <w14:solidFill>
                    <w14:schemeClr w14:val="tx1"/>
                  </w14:solidFill>
                </w14:textFill>
              </w:rPr>
            </w:pPr>
          </w:p>
        </w:tc>
        <w:tc>
          <w:tcPr>
            <w:tcW w:w="1330" w:type="dxa"/>
            <w:gridSpan w:val="2"/>
            <w:noWrap w:val="0"/>
            <w:vAlign w:val="center"/>
          </w:tcPr>
          <w:p w14:paraId="78769916">
            <w:pPr>
              <w:jc w:val="center"/>
              <w:rPr>
                <w:color w:val="000000" w:themeColor="text1"/>
                <w:highlight w:val="none"/>
                <w14:textFill>
                  <w14:solidFill>
                    <w14:schemeClr w14:val="tx1"/>
                  </w14:solidFill>
                </w14:textFill>
              </w:rPr>
            </w:pPr>
          </w:p>
        </w:tc>
        <w:tc>
          <w:tcPr>
            <w:tcW w:w="1641" w:type="dxa"/>
            <w:gridSpan w:val="4"/>
            <w:noWrap w:val="0"/>
            <w:vAlign w:val="center"/>
          </w:tcPr>
          <w:p w14:paraId="717067B1">
            <w:pPr>
              <w:jc w:val="center"/>
              <w:rPr>
                <w:color w:val="000000" w:themeColor="text1"/>
                <w:highlight w:val="none"/>
                <w14:textFill>
                  <w14:solidFill>
                    <w14:schemeClr w14:val="tx1"/>
                  </w14:solidFill>
                </w14:textFill>
              </w:rPr>
            </w:pPr>
          </w:p>
        </w:tc>
        <w:tc>
          <w:tcPr>
            <w:tcW w:w="1484" w:type="dxa"/>
            <w:gridSpan w:val="2"/>
            <w:noWrap w:val="0"/>
            <w:vAlign w:val="center"/>
          </w:tcPr>
          <w:p w14:paraId="6227271D">
            <w:pPr>
              <w:jc w:val="center"/>
              <w:rPr>
                <w:color w:val="000000" w:themeColor="text1"/>
                <w:highlight w:val="none"/>
                <w14:textFill>
                  <w14:solidFill>
                    <w14:schemeClr w14:val="tx1"/>
                  </w14:solidFill>
                </w14:textFill>
              </w:rPr>
            </w:pPr>
          </w:p>
        </w:tc>
      </w:tr>
      <w:tr w14:paraId="518B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551908D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noWrap w:val="0"/>
            <w:vAlign w:val="center"/>
          </w:tcPr>
          <w:p w14:paraId="2FD0081E">
            <w:pPr>
              <w:jc w:val="center"/>
              <w:rPr>
                <w:color w:val="000000" w:themeColor="text1"/>
                <w:highlight w:val="none"/>
                <w14:textFill>
                  <w14:solidFill>
                    <w14:schemeClr w14:val="tx1"/>
                  </w14:solidFill>
                </w14:textFill>
              </w:rPr>
            </w:pPr>
          </w:p>
        </w:tc>
        <w:tc>
          <w:tcPr>
            <w:tcW w:w="1979" w:type="dxa"/>
            <w:gridSpan w:val="3"/>
            <w:noWrap w:val="0"/>
            <w:vAlign w:val="center"/>
          </w:tcPr>
          <w:p w14:paraId="60D759AF">
            <w:pPr>
              <w:jc w:val="center"/>
              <w:rPr>
                <w:color w:val="000000" w:themeColor="text1"/>
                <w:highlight w:val="none"/>
                <w14:textFill>
                  <w14:solidFill>
                    <w14:schemeClr w14:val="tx1"/>
                  </w14:solidFill>
                </w14:textFill>
              </w:rPr>
            </w:pPr>
          </w:p>
        </w:tc>
        <w:tc>
          <w:tcPr>
            <w:tcW w:w="1330" w:type="dxa"/>
            <w:gridSpan w:val="2"/>
            <w:noWrap w:val="0"/>
            <w:vAlign w:val="center"/>
          </w:tcPr>
          <w:p w14:paraId="53416117">
            <w:pPr>
              <w:jc w:val="center"/>
              <w:rPr>
                <w:color w:val="000000" w:themeColor="text1"/>
                <w:highlight w:val="none"/>
                <w14:textFill>
                  <w14:solidFill>
                    <w14:schemeClr w14:val="tx1"/>
                  </w14:solidFill>
                </w14:textFill>
              </w:rPr>
            </w:pPr>
          </w:p>
        </w:tc>
        <w:tc>
          <w:tcPr>
            <w:tcW w:w="1641" w:type="dxa"/>
            <w:gridSpan w:val="4"/>
            <w:noWrap w:val="0"/>
            <w:vAlign w:val="center"/>
          </w:tcPr>
          <w:p w14:paraId="3A1CDA98">
            <w:pPr>
              <w:jc w:val="center"/>
              <w:rPr>
                <w:color w:val="000000" w:themeColor="text1"/>
                <w:highlight w:val="none"/>
                <w14:textFill>
                  <w14:solidFill>
                    <w14:schemeClr w14:val="tx1"/>
                  </w14:solidFill>
                </w14:textFill>
              </w:rPr>
            </w:pPr>
          </w:p>
        </w:tc>
        <w:tc>
          <w:tcPr>
            <w:tcW w:w="1484" w:type="dxa"/>
            <w:gridSpan w:val="2"/>
            <w:noWrap w:val="0"/>
            <w:vAlign w:val="center"/>
          </w:tcPr>
          <w:p w14:paraId="5CE6181E">
            <w:pPr>
              <w:jc w:val="center"/>
              <w:rPr>
                <w:color w:val="000000" w:themeColor="text1"/>
                <w:highlight w:val="none"/>
                <w14:textFill>
                  <w14:solidFill>
                    <w14:schemeClr w14:val="tx1"/>
                  </w14:solidFill>
                </w14:textFill>
              </w:rPr>
            </w:pPr>
          </w:p>
        </w:tc>
      </w:tr>
      <w:tr w14:paraId="2CCC1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6487FE9">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noWrap w:val="0"/>
            <w:vAlign w:val="center"/>
          </w:tcPr>
          <w:p w14:paraId="15801032">
            <w:pPr>
              <w:jc w:val="center"/>
              <w:rPr>
                <w:color w:val="000000" w:themeColor="text1"/>
                <w:highlight w:val="none"/>
                <w14:textFill>
                  <w14:solidFill>
                    <w14:schemeClr w14:val="tx1"/>
                  </w14:solidFill>
                </w14:textFill>
              </w:rPr>
            </w:pPr>
          </w:p>
        </w:tc>
        <w:tc>
          <w:tcPr>
            <w:tcW w:w="1979" w:type="dxa"/>
            <w:gridSpan w:val="3"/>
            <w:noWrap w:val="0"/>
            <w:vAlign w:val="center"/>
          </w:tcPr>
          <w:p w14:paraId="16623837">
            <w:pPr>
              <w:jc w:val="center"/>
              <w:rPr>
                <w:color w:val="000000" w:themeColor="text1"/>
                <w:highlight w:val="none"/>
                <w14:textFill>
                  <w14:solidFill>
                    <w14:schemeClr w14:val="tx1"/>
                  </w14:solidFill>
                </w14:textFill>
              </w:rPr>
            </w:pPr>
          </w:p>
        </w:tc>
        <w:tc>
          <w:tcPr>
            <w:tcW w:w="1330" w:type="dxa"/>
            <w:gridSpan w:val="2"/>
            <w:noWrap w:val="0"/>
            <w:vAlign w:val="center"/>
          </w:tcPr>
          <w:p w14:paraId="14CDF1C6">
            <w:pPr>
              <w:jc w:val="center"/>
              <w:rPr>
                <w:color w:val="000000" w:themeColor="text1"/>
                <w:highlight w:val="none"/>
                <w14:textFill>
                  <w14:solidFill>
                    <w14:schemeClr w14:val="tx1"/>
                  </w14:solidFill>
                </w14:textFill>
              </w:rPr>
            </w:pPr>
          </w:p>
        </w:tc>
        <w:tc>
          <w:tcPr>
            <w:tcW w:w="1641" w:type="dxa"/>
            <w:gridSpan w:val="4"/>
            <w:noWrap w:val="0"/>
            <w:vAlign w:val="center"/>
          </w:tcPr>
          <w:p w14:paraId="738B3C1A">
            <w:pPr>
              <w:jc w:val="center"/>
              <w:rPr>
                <w:color w:val="000000" w:themeColor="text1"/>
                <w:highlight w:val="none"/>
                <w14:textFill>
                  <w14:solidFill>
                    <w14:schemeClr w14:val="tx1"/>
                  </w14:solidFill>
                </w14:textFill>
              </w:rPr>
            </w:pPr>
          </w:p>
        </w:tc>
        <w:tc>
          <w:tcPr>
            <w:tcW w:w="1484" w:type="dxa"/>
            <w:gridSpan w:val="2"/>
            <w:noWrap w:val="0"/>
            <w:vAlign w:val="center"/>
          </w:tcPr>
          <w:p w14:paraId="70BE1575">
            <w:pPr>
              <w:jc w:val="center"/>
              <w:rPr>
                <w:color w:val="000000" w:themeColor="text1"/>
                <w:highlight w:val="none"/>
                <w14:textFill>
                  <w14:solidFill>
                    <w14:schemeClr w14:val="tx1"/>
                  </w14:solidFill>
                </w14:textFill>
              </w:rPr>
            </w:pPr>
          </w:p>
        </w:tc>
      </w:tr>
      <w:tr w14:paraId="299E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6FB44B4">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noWrap w:val="0"/>
            <w:vAlign w:val="center"/>
          </w:tcPr>
          <w:p w14:paraId="1919B5BF">
            <w:pPr>
              <w:jc w:val="center"/>
              <w:rPr>
                <w:color w:val="000000" w:themeColor="text1"/>
                <w:highlight w:val="none"/>
                <w14:textFill>
                  <w14:solidFill>
                    <w14:schemeClr w14:val="tx1"/>
                  </w14:solidFill>
                </w14:textFill>
              </w:rPr>
            </w:pPr>
          </w:p>
        </w:tc>
        <w:tc>
          <w:tcPr>
            <w:tcW w:w="1979" w:type="dxa"/>
            <w:gridSpan w:val="3"/>
            <w:noWrap w:val="0"/>
            <w:vAlign w:val="center"/>
          </w:tcPr>
          <w:p w14:paraId="6777B48F">
            <w:pPr>
              <w:jc w:val="center"/>
              <w:rPr>
                <w:color w:val="000000" w:themeColor="text1"/>
                <w:highlight w:val="none"/>
                <w14:textFill>
                  <w14:solidFill>
                    <w14:schemeClr w14:val="tx1"/>
                  </w14:solidFill>
                </w14:textFill>
              </w:rPr>
            </w:pPr>
          </w:p>
        </w:tc>
        <w:tc>
          <w:tcPr>
            <w:tcW w:w="1330" w:type="dxa"/>
            <w:gridSpan w:val="2"/>
            <w:noWrap w:val="0"/>
            <w:vAlign w:val="center"/>
          </w:tcPr>
          <w:p w14:paraId="19EA747E">
            <w:pPr>
              <w:jc w:val="center"/>
              <w:rPr>
                <w:color w:val="000000" w:themeColor="text1"/>
                <w:highlight w:val="none"/>
                <w14:textFill>
                  <w14:solidFill>
                    <w14:schemeClr w14:val="tx1"/>
                  </w14:solidFill>
                </w14:textFill>
              </w:rPr>
            </w:pPr>
          </w:p>
        </w:tc>
        <w:tc>
          <w:tcPr>
            <w:tcW w:w="1641" w:type="dxa"/>
            <w:gridSpan w:val="4"/>
            <w:noWrap w:val="0"/>
            <w:vAlign w:val="center"/>
          </w:tcPr>
          <w:p w14:paraId="2AA752F0">
            <w:pPr>
              <w:jc w:val="center"/>
              <w:rPr>
                <w:color w:val="000000" w:themeColor="text1"/>
                <w:highlight w:val="none"/>
                <w14:textFill>
                  <w14:solidFill>
                    <w14:schemeClr w14:val="tx1"/>
                  </w14:solidFill>
                </w14:textFill>
              </w:rPr>
            </w:pPr>
          </w:p>
        </w:tc>
        <w:tc>
          <w:tcPr>
            <w:tcW w:w="1484" w:type="dxa"/>
            <w:gridSpan w:val="2"/>
            <w:noWrap w:val="0"/>
            <w:vAlign w:val="center"/>
          </w:tcPr>
          <w:p w14:paraId="36D8E88D">
            <w:pPr>
              <w:jc w:val="center"/>
              <w:rPr>
                <w:color w:val="000000" w:themeColor="text1"/>
                <w:highlight w:val="none"/>
                <w14:textFill>
                  <w14:solidFill>
                    <w14:schemeClr w14:val="tx1"/>
                  </w14:solidFill>
                </w14:textFill>
              </w:rPr>
            </w:pPr>
          </w:p>
        </w:tc>
      </w:tr>
      <w:tr w14:paraId="51B8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52FC0B38">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noWrap w:val="0"/>
            <w:vAlign w:val="center"/>
          </w:tcPr>
          <w:p w14:paraId="64DD0AD2">
            <w:pPr>
              <w:jc w:val="center"/>
              <w:rPr>
                <w:color w:val="000000" w:themeColor="text1"/>
                <w:highlight w:val="none"/>
                <w14:textFill>
                  <w14:solidFill>
                    <w14:schemeClr w14:val="tx1"/>
                  </w14:solidFill>
                </w14:textFill>
              </w:rPr>
            </w:pPr>
          </w:p>
        </w:tc>
        <w:tc>
          <w:tcPr>
            <w:tcW w:w="1979" w:type="dxa"/>
            <w:gridSpan w:val="3"/>
            <w:noWrap w:val="0"/>
            <w:vAlign w:val="center"/>
          </w:tcPr>
          <w:p w14:paraId="011C687E">
            <w:pPr>
              <w:jc w:val="center"/>
              <w:rPr>
                <w:color w:val="000000" w:themeColor="text1"/>
                <w:highlight w:val="none"/>
                <w14:textFill>
                  <w14:solidFill>
                    <w14:schemeClr w14:val="tx1"/>
                  </w14:solidFill>
                </w14:textFill>
              </w:rPr>
            </w:pPr>
          </w:p>
        </w:tc>
        <w:tc>
          <w:tcPr>
            <w:tcW w:w="1330" w:type="dxa"/>
            <w:gridSpan w:val="2"/>
            <w:noWrap w:val="0"/>
            <w:vAlign w:val="center"/>
          </w:tcPr>
          <w:p w14:paraId="20597888">
            <w:pPr>
              <w:jc w:val="center"/>
              <w:rPr>
                <w:color w:val="000000" w:themeColor="text1"/>
                <w:highlight w:val="none"/>
                <w14:textFill>
                  <w14:solidFill>
                    <w14:schemeClr w14:val="tx1"/>
                  </w14:solidFill>
                </w14:textFill>
              </w:rPr>
            </w:pPr>
          </w:p>
        </w:tc>
        <w:tc>
          <w:tcPr>
            <w:tcW w:w="1641" w:type="dxa"/>
            <w:gridSpan w:val="4"/>
            <w:noWrap w:val="0"/>
            <w:vAlign w:val="center"/>
          </w:tcPr>
          <w:p w14:paraId="08051167">
            <w:pPr>
              <w:jc w:val="center"/>
              <w:rPr>
                <w:color w:val="000000" w:themeColor="text1"/>
                <w:highlight w:val="none"/>
                <w14:textFill>
                  <w14:solidFill>
                    <w14:schemeClr w14:val="tx1"/>
                  </w14:solidFill>
                </w14:textFill>
              </w:rPr>
            </w:pPr>
          </w:p>
        </w:tc>
        <w:tc>
          <w:tcPr>
            <w:tcW w:w="1484" w:type="dxa"/>
            <w:gridSpan w:val="2"/>
            <w:noWrap w:val="0"/>
            <w:vAlign w:val="center"/>
          </w:tcPr>
          <w:p w14:paraId="64E14EAC">
            <w:pPr>
              <w:jc w:val="center"/>
              <w:rPr>
                <w:color w:val="000000" w:themeColor="text1"/>
                <w:highlight w:val="none"/>
                <w14:textFill>
                  <w14:solidFill>
                    <w14:schemeClr w14:val="tx1"/>
                  </w14:solidFill>
                </w14:textFill>
              </w:rPr>
            </w:pPr>
          </w:p>
        </w:tc>
      </w:tr>
      <w:tr w14:paraId="05AC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F88384C">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noWrap w:val="0"/>
            <w:vAlign w:val="center"/>
          </w:tcPr>
          <w:p w14:paraId="52EA653B">
            <w:pPr>
              <w:jc w:val="center"/>
              <w:rPr>
                <w:color w:val="000000" w:themeColor="text1"/>
                <w:highlight w:val="none"/>
                <w14:textFill>
                  <w14:solidFill>
                    <w14:schemeClr w14:val="tx1"/>
                  </w14:solidFill>
                </w14:textFill>
              </w:rPr>
            </w:pPr>
          </w:p>
        </w:tc>
        <w:tc>
          <w:tcPr>
            <w:tcW w:w="1979" w:type="dxa"/>
            <w:gridSpan w:val="3"/>
            <w:noWrap w:val="0"/>
            <w:vAlign w:val="center"/>
          </w:tcPr>
          <w:p w14:paraId="2C76D1E5">
            <w:pPr>
              <w:jc w:val="center"/>
              <w:rPr>
                <w:color w:val="000000" w:themeColor="text1"/>
                <w:highlight w:val="none"/>
                <w14:textFill>
                  <w14:solidFill>
                    <w14:schemeClr w14:val="tx1"/>
                  </w14:solidFill>
                </w14:textFill>
              </w:rPr>
            </w:pPr>
          </w:p>
        </w:tc>
        <w:tc>
          <w:tcPr>
            <w:tcW w:w="1330" w:type="dxa"/>
            <w:gridSpan w:val="2"/>
            <w:noWrap w:val="0"/>
            <w:vAlign w:val="center"/>
          </w:tcPr>
          <w:p w14:paraId="37E80680">
            <w:pPr>
              <w:jc w:val="center"/>
              <w:rPr>
                <w:color w:val="000000" w:themeColor="text1"/>
                <w:highlight w:val="none"/>
                <w14:textFill>
                  <w14:solidFill>
                    <w14:schemeClr w14:val="tx1"/>
                  </w14:solidFill>
                </w14:textFill>
              </w:rPr>
            </w:pPr>
          </w:p>
        </w:tc>
        <w:tc>
          <w:tcPr>
            <w:tcW w:w="1641" w:type="dxa"/>
            <w:gridSpan w:val="4"/>
            <w:noWrap w:val="0"/>
            <w:vAlign w:val="center"/>
          </w:tcPr>
          <w:p w14:paraId="70B1FA4A">
            <w:pPr>
              <w:jc w:val="center"/>
              <w:rPr>
                <w:color w:val="000000" w:themeColor="text1"/>
                <w:highlight w:val="none"/>
                <w14:textFill>
                  <w14:solidFill>
                    <w14:schemeClr w14:val="tx1"/>
                  </w14:solidFill>
                </w14:textFill>
              </w:rPr>
            </w:pPr>
          </w:p>
        </w:tc>
        <w:tc>
          <w:tcPr>
            <w:tcW w:w="1484" w:type="dxa"/>
            <w:gridSpan w:val="2"/>
            <w:noWrap w:val="0"/>
            <w:vAlign w:val="center"/>
          </w:tcPr>
          <w:p w14:paraId="20F6E872">
            <w:pPr>
              <w:jc w:val="center"/>
              <w:rPr>
                <w:color w:val="000000" w:themeColor="text1"/>
                <w:highlight w:val="none"/>
                <w14:textFill>
                  <w14:solidFill>
                    <w14:schemeClr w14:val="tx1"/>
                  </w14:solidFill>
                </w14:textFill>
              </w:rPr>
            </w:pPr>
          </w:p>
        </w:tc>
      </w:tr>
    </w:tbl>
    <w:p w14:paraId="31AA1A2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楷体_GB2312"/>
          <w:color w:val="000000" w:themeColor="text1"/>
          <w:szCs w:val="21"/>
          <w:highlight w:val="none"/>
          <w14:textFill>
            <w14:solidFill>
              <w14:schemeClr w14:val="tx1"/>
            </w14:solidFill>
          </w14:textFill>
        </w:rPr>
        <w:t>备注：</w:t>
      </w:r>
    </w:p>
    <w:p w14:paraId="059DE15D">
      <w:pPr>
        <w:spacing w:line="360" w:lineRule="auto"/>
        <w:ind w:firstLine="42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.项目</w:t>
      </w:r>
      <w:r>
        <w:rPr>
          <w:rFonts w:ascii="宋体" w:hAnsi="宋体"/>
          <w:color w:val="000000" w:themeColor="text1"/>
          <w:szCs w:val="21"/>
          <w:highlight w:val="none"/>
          <w14:textFill>
            <w14:solidFill>
              <w14:schemeClr w14:val="tx1"/>
            </w14:solidFill>
          </w14:textFill>
        </w:rPr>
        <w:t>数</w:t>
      </w:r>
      <w:r>
        <w:rPr>
          <w:rFonts w:hint="eastAsia" w:ascii="宋体" w:hAnsi="宋体"/>
          <w:color w:val="000000" w:themeColor="text1"/>
          <w:szCs w:val="21"/>
          <w:highlight w:val="none"/>
          <w14:textFill>
            <w14:solidFill>
              <w14:schemeClr w14:val="tx1"/>
            </w14:solidFill>
          </w14:textFill>
        </w:rPr>
        <w:t>可</w:t>
      </w:r>
      <w:r>
        <w:rPr>
          <w:rFonts w:ascii="宋体" w:hAnsi="宋体"/>
          <w:color w:val="000000" w:themeColor="text1"/>
          <w:szCs w:val="21"/>
          <w:highlight w:val="none"/>
          <w14:textFill>
            <w14:solidFill>
              <w14:schemeClr w14:val="tx1"/>
            </w14:solidFill>
          </w14:textFill>
        </w:rPr>
        <w:t>以根据需要增加。</w:t>
      </w:r>
    </w:p>
    <w:p w14:paraId="4558AD05">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2.本表后附项目技术负责人（项目总工）的学历证、本表所列证书复印件并加盖供应商电子签章。</w:t>
      </w:r>
    </w:p>
    <w:p w14:paraId="0AF70C62">
      <w:pPr>
        <w:spacing w:line="360" w:lineRule="auto"/>
        <w:rPr>
          <w:rFonts w:hint="eastAsia" w:eastAsia="楷体_GB2312"/>
          <w:color w:val="000000" w:themeColor="text1"/>
          <w:highlight w:val="none"/>
          <w14:textFill>
            <w14:solidFill>
              <w14:schemeClr w14:val="tx1"/>
            </w14:solidFill>
          </w14:textFill>
        </w:rPr>
      </w:pPr>
    </w:p>
    <w:p w14:paraId="445463B7">
      <w:pPr>
        <w:pStyle w:val="339"/>
        <w:spacing w:line="360" w:lineRule="auto"/>
        <w:jc w:val="center"/>
        <w:outlineLvl w:val="0"/>
        <w:rPr>
          <w:color w:val="000000" w:themeColor="text1"/>
          <w:sz w:val="28"/>
          <w:szCs w:val="28"/>
          <w:highlight w:val="none"/>
          <w:u w:val="single"/>
          <w14:textFill>
            <w14:solidFill>
              <w14:schemeClr w14:val="tx1"/>
            </w14:solidFill>
          </w14:textFill>
        </w:rPr>
      </w:pPr>
      <w:r>
        <w:rPr>
          <w:rFonts w:cs="宋体"/>
          <w:b/>
          <w:bCs/>
          <w:color w:val="000000" w:themeColor="text1"/>
          <w:sz w:val="28"/>
          <w:szCs w:val="28"/>
          <w:highlight w:val="none"/>
          <w14:textFill>
            <w14:solidFill>
              <w14:schemeClr w14:val="tx1"/>
            </w14:solidFill>
          </w14:textFill>
        </w:rPr>
        <w:br w:type="page" w:clear="all"/>
      </w:r>
      <w:bookmarkStart w:id="159" w:name="_Toc122424017"/>
      <w:bookmarkStart w:id="160" w:name="_Toc19213"/>
      <w:bookmarkStart w:id="161" w:name="_Toc17078"/>
      <w:bookmarkStart w:id="162" w:name="_Toc122424266"/>
      <w:r>
        <w:rPr>
          <w:rFonts w:hint="eastAsia" w:cs="宋体"/>
          <w:b/>
          <w:color w:val="000000" w:themeColor="text1"/>
          <w:sz w:val="28"/>
          <w:szCs w:val="28"/>
          <w:highlight w:val="none"/>
          <w14:textFill>
            <w14:solidFill>
              <w14:schemeClr w14:val="tx1"/>
            </w14:solidFill>
          </w14:textFill>
        </w:rPr>
        <w:t>专职安全生产管理人员</w:t>
      </w:r>
      <w:bookmarkEnd w:id="159"/>
      <w:bookmarkEnd w:id="160"/>
      <w:bookmarkEnd w:id="161"/>
      <w:bookmarkEnd w:id="162"/>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77"/>
        <w:gridCol w:w="387"/>
        <w:gridCol w:w="888"/>
        <w:gridCol w:w="660"/>
        <w:gridCol w:w="328"/>
        <w:gridCol w:w="234"/>
        <w:gridCol w:w="66"/>
        <w:gridCol w:w="1209"/>
        <w:gridCol w:w="142"/>
        <w:gridCol w:w="242"/>
        <w:gridCol w:w="1088"/>
        <w:gridCol w:w="88"/>
        <w:gridCol w:w="409"/>
        <w:gridCol w:w="1108"/>
        <w:gridCol w:w="36"/>
        <w:gridCol w:w="79"/>
        <w:gridCol w:w="1405"/>
        <w:gridCol w:w="11"/>
      </w:tblGrid>
      <w:tr w14:paraId="728E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noWrap w:val="0"/>
            <w:vAlign w:val="center"/>
          </w:tcPr>
          <w:p w14:paraId="3DD2609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340" w:type="dxa"/>
            <w:gridSpan w:val="5"/>
            <w:noWrap w:val="0"/>
            <w:vAlign w:val="center"/>
          </w:tcPr>
          <w:p w14:paraId="2A9A796A">
            <w:pPr>
              <w:jc w:val="center"/>
              <w:rPr>
                <w:color w:val="000000" w:themeColor="text1"/>
                <w:highlight w:val="none"/>
                <w14:textFill>
                  <w14:solidFill>
                    <w14:schemeClr w14:val="tx1"/>
                  </w14:solidFill>
                </w14:textFill>
              </w:rPr>
            </w:pPr>
          </w:p>
        </w:tc>
        <w:tc>
          <w:tcPr>
            <w:tcW w:w="1893" w:type="dxa"/>
            <w:gridSpan w:val="5"/>
            <w:noWrap w:val="0"/>
            <w:vAlign w:val="center"/>
          </w:tcPr>
          <w:p w14:paraId="7FFB0416">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noWrap w:val="0"/>
            <w:vAlign w:val="center"/>
          </w:tcPr>
          <w:p w14:paraId="7BA3138C">
            <w:pPr>
              <w:jc w:val="center"/>
              <w:rPr>
                <w:color w:val="000000" w:themeColor="text1"/>
                <w:highlight w:val="none"/>
                <w14:textFill>
                  <w14:solidFill>
                    <w14:schemeClr w14:val="tx1"/>
                  </w14:solidFill>
                </w14:textFill>
              </w:rPr>
            </w:pPr>
          </w:p>
        </w:tc>
        <w:tc>
          <w:tcPr>
            <w:tcW w:w="1108" w:type="dxa"/>
            <w:noWrap w:val="0"/>
            <w:vAlign w:val="center"/>
          </w:tcPr>
          <w:p w14:paraId="702C3A3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noWrap w:val="0"/>
            <w:vAlign w:val="center"/>
          </w:tcPr>
          <w:p w14:paraId="76FDADF7">
            <w:pPr>
              <w:jc w:val="center"/>
              <w:rPr>
                <w:color w:val="000000" w:themeColor="text1"/>
                <w:highlight w:val="none"/>
                <w14:textFill>
                  <w14:solidFill>
                    <w14:schemeClr w14:val="tx1"/>
                  </w14:solidFill>
                </w14:textFill>
              </w:rPr>
            </w:pPr>
          </w:p>
        </w:tc>
      </w:tr>
      <w:tr w14:paraId="5D00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32815AE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340" w:type="dxa"/>
            <w:gridSpan w:val="5"/>
            <w:noWrap w:val="0"/>
            <w:vAlign w:val="center"/>
          </w:tcPr>
          <w:p w14:paraId="2912146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专职安全生产管理人员</w:t>
            </w:r>
          </w:p>
        </w:tc>
        <w:tc>
          <w:tcPr>
            <w:tcW w:w="1893" w:type="dxa"/>
            <w:gridSpan w:val="5"/>
            <w:noWrap w:val="0"/>
            <w:vAlign w:val="center"/>
          </w:tcPr>
          <w:p w14:paraId="3E179AD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noWrap w:val="0"/>
            <w:vAlign w:val="center"/>
          </w:tcPr>
          <w:p w14:paraId="56135979">
            <w:pPr>
              <w:jc w:val="center"/>
              <w:rPr>
                <w:color w:val="000000" w:themeColor="text1"/>
                <w:highlight w:val="none"/>
                <w14:textFill>
                  <w14:solidFill>
                    <w14:schemeClr w14:val="tx1"/>
                  </w14:solidFill>
                </w14:textFill>
              </w:rPr>
            </w:pPr>
          </w:p>
        </w:tc>
        <w:tc>
          <w:tcPr>
            <w:tcW w:w="1108" w:type="dxa"/>
            <w:noWrap w:val="0"/>
            <w:vAlign w:val="center"/>
          </w:tcPr>
          <w:p w14:paraId="5970762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noWrap w:val="0"/>
            <w:vAlign w:val="center"/>
          </w:tcPr>
          <w:p w14:paraId="3DD8643C">
            <w:pPr>
              <w:jc w:val="center"/>
              <w:rPr>
                <w:color w:val="000000" w:themeColor="text1"/>
                <w:highlight w:val="none"/>
                <w14:textFill>
                  <w14:solidFill>
                    <w14:schemeClr w14:val="tx1"/>
                  </w14:solidFill>
                </w14:textFill>
              </w:rPr>
            </w:pPr>
          </w:p>
        </w:tc>
      </w:tr>
      <w:tr w14:paraId="418C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08D31A16">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340" w:type="dxa"/>
            <w:gridSpan w:val="5"/>
            <w:noWrap w:val="0"/>
            <w:vAlign w:val="center"/>
          </w:tcPr>
          <w:p w14:paraId="651FE587">
            <w:pPr>
              <w:jc w:val="center"/>
              <w:rPr>
                <w:color w:val="000000" w:themeColor="text1"/>
                <w:highlight w:val="none"/>
                <w14:textFill>
                  <w14:solidFill>
                    <w14:schemeClr w14:val="tx1"/>
                  </w14:solidFill>
                </w14:textFill>
              </w:rPr>
            </w:pPr>
          </w:p>
        </w:tc>
        <w:tc>
          <w:tcPr>
            <w:tcW w:w="1893" w:type="dxa"/>
            <w:gridSpan w:val="5"/>
            <w:noWrap w:val="0"/>
            <w:vAlign w:val="center"/>
          </w:tcPr>
          <w:p w14:paraId="302E3CF9">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noWrap w:val="0"/>
            <w:vAlign w:val="center"/>
          </w:tcPr>
          <w:p w14:paraId="74D2C3E9">
            <w:pPr>
              <w:jc w:val="center"/>
              <w:rPr>
                <w:color w:val="000000" w:themeColor="text1"/>
                <w:highlight w:val="none"/>
                <w14:textFill>
                  <w14:solidFill>
                    <w14:schemeClr w14:val="tx1"/>
                  </w14:solidFill>
                </w14:textFill>
              </w:rPr>
            </w:pPr>
          </w:p>
        </w:tc>
        <w:tc>
          <w:tcPr>
            <w:tcW w:w="1108" w:type="dxa"/>
            <w:noWrap w:val="0"/>
            <w:vAlign w:val="center"/>
          </w:tcPr>
          <w:p w14:paraId="790F4A85">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noWrap w:val="0"/>
            <w:vAlign w:val="center"/>
          </w:tcPr>
          <w:p w14:paraId="76C5BB59">
            <w:pPr>
              <w:jc w:val="center"/>
              <w:rPr>
                <w:color w:val="000000" w:themeColor="text1"/>
                <w:highlight w:val="none"/>
                <w14:textFill>
                  <w14:solidFill>
                    <w14:schemeClr w14:val="tx1"/>
                  </w14:solidFill>
                </w14:textFill>
              </w:rPr>
            </w:pPr>
          </w:p>
        </w:tc>
      </w:tr>
      <w:tr w14:paraId="31B4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281FC0B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担任……年限</w:t>
            </w:r>
          </w:p>
        </w:tc>
        <w:tc>
          <w:tcPr>
            <w:tcW w:w="2563" w:type="dxa"/>
            <w:gridSpan w:val="6"/>
            <w:noWrap w:val="0"/>
            <w:vAlign w:val="center"/>
          </w:tcPr>
          <w:p w14:paraId="2E3C70B0">
            <w:pPr>
              <w:jc w:val="center"/>
              <w:rPr>
                <w:color w:val="000000" w:themeColor="text1"/>
                <w:highlight w:val="none"/>
                <w14:textFill>
                  <w14:solidFill>
                    <w14:schemeClr w14:val="tx1"/>
                  </w14:solidFill>
                </w14:textFill>
              </w:rPr>
            </w:pPr>
          </w:p>
        </w:tc>
        <w:tc>
          <w:tcPr>
            <w:tcW w:w="1209" w:type="dxa"/>
            <w:noWrap w:val="0"/>
            <w:vAlign w:val="center"/>
          </w:tcPr>
          <w:p w14:paraId="225BC31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608" w:type="dxa"/>
            <w:gridSpan w:val="10"/>
            <w:noWrap w:val="0"/>
            <w:vAlign w:val="center"/>
          </w:tcPr>
          <w:p w14:paraId="2ACA4CD0">
            <w:pPr>
              <w:jc w:val="center"/>
              <w:rPr>
                <w:color w:val="000000" w:themeColor="text1"/>
                <w:highlight w:val="none"/>
                <w14:textFill>
                  <w14:solidFill>
                    <w14:schemeClr w14:val="tx1"/>
                  </w14:solidFill>
                </w14:textFill>
              </w:rPr>
            </w:pPr>
          </w:p>
        </w:tc>
      </w:tr>
      <w:tr w14:paraId="15BB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7487EC1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275" w:type="dxa"/>
            <w:gridSpan w:val="2"/>
            <w:noWrap w:val="0"/>
            <w:vAlign w:val="center"/>
          </w:tcPr>
          <w:p w14:paraId="36AA1A5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noWrap w:val="0"/>
            <w:vAlign w:val="center"/>
          </w:tcPr>
          <w:p w14:paraId="66916055">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gridSpan w:val="3"/>
            <w:noWrap w:val="0"/>
            <w:vAlign w:val="center"/>
          </w:tcPr>
          <w:p w14:paraId="7C2099F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noWrap w:val="0"/>
            <w:vAlign w:val="center"/>
          </w:tcPr>
          <w:p w14:paraId="63A07E4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noWrap w:val="0"/>
            <w:vAlign w:val="center"/>
          </w:tcPr>
          <w:p w14:paraId="29B11A2B">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noWrap w:val="0"/>
            <w:vAlign w:val="center"/>
          </w:tcPr>
          <w:p w14:paraId="602D64E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67F4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717BFA02">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安全生产考核合格证书</w:t>
            </w:r>
          </w:p>
        </w:tc>
        <w:tc>
          <w:tcPr>
            <w:tcW w:w="1275" w:type="dxa"/>
            <w:gridSpan w:val="2"/>
            <w:noWrap w:val="0"/>
            <w:vAlign w:val="center"/>
          </w:tcPr>
          <w:p w14:paraId="7317EB72">
            <w:pPr>
              <w:jc w:val="center"/>
              <w:rPr>
                <w:rFonts w:hint="eastAsia"/>
                <w:color w:val="000000" w:themeColor="text1"/>
                <w:highlight w:val="none"/>
                <w14:textFill>
                  <w14:solidFill>
                    <w14:schemeClr w14:val="tx1"/>
                  </w14:solidFill>
                </w14:textFill>
              </w:rPr>
            </w:pPr>
          </w:p>
        </w:tc>
        <w:tc>
          <w:tcPr>
            <w:tcW w:w="1222" w:type="dxa"/>
            <w:gridSpan w:val="3"/>
            <w:noWrap w:val="0"/>
            <w:vAlign w:val="center"/>
          </w:tcPr>
          <w:p w14:paraId="6EB3A595">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C类</w:t>
            </w:r>
          </w:p>
        </w:tc>
        <w:tc>
          <w:tcPr>
            <w:tcW w:w="1417" w:type="dxa"/>
            <w:gridSpan w:val="3"/>
            <w:noWrap w:val="0"/>
            <w:vAlign w:val="center"/>
          </w:tcPr>
          <w:p w14:paraId="0299C311">
            <w:pPr>
              <w:jc w:val="center"/>
              <w:rPr>
                <w:rFonts w:hint="eastAsia"/>
                <w:color w:val="000000" w:themeColor="text1"/>
                <w:highlight w:val="none"/>
                <w14:textFill>
                  <w14:solidFill>
                    <w14:schemeClr w14:val="tx1"/>
                  </w14:solidFill>
                </w14:textFill>
              </w:rPr>
            </w:pPr>
          </w:p>
        </w:tc>
        <w:tc>
          <w:tcPr>
            <w:tcW w:w="1418" w:type="dxa"/>
            <w:gridSpan w:val="3"/>
            <w:noWrap w:val="0"/>
            <w:vAlign w:val="center"/>
          </w:tcPr>
          <w:p w14:paraId="045EBB7F">
            <w:pPr>
              <w:jc w:val="center"/>
              <w:rPr>
                <w:rFonts w:hint="eastAsia"/>
                <w:color w:val="000000" w:themeColor="text1"/>
                <w:highlight w:val="none"/>
                <w14:textFill>
                  <w14:solidFill>
                    <w14:schemeClr w14:val="tx1"/>
                  </w14:solidFill>
                </w14:textFill>
              </w:rPr>
            </w:pPr>
          </w:p>
        </w:tc>
        <w:tc>
          <w:tcPr>
            <w:tcW w:w="1632" w:type="dxa"/>
            <w:gridSpan w:val="4"/>
            <w:noWrap w:val="0"/>
            <w:vAlign w:val="center"/>
          </w:tcPr>
          <w:p w14:paraId="1D5A3578">
            <w:pPr>
              <w:jc w:val="center"/>
              <w:rPr>
                <w:rFonts w:hint="eastAsia"/>
                <w:color w:val="000000" w:themeColor="text1"/>
                <w:highlight w:val="none"/>
                <w14:textFill>
                  <w14:solidFill>
                    <w14:schemeClr w14:val="tx1"/>
                  </w14:solidFill>
                </w14:textFill>
              </w:rPr>
            </w:pPr>
          </w:p>
        </w:tc>
        <w:tc>
          <w:tcPr>
            <w:tcW w:w="1416" w:type="dxa"/>
            <w:gridSpan w:val="2"/>
            <w:noWrap w:val="0"/>
            <w:vAlign w:val="center"/>
          </w:tcPr>
          <w:p w14:paraId="0736649F">
            <w:pPr>
              <w:jc w:val="center"/>
              <w:rPr>
                <w:rFonts w:hint="eastAsia"/>
                <w:color w:val="000000" w:themeColor="text1"/>
                <w:highlight w:val="none"/>
                <w14:textFill>
                  <w14:solidFill>
                    <w14:schemeClr w14:val="tx1"/>
                  </w14:solidFill>
                </w14:textFill>
              </w:rPr>
            </w:pPr>
          </w:p>
        </w:tc>
      </w:tr>
      <w:tr w14:paraId="2C14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7B63B46C">
            <w:pPr>
              <w:jc w:val="center"/>
              <w:rPr>
                <w:rFonts w:hint="eastAsia"/>
                <w:color w:val="000000" w:themeColor="text1"/>
                <w:highlight w:val="none"/>
                <w14:textFill>
                  <w14:solidFill>
                    <w14:schemeClr w14:val="tx1"/>
                  </w14:solidFill>
                </w14:textFill>
              </w:rPr>
            </w:pPr>
          </w:p>
        </w:tc>
        <w:tc>
          <w:tcPr>
            <w:tcW w:w="1275" w:type="dxa"/>
            <w:gridSpan w:val="2"/>
            <w:noWrap w:val="0"/>
            <w:vAlign w:val="center"/>
          </w:tcPr>
          <w:p w14:paraId="281E2D45">
            <w:pPr>
              <w:jc w:val="center"/>
              <w:rPr>
                <w:rFonts w:hint="eastAsia"/>
                <w:color w:val="000000" w:themeColor="text1"/>
                <w:highlight w:val="none"/>
                <w14:textFill>
                  <w14:solidFill>
                    <w14:schemeClr w14:val="tx1"/>
                  </w14:solidFill>
                </w14:textFill>
              </w:rPr>
            </w:pPr>
          </w:p>
        </w:tc>
        <w:tc>
          <w:tcPr>
            <w:tcW w:w="1222" w:type="dxa"/>
            <w:gridSpan w:val="3"/>
            <w:noWrap w:val="0"/>
            <w:vAlign w:val="center"/>
          </w:tcPr>
          <w:p w14:paraId="71E91A78">
            <w:pPr>
              <w:jc w:val="center"/>
              <w:rPr>
                <w:rFonts w:hint="eastAsia" w:cs="宋体"/>
                <w:color w:val="000000" w:themeColor="text1"/>
                <w:highlight w:val="none"/>
                <w14:textFill>
                  <w14:solidFill>
                    <w14:schemeClr w14:val="tx1"/>
                  </w14:solidFill>
                </w14:textFill>
              </w:rPr>
            </w:pPr>
          </w:p>
        </w:tc>
        <w:tc>
          <w:tcPr>
            <w:tcW w:w="1417" w:type="dxa"/>
            <w:gridSpan w:val="3"/>
            <w:noWrap w:val="0"/>
            <w:vAlign w:val="center"/>
          </w:tcPr>
          <w:p w14:paraId="6CDF4B01">
            <w:pPr>
              <w:jc w:val="center"/>
              <w:rPr>
                <w:rFonts w:hint="eastAsia"/>
                <w:color w:val="000000" w:themeColor="text1"/>
                <w:highlight w:val="none"/>
                <w14:textFill>
                  <w14:solidFill>
                    <w14:schemeClr w14:val="tx1"/>
                  </w14:solidFill>
                </w14:textFill>
              </w:rPr>
            </w:pPr>
          </w:p>
        </w:tc>
        <w:tc>
          <w:tcPr>
            <w:tcW w:w="1418" w:type="dxa"/>
            <w:gridSpan w:val="3"/>
            <w:noWrap w:val="0"/>
            <w:vAlign w:val="center"/>
          </w:tcPr>
          <w:p w14:paraId="73260D0E">
            <w:pPr>
              <w:jc w:val="center"/>
              <w:rPr>
                <w:rFonts w:hint="eastAsia"/>
                <w:color w:val="000000" w:themeColor="text1"/>
                <w:highlight w:val="none"/>
                <w14:textFill>
                  <w14:solidFill>
                    <w14:schemeClr w14:val="tx1"/>
                  </w14:solidFill>
                </w14:textFill>
              </w:rPr>
            </w:pPr>
          </w:p>
        </w:tc>
        <w:tc>
          <w:tcPr>
            <w:tcW w:w="1632" w:type="dxa"/>
            <w:gridSpan w:val="4"/>
            <w:noWrap w:val="0"/>
            <w:vAlign w:val="center"/>
          </w:tcPr>
          <w:p w14:paraId="0F109B8A">
            <w:pPr>
              <w:jc w:val="center"/>
              <w:rPr>
                <w:rFonts w:hint="eastAsia"/>
                <w:color w:val="000000" w:themeColor="text1"/>
                <w:highlight w:val="none"/>
                <w14:textFill>
                  <w14:solidFill>
                    <w14:schemeClr w14:val="tx1"/>
                  </w14:solidFill>
                </w14:textFill>
              </w:rPr>
            </w:pPr>
          </w:p>
        </w:tc>
        <w:tc>
          <w:tcPr>
            <w:tcW w:w="1416" w:type="dxa"/>
            <w:gridSpan w:val="2"/>
            <w:noWrap w:val="0"/>
            <w:vAlign w:val="center"/>
          </w:tcPr>
          <w:p w14:paraId="2AA9DCFA">
            <w:pPr>
              <w:jc w:val="center"/>
              <w:rPr>
                <w:rFonts w:hint="eastAsia"/>
                <w:color w:val="000000" w:themeColor="text1"/>
                <w:highlight w:val="none"/>
                <w14:textFill>
                  <w14:solidFill>
                    <w14:schemeClr w14:val="tx1"/>
                  </w14:solidFill>
                </w14:textFill>
              </w:rPr>
            </w:pPr>
          </w:p>
        </w:tc>
      </w:tr>
      <w:tr w14:paraId="676F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14:paraId="244F441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2F51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712B98F3">
            <w:pPr>
              <w:jc w:val="center"/>
              <w:rPr>
                <w:color w:val="000000" w:themeColor="text1"/>
                <w:highlight w:val="none"/>
                <w14:textFill>
                  <w14:solidFill>
                    <w14:schemeClr w14:val="tx1"/>
                  </w14:solidFill>
                </w14:textFill>
              </w:rPr>
            </w:pPr>
          </w:p>
        </w:tc>
        <w:tc>
          <w:tcPr>
            <w:tcW w:w="1548" w:type="dxa"/>
            <w:gridSpan w:val="2"/>
            <w:noWrap w:val="0"/>
            <w:vAlign w:val="center"/>
          </w:tcPr>
          <w:p w14:paraId="0E6B89CF">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1837" w:type="dxa"/>
            <w:gridSpan w:val="4"/>
            <w:noWrap w:val="0"/>
            <w:vAlign w:val="center"/>
          </w:tcPr>
          <w:p w14:paraId="49DD82B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472" w:type="dxa"/>
            <w:gridSpan w:val="3"/>
            <w:noWrap w:val="0"/>
            <w:vAlign w:val="center"/>
          </w:tcPr>
          <w:p w14:paraId="2FE6C81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noWrap w:val="0"/>
            <w:vAlign w:val="center"/>
          </w:tcPr>
          <w:p w14:paraId="3E16AE1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noWrap w:val="0"/>
            <w:vAlign w:val="center"/>
          </w:tcPr>
          <w:p w14:paraId="46673DA4">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7E3C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50C180D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noWrap w:val="0"/>
            <w:vAlign w:val="center"/>
          </w:tcPr>
          <w:p w14:paraId="7CCD3EF6">
            <w:pPr>
              <w:jc w:val="center"/>
              <w:rPr>
                <w:color w:val="000000" w:themeColor="text1"/>
                <w:highlight w:val="none"/>
                <w14:textFill>
                  <w14:solidFill>
                    <w14:schemeClr w14:val="tx1"/>
                  </w14:solidFill>
                </w14:textFill>
              </w:rPr>
            </w:pPr>
          </w:p>
        </w:tc>
        <w:tc>
          <w:tcPr>
            <w:tcW w:w="1837" w:type="dxa"/>
            <w:gridSpan w:val="4"/>
            <w:noWrap w:val="0"/>
            <w:vAlign w:val="center"/>
          </w:tcPr>
          <w:p w14:paraId="306B0C4F">
            <w:pPr>
              <w:jc w:val="center"/>
              <w:rPr>
                <w:color w:val="000000" w:themeColor="text1"/>
                <w:highlight w:val="none"/>
                <w14:textFill>
                  <w14:solidFill>
                    <w14:schemeClr w14:val="tx1"/>
                  </w14:solidFill>
                </w14:textFill>
              </w:rPr>
            </w:pPr>
          </w:p>
        </w:tc>
        <w:tc>
          <w:tcPr>
            <w:tcW w:w="1472" w:type="dxa"/>
            <w:gridSpan w:val="3"/>
            <w:noWrap w:val="0"/>
            <w:vAlign w:val="center"/>
          </w:tcPr>
          <w:p w14:paraId="7F0AB71B">
            <w:pPr>
              <w:jc w:val="center"/>
              <w:rPr>
                <w:color w:val="000000" w:themeColor="text1"/>
                <w:highlight w:val="none"/>
                <w14:textFill>
                  <w14:solidFill>
                    <w14:schemeClr w14:val="tx1"/>
                  </w14:solidFill>
                </w14:textFill>
              </w:rPr>
            </w:pPr>
          </w:p>
        </w:tc>
        <w:tc>
          <w:tcPr>
            <w:tcW w:w="1641" w:type="dxa"/>
            <w:gridSpan w:val="4"/>
            <w:noWrap w:val="0"/>
            <w:vAlign w:val="center"/>
          </w:tcPr>
          <w:p w14:paraId="269951EF">
            <w:pPr>
              <w:jc w:val="center"/>
              <w:rPr>
                <w:color w:val="000000" w:themeColor="text1"/>
                <w:highlight w:val="none"/>
                <w14:textFill>
                  <w14:solidFill>
                    <w14:schemeClr w14:val="tx1"/>
                  </w14:solidFill>
                </w14:textFill>
              </w:rPr>
            </w:pPr>
          </w:p>
        </w:tc>
        <w:tc>
          <w:tcPr>
            <w:tcW w:w="1484" w:type="dxa"/>
            <w:gridSpan w:val="2"/>
            <w:noWrap w:val="0"/>
            <w:vAlign w:val="center"/>
          </w:tcPr>
          <w:p w14:paraId="0656C553">
            <w:pPr>
              <w:jc w:val="center"/>
              <w:rPr>
                <w:color w:val="000000" w:themeColor="text1"/>
                <w:highlight w:val="none"/>
                <w14:textFill>
                  <w14:solidFill>
                    <w14:schemeClr w14:val="tx1"/>
                  </w14:solidFill>
                </w14:textFill>
              </w:rPr>
            </w:pPr>
          </w:p>
        </w:tc>
      </w:tr>
      <w:tr w14:paraId="508F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32ADD85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noWrap w:val="0"/>
            <w:vAlign w:val="center"/>
          </w:tcPr>
          <w:p w14:paraId="4D2CEF64">
            <w:pPr>
              <w:jc w:val="center"/>
              <w:rPr>
                <w:color w:val="000000" w:themeColor="text1"/>
                <w:highlight w:val="none"/>
                <w14:textFill>
                  <w14:solidFill>
                    <w14:schemeClr w14:val="tx1"/>
                  </w14:solidFill>
                </w14:textFill>
              </w:rPr>
            </w:pPr>
          </w:p>
        </w:tc>
        <w:tc>
          <w:tcPr>
            <w:tcW w:w="1837" w:type="dxa"/>
            <w:gridSpan w:val="4"/>
            <w:noWrap w:val="0"/>
            <w:vAlign w:val="center"/>
          </w:tcPr>
          <w:p w14:paraId="60D691D8">
            <w:pPr>
              <w:jc w:val="center"/>
              <w:rPr>
                <w:color w:val="000000" w:themeColor="text1"/>
                <w:highlight w:val="none"/>
                <w14:textFill>
                  <w14:solidFill>
                    <w14:schemeClr w14:val="tx1"/>
                  </w14:solidFill>
                </w14:textFill>
              </w:rPr>
            </w:pPr>
          </w:p>
        </w:tc>
        <w:tc>
          <w:tcPr>
            <w:tcW w:w="1472" w:type="dxa"/>
            <w:gridSpan w:val="3"/>
            <w:noWrap w:val="0"/>
            <w:vAlign w:val="center"/>
          </w:tcPr>
          <w:p w14:paraId="2963C34B">
            <w:pPr>
              <w:jc w:val="center"/>
              <w:rPr>
                <w:color w:val="000000" w:themeColor="text1"/>
                <w:highlight w:val="none"/>
                <w14:textFill>
                  <w14:solidFill>
                    <w14:schemeClr w14:val="tx1"/>
                  </w14:solidFill>
                </w14:textFill>
              </w:rPr>
            </w:pPr>
          </w:p>
        </w:tc>
        <w:tc>
          <w:tcPr>
            <w:tcW w:w="1641" w:type="dxa"/>
            <w:gridSpan w:val="4"/>
            <w:noWrap w:val="0"/>
            <w:vAlign w:val="center"/>
          </w:tcPr>
          <w:p w14:paraId="798E9A9B">
            <w:pPr>
              <w:jc w:val="center"/>
              <w:rPr>
                <w:color w:val="000000" w:themeColor="text1"/>
                <w:highlight w:val="none"/>
                <w14:textFill>
                  <w14:solidFill>
                    <w14:schemeClr w14:val="tx1"/>
                  </w14:solidFill>
                </w14:textFill>
              </w:rPr>
            </w:pPr>
          </w:p>
        </w:tc>
        <w:tc>
          <w:tcPr>
            <w:tcW w:w="1484" w:type="dxa"/>
            <w:gridSpan w:val="2"/>
            <w:noWrap w:val="0"/>
            <w:vAlign w:val="center"/>
          </w:tcPr>
          <w:p w14:paraId="6922E87E">
            <w:pPr>
              <w:jc w:val="center"/>
              <w:rPr>
                <w:color w:val="000000" w:themeColor="text1"/>
                <w:highlight w:val="none"/>
                <w14:textFill>
                  <w14:solidFill>
                    <w14:schemeClr w14:val="tx1"/>
                  </w14:solidFill>
                </w14:textFill>
              </w:rPr>
            </w:pPr>
          </w:p>
        </w:tc>
      </w:tr>
      <w:tr w14:paraId="4AEB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72AA861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noWrap w:val="0"/>
            <w:vAlign w:val="center"/>
          </w:tcPr>
          <w:p w14:paraId="683EB083">
            <w:pPr>
              <w:jc w:val="center"/>
              <w:rPr>
                <w:color w:val="000000" w:themeColor="text1"/>
                <w:highlight w:val="none"/>
                <w14:textFill>
                  <w14:solidFill>
                    <w14:schemeClr w14:val="tx1"/>
                  </w14:solidFill>
                </w14:textFill>
              </w:rPr>
            </w:pPr>
          </w:p>
        </w:tc>
        <w:tc>
          <w:tcPr>
            <w:tcW w:w="1837" w:type="dxa"/>
            <w:gridSpan w:val="4"/>
            <w:noWrap w:val="0"/>
            <w:vAlign w:val="center"/>
          </w:tcPr>
          <w:p w14:paraId="1F40A66C">
            <w:pPr>
              <w:jc w:val="center"/>
              <w:rPr>
                <w:color w:val="000000" w:themeColor="text1"/>
                <w:highlight w:val="none"/>
                <w14:textFill>
                  <w14:solidFill>
                    <w14:schemeClr w14:val="tx1"/>
                  </w14:solidFill>
                </w14:textFill>
              </w:rPr>
            </w:pPr>
          </w:p>
        </w:tc>
        <w:tc>
          <w:tcPr>
            <w:tcW w:w="1472" w:type="dxa"/>
            <w:gridSpan w:val="3"/>
            <w:noWrap w:val="0"/>
            <w:vAlign w:val="center"/>
          </w:tcPr>
          <w:p w14:paraId="5A1F6174">
            <w:pPr>
              <w:jc w:val="center"/>
              <w:rPr>
                <w:color w:val="000000" w:themeColor="text1"/>
                <w:highlight w:val="none"/>
                <w14:textFill>
                  <w14:solidFill>
                    <w14:schemeClr w14:val="tx1"/>
                  </w14:solidFill>
                </w14:textFill>
              </w:rPr>
            </w:pPr>
          </w:p>
        </w:tc>
        <w:tc>
          <w:tcPr>
            <w:tcW w:w="1641" w:type="dxa"/>
            <w:gridSpan w:val="4"/>
            <w:noWrap w:val="0"/>
            <w:vAlign w:val="center"/>
          </w:tcPr>
          <w:p w14:paraId="4E9B8CD1">
            <w:pPr>
              <w:jc w:val="center"/>
              <w:rPr>
                <w:color w:val="000000" w:themeColor="text1"/>
                <w:highlight w:val="none"/>
                <w14:textFill>
                  <w14:solidFill>
                    <w14:schemeClr w14:val="tx1"/>
                  </w14:solidFill>
                </w14:textFill>
              </w:rPr>
            </w:pPr>
          </w:p>
        </w:tc>
        <w:tc>
          <w:tcPr>
            <w:tcW w:w="1484" w:type="dxa"/>
            <w:gridSpan w:val="2"/>
            <w:noWrap w:val="0"/>
            <w:vAlign w:val="center"/>
          </w:tcPr>
          <w:p w14:paraId="75F274CF">
            <w:pPr>
              <w:jc w:val="center"/>
              <w:rPr>
                <w:color w:val="000000" w:themeColor="text1"/>
                <w:highlight w:val="none"/>
                <w14:textFill>
                  <w14:solidFill>
                    <w14:schemeClr w14:val="tx1"/>
                  </w14:solidFill>
                </w14:textFill>
              </w:rPr>
            </w:pPr>
          </w:p>
        </w:tc>
      </w:tr>
      <w:tr w14:paraId="10B0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5FCC2B21">
            <w:pPr>
              <w:jc w:val="center"/>
              <w:rPr>
                <w:rFonts w:hint="eastAsia" w:ascii="宋体" w:hAnsi="宋体" w:cs="宋体"/>
                <w:color w:val="000000" w:themeColor="text1"/>
                <w:sz w:val="27"/>
                <w:szCs w:val="27"/>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noWrap w:val="0"/>
            <w:vAlign w:val="center"/>
          </w:tcPr>
          <w:p w14:paraId="405CDBDD">
            <w:pPr>
              <w:jc w:val="center"/>
              <w:rPr>
                <w:color w:val="000000" w:themeColor="text1"/>
                <w:highlight w:val="none"/>
                <w14:textFill>
                  <w14:solidFill>
                    <w14:schemeClr w14:val="tx1"/>
                  </w14:solidFill>
                </w14:textFill>
              </w:rPr>
            </w:pPr>
          </w:p>
        </w:tc>
        <w:tc>
          <w:tcPr>
            <w:tcW w:w="1837" w:type="dxa"/>
            <w:gridSpan w:val="4"/>
            <w:noWrap w:val="0"/>
            <w:vAlign w:val="center"/>
          </w:tcPr>
          <w:p w14:paraId="6C8DFC37">
            <w:pPr>
              <w:jc w:val="center"/>
              <w:rPr>
                <w:color w:val="000000" w:themeColor="text1"/>
                <w:highlight w:val="none"/>
                <w14:textFill>
                  <w14:solidFill>
                    <w14:schemeClr w14:val="tx1"/>
                  </w14:solidFill>
                </w14:textFill>
              </w:rPr>
            </w:pPr>
          </w:p>
        </w:tc>
        <w:tc>
          <w:tcPr>
            <w:tcW w:w="1472" w:type="dxa"/>
            <w:gridSpan w:val="3"/>
            <w:noWrap w:val="0"/>
            <w:vAlign w:val="center"/>
          </w:tcPr>
          <w:p w14:paraId="5C9C1B4C">
            <w:pPr>
              <w:jc w:val="center"/>
              <w:rPr>
                <w:color w:val="000000" w:themeColor="text1"/>
                <w:highlight w:val="none"/>
                <w14:textFill>
                  <w14:solidFill>
                    <w14:schemeClr w14:val="tx1"/>
                  </w14:solidFill>
                </w14:textFill>
              </w:rPr>
            </w:pPr>
          </w:p>
        </w:tc>
        <w:tc>
          <w:tcPr>
            <w:tcW w:w="1641" w:type="dxa"/>
            <w:gridSpan w:val="4"/>
            <w:noWrap w:val="0"/>
            <w:vAlign w:val="center"/>
          </w:tcPr>
          <w:p w14:paraId="79259521">
            <w:pPr>
              <w:jc w:val="center"/>
              <w:rPr>
                <w:color w:val="000000" w:themeColor="text1"/>
                <w:highlight w:val="none"/>
                <w14:textFill>
                  <w14:solidFill>
                    <w14:schemeClr w14:val="tx1"/>
                  </w14:solidFill>
                </w14:textFill>
              </w:rPr>
            </w:pPr>
          </w:p>
        </w:tc>
        <w:tc>
          <w:tcPr>
            <w:tcW w:w="1484" w:type="dxa"/>
            <w:gridSpan w:val="2"/>
            <w:noWrap w:val="0"/>
            <w:vAlign w:val="center"/>
          </w:tcPr>
          <w:p w14:paraId="6DAF25C1">
            <w:pPr>
              <w:jc w:val="center"/>
              <w:rPr>
                <w:color w:val="000000" w:themeColor="text1"/>
                <w:highlight w:val="none"/>
                <w14:textFill>
                  <w14:solidFill>
                    <w14:schemeClr w14:val="tx1"/>
                  </w14:solidFill>
                </w14:textFill>
              </w:rPr>
            </w:pPr>
          </w:p>
        </w:tc>
      </w:tr>
      <w:tr w14:paraId="201A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05181B1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noWrap w:val="0"/>
            <w:vAlign w:val="center"/>
          </w:tcPr>
          <w:p w14:paraId="0B438898">
            <w:pPr>
              <w:jc w:val="center"/>
              <w:rPr>
                <w:color w:val="000000" w:themeColor="text1"/>
                <w:highlight w:val="none"/>
                <w14:textFill>
                  <w14:solidFill>
                    <w14:schemeClr w14:val="tx1"/>
                  </w14:solidFill>
                </w14:textFill>
              </w:rPr>
            </w:pPr>
          </w:p>
        </w:tc>
        <w:tc>
          <w:tcPr>
            <w:tcW w:w="1837" w:type="dxa"/>
            <w:gridSpan w:val="4"/>
            <w:noWrap w:val="0"/>
            <w:vAlign w:val="center"/>
          </w:tcPr>
          <w:p w14:paraId="461CA882">
            <w:pPr>
              <w:jc w:val="center"/>
              <w:rPr>
                <w:color w:val="000000" w:themeColor="text1"/>
                <w:highlight w:val="none"/>
                <w14:textFill>
                  <w14:solidFill>
                    <w14:schemeClr w14:val="tx1"/>
                  </w14:solidFill>
                </w14:textFill>
              </w:rPr>
            </w:pPr>
          </w:p>
        </w:tc>
        <w:tc>
          <w:tcPr>
            <w:tcW w:w="1472" w:type="dxa"/>
            <w:gridSpan w:val="3"/>
            <w:noWrap w:val="0"/>
            <w:vAlign w:val="center"/>
          </w:tcPr>
          <w:p w14:paraId="573359C6">
            <w:pPr>
              <w:jc w:val="center"/>
              <w:rPr>
                <w:color w:val="000000" w:themeColor="text1"/>
                <w:highlight w:val="none"/>
                <w14:textFill>
                  <w14:solidFill>
                    <w14:schemeClr w14:val="tx1"/>
                  </w14:solidFill>
                </w14:textFill>
              </w:rPr>
            </w:pPr>
          </w:p>
        </w:tc>
        <w:tc>
          <w:tcPr>
            <w:tcW w:w="1641" w:type="dxa"/>
            <w:gridSpan w:val="4"/>
            <w:noWrap w:val="0"/>
            <w:vAlign w:val="center"/>
          </w:tcPr>
          <w:p w14:paraId="7AB3CECD">
            <w:pPr>
              <w:jc w:val="center"/>
              <w:rPr>
                <w:color w:val="000000" w:themeColor="text1"/>
                <w:highlight w:val="none"/>
                <w14:textFill>
                  <w14:solidFill>
                    <w14:schemeClr w14:val="tx1"/>
                  </w14:solidFill>
                </w14:textFill>
              </w:rPr>
            </w:pPr>
          </w:p>
        </w:tc>
        <w:tc>
          <w:tcPr>
            <w:tcW w:w="1484" w:type="dxa"/>
            <w:gridSpan w:val="2"/>
            <w:noWrap w:val="0"/>
            <w:vAlign w:val="center"/>
          </w:tcPr>
          <w:p w14:paraId="3FBD3567">
            <w:pPr>
              <w:jc w:val="center"/>
              <w:rPr>
                <w:color w:val="000000" w:themeColor="text1"/>
                <w:highlight w:val="none"/>
                <w14:textFill>
                  <w14:solidFill>
                    <w14:schemeClr w14:val="tx1"/>
                  </w14:solidFill>
                </w14:textFill>
              </w:rPr>
            </w:pPr>
          </w:p>
        </w:tc>
      </w:tr>
      <w:tr w14:paraId="1807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0A4A4B5F">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noWrap w:val="0"/>
            <w:vAlign w:val="center"/>
          </w:tcPr>
          <w:p w14:paraId="437CBDD1">
            <w:pPr>
              <w:jc w:val="center"/>
              <w:rPr>
                <w:color w:val="000000" w:themeColor="text1"/>
                <w:highlight w:val="none"/>
                <w14:textFill>
                  <w14:solidFill>
                    <w14:schemeClr w14:val="tx1"/>
                  </w14:solidFill>
                </w14:textFill>
              </w:rPr>
            </w:pPr>
          </w:p>
        </w:tc>
        <w:tc>
          <w:tcPr>
            <w:tcW w:w="1837" w:type="dxa"/>
            <w:gridSpan w:val="4"/>
            <w:noWrap w:val="0"/>
            <w:vAlign w:val="center"/>
          </w:tcPr>
          <w:p w14:paraId="2A811B7B">
            <w:pPr>
              <w:jc w:val="center"/>
              <w:rPr>
                <w:color w:val="000000" w:themeColor="text1"/>
                <w:highlight w:val="none"/>
                <w14:textFill>
                  <w14:solidFill>
                    <w14:schemeClr w14:val="tx1"/>
                  </w14:solidFill>
                </w14:textFill>
              </w:rPr>
            </w:pPr>
          </w:p>
        </w:tc>
        <w:tc>
          <w:tcPr>
            <w:tcW w:w="1472" w:type="dxa"/>
            <w:gridSpan w:val="3"/>
            <w:noWrap w:val="0"/>
            <w:vAlign w:val="center"/>
          </w:tcPr>
          <w:p w14:paraId="592E1C82">
            <w:pPr>
              <w:jc w:val="center"/>
              <w:rPr>
                <w:color w:val="000000" w:themeColor="text1"/>
                <w:highlight w:val="none"/>
                <w14:textFill>
                  <w14:solidFill>
                    <w14:schemeClr w14:val="tx1"/>
                  </w14:solidFill>
                </w14:textFill>
              </w:rPr>
            </w:pPr>
          </w:p>
        </w:tc>
        <w:tc>
          <w:tcPr>
            <w:tcW w:w="1641" w:type="dxa"/>
            <w:gridSpan w:val="4"/>
            <w:noWrap w:val="0"/>
            <w:vAlign w:val="center"/>
          </w:tcPr>
          <w:p w14:paraId="0D377415">
            <w:pPr>
              <w:jc w:val="center"/>
              <w:rPr>
                <w:color w:val="000000" w:themeColor="text1"/>
                <w:highlight w:val="none"/>
                <w14:textFill>
                  <w14:solidFill>
                    <w14:schemeClr w14:val="tx1"/>
                  </w14:solidFill>
                </w14:textFill>
              </w:rPr>
            </w:pPr>
          </w:p>
        </w:tc>
        <w:tc>
          <w:tcPr>
            <w:tcW w:w="1484" w:type="dxa"/>
            <w:gridSpan w:val="2"/>
            <w:noWrap w:val="0"/>
            <w:vAlign w:val="center"/>
          </w:tcPr>
          <w:p w14:paraId="3A9D0499">
            <w:pPr>
              <w:jc w:val="center"/>
              <w:rPr>
                <w:color w:val="000000" w:themeColor="text1"/>
                <w:highlight w:val="none"/>
                <w14:textFill>
                  <w14:solidFill>
                    <w14:schemeClr w14:val="tx1"/>
                  </w14:solidFill>
                </w14:textFill>
              </w:rPr>
            </w:pPr>
          </w:p>
        </w:tc>
      </w:tr>
      <w:tr w14:paraId="2719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66B098DC">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noWrap w:val="0"/>
            <w:vAlign w:val="center"/>
          </w:tcPr>
          <w:p w14:paraId="5AAE443E">
            <w:pPr>
              <w:jc w:val="center"/>
              <w:rPr>
                <w:color w:val="000000" w:themeColor="text1"/>
                <w:highlight w:val="none"/>
                <w14:textFill>
                  <w14:solidFill>
                    <w14:schemeClr w14:val="tx1"/>
                  </w14:solidFill>
                </w14:textFill>
              </w:rPr>
            </w:pPr>
          </w:p>
        </w:tc>
        <w:tc>
          <w:tcPr>
            <w:tcW w:w="1837" w:type="dxa"/>
            <w:gridSpan w:val="4"/>
            <w:noWrap w:val="0"/>
            <w:vAlign w:val="center"/>
          </w:tcPr>
          <w:p w14:paraId="45CDE358">
            <w:pPr>
              <w:jc w:val="center"/>
              <w:rPr>
                <w:color w:val="000000" w:themeColor="text1"/>
                <w:highlight w:val="none"/>
                <w14:textFill>
                  <w14:solidFill>
                    <w14:schemeClr w14:val="tx1"/>
                  </w14:solidFill>
                </w14:textFill>
              </w:rPr>
            </w:pPr>
          </w:p>
        </w:tc>
        <w:tc>
          <w:tcPr>
            <w:tcW w:w="1472" w:type="dxa"/>
            <w:gridSpan w:val="3"/>
            <w:noWrap w:val="0"/>
            <w:vAlign w:val="center"/>
          </w:tcPr>
          <w:p w14:paraId="39C5877C">
            <w:pPr>
              <w:jc w:val="center"/>
              <w:rPr>
                <w:color w:val="000000" w:themeColor="text1"/>
                <w:highlight w:val="none"/>
                <w14:textFill>
                  <w14:solidFill>
                    <w14:schemeClr w14:val="tx1"/>
                  </w14:solidFill>
                </w14:textFill>
              </w:rPr>
            </w:pPr>
          </w:p>
        </w:tc>
        <w:tc>
          <w:tcPr>
            <w:tcW w:w="1641" w:type="dxa"/>
            <w:gridSpan w:val="4"/>
            <w:noWrap w:val="0"/>
            <w:vAlign w:val="center"/>
          </w:tcPr>
          <w:p w14:paraId="44B456FF">
            <w:pPr>
              <w:jc w:val="center"/>
              <w:rPr>
                <w:color w:val="000000" w:themeColor="text1"/>
                <w:highlight w:val="none"/>
                <w14:textFill>
                  <w14:solidFill>
                    <w14:schemeClr w14:val="tx1"/>
                  </w14:solidFill>
                </w14:textFill>
              </w:rPr>
            </w:pPr>
          </w:p>
        </w:tc>
        <w:tc>
          <w:tcPr>
            <w:tcW w:w="1484" w:type="dxa"/>
            <w:gridSpan w:val="2"/>
            <w:noWrap w:val="0"/>
            <w:vAlign w:val="center"/>
          </w:tcPr>
          <w:p w14:paraId="522CD026">
            <w:pPr>
              <w:jc w:val="center"/>
              <w:rPr>
                <w:color w:val="000000" w:themeColor="text1"/>
                <w:highlight w:val="none"/>
                <w14:textFill>
                  <w14:solidFill>
                    <w14:schemeClr w14:val="tx1"/>
                  </w14:solidFill>
                </w14:textFill>
              </w:rPr>
            </w:pPr>
          </w:p>
        </w:tc>
      </w:tr>
      <w:tr w14:paraId="6819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0506B83">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noWrap w:val="0"/>
            <w:vAlign w:val="center"/>
          </w:tcPr>
          <w:p w14:paraId="2FCF337B">
            <w:pPr>
              <w:jc w:val="center"/>
              <w:rPr>
                <w:color w:val="000000" w:themeColor="text1"/>
                <w:highlight w:val="none"/>
                <w14:textFill>
                  <w14:solidFill>
                    <w14:schemeClr w14:val="tx1"/>
                  </w14:solidFill>
                </w14:textFill>
              </w:rPr>
            </w:pPr>
          </w:p>
        </w:tc>
        <w:tc>
          <w:tcPr>
            <w:tcW w:w="1837" w:type="dxa"/>
            <w:gridSpan w:val="4"/>
            <w:noWrap w:val="0"/>
            <w:vAlign w:val="center"/>
          </w:tcPr>
          <w:p w14:paraId="52250D1D">
            <w:pPr>
              <w:jc w:val="center"/>
              <w:rPr>
                <w:color w:val="000000" w:themeColor="text1"/>
                <w:highlight w:val="none"/>
                <w14:textFill>
                  <w14:solidFill>
                    <w14:schemeClr w14:val="tx1"/>
                  </w14:solidFill>
                </w14:textFill>
              </w:rPr>
            </w:pPr>
          </w:p>
        </w:tc>
        <w:tc>
          <w:tcPr>
            <w:tcW w:w="1472" w:type="dxa"/>
            <w:gridSpan w:val="3"/>
            <w:noWrap w:val="0"/>
            <w:vAlign w:val="center"/>
          </w:tcPr>
          <w:p w14:paraId="14B2840A">
            <w:pPr>
              <w:jc w:val="center"/>
              <w:rPr>
                <w:color w:val="000000" w:themeColor="text1"/>
                <w:highlight w:val="none"/>
                <w14:textFill>
                  <w14:solidFill>
                    <w14:schemeClr w14:val="tx1"/>
                  </w14:solidFill>
                </w14:textFill>
              </w:rPr>
            </w:pPr>
          </w:p>
        </w:tc>
        <w:tc>
          <w:tcPr>
            <w:tcW w:w="1641" w:type="dxa"/>
            <w:gridSpan w:val="4"/>
            <w:noWrap w:val="0"/>
            <w:vAlign w:val="center"/>
          </w:tcPr>
          <w:p w14:paraId="697E2F07">
            <w:pPr>
              <w:jc w:val="center"/>
              <w:rPr>
                <w:color w:val="000000" w:themeColor="text1"/>
                <w:highlight w:val="none"/>
                <w14:textFill>
                  <w14:solidFill>
                    <w14:schemeClr w14:val="tx1"/>
                  </w14:solidFill>
                </w14:textFill>
              </w:rPr>
            </w:pPr>
          </w:p>
        </w:tc>
        <w:tc>
          <w:tcPr>
            <w:tcW w:w="1484" w:type="dxa"/>
            <w:gridSpan w:val="2"/>
            <w:noWrap w:val="0"/>
            <w:vAlign w:val="center"/>
          </w:tcPr>
          <w:p w14:paraId="5E56BA55">
            <w:pPr>
              <w:jc w:val="center"/>
              <w:rPr>
                <w:color w:val="000000" w:themeColor="text1"/>
                <w:highlight w:val="none"/>
                <w14:textFill>
                  <w14:solidFill>
                    <w14:schemeClr w14:val="tx1"/>
                  </w14:solidFill>
                </w14:textFill>
              </w:rPr>
            </w:pPr>
          </w:p>
        </w:tc>
      </w:tr>
      <w:tr w14:paraId="1F28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04D7E058">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noWrap w:val="0"/>
            <w:vAlign w:val="center"/>
          </w:tcPr>
          <w:p w14:paraId="30119F1E">
            <w:pPr>
              <w:jc w:val="center"/>
              <w:rPr>
                <w:color w:val="000000" w:themeColor="text1"/>
                <w:highlight w:val="none"/>
                <w14:textFill>
                  <w14:solidFill>
                    <w14:schemeClr w14:val="tx1"/>
                  </w14:solidFill>
                </w14:textFill>
              </w:rPr>
            </w:pPr>
          </w:p>
        </w:tc>
        <w:tc>
          <w:tcPr>
            <w:tcW w:w="1837" w:type="dxa"/>
            <w:gridSpan w:val="4"/>
            <w:noWrap w:val="0"/>
            <w:vAlign w:val="center"/>
          </w:tcPr>
          <w:p w14:paraId="4C0FB460">
            <w:pPr>
              <w:jc w:val="center"/>
              <w:rPr>
                <w:color w:val="000000" w:themeColor="text1"/>
                <w:highlight w:val="none"/>
                <w14:textFill>
                  <w14:solidFill>
                    <w14:schemeClr w14:val="tx1"/>
                  </w14:solidFill>
                </w14:textFill>
              </w:rPr>
            </w:pPr>
          </w:p>
        </w:tc>
        <w:tc>
          <w:tcPr>
            <w:tcW w:w="1472" w:type="dxa"/>
            <w:gridSpan w:val="3"/>
            <w:noWrap w:val="0"/>
            <w:vAlign w:val="center"/>
          </w:tcPr>
          <w:p w14:paraId="460BBDDB">
            <w:pPr>
              <w:jc w:val="center"/>
              <w:rPr>
                <w:color w:val="000000" w:themeColor="text1"/>
                <w:highlight w:val="none"/>
                <w14:textFill>
                  <w14:solidFill>
                    <w14:schemeClr w14:val="tx1"/>
                  </w14:solidFill>
                </w14:textFill>
              </w:rPr>
            </w:pPr>
          </w:p>
        </w:tc>
        <w:tc>
          <w:tcPr>
            <w:tcW w:w="1641" w:type="dxa"/>
            <w:gridSpan w:val="4"/>
            <w:noWrap w:val="0"/>
            <w:vAlign w:val="center"/>
          </w:tcPr>
          <w:p w14:paraId="5798FEFC">
            <w:pPr>
              <w:jc w:val="center"/>
              <w:rPr>
                <w:color w:val="000000" w:themeColor="text1"/>
                <w:highlight w:val="none"/>
                <w14:textFill>
                  <w14:solidFill>
                    <w14:schemeClr w14:val="tx1"/>
                  </w14:solidFill>
                </w14:textFill>
              </w:rPr>
            </w:pPr>
          </w:p>
        </w:tc>
        <w:tc>
          <w:tcPr>
            <w:tcW w:w="1484" w:type="dxa"/>
            <w:gridSpan w:val="2"/>
            <w:noWrap w:val="0"/>
            <w:vAlign w:val="center"/>
          </w:tcPr>
          <w:p w14:paraId="3B2ABD44">
            <w:pPr>
              <w:jc w:val="center"/>
              <w:rPr>
                <w:color w:val="000000" w:themeColor="text1"/>
                <w:highlight w:val="none"/>
                <w14:textFill>
                  <w14:solidFill>
                    <w14:schemeClr w14:val="tx1"/>
                  </w14:solidFill>
                </w14:textFill>
              </w:rPr>
            </w:pPr>
          </w:p>
        </w:tc>
      </w:tr>
    </w:tbl>
    <w:p w14:paraId="00E2828B">
      <w:pPr>
        <w:spacing w:line="360" w:lineRule="auto"/>
        <w:rPr>
          <w:rFonts w:ascii="宋体" w:hAnsi="宋体"/>
          <w:color w:val="000000" w:themeColor="text1"/>
          <w:highlight w:val="none"/>
          <w14:textFill>
            <w14:solidFill>
              <w14:schemeClr w14:val="tx1"/>
            </w14:solidFill>
          </w14:textFill>
        </w:rPr>
      </w:pPr>
      <w:r>
        <w:rPr>
          <w:rFonts w:hint="eastAsia" w:ascii="宋体" w:hAnsi="宋体" w:cs="楷体_GB2312"/>
          <w:color w:val="000000" w:themeColor="text1"/>
          <w:highlight w:val="none"/>
          <w14:textFill>
            <w14:solidFill>
              <w14:schemeClr w14:val="tx1"/>
            </w14:solidFill>
          </w14:textFill>
        </w:rPr>
        <w:t>备注：</w:t>
      </w:r>
    </w:p>
    <w:p w14:paraId="7D6DBAAC">
      <w:pPr>
        <w:spacing w:line="360" w:lineRule="auto"/>
        <w:ind w:firstLine="42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1.供应商可以根据项目情况增减表格内容，项目数可以根据需要增加。</w:t>
      </w:r>
    </w:p>
    <w:p w14:paraId="26861EAA">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本表后附专职安全生产管理人员的学历证、安全生产考核合格证（C类）、本表所列证书复印件并加盖供应商电子签章。</w:t>
      </w:r>
    </w:p>
    <w:p w14:paraId="38D4D55E">
      <w:pPr>
        <w:spacing w:line="360" w:lineRule="auto"/>
        <w:rPr>
          <w:rFonts w:hint="eastAsia" w:ascii="宋体" w:hAnsi="宋体"/>
          <w:color w:val="000000" w:themeColor="text1"/>
          <w:szCs w:val="21"/>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br w:type="page" w:clear="all"/>
      </w:r>
      <w:r>
        <w:rPr>
          <w:rFonts w:hint="eastAsia" w:ascii="宋体" w:hAnsi="宋体"/>
          <w:b/>
          <w:bCs/>
          <w:color w:val="000000" w:themeColor="text1"/>
          <w:sz w:val="24"/>
          <w:highlight w:val="none"/>
          <w14:textFill>
            <w14:solidFill>
              <w14:schemeClr w14:val="tx1"/>
            </w14:solidFill>
          </w14:textFill>
        </w:rPr>
        <w:t>其他文书、文件格式</w:t>
      </w:r>
    </w:p>
    <w:p w14:paraId="580A5196">
      <w:pPr>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bookmarkStart w:id="163" w:name="_Toc71365926"/>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中小企业声明函（工程）</w:t>
      </w:r>
      <w:bookmarkEnd w:id="163"/>
    </w:p>
    <w:p w14:paraId="1EE8CA8D">
      <w:pPr>
        <w:spacing w:before="2" w:line="500" w:lineRule="exact"/>
        <w:ind w:firstLine="708"/>
        <w:rPr>
          <w:rFonts w:hint="eastAsia" w:ascii="宋体" w:hAnsi="宋体" w:cs="宋体"/>
          <w:b/>
          <w:bCs/>
          <w:color w:val="000000" w:themeColor="text1"/>
          <w:sz w:val="24"/>
          <w:highlight w:val="none"/>
          <w14:textFill>
            <w14:solidFill>
              <w14:schemeClr w14:val="tx1"/>
            </w14:solidFill>
          </w14:textFill>
        </w:rPr>
      </w:pPr>
    </w:p>
    <w:p w14:paraId="63AF3BA4">
      <w:pPr>
        <w:pStyle w:val="18"/>
        <w:spacing w:line="500" w:lineRule="exact"/>
        <w:ind w:right="142" w:firstLine="70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sz w:val="24"/>
          <w:highlight w:val="none"/>
          <w:u w:val="single"/>
          <w14:textFill>
            <w14:solidFill>
              <w14:schemeClr w14:val="tx1"/>
            </w14:solidFill>
          </w14:textFill>
        </w:rPr>
        <w:t>（单位名称）</w:t>
      </w:r>
      <w:r>
        <w:rPr>
          <w:rFonts w:ascii="宋体" w:hAnsi="宋体"/>
          <w:color w:val="000000" w:themeColor="text1"/>
          <w:sz w:val="24"/>
          <w:highlight w:val="none"/>
          <w14:textFill>
            <w14:solidFill>
              <w14:schemeClr w14:val="tx1"/>
            </w14:solidFill>
          </w14:textFill>
        </w:rPr>
        <w:t>的</w:t>
      </w:r>
      <w:r>
        <w:rPr>
          <w:rFonts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14:textFill>
            <w14:solidFill>
              <w14:schemeClr w14:val="tx1"/>
            </w14:solidFill>
          </w14:textFill>
        </w:rPr>
        <w:t>采购活动，</w:t>
      </w:r>
      <w:r>
        <w:rPr>
          <w:rFonts w:hint="eastAsia" w:ascii="宋体" w:hAnsi="宋体"/>
          <w:color w:val="000000" w:themeColor="text1"/>
          <w:sz w:val="24"/>
          <w:highlight w:val="none"/>
          <w14:textFill>
            <w14:solidFill>
              <w14:schemeClr w14:val="tx1"/>
            </w14:solidFill>
          </w14:textFill>
        </w:rPr>
        <w:t>工程的施工单位全部为符合政策要求的中小企业。相关企业（含联合体中的中小企业、签订分包意向协议的中小企业）的具体情况如下：</w:t>
      </w:r>
    </w:p>
    <w:p w14:paraId="548FFA2A">
      <w:pPr>
        <w:tabs>
          <w:tab w:val="left" w:pos="1384"/>
          <w:tab w:val="left" w:pos="4562"/>
          <w:tab w:val="left" w:pos="6803"/>
        </w:tabs>
        <w:spacing w:before="13" w:line="500" w:lineRule="exact"/>
        <w:ind w:right="142" w:firstLine="772"/>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w:t>
      </w:r>
      <w:r>
        <w:rPr>
          <w:rFonts w:hint="eastAsia" w:ascii="宋体" w:hAnsi="宋体"/>
          <w:color w:val="000000" w:themeColor="text1"/>
          <w:sz w:val="24"/>
          <w:highlight w:val="none"/>
          <w:u w:val="single"/>
          <w14:textFill>
            <w14:solidFill>
              <w14:schemeClr w14:val="tx1"/>
            </w14:solidFill>
          </w14:textFill>
        </w:rPr>
        <w:t>行</w:t>
      </w:r>
      <w:r>
        <w:rPr>
          <w:rFonts w:ascii="宋体" w:hAnsi="宋体"/>
          <w:color w:val="000000" w:themeColor="text1"/>
          <w:sz w:val="24"/>
          <w:highlight w:val="none"/>
          <w:u w:val="single"/>
          <w14:textFill>
            <w14:solidFill>
              <w14:schemeClr w14:val="tx1"/>
            </w14:solidFill>
          </w14:textFill>
        </w:rPr>
        <w:t>业）</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承建企业为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，从业人员人，营业收入为万元，资产总额为万元</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（中型企业、</w:t>
      </w:r>
      <w:r>
        <w:rPr>
          <w:rFonts w:hint="eastAsia" w:ascii="宋体" w:hAnsi="宋体"/>
          <w:color w:val="000000" w:themeColor="text1"/>
          <w:sz w:val="24"/>
          <w:highlight w:val="none"/>
          <w:u w:val="single"/>
          <w14:textFill>
            <w14:solidFill>
              <w14:schemeClr w14:val="tx1"/>
            </w14:solidFill>
          </w14:textFill>
        </w:rPr>
        <w:t>小型企业、微型企业）</w:t>
      </w:r>
      <w:r>
        <w:rPr>
          <w:rFonts w:hint="eastAsia" w:ascii="宋体" w:hAnsi="宋体"/>
          <w:color w:val="000000" w:themeColor="text1"/>
          <w:sz w:val="24"/>
          <w:highlight w:val="none"/>
          <w14:textFill>
            <w14:solidFill>
              <w14:schemeClr w14:val="tx1"/>
            </w14:solidFill>
          </w14:textFill>
        </w:rPr>
        <w:t>；</w:t>
      </w:r>
    </w:p>
    <w:p w14:paraId="327CF334">
      <w:pPr>
        <w:tabs>
          <w:tab w:val="left" w:pos="1065"/>
          <w:tab w:val="left" w:pos="4262"/>
          <w:tab w:val="left" w:pos="6477"/>
        </w:tabs>
        <w:spacing w:before="20" w:line="500" w:lineRule="exact"/>
        <w:ind w:right="84" w:firstLine="772"/>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w:t>
      </w:r>
      <w:r>
        <w:rPr>
          <w:rFonts w:hint="eastAsia" w:ascii="宋体" w:hAnsi="宋体"/>
          <w:color w:val="000000" w:themeColor="text1"/>
          <w:sz w:val="24"/>
          <w:highlight w:val="none"/>
          <w:u w:val="single"/>
          <w14:textFill>
            <w14:solidFill>
              <w14:schemeClr w14:val="tx1"/>
            </w14:solidFill>
          </w14:textFill>
        </w:rPr>
        <w:t>行业</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承建企业为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，从业人员人，营业收入为万元，资产总额为万元</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（中型企业、</w:t>
      </w:r>
      <w:r>
        <w:rPr>
          <w:rFonts w:hint="eastAsia" w:ascii="宋体" w:hAnsi="宋体"/>
          <w:color w:val="000000" w:themeColor="text1"/>
          <w:sz w:val="24"/>
          <w:highlight w:val="none"/>
          <w:u w:val="single"/>
          <w14:textFill>
            <w14:solidFill>
              <w14:schemeClr w14:val="tx1"/>
            </w14:solidFill>
          </w14:textFill>
        </w:rPr>
        <w:t>小型企业、微型企业）</w:t>
      </w:r>
      <w:r>
        <w:rPr>
          <w:rFonts w:hint="eastAsia" w:ascii="宋体" w:hAnsi="宋体"/>
          <w:color w:val="000000" w:themeColor="text1"/>
          <w:sz w:val="24"/>
          <w:highlight w:val="none"/>
          <w14:textFill>
            <w14:solidFill>
              <w14:schemeClr w14:val="tx1"/>
            </w14:solidFill>
          </w14:textFill>
        </w:rPr>
        <w:t>；</w:t>
      </w:r>
    </w:p>
    <w:p w14:paraId="7E8AD27A">
      <w:pPr>
        <w:pStyle w:val="18"/>
        <w:spacing w:before="34" w:line="500" w:lineRule="exact"/>
        <w:ind w:right="142" w:firstLine="70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p>
    <w:p w14:paraId="2EB98231">
      <w:pPr>
        <w:pStyle w:val="18"/>
        <w:spacing w:before="34" w:line="500" w:lineRule="exact"/>
        <w:ind w:right="142" w:firstLine="70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1DC44C9F">
      <w:pPr>
        <w:pStyle w:val="18"/>
        <w:spacing w:before="25" w:line="500" w:lineRule="exact"/>
        <w:ind w:right="142" w:firstLine="70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本企业对上述声明内容的真实性负责。如有虚假，将依法承担相应责任。</w:t>
      </w:r>
    </w:p>
    <w:p w14:paraId="0EBC39CB">
      <w:pPr>
        <w:pStyle w:val="18"/>
        <w:spacing w:before="56" w:line="500" w:lineRule="exact"/>
        <w:ind w:right="1808" w:firstLine="705"/>
        <w:rPr>
          <w:rFonts w:hint="eastAsia" w:ascii="宋体" w:hAnsi="宋体"/>
          <w:color w:val="000000" w:themeColor="text1"/>
          <w:sz w:val="24"/>
          <w:highlight w:val="none"/>
          <w14:textFill>
            <w14:solidFill>
              <w14:schemeClr w14:val="tx1"/>
            </w14:solidFill>
          </w14:textFill>
        </w:rPr>
      </w:pPr>
    </w:p>
    <w:p w14:paraId="6601E5E7">
      <w:pPr>
        <w:pStyle w:val="18"/>
        <w:spacing w:before="56" w:line="500" w:lineRule="exact"/>
        <w:ind w:right="650" w:firstLine="562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企业名称（章）： </w:t>
      </w:r>
    </w:p>
    <w:p w14:paraId="71DDC1DB">
      <w:pPr>
        <w:pStyle w:val="18"/>
        <w:spacing w:before="56" w:line="500" w:lineRule="exact"/>
        <w:ind w:right="1808" w:firstLine="562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日 期：</w:t>
      </w:r>
    </w:p>
    <w:p w14:paraId="6362E0D3">
      <w:pPr>
        <w:spacing w:line="520" w:lineRule="exact"/>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357D8A4">
      <w:pPr>
        <w:spacing w:line="52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残疾人福利性单位声明函</w:t>
      </w:r>
    </w:p>
    <w:p w14:paraId="3C1EEB30">
      <w:pPr>
        <w:spacing w:line="360" w:lineRule="auto"/>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09316197">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6798677">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本单位对上述声明的真实性负责。如有虚假，将依法承担相应责任。</w:t>
      </w:r>
    </w:p>
    <w:p w14:paraId="3F286E4E">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0D1C6F78">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16ED0CDD">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1F132B97">
      <w:pPr>
        <w:spacing w:line="360" w:lineRule="auto"/>
        <w:ind w:firstLine="24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单位名称（盖章）：</w:t>
      </w:r>
    </w:p>
    <w:p w14:paraId="3D7C0743">
      <w:pPr>
        <w:spacing w:line="360" w:lineRule="auto"/>
        <w:ind w:firstLine="36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  期：</w:t>
      </w:r>
    </w:p>
    <w:p w14:paraId="5A2F7326">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69616287">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580DBA32">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21ACF23F">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02D62BD0">
      <w:pPr>
        <w:spacing w:line="360" w:lineRule="auto"/>
        <w:jc w:val="center"/>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p>
    <w:p w14:paraId="3AD6B97E">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14:paraId="5C9AC383">
      <w:pPr>
        <w:pStyle w:val="24"/>
        <w:spacing w:line="360" w:lineRule="auto"/>
        <w:ind w:firstLine="482"/>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45DC5DAC">
      <w:pPr>
        <w:pStyle w:val="24"/>
        <w:spacing w:line="360" w:lineRule="auto"/>
        <w:ind w:firstLine="480"/>
        <w:contextualSpacing/>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7BD08F4">
      <w:pPr>
        <w:pStyle w:val="24"/>
        <w:spacing w:line="360" w:lineRule="auto"/>
        <w:ind w:firstLine="48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520E1E8E">
      <w:pPr>
        <w:pStyle w:val="24"/>
        <w:spacing w:line="360" w:lineRule="auto"/>
        <w:ind w:firstLine="48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2EEE8EE4">
      <w:pPr>
        <w:pStyle w:val="24"/>
        <w:spacing w:line="360" w:lineRule="auto"/>
        <w:ind w:firstLine="480"/>
        <w:contextualSpacing/>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p>
    <w:p w14:paraId="7632B5F7">
      <w:pPr>
        <w:pStyle w:val="24"/>
        <w:spacing w:line="360" w:lineRule="auto"/>
        <w:ind w:firstLine="480"/>
        <w:contextualSpacing/>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20F23262">
      <w:pPr>
        <w:pStyle w:val="24"/>
        <w:spacing w:line="360" w:lineRule="auto"/>
        <w:ind w:firstLine="48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23DDD300">
      <w:pPr>
        <w:pStyle w:val="24"/>
        <w:spacing w:line="360" w:lineRule="auto"/>
        <w:ind w:firstLine="482"/>
        <w:contextualSpacing/>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730B738F">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6D982164">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027AF6DB">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42342A33">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69A41638">
      <w:pPr>
        <w:pStyle w:val="24"/>
        <w:spacing w:line="360" w:lineRule="auto"/>
        <w:ind w:left="25" w:firstLine="35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□采购文件   采购文件获取日期：</w:t>
      </w:r>
      <w:r>
        <w:rPr>
          <w:rFonts w:hint="eastAsia" w:hAnsi="宋体"/>
          <w:bCs/>
          <w:color w:val="000000" w:themeColor="text1"/>
          <w:sz w:val="24"/>
          <w:szCs w:val="24"/>
          <w:highlight w:val="none"/>
          <w:u w:val="single"/>
          <w14:textFill>
            <w14:solidFill>
              <w14:schemeClr w14:val="tx1"/>
            </w14:solidFill>
          </w14:textFill>
        </w:rPr>
        <w:t xml:space="preserve">                                   </w:t>
      </w:r>
    </w:p>
    <w:p w14:paraId="41B16796">
      <w:pPr>
        <w:pStyle w:val="24"/>
        <w:spacing w:line="360" w:lineRule="auto"/>
        <w:ind w:left="25" w:firstLine="35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□采购过程   </w:t>
      </w:r>
    </w:p>
    <w:p w14:paraId="75A877ED">
      <w:pPr>
        <w:pStyle w:val="24"/>
        <w:spacing w:line="360" w:lineRule="auto"/>
        <w:ind w:left="25" w:firstLine="352"/>
        <w:contextualSpacing/>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□成交结果   </w:t>
      </w:r>
    </w:p>
    <w:p w14:paraId="11B7C91E">
      <w:pPr>
        <w:pStyle w:val="24"/>
        <w:spacing w:line="360" w:lineRule="auto"/>
        <w:ind w:left="25" w:firstLine="472"/>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5BBBD191">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r>
        <w:rPr>
          <w:rFonts w:hint="eastAsia" w:hAnsi="宋体"/>
          <w:bCs/>
          <w:color w:val="000000" w:themeColor="text1"/>
          <w:sz w:val="24"/>
          <w:szCs w:val="24"/>
          <w:highlight w:val="none"/>
          <w:u w:val="single"/>
          <w14:textFill>
            <w14:solidFill>
              <w14:schemeClr w14:val="tx1"/>
            </w14:solidFill>
          </w14:textFill>
        </w:rPr>
        <w:t xml:space="preserve">                                                                    </w:t>
      </w:r>
    </w:p>
    <w:p w14:paraId="5F0809B2">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r>
        <w:rPr>
          <w:rFonts w:hint="eastAsia" w:hAnsi="宋体"/>
          <w:bCs/>
          <w:color w:val="000000" w:themeColor="text1"/>
          <w:sz w:val="24"/>
          <w:szCs w:val="24"/>
          <w:highlight w:val="none"/>
          <w:u w:val="single"/>
          <w14:textFill>
            <w14:solidFill>
              <w14:schemeClr w14:val="tx1"/>
            </w14:solidFill>
          </w14:textFill>
        </w:rPr>
        <w:t xml:space="preserve">                                                                      </w:t>
      </w:r>
    </w:p>
    <w:p w14:paraId="1B61AB4D">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1FCD9685">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3AFDB5A4">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14:paraId="6B327C79">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7C438CE9">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3AC3B07D">
      <w:pPr>
        <w:pStyle w:val="24"/>
        <w:spacing w:line="360" w:lineRule="auto"/>
        <w:ind w:left="25" w:firstLine="352"/>
        <w:contextualSpacing/>
        <w:rPr>
          <w:rFonts w:hint="eastAsia" w:hAnsi="宋体"/>
          <w:color w:val="000000" w:themeColor="text1"/>
          <w:sz w:val="24"/>
          <w:szCs w:val="24"/>
          <w:highlight w:val="none"/>
          <w14:textFill>
            <w14:solidFill>
              <w14:schemeClr w14:val="tx1"/>
            </w14:solidFill>
          </w14:textFill>
        </w:rPr>
      </w:pPr>
    </w:p>
    <w:p w14:paraId="0A69D98E">
      <w:pPr>
        <w:pStyle w:val="24"/>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62B7DB13">
      <w:pPr>
        <w:pStyle w:val="24"/>
        <w:spacing w:line="360" w:lineRule="auto"/>
        <w:ind w:firstLine="480"/>
        <w:contextualSpacing/>
        <w:rPr>
          <w:rFonts w:hint="eastAsia"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3D0F7A30">
      <w:pPr>
        <w:pStyle w:val="24"/>
        <w:spacing w:line="360" w:lineRule="auto"/>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3C6BF036">
      <w:pPr>
        <w:pStyle w:val="24"/>
        <w:spacing w:line="360" w:lineRule="auto"/>
        <w:ind w:left="25" w:firstLine="354"/>
        <w:contextualSpacing/>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3B01219B">
      <w:pPr>
        <w:pStyle w:val="24"/>
        <w:spacing w:line="360" w:lineRule="auto"/>
        <w:ind w:left="25" w:firstLine="354"/>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BAF63BC">
      <w:pPr>
        <w:pStyle w:val="24"/>
        <w:spacing w:line="360" w:lineRule="auto"/>
        <w:ind w:left="25" w:firstLine="354"/>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57E71139">
      <w:pPr>
        <w:pStyle w:val="24"/>
        <w:spacing w:line="360" w:lineRule="auto"/>
        <w:ind w:left="25" w:firstLine="354"/>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7B566B17">
      <w:pPr>
        <w:pStyle w:val="24"/>
        <w:spacing w:line="360" w:lineRule="auto"/>
        <w:ind w:left="25" w:firstLine="354"/>
        <w:contextualSpacing/>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261BBF92">
      <w:pPr>
        <w:pStyle w:val="24"/>
        <w:rPr>
          <w:rFonts w:hint="eastAsia"/>
          <w:b/>
          <w:color w:val="000000" w:themeColor="text1"/>
          <w:sz w:val="24"/>
          <w:szCs w:val="24"/>
          <w:highlight w:val="none"/>
          <w14:textFill>
            <w14:solidFill>
              <w14:schemeClr w14:val="tx1"/>
            </w14:solidFill>
          </w14:textFill>
        </w:rPr>
      </w:pPr>
    </w:p>
    <w:p w14:paraId="651FB5F9">
      <w:pPr>
        <w:rPr>
          <w:rFonts w:hint="eastAsia"/>
          <w:color w:val="000000" w:themeColor="text1"/>
          <w:sz w:val="32"/>
          <w:szCs w:val="40"/>
          <w:highlight w:val="none"/>
          <w14:textFill>
            <w14:solidFill>
              <w14:schemeClr w14:val="tx1"/>
            </w14:solidFill>
          </w14:textFill>
        </w:rPr>
      </w:pPr>
    </w:p>
    <w:p w14:paraId="3A589AA2">
      <w:pPr>
        <w:rPr>
          <w:rFonts w:hint="eastAsia"/>
          <w:color w:val="000000" w:themeColor="text1"/>
          <w:sz w:val="32"/>
          <w:szCs w:val="40"/>
          <w:highlight w:val="none"/>
          <w14:textFill>
            <w14:solidFill>
              <w14:schemeClr w14:val="tx1"/>
            </w14:solidFill>
          </w14:textFill>
        </w:rPr>
      </w:pPr>
    </w:p>
    <w:p w14:paraId="6C97E45F">
      <w:pPr>
        <w:rPr>
          <w:rFonts w:hint="eastAsia"/>
          <w:color w:val="000000" w:themeColor="text1"/>
          <w:sz w:val="32"/>
          <w:szCs w:val="40"/>
          <w:highlight w:val="none"/>
          <w14:textFill>
            <w14:solidFill>
              <w14:schemeClr w14:val="tx1"/>
            </w14:solidFill>
          </w14:textFill>
        </w:rPr>
      </w:pPr>
    </w:p>
    <w:p w14:paraId="653D1084">
      <w:pPr>
        <w:rPr>
          <w:rFonts w:hint="eastAsia"/>
          <w:color w:val="000000" w:themeColor="text1"/>
          <w:sz w:val="32"/>
          <w:szCs w:val="40"/>
          <w:highlight w:val="none"/>
          <w14:textFill>
            <w14:solidFill>
              <w14:schemeClr w14:val="tx1"/>
            </w14:solidFill>
          </w14:textFill>
        </w:rPr>
      </w:pPr>
    </w:p>
    <w:p w14:paraId="10B608DD">
      <w:pPr>
        <w:rPr>
          <w:rFonts w:hint="eastAsia"/>
          <w:color w:val="000000" w:themeColor="text1"/>
          <w:sz w:val="32"/>
          <w:szCs w:val="40"/>
          <w:highlight w:val="none"/>
          <w14:textFill>
            <w14:solidFill>
              <w14:schemeClr w14:val="tx1"/>
            </w14:solidFill>
          </w14:textFill>
        </w:rPr>
      </w:pPr>
    </w:p>
    <w:p w14:paraId="404BF66A">
      <w:pPr>
        <w:rPr>
          <w:rFonts w:hint="eastAsia"/>
          <w:color w:val="000000" w:themeColor="text1"/>
          <w:sz w:val="32"/>
          <w:szCs w:val="40"/>
          <w:highlight w:val="none"/>
          <w14:textFill>
            <w14:solidFill>
              <w14:schemeClr w14:val="tx1"/>
            </w14:solidFill>
          </w14:textFill>
        </w:rPr>
      </w:pPr>
    </w:p>
    <w:p w14:paraId="7D6F381D">
      <w:pPr>
        <w:rPr>
          <w:rFonts w:hint="eastAsia"/>
          <w:color w:val="000000" w:themeColor="text1"/>
          <w:sz w:val="32"/>
          <w:szCs w:val="40"/>
          <w:highlight w:val="none"/>
          <w14:textFill>
            <w14:solidFill>
              <w14:schemeClr w14:val="tx1"/>
            </w14:solidFill>
          </w14:textFill>
        </w:rPr>
      </w:pPr>
    </w:p>
    <w:p w14:paraId="05C9D004">
      <w:pPr>
        <w:rPr>
          <w:rFonts w:hint="eastAsia"/>
          <w:color w:val="000000" w:themeColor="text1"/>
          <w:sz w:val="32"/>
          <w:szCs w:val="40"/>
          <w:highlight w:val="none"/>
          <w14:textFill>
            <w14:solidFill>
              <w14:schemeClr w14:val="tx1"/>
            </w14:solidFill>
          </w14:textFill>
        </w:rPr>
      </w:pPr>
    </w:p>
    <w:p w14:paraId="53B3BE2B">
      <w:pPr>
        <w:rPr>
          <w:rFonts w:hint="eastAsia"/>
          <w:color w:val="000000" w:themeColor="text1"/>
          <w:sz w:val="32"/>
          <w:szCs w:val="40"/>
          <w:highlight w:val="none"/>
          <w14:textFill>
            <w14:solidFill>
              <w14:schemeClr w14:val="tx1"/>
            </w14:solidFill>
          </w14:textFill>
        </w:rPr>
      </w:pPr>
    </w:p>
    <w:p w14:paraId="08C0335A">
      <w:pPr>
        <w:rPr>
          <w:rFonts w:hint="eastAsia"/>
          <w:color w:val="000000" w:themeColor="text1"/>
          <w:sz w:val="32"/>
          <w:szCs w:val="40"/>
          <w:highlight w:val="none"/>
          <w14:textFill>
            <w14:solidFill>
              <w14:schemeClr w14:val="tx1"/>
            </w14:solidFill>
          </w14:textFill>
        </w:rPr>
      </w:pPr>
    </w:p>
    <w:p w14:paraId="38E549A9">
      <w:pPr>
        <w:rPr>
          <w:rFonts w:hint="eastAsia"/>
          <w:color w:val="000000" w:themeColor="text1"/>
          <w:sz w:val="32"/>
          <w:szCs w:val="40"/>
          <w:highlight w:val="none"/>
          <w14:textFill>
            <w14:solidFill>
              <w14:schemeClr w14:val="tx1"/>
            </w14:solidFill>
          </w14:textFill>
        </w:rPr>
      </w:pPr>
    </w:p>
    <w:p w14:paraId="30ED238B">
      <w:pPr>
        <w:rPr>
          <w:rFonts w:hint="eastAsia"/>
          <w:color w:val="000000" w:themeColor="text1"/>
          <w:sz w:val="32"/>
          <w:szCs w:val="40"/>
          <w:highlight w:val="none"/>
          <w14:textFill>
            <w14:solidFill>
              <w14:schemeClr w14:val="tx1"/>
            </w14:solidFill>
          </w14:textFill>
        </w:rPr>
      </w:pPr>
    </w:p>
    <w:p w14:paraId="681B61C5">
      <w:pPr>
        <w:rPr>
          <w:rFonts w:hint="eastAsia"/>
          <w:color w:val="000000" w:themeColor="text1"/>
          <w:sz w:val="32"/>
          <w:szCs w:val="40"/>
          <w:highlight w:val="none"/>
          <w14:textFill>
            <w14:solidFill>
              <w14:schemeClr w14:val="tx1"/>
            </w14:solidFill>
          </w14:textFill>
        </w:rPr>
      </w:pPr>
    </w:p>
    <w:p w14:paraId="0FA34874">
      <w:pPr>
        <w:rPr>
          <w:rFonts w:hint="eastAsia"/>
          <w:color w:val="000000" w:themeColor="text1"/>
          <w:sz w:val="32"/>
          <w:szCs w:val="40"/>
          <w:highlight w:val="none"/>
          <w14:textFill>
            <w14:solidFill>
              <w14:schemeClr w14:val="tx1"/>
            </w14:solidFill>
          </w14:textFill>
        </w:rPr>
      </w:pPr>
    </w:p>
    <w:p w14:paraId="3815BD9C">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14:paraId="0A4B8AE6">
      <w:pPr>
        <w:pStyle w:val="24"/>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3A1B48A2">
      <w:pPr>
        <w:pStyle w:val="24"/>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46EDF12D">
      <w:pPr>
        <w:pStyle w:val="24"/>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20002385">
      <w:pPr>
        <w:pStyle w:val="24"/>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r>
        <w:rPr>
          <w:rFonts w:hint="eastAsia" w:hAnsi="宋体"/>
          <w:bCs/>
          <w:color w:val="000000" w:themeColor="text1"/>
          <w:sz w:val="24"/>
          <w:szCs w:val="24"/>
          <w:highlight w:val="none"/>
          <w:u w:val="single"/>
          <w14:textFill>
            <w14:solidFill>
              <w14:schemeClr w14:val="tx1"/>
            </w14:solidFill>
          </w14:textFill>
        </w:rPr>
        <w:t xml:space="preserve">                                                         </w:t>
      </w:r>
    </w:p>
    <w:p w14:paraId="3A795611">
      <w:pPr>
        <w:pStyle w:val="24"/>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4FD17ED5">
      <w:pPr>
        <w:pStyle w:val="24"/>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6A0E50D7">
      <w:pPr>
        <w:pStyle w:val="24"/>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3FECBA8C">
      <w:pPr>
        <w:pStyle w:val="24"/>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4DFC0AE4">
      <w:pPr>
        <w:pStyle w:val="24"/>
        <w:spacing w:line="360" w:lineRule="auto"/>
        <w:ind w:firstLine="48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2C507339">
      <w:pPr>
        <w:pStyle w:val="24"/>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p>
    <w:p w14:paraId="68B30980">
      <w:pPr>
        <w:pStyle w:val="24"/>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74DC2F00">
      <w:pPr>
        <w:pStyle w:val="24"/>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20A6432F">
      <w:pPr>
        <w:pStyle w:val="24"/>
        <w:spacing w:line="360" w:lineRule="auto"/>
        <w:ind w:firstLine="48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40152396">
      <w:pPr>
        <w:pStyle w:val="24"/>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504F107F">
      <w:pPr>
        <w:pStyle w:val="24"/>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r>
        <w:rPr>
          <w:rFonts w:hint="eastAsia" w:hAnsi="宋体"/>
          <w:bCs/>
          <w:color w:val="000000" w:themeColor="text1"/>
          <w:sz w:val="24"/>
          <w:szCs w:val="24"/>
          <w:highlight w:val="none"/>
          <w:u w:val="single"/>
          <w14:textFill>
            <w14:solidFill>
              <w14:schemeClr w14:val="tx1"/>
            </w14:solidFill>
          </w14:textFill>
        </w:rPr>
        <w:t xml:space="preserve">                                                                       </w:t>
      </w:r>
    </w:p>
    <w:p w14:paraId="28D04F2F">
      <w:pPr>
        <w:pStyle w:val="24"/>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4E14AAF8">
      <w:pPr>
        <w:pStyle w:val="24"/>
        <w:spacing w:line="360" w:lineRule="auto"/>
        <w:ind w:firstLine="48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7EB29992">
      <w:pPr>
        <w:pStyle w:val="24"/>
        <w:spacing w:line="360" w:lineRule="auto"/>
        <w:ind w:firstLine="482"/>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1E7C36A2">
      <w:pPr>
        <w:pStyle w:val="24"/>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2CE1FB4A">
      <w:pPr>
        <w:pStyle w:val="24"/>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6ED10BB9">
      <w:pPr>
        <w:pStyle w:val="24"/>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22F53F7A">
      <w:pPr>
        <w:pStyle w:val="24"/>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r>
        <w:rPr>
          <w:rFonts w:hint="eastAsia" w:hAnsi="宋体"/>
          <w:bCs/>
          <w:color w:val="000000" w:themeColor="text1"/>
          <w:sz w:val="24"/>
          <w:szCs w:val="24"/>
          <w:highlight w:val="none"/>
          <w:u w:val="single"/>
          <w14:textFill>
            <w14:solidFill>
              <w14:schemeClr w14:val="tx1"/>
            </w14:solidFill>
          </w14:textFill>
        </w:rPr>
        <w:t xml:space="preserve">                                                                      </w:t>
      </w:r>
    </w:p>
    <w:p w14:paraId="65927B3B">
      <w:pPr>
        <w:pStyle w:val="24"/>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4E43779D">
      <w:pPr>
        <w:pStyle w:val="24"/>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00309B34">
      <w:pPr>
        <w:pStyle w:val="24"/>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59E98F7A">
      <w:pPr>
        <w:pStyle w:val="24"/>
        <w:spacing w:line="360" w:lineRule="auto"/>
        <w:ind w:firstLine="48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日，向</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提出质疑，质疑事项为：</w:t>
      </w:r>
    </w:p>
    <w:p w14:paraId="12012928">
      <w:pPr>
        <w:pStyle w:val="24"/>
        <w:spacing w:line="360" w:lineRule="auto"/>
        <w:ind w:firstLine="241"/>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6D2BF54D">
      <w:pPr>
        <w:pStyle w:val="24"/>
        <w:spacing w:line="360" w:lineRule="auto"/>
        <w:ind w:firstLine="241"/>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419665ED">
      <w:pPr>
        <w:pStyle w:val="24"/>
        <w:spacing w:line="360" w:lineRule="auto"/>
        <w:ind w:firstLine="480"/>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r>
        <w:rPr>
          <w:rFonts w:hint="eastAsia" w:hAnsi="宋体"/>
          <w:bCs/>
          <w:color w:val="000000" w:themeColor="text1"/>
          <w:sz w:val="24"/>
          <w:szCs w:val="24"/>
          <w:highlight w:val="none"/>
          <w14:textFill>
            <w14:solidFill>
              <w14:schemeClr w14:val="tx1"/>
            </w14:solidFill>
          </w14:textFill>
        </w:rPr>
        <w:t xml:space="preserve">就质疑事项作出了答复/没有在法定期限内作出答复。                                                                                             </w:t>
      </w:r>
    </w:p>
    <w:p w14:paraId="176FB356">
      <w:pPr>
        <w:pStyle w:val="24"/>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1E9A9CC4">
      <w:pPr>
        <w:pStyle w:val="24"/>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r>
        <w:rPr>
          <w:rFonts w:hint="eastAsia" w:hAnsi="宋体"/>
          <w:bCs/>
          <w:color w:val="000000" w:themeColor="text1"/>
          <w:sz w:val="24"/>
          <w:szCs w:val="24"/>
          <w:highlight w:val="none"/>
          <w:u w:val="single"/>
          <w14:textFill>
            <w14:solidFill>
              <w14:schemeClr w14:val="tx1"/>
            </w14:solidFill>
          </w14:textFill>
        </w:rPr>
        <w:t xml:space="preserve">                                                                           </w:t>
      </w:r>
    </w:p>
    <w:p w14:paraId="5F7D5821">
      <w:pPr>
        <w:pStyle w:val="24"/>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29A11816">
      <w:pPr>
        <w:pStyle w:val="24"/>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 xml:space="preserve">                                                                                        </w:t>
      </w:r>
    </w:p>
    <w:p w14:paraId="08DD9C8A">
      <w:pPr>
        <w:pStyle w:val="24"/>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4DC4645C">
      <w:pPr>
        <w:pStyle w:val="24"/>
        <w:spacing w:line="360" w:lineRule="auto"/>
        <w:ind w:left="25" w:firstLine="352"/>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2036B169">
      <w:pPr>
        <w:pStyle w:val="24"/>
        <w:spacing w:line="360" w:lineRule="auto"/>
        <w:ind w:left="25" w:firstLine="472"/>
        <w:rPr>
          <w:rFonts w:hint="eastAsia"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r>
        <w:rPr>
          <w:rFonts w:hint="eastAsia" w:hAnsi="宋体"/>
          <w:bCs/>
          <w:color w:val="000000" w:themeColor="text1"/>
          <w:sz w:val="24"/>
          <w:szCs w:val="24"/>
          <w:highlight w:val="none"/>
          <w14:textFill>
            <w14:solidFill>
              <w14:schemeClr w14:val="tx1"/>
            </w14:solidFill>
          </w14:textFill>
        </w:rPr>
        <w:t xml:space="preserve">   </w:t>
      </w:r>
    </w:p>
    <w:p w14:paraId="14762AD4">
      <w:pPr>
        <w:pStyle w:val="24"/>
        <w:spacing w:line="360" w:lineRule="auto"/>
        <w:ind w:left="25" w:firstLine="472"/>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671F4F6F">
      <w:pPr>
        <w:pStyle w:val="24"/>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48192FC7">
      <w:pPr>
        <w:pStyle w:val="24"/>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4230D25C">
      <w:pPr>
        <w:pStyle w:val="24"/>
        <w:spacing w:line="360" w:lineRule="auto"/>
        <w:ind w:left="25" w:firstLine="352"/>
        <w:rPr>
          <w:rFonts w:hint="eastAsia" w:hAnsi="宋体"/>
          <w:color w:val="000000" w:themeColor="text1"/>
          <w:sz w:val="24"/>
          <w:szCs w:val="24"/>
          <w:highlight w:val="none"/>
          <w14:textFill>
            <w14:solidFill>
              <w14:schemeClr w14:val="tx1"/>
            </w14:solidFill>
          </w14:textFill>
        </w:rPr>
      </w:pPr>
    </w:p>
    <w:p w14:paraId="4C6824D9">
      <w:pPr>
        <w:pStyle w:val="24"/>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30F2A630">
      <w:pPr>
        <w:pStyle w:val="24"/>
        <w:spacing w:line="360" w:lineRule="auto"/>
        <w:ind w:left="25" w:firstLine="352"/>
        <w:rPr>
          <w:rFonts w:hint="eastAsia" w:hAnsi="宋体"/>
          <w:color w:val="000000" w:themeColor="text1"/>
          <w:sz w:val="24"/>
          <w:szCs w:val="24"/>
          <w:highlight w:val="none"/>
          <w14:textFill>
            <w14:solidFill>
              <w14:schemeClr w14:val="tx1"/>
            </w14:solidFill>
          </w14:textFill>
        </w:rPr>
      </w:pPr>
    </w:p>
    <w:p w14:paraId="51D81741">
      <w:pPr>
        <w:pStyle w:val="24"/>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0DC79058">
      <w:pPr>
        <w:pStyle w:val="24"/>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p>
    <w:p w14:paraId="6CDB3559">
      <w:pPr>
        <w:pStyle w:val="24"/>
        <w:spacing w:line="360" w:lineRule="auto"/>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7808C454">
      <w:pPr>
        <w:pStyle w:val="24"/>
        <w:spacing w:line="360" w:lineRule="auto"/>
        <w:ind w:left="25" w:firstLine="354"/>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047C579E">
      <w:pPr>
        <w:pStyle w:val="24"/>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62E1FDF">
      <w:pPr>
        <w:pStyle w:val="24"/>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4C38B375">
      <w:pPr>
        <w:pStyle w:val="24"/>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7DD1C1DC">
      <w:pPr>
        <w:pStyle w:val="24"/>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46405F62">
      <w:pPr>
        <w:pStyle w:val="24"/>
        <w:spacing w:line="360" w:lineRule="auto"/>
        <w:ind w:left="25" w:firstLine="354"/>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705F528C">
      <w:pPr>
        <w:pStyle w:val="24"/>
        <w:spacing w:line="360" w:lineRule="auto"/>
        <w:ind w:left="25" w:firstLine="295"/>
        <w:rPr>
          <w:rFonts w:hint="eastAsia" w:hAnsi="宋体"/>
          <w:b/>
          <w:color w:val="000000" w:themeColor="text1"/>
          <w:highlight w:val="none"/>
          <w14:textFill>
            <w14:solidFill>
              <w14:schemeClr w14:val="tx1"/>
            </w14:solidFill>
          </w14:textFill>
        </w:rPr>
      </w:pPr>
    </w:p>
    <w:p w14:paraId="02D333F6">
      <w:pPr>
        <w:pStyle w:val="2"/>
        <w:jc w:val="center"/>
        <w:rPr>
          <w:color w:val="000000" w:themeColor="text1"/>
          <w:highlight w:val="none"/>
          <w14:textFill>
            <w14:solidFill>
              <w14:schemeClr w14:val="tx1"/>
            </w14:solidFill>
          </w14:textFill>
        </w:rPr>
      </w:pPr>
    </w:p>
    <w:p w14:paraId="7B7D1584">
      <w:pPr>
        <w:pStyle w:val="2"/>
        <w:rPr>
          <w:color w:val="000000" w:themeColor="text1"/>
          <w:highlight w:val="none"/>
          <w14:textFill>
            <w14:solidFill>
              <w14:schemeClr w14:val="tx1"/>
            </w14:solidFill>
          </w14:textFill>
        </w:rPr>
      </w:pPr>
    </w:p>
    <w:p w14:paraId="08AF6F28">
      <w:pPr>
        <w:pStyle w:val="2"/>
        <w:jc w:val="center"/>
        <w:rPr>
          <w:color w:val="000000" w:themeColor="text1"/>
          <w:highlight w:val="none"/>
          <w14:textFill>
            <w14:solidFill>
              <w14:schemeClr w14:val="tx1"/>
            </w14:solidFill>
          </w14:textFill>
        </w:rPr>
      </w:pPr>
    </w:p>
    <w:p w14:paraId="4D4801DC">
      <w:pPr>
        <w:pStyle w:val="2"/>
        <w:jc w:val="center"/>
        <w:rPr>
          <w:color w:val="000000" w:themeColor="text1"/>
          <w:highlight w:val="none"/>
          <w14:textFill>
            <w14:solidFill>
              <w14:schemeClr w14:val="tx1"/>
            </w14:solidFill>
          </w14:textFill>
        </w:rPr>
      </w:pPr>
      <w:bookmarkStart w:id="164" w:name="_Toc12245"/>
      <w:r>
        <w:rPr>
          <w:rFonts w:hint="eastAsia"/>
          <w:color w:val="000000" w:themeColor="text1"/>
          <w:highlight w:val="none"/>
          <w14:textFill>
            <w14:solidFill>
              <w14:schemeClr w14:val="tx1"/>
            </w14:solidFill>
          </w14:textFill>
        </w:rPr>
        <w:t>第七章合同文本</w:t>
      </w:r>
      <w:bookmarkEnd w:id="164"/>
    </w:p>
    <w:p w14:paraId="5E7C34D4">
      <w:pPr>
        <w:spacing w:line="520" w:lineRule="exact"/>
        <w:rPr>
          <w:rFonts w:hint="eastAsia" w:ascii="宋体" w:hAnsi="宋体" w:cs="Courier New"/>
          <w:b/>
          <w:color w:val="000000" w:themeColor="text1"/>
          <w:sz w:val="32"/>
          <w:szCs w:val="32"/>
          <w:highlight w:val="none"/>
          <w14:textFill>
            <w14:solidFill>
              <w14:schemeClr w14:val="tx1"/>
            </w14:solidFill>
          </w14:textFill>
        </w:rPr>
      </w:pPr>
    </w:p>
    <w:p w14:paraId="6ADFF14B">
      <w:pPr>
        <w:widowControl/>
        <w:jc w:val="center"/>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br w:type="page" w:clear="all"/>
      </w:r>
    </w:p>
    <w:p w14:paraId="0E2B8150">
      <w:pPr>
        <w:widowControl/>
        <w:jc w:val="center"/>
        <w:rPr>
          <w:rFonts w:ascii="宋体" w:hAnsi="宋体" w:cs="宋体"/>
          <w:color w:val="000000" w:themeColor="text1"/>
          <w:highlight w:val="none"/>
          <w14:textFill>
            <w14:solidFill>
              <w14:schemeClr w14:val="tx1"/>
            </w14:solidFill>
          </w14:textFill>
        </w:rPr>
      </w:pPr>
    </w:p>
    <w:p w14:paraId="33E374BF">
      <w:pPr>
        <w:widowControl/>
        <w:jc w:val="center"/>
        <w:rPr>
          <w:rFonts w:ascii="宋体" w:hAnsi="宋体" w:cs="宋体"/>
          <w:color w:val="000000" w:themeColor="text1"/>
          <w:highlight w:val="none"/>
          <w14:textFill>
            <w14:solidFill>
              <w14:schemeClr w14:val="tx1"/>
            </w14:solidFill>
          </w14:textFill>
        </w:rPr>
      </w:pPr>
    </w:p>
    <w:p w14:paraId="26817FF7">
      <w:pPr>
        <w:widowControl/>
        <w:jc w:val="center"/>
        <w:rPr>
          <w:rFonts w:ascii="宋体" w:hAnsi="宋体" w:cs="宋体"/>
          <w:color w:val="000000" w:themeColor="text1"/>
          <w:highlight w:val="none"/>
          <w14:textFill>
            <w14:solidFill>
              <w14:schemeClr w14:val="tx1"/>
            </w14:solidFill>
          </w14:textFill>
        </w:rPr>
      </w:pPr>
    </w:p>
    <w:p w14:paraId="62241E23">
      <w:pPr>
        <w:widowControl/>
        <w:jc w:val="center"/>
        <w:rPr>
          <w:rFonts w:ascii="宋体" w:hAnsi="宋体" w:cs="宋体"/>
          <w:color w:val="000000" w:themeColor="text1"/>
          <w:highlight w:val="none"/>
          <w14:textFill>
            <w14:solidFill>
              <w14:schemeClr w14:val="tx1"/>
            </w14:solidFill>
          </w14:textFill>
        </w:rPr>
      </w:pPr>
    </w:p>
    <w:p w14:paraId="51FC93B3">
      <w:pPr>
        <w:widowControl/>
        <w:jc w:val="center"/>
        <w:rPr>
          <w:rFonts w:ascii="宋体" w:hAnsi="宋体" w:cs="宋体"/>
          <w:color w:val="000000" w:themeColor="text1"/>
          <w:highlight w:val="none"/>
          <w14:textFill>
            <w14:solidFill>
              <w14:schemeClr w14:val="tx1"/>
            </w14:solidFill>
          </w14:textFill>
        </w:rPr>
      </w:pPr>
    </w:p>
    <w:p w14:paraId="0FD76AFC">
      <w:pPr>
        <w:widowControl/>
        <w:jc w:val="center"/>
        <w:rPr>
          <w:rFonts w:ascii="宋体" w:hAnsi="宋体" w:cs="宋体"/>
          <w:color w:val="000000" w:themeColor="text1"/>
          <w:highlight w:val="none"/>
          <w14:textFill>
            <w14:solidFill>
              <w14:schemeClr w14:val="tx1"/>
            </w14:solidFill>
          </w14:textFill>
        </w:rPr>
      </w:pPr>
    </w:p>
    <w:p w14:paraId="4AA8D445">
      <w:pPr>
        <w:widowControl/>
        <w:jc w:val="center"/>
        <w:rPr>
          <w:rFonts w:ascii="宋体" w:hAnsi="宋体" w:cs="宋体"/>
          <w:color w:val="000000" w:themeColor="text1"/>
          <w:highlight w:val="none"/>
          <w14:textFill>
            <w14:solidFill>
              <w14:schemeClr w14:val="tx1"/>
            </w14:solidFill>
          </w14:textFill>
        </w:rPr>
      </w:pPr>
    </w:p>
    <w:p w14:paraId="5645ABF7">
      <w:pPr>
        <w:widowControl/>
        <w:jc w:val="center"/>
        <w:rPr>
          <w:rFonts w:ascii="宋体" w:hAnsi="宋体" w:cs="宋体"/>
          <w:color w:val="000000" w:themeColor="text1"/>
          <w:highlight w:val="none"/>
          <w14:textFill>
            <w14:solidFill>
              <w14:schemeClr w14:val="tx1"/>
            </w14:solidFill>
          </w14:textFill>
        </w:rPr>
      </w:pPr>
    </w:p>
    <w:p w14:paraId="6B83A59F">
      <w:pPr>
        <w:widowControl/>
        <w:jc w:val="center"/>
        <w:rPr>
          <w:rFonts w:ascii="宋体" w:hAnsi="宋体" w:cs="宋体"/>
          <w:color w:val="000000" w:themeColor="text1"/>
          <w:highlight w:val="none"/>
          <w14:textFill>
            <w14:solidFill>
              <w14:schemeClr w14:val="tx1"/>
            </w14:solidFill>
          </w14:textFill>
        </w:rPr>
      </w:pPr>
    </w:p>
    <w:p w14:paraId="1D3B1844">
      <w:pPr>
        <w:widowControl/>
        <w:jc w:val="center"/>
        <w:rPr>
          <w:rFonts w:ascii="宋体" w:hAnsi="宋体" w:cs="宋体"/>
          <w:color w:val="000000" w:themeColor="text1"/>
          <w:highlight w:val="none"/>
          <w14:textFill>
            <w14:solidFill>
              <w14:schemeClr w14:val="tx1"/>
            </w14:solidFill>
          </w14:textFill>
        </w:rPr>
      </w:pPr>
    </w:p>
    <w:p w14:paraId="01D0D91B">
      <w:pPr>
        <w:widowControl/>
        <w:jc w:val="center"/>
        <w:rPr>
          <w:rFonts w:ascii="宋体" w:hAnsi="宋体" w:cs="宋体"/>
          <w:color w:val="000000" w:themeColor="text1"/>
          <w:highlight w:val="none"/>
          <w14:textFill>
            <w14:solidFill>
              <w14:schemeClr w14:val="tx1"/>
            </w14:solidFill>
          </w14:textFill>
        </w:rPr>
      </w:pPr>
    </w:p>
    <w:p w14:paraId="3089B26C">
      <w:pPr>
        <w:widowControl/>
        <w:jc w:val="center"/>
        <w:rPr>
          <w:rFonts w:ascii="宋体" w:hAnsi="宋体" w:cs="宋体"/>
          <w:color w:val="000000" w:themeColor="text1"/>
          <w:highlight w:val="none"/>
          <w14:textFill>
            <w14:solidFill>
              <w14:schemeClr w14:val="tx1"/>
            </w14:solidFill>
          </w14:textFill>
        </w:rPr>
      </w:pPr>
    </w:p>
    <w:p w14:paraId="33744990">
      <w:pPr>
        <w:widowControl/>
        <w:jc w:val="center"/>
        <w:rPr>
          <w:rFonts w:ascii="宋体" w:hAnsi="宋体" w:cs="宋体"/>
          <w:color w:val="000000" w:themeColor="text1"/>
          <w:highlight w:val="none"/>
          <w14:textFill>
            <w14:solidFill>
              <w14:schemeClr w14:val="tx1"/>
            </w14:solidFill>
          </w14:textFill>
        </w:rPr>
      </w:pPr>
    </w:p>
    <w:p w14:paraId="4728F386">
      <w:pPr>
        <w:widowControl/>
        <w:jc w:val="center"/>
        <w:rPr>
          <w:rFonts w:ascii="宋体" w:hAnsi="宋体" w:cs="宋体"/>
          <w:color w:val="000000" w:themeColor="text1"/>
          <w:highlight w:val="none"/>
          <w14:textFill>
            <w14:solidFill>
              <w14:schemeClr w14:val="tx1"/>
            </w14:solidFill>
          </w14:textFill>
        </w:rPr>
      </w:pPr>
    </w:p>
    <w:p w14:paraId="250E44A0">
      <w:pPr>
        <w:widowControl/>
        <w:jc w:val="center"/>
        <w:rPr>
          <w:rFonts w:ascii="宋体" w:hAnsi="宋体" w:cs="宋体"/>
          <w:color w:val="000000" w:themeColor="text1"/>
          <w:highlight w:val="none"/>
          <w14:textFill>
            <w14:solidFill>
              <w14:schemeClr w14:val="tx1"/>
            </w14:solidFill>
          </w14:textFill>
        </w:rPr>
      </w:pPr>
    </w:p>
    <w:p w14:paraId="1E97E0EA">
      <w:pPr>
        <w:widowControl/>
        <w:jc w:val="center"/>
        <w:rPr>
          <w:rFonts w:ascii="宋体" w:hAnsi="宋体" w:cs="宋体"/>
          <w:color w:val="000000" w:themeColor="text1"/>
          <w:highlight w:val="none"/>
          <w14:textFill>
            <w14:solidFill>
              <w14:schemeClr w14:val="tx1"/>
            </w14:solidFill>
          </w14:textFill>
        </w:rPr>
      </w:pPr>
    </w:p>
    <w:p w14:paraId="6FE65CB2">
      <w:pPr>
        <w:widowControl/>
        <w:jc w:val="center"/>
        <w:rPr>
          <w:rFonts w:ascii="宋体" w:hAnsi="宋体" w:cs="宋体"/>
          <w:color w:val="000000" w:themeColor="text1"/>
          <w:highlight w:val="none"/>
          <w14:textFill>
            <w14:solidFill>
              <w14:schemeClr w14:val="tx1"/>
            </w14:solidFill>
          </w14:textFill>
        </w:rPr>
      </w:pPr>
    </w:p>
    <w:p w14:paraId="45ADAF6A">
      <w:pPr>
        <w:widowControl/>
        <w:jc w:val="center"/>
        <w:rPr>
          <w:rFonts w:ascii="宋体" w:hAnsi="宋体" w:cs="宋体"/>
          <w:color w:val="000000" w:themeColor="text1"/>
          <w:highlight w:val="none"/>
          <w14:textFill>
            <w14:solidFill>
              <w14:schemeClr w14:val="tx1"/>
            </w14:solidFill>
          </w14:textFill>
        </w:rPr>
      </w:pPr>
    </w:p>
    <w:p w14:paraId="0A017DD9">
      <w:pPr>
        <w:widowControl/>
        <w:jc w:val="center"/>
        <w:rPr>
          <w:rFonts w:ascii="宋体" w:hAnsi="宋体" w:cs="宋体"/>
          <w:color w:val="000000" w:themeColor="text1"/>
          <w:highlight w:val="none"/>
          <w14:textFill>
            <w14:solidFill>
              <w14:schemeClr w14:val="tx1"/>
            </w14:solidFill>
          </w14:textFill>
        </w:rPr>
      </w:pPr>
    </w:p>
    <w:p w14:paraId="26E1F00D">
      <w:pPr>
        <w:widowControl/>
        <w:jc w:val="center"/>
        <w:rPr>
          <w:rFonts w:ascii="宋体" w:hAnsi="宋体" w:cs="宋体"/>
          <w:color w:val="000000" w:themeColor="text1"/>
          <w:highlight w:val="none"/>
          <w14:textFill>
            <w14:solidFill>
              <w14:schemeClr w14:val="tx1"/>
            </w14:solidFill>
          </w14:textFill>
        </w:rPr>
      </w:pPr>
    </w:p>
    <w:p w14:paraId="1211C48C">
      <w:pPr>
        <w:widowControl/>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一、建设工程施工合同</w:t>
      </w:r>
    </w:p>
    <w:p w14:paraId="02AC0825">
      <w:pPr>
        <w:pStyle w:val="2"/>
        <w:jc w:val="center"/>
        <w:rPr>
          <w:color w:val="000000" w:themeColor="text1"/>
          <w:highlight w:val="none"/>
          <w14:textFill>
            <w14:solidFill>
              <w14:schemeClr w14:val="tx1"/>
            </w14:solidFill>
          </w14:textFill>
        </w:rPr>
      </w:pPr>
      <w:bookmarkStart w:id="165" w:name="_Toc407135191"/>
      <w:bookmarkStart w:id="166" w:name="_Toc373227552"/>
      <w:bookmarkStart w:id="167" w:name="_Toc351203480"/>
      <w:bookmarkStart w:id="168" w:name="_Toc389065255"/>
      <w:bookmarkStart w:id="169" w:name="_Toc296503025"/>
      <w:bookmarkStart w:id="170" w:name="_Toc78449777"/>
      <w:bookmarkStart w:id="171" w:name="_Toc373478199"/>
      <w:bookmarkStart w:id="172" w:name="_Toc296890982"/>
      <w:bookmarkStart w:id="173" w:name="_Toc724920571"/>
      <w:bookmarkStart w:id="174" w:name="_Toc1756478213"/>
      <w:r>
        <w:rPr>
          <w:rFonts w:cs="黑体"/>
          <w:color w:val="000000" w:themeColor="text1"/>
          <w:highlight w:val="none"/>
          <w14:textFill>
            <w14:solidFill>
              <w14:schemeClr w14:val="tx1"/>
            </w14:solidFill>
          </w14:textFill>
        </w:rPr>
        <w:br w:type="page" w:clear="all"/>
      </w:r>
      <w:bookmarkStart w:id="175" w:name="_Toc8818"/>
      <w:bookmarkStart w:id="176" w:name="_Toc29939"/>
      <w:bookmarkStart w:id="177" w:name="_Toc122424268"/>
      <w:bookmarkStart w:id="178" w:name="_Toc122424019"/>
      <w:r>
        <w:rPr>
          <w:rFonts w:hint="eastAsia" w:cs="黑体"/>
          <w:color w:val="000000" w:themeColor="text1"/>
          <w:highlight w:val="none"/>
          <w14:textFill>
            <w14:solidFill>
              <w14:schemeClr w14:val="tx1"/>
            </w14:solidFill>
          </w14:textFill>
        </w:rPr>
        <w:t>第一部分</w:t>
      </w:r>
      <w:r>
        <w:rPr>
          <w:color w:val="000000" w:themeColor="text1"/>
          <w:highlight w:val="none"/>
          <w14:textFill>
            <w14:solidFill>
              <w14:schemeClr w14:val="tx1"/>
            </w14:solidFill>
          </w14:textFill>
        </w:rPr>
        <w:t xml:space="preserve"> </w:t>
      </w:r>
      <w:r>
        <w:rPr>
          <w:rFonts w:hint="eastAsia" w:cs="黑体"/>
          <w:color w:val="000000" w:themeColor="text1"/>
          <w:highlight w:val="none"/>
          <w14:textFill>
            <w14:solidFill>
              <w14:schemeClr w14:val="tx1"/>
            </w14:solidFill>
          </w14:textFill>
        </w:rPr>
        <w:t>合同协议书</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5B56C4F7">
      <w:pPr>
        <w:spacing w:line="360" w:lineRule="auto"/>
        <w:rPr>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发包人（全称）：</w:t>
      </w:r>
      <w:r>
        <w:rPr>
          <w:rFonts w:hAnsi="宋体"/>
          <w:color w:val="000000" w:themeColor="text1"/>
          <w:highlight w:val="none"/>
          <w:u w:val="single"/>
          <w14:textFill>
            <w14:solidFill>
              <w14:schemeClr w14:val="tx1"/>
            </w14:solidFill>
          </w14:textFill>
        </w:rPr>
        <w:t xml:space="preserve">                              </w:t>
      </w:r>
    </w:p>
    <w:p w14:paraId="4F3A9B85">
      <w:pPr>
        <w:spacing w:line="360" w:lineRule="auto"/>
        <w:rPr>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承包人（全称）：</w:t>
      </w:r>
      <w:r>
        <w:rPr>
          <w:rFonts w:hAnsi="宋体"/>
          <w:color w:val="000000" w:themeColor="text1"/>
          <w:highlight w:val="none"/>
          <w:u w:val="single"/>
          <w14:textFill>
            <w14:solidFill>
              <w14:schemeClr w14:val="tx1"/>
            </w14:solidFill>
          </w14:textFill>
        </w:rPr>
        <w:t xml:space="preserve">                              </w:t>
      </w:r>
    </w:p>
    <w:p w14:paraId="1908CD0C">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根据《中华人民共和国民法典》、《中华人民共和国建筑法》及有关法律规定，遵循平等、自愿、公平和诚实信用的原则，双方就</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施工及有关事项协商一致，共同达成如下协议：</w:t>
      </w:r>
      <w:bookmarkStart w:id="179" w:name="_Toc351203481"/>
    </w:p>
    <w:p w14:paraId="53E3F9F1">
      <w:pPr>
        <w:spacing w:line="360" w:lineRule="auto"/>
        <w:ind w:firstLine="422"/>
        <w:outlineLvl w:val="0"/>
        <w:rPr>
          <w:b/>
          <w:bCs/>
          <w:color w:val="000000" w:themeColor="text1"/>
          <w:highlight w:val="none"/>
          <w14:textFill>
            <w14:solidFill>
              <w14:schemeClr w14:val="tx1"/>
            </w14:solidFill>
          </w14:textFill>
        </w:rPr>
      </w:pPr>
      <w:bookmarkStart w:id="180" w:name="_Toc122424020"/>
      <w:bookmarkStart w:id="181" w:name="_Toc28405"/>
      <w:bookmarkStart w:id="182" w:name="_Toc122424269"/>
      <w:bookmarkStart w:id="183" w:name="_Toc14957"/>
      <w:r>
        <w:rPr>
          <w:rFonts w:hint="eastAsia" w:hAnsi="宋体" w:cs="宋体"/>
          <w:b/>
          <w:bCs/>
          <w:color w:val="000000" w:themeColor="text1"/>
          <w:highlight w:val="none"/>
          <w14:textFill>
            <w14:solidFill>
              <w14:schemeClr w14:val="tx1"/>
            </w14:solidFill>
          </w14:textFill>
        </w:rPr>
        <w:t>一、工程概况</w:t>
      </w:r>
      <w:bookmarkEnd w:id="179"/>
      <w:bookmarkEnd w:id="180"/>
      <w:bookmarkEnd w:id="181"/>
      <w:bookmarkEnd w:id="182"/>
      <w:bookmarkEnd w:id="183"/>
    </w:p>
    <w:p w14:paraId="0695929B">
      <w:pPr>
        <w:spacing w:line="360" w:lineRule="auto"/>
        <w:ind w:firstLine="411"/>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hAnsi="宋体" w:cs="宋体"/>
          <w:color w:val="000000" w:themeColor="text1"/>
          <w:highlight w:val="none"/>
          <w14:textFill>
            <w14:solidFill>
              <w14:schemeClr w14:val="tx1"/>
            </w14:solidFill>
          </w14:textFill>
        </w:rPr>
        <w:t>工程名称：</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3CDBBB32">
      <w:pPr>
        <w:spacing w:line="360" w:lineRule="auto"/>
        <w:ind w:firstLine="411"/>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hAnsi="宋体" w:cs="宋体"/>
          <w:color w:val="000000" w:themeColor="text1"/>
          <w:highlight w:val="none"/>
          <w14:textFill>
            <w14:solidFill>
              <w14:schemeClr w14:val="tx1"/>
            </w14:solidFill>
          </w14:textFill>
        </w:rPr>
        <w:t>工程地点：</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3E2DD17E">
      <w:pPr>
        <w:spacing w:line="360" w:lineRule="auto"/>
        <w:ind w:firstLine="411"/>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 </w:t>
      </w:r>
      <w:r>
        <w:rPr>
          <w:rFonts w:hint="eastAsia" w:hAnsi="宋体" w:cs="宋体"/>
          <w:color w:val="000000" w:themeColor="text1"/>
          <w:highlight w:val="none"/>
          <w14:textFill>
            <w14:solidFill>
              <w14:schemeClr w14:val="tx1"/>
            </w14:solidFill>
          </w14:textFill>
        </w:rPr>
        <w:t>工程立项批准文号：</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08CDA77A">
      <w:pPr>
        <w:spacing w:line="360" w:lineRule="auto"/>
        <w:ind w:firstLine="411"/>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4. </w:t>
      </w:r>
      <w:r>
        <w:rPr>
          <w:rFonts w:hint="eastAsia" w:hAnsi="宋体" w:cs="宋体"/>
          <w:color w:val="000000" w:themeColor="text1"/>
          <w:highlight w:val="none"/>
          <w14:textFill>
            <w14:solidFill>
              <w14:schemeClr w14:val="tx1"/>
            </w14:solidFill>
          </w14:textFill>
        </w:rPr>
        <w:t>资金来源：</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28180376">
      <w:pPr>
        <w:spacing w:line="360" w:lineRule="auto"/>
        <w:ind w:firstLine="411"/>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5. </w:t>
      </w:r>
      <w:r>
        <w:rPr>
          <w:rFonts w:hint="eastAsia" w:hAnsi="宋体" w:cs="宋体"/>
          <w:color w:val="000000" w:themeColor="text1"/>
          <w:highlight w:val="none"/>
          <w14:textFill>
            <w14:solidFill>
              <w14:schemeClr w14:val="tx1"/>
            </w14:solidFill>
          </w14:textFill>
        </w:rPr>
        <w:t>工程内容：</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4AF1A876">
      <w:pPr>
        <w:spacing w:line="360" w:lineRule="auto"/>
        <w:ind w:firstLine="411"/>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6. </w:t>
      </w:r>
      <w:r>
        <w:rPr>
          <w:rFonts w:hint="eastAsia" w:hAnsi="宋体" w:cs="宋体"/>
          <w:color w:val="000000" w:themeColor="text1"/>
          <w:highlight w:val="none"/>
          <w14:textFill>
            <w14:solidFill>
              <w14:schemeClr w14:val="tx1"/>
            </w14:solidFill>
          </w14:textFill>
        </w:rPr>
        <w:t>工程承包范围：</w:t>
      </w:r>
    </w:p>
    <w:p w14:paraId="425AD299">
      <w:pPr>
        <w:spacing w:line="360" w:lineRule="auto"/>
        <w:ind w:firstLine="405"/>
        <w:rPr>
          <w:rFonts w:hAnsi="宋体"/>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0F899E2E">
      <w:pPr>
        <w:spacing w:line="360" w:lineRule="auto"/>
        <w:ind w:firstLine="407"/>
        <w:outlineLvl w:val="0"/>
        <w:rPr>
          <w:b/>
          <w:bCs/>
          <w:color w:val="000000" w:themeColor="text1"/>
          <w:highlight w:val="none"/>
          <w14:textFill>
            <w14:solidFill>
              <w14:schemeClr w14:val="tx1"/>
            </w14:solidFill>
          </w14:textFill>
        </w:rPr>
      </w:pPr>
      <w:bookmarkStart w:id="184" w:name="_Toc122424021"/>
      <w:bookmarkStart w:id="185" w:name="_Toc122424270"/>
      <w:bookmarkStart w:id="186" w:name="_Toc27385"/>
      <w:bookmarkStart w:id="187" w:name="_Toc6258"/>
      <w:bookmarkStart w:id="188" w:name="_Toc351203482"/>
      <w:r>
        <w:rPr>
          <w:rFonts w:hint="eastAsia" w:hAnsi="宋体" w:cs="宋体"/>
          <w:b/>
          <w:bCs/>
          <w:color w:val="000000" w:themeColor="text1"/>
          <w:highlight w:val="none"/>
          <w14:textFill>
            <w14:solidFill>
              <w14:schemeClr w14:val="tx1"/>
            </w14:solidFill>
          </w14:textFill>
        </w:rPr>
        <w:t>二、合同工期</w:t>
      </w:r>
      <w:bookmarkEnd w:id="184"/>
      <w:bookmarkEnd w:id="185"/>
      <w:bookmarkEnd w:id="186"/>
      <w:bookmarkEnd w:id="187"/>
      <w:bookmarkEnd w:id="188"/>
    </w:p>
    <w:p w14:paraId="23AE4DB7">
      <w:pPr>
        <w:spacing w:line="360" w:lineRule="auto"/>
        <w:ind w:firstLine="459"/>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计划开工日期：</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年</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月</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日。</w:t>
      </w:r>
      <w:r>
        <w:rPr>
          <w:rFonts w:hint="eastAsia" w:hAnsi="宋体" w:cs="宋体"/>
          <w:color w:val="000000" w:themeColor="text1"/>
          <w:highlight w:val="none"/>
          <w14:textFill>
            <w14:solidFill>
              <w14:schemeClr w14:val="tx1"/>
            </w14:solidFill>
          </w14:textFill>
        </w:rPr>
        <w:t>（具体以发包人书面通知为准）</w:t>
      </w:r>
    </w:p>
    <w:p w14:paraId="01437EF4">
      <w:pPr>
        <w:spacing w:line="360" w:lineRule="auto"/>
        <w:ind w:firstLine="459"/>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计划竣工日期：</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年</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月</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日</w:t>
      </w:r>
      <w:r>
        <w:rPr>
          <w:rFonts w:hint="eastAsia" w:hAnsi="宋体" w:cs="宋体"/>
          <w:color w:val="000000" w:themeColor="text1"/>
          <w:highlight w:val="none"/>
          <w14:textFill>
            <w14:solidFill>
              <w14:schemeClr w14:val="tx1"/>
            </w14:solidFill>
          </w14:textFill>
        </w:rPr>
        <w:t>。</w:t>
      </w:r>
    </w:p>
    <w:p w14:paraId="73DC1076">
      <w:pPr>
        <w:spacing w:line="360" w:lineRule="auto"/>
        <w:ind w:firstLine="459"/>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工期总日历天数：</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u w:val="single"/>
          <w:lang w:val="en-US" w:eastAsia="zh-CN"/>
          <w14:textFill>
            <w14:solidFill>
              <w14:schemeClr w14:val="tx1"/>
            </w14:solidFill>
          </w14:textFill>
        </w:rPr>
        <w:t xml:space="preserve"> </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天。工期总日历天数与根据前述计划开竣工日期计算的工期天数不一致的，以工期总日历天数为准。</w:t>
      </w:r>
    </w:p>
    <w:p w14:paraId="1FDE737A">
      <w:pPr>
        <w:spacing w:line="360" w:lineRule="auto"/>
        <w:ind w:firstLine="459"/>
        <w:outlineLvl w:val="0"/>
        <w:rPr>
          <w:b/>
          <w:bCs/>
          <w:color w:val="000000" w:themeColor="text1"/>
          <w:highlight w:val="none"/>
          <w14:textFill>
            <w14:solidFill>
              <w14:schemeClr w14:val="tx1"/>
            </w14:solidFill>
          </w14:textFill>
        </w:rPr>
      </w:pPr>
      <w:bookmarkStart w:id="189" w:name="_Toc22542"/>
      <w:bookmarkStart w:id="190" w:name="_Toc122424271"/>
      <w:bookmarkStart w:id="191" w:name="_Toc16607"/>
      <w:bookmarkStart w:id="192" w:name="_Toc122424022"/>
      <w:bookmarkStart w:id="193" w:name="_Toc351203483"/>
      <w:r>
        <w:rPr>
          <w:rFonts w:hint="eastAsia" w:hAnsi="宋体" w:cs="宋体"/>
          <w:b/>
          <w:bCs/>
          <w:color w:val="000000" w:themeColor="text1"/>
          <w:highlight w:val="none"/>
          <w14:textFill>
            <w14:solidFill>
              <w14:schemeClr w14:val="tx1"/>
            </w14:solidFill>
          </w14:textFill>
        </w:rPr>
        <w:t>三、质量标准</w:t>
      </w:r>
      <w:bookmarkEnd w:id="189"/>
      <w:bookmarkEnd w:id="190"/>
      <w:bookmarkEnd w:id="191"/>
      <w:bookmarkEnd w:id="192"/>
      <w:bookmarkEnd w:id="193"/>
    </w:p>
    <w:p w14:paraId="042FB6DA">
      <w:pPr>
        <w:spacing w:line="360" w:lineRule="auto"/>
        <w:ind w:firstLine="459"/>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工程质量符合</w:t>
      </w:r>
      <w:r>
        <w:rPr>
          <w:rFonts w:eastAsia="仿宋_GB2312"/>
          <w:color w:val="000000" w:themeColor="text1"/>
          <w:highlight w:val="none"/>
          <w:u w:val="single"/>
          <w14:textFill>
            <w14:solidFill>
              <w14:schemeClr w14:val="tx1"/>
            </w14:solidFill>
          </w14:textFill>
        </w:rPr>
        <w:t></w:t>
      </w:r>
      <w:r>
        <w:rPr>
          <w:rFonts w:hint="eastAsia" w:eastAsia="仿宋_GB2312"/>
          <w:color w:val="000000" w:themeColor="text1"/>
          <w:highlight w:val="none"/>
          <w:u w:val="single"/>
          <w14:textFill>
            <w14:solidFill>
              <w14:schemeClr w14:val="tx1"/>
            </w14:solidFill>
          </w14:textFill>
        </w:rPr>
        <w:t xml:space="preserve">           </w:t>
      </w:r>
      <w:r>
        <w:rPr>
          <w:rFonts w:eastAsia="仿宋_GB2312"/>
          <w:color w:val="000000" w:themeColor="text1"/>
          <w:highlight w:val="none"/>
          <w:u w:val="single"/>
          <w14:textFill>
            <w14:solidFill>
              <w14:schemeClr w14:val="tx1"/>
            </w14:solidFill>
          </w14:textFill>
        </w:rPr>
        <w:t></w:t>
      </w:r>
      <w:r>
        <w:rPr>
          <w:rFonts w:hint="eastAsia" w:hAnsi="宋体" w:cs="宋体"/>
          <w:color w:val="000000" w:themeColor="text1"/>
          <w:highlight w:val="none"/>
          <w14:textFill>
            <w14:solidFill>
              <w14:schemeClr w14:val="tx1"/>
            </w14:solidFill>
          </w14:textFill>
        </w:rPr>
        <w:t>标准。</w:t>
      </w:r>
    </w:p>
    <w:p w14:paraId="1A59E3BD">
      <w:pPr>
        <w:spacing w:line="360" w:lineRule="auto"/>
        <w:ind w:firstLine="459"/>
        <w:outlineLvl w:val="0"/>
        <w:rPr>
          <w:rFonts w:hAnsi="宋体"/>
          <w:b/>
          <w:bCs/>
          <w:color w:val="000000" w:themeColor="text1"/>
          <w:highlight w:val="none"/>
          <w14:textFill>
            <w14:solidFill>
              <w14:schemeClr w14:val="tx1"/>
            </w14:solidFill>
          </w14:textFill>
        </w:rPr>
      </w:pPr>
      <w:bookmarkStart w:id="194" w:name="_Toc7183"/>
      <w:bookmarkStart w:id="195" w:name="_Toc351203484"/>
      <w:bookmarkStart w:id="196" w:name="_Toc122424023"/>
      <w:bookmarkStart w:id="197" w:name="_Toc22171"/>
      <w:bookmarkStart w:id="198" w:name="_Toc122424272"/>
      <w:r>
        <w:rPr>
          <w:rFonts w:hint="eastAsia" w:hAnsi="宋体" w:cs="宋体"/>
          <w:b/>
          <w:bCs/>
          <w:color w:val="000000" w:themeColor="text1"/>
          <w:highlight w:val="none"/>
          <w14:textFill>
            <w14:solidFill>
              <w14:schemeClr w14:val="tx1"/>
            </w14:solidFill>
          </w14:textFill>
        </w:rPr>
        <w:t>四、签约合同价与合同价格形式</w:t>
      </w:r>
      <w:bookmarkEnd w:id="194"/>
      <w:bookmarkEnd w:id="195"/>
      <w:bookmarkEnd w:id="196"/>
      <w:bookmarkEnd w:id="197"/>
      <w:bookmarkEnd w:id="198"/>
    </w:p>
    <w:p w14:paraId="07EB3CE5">
      <w:pPr>
        <w:spacing w:line="360" w:lineRule="auto"/>
        <w:ind w:firstLine="45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hAnsi="宋体" w:cs="宋体"/>
          <w:color w:val="000000" w:themeColor="text1"/>
          <w:highlight w:val="none"/>
          <w14:textFill>
            <w14:solidFill>
              <w14:schemeClr w14:val="tx1"/>
            </w14:solidFill>
          </w14:textFill>
        </w:rPr>
        <w:t>签约合同价为：</w:t>
      </w:r>
    </w:p>
    <w:p w14:paraId="32CDC306">
      <w:pPr>
        <w:spacing w:line="360" w:lineRule="auto"/>
        <w:ind w:firstLine="525"/>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74477009">
      <w:pPr>
        <w:spacing w:line="360" w:lineRule="auto"/>
        <w:ind w:firstLine="525"/>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其中：</w:t>
      </w:r>
    </w:p>
    <w:p w14:paraId="2970C39D">
      <w:pPr>
        <w:spacing w:line="360" w:lineRule="auto"/>
        <w:ind w:firstLine="42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）安全文明施工费：</w:t>
      </w:r>
    </w:p>
    <w:p w14:paraId="0254F535">
      <w:pPr>
        <w:spacing w:line="360" w:lineRule="auto"/>
        <w:ind w:left="420" w:firstLine="525"/>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1461C824">
      <w:pPr>
        <w:spacing w:line="360" w:lineRule="auto"/>
        <w:ind w:firstLine="42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hAnsi="宋体" w:cs="宋体"/>
          <w:color w:val="000000" w:themeColor="text1"/>
          <w:highlight w:val="none"/>
          <w14:textFill>
            <w14:solidFill>
              <w14:schemeClr w14:val="tx1"/>
            </w14:solidFill>
          </w14:textFill>
        </w:rPr>
        <w:t>）材料和工程设备暂估价金额：</w:t>
      </w:r>
    </w:p>
    <w:p w14:paraId="48AF1CB9">
      <w:pPr>
        <w:spacing w:line="360" w:lineRule="auto"/>
        <w:ind w:firstLine="945"/>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0CA1A56E">
      <w:pPr>
        <w:spacing w:line="360" w:lineRule="auto"/>
        <w:ind w:firstLine="42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hAnsi="宋体" w:cs="宋体"/>
          <w:color w:val="000000" w:themeColor="text1"/>
          <w:highlight w:val="none"/>
          <w14:textFill>
            <w14:solidFill>
              <w14:schemeClr w14:val="tx1"/>
            </w14:solidFill>
          </w14:textFill>
        </w:rPr>
        <w:t>）专业工程暂估价金额：</w:t>
      </w:r>
    </w:p>
    <w:p w14:paraId="02F068EE">
      <w:pPr>
        <w:spacing w:line="360" w:lineRule="auto"/>
        <w:ind w:firstLine="945"/>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1CF565A3">
      <w:pPr>
        <w:spacing w:line="360" w:lineRule="auto"/>
        <w:ind w:firstLine="42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hAnsi="宋体" w:cs="宋体"/>
          <w:color w:val="000000" w:themeColor="text1"/>
          <w:highlight w:val="none"/>
          <w14:textFill>
            <w14:solidFill>
              <w14:schemeClr w14:val="tx1"/>
            </w14:solidFill>
          </w14:textFill>
        </w:rPr>
        <w:t>）暂列金额：</w:t>
      </w:r>
    </w:p>
    <w:p w14:paraId="5EBBDDD5">
      <w:pPr>
        <w:spacing w:line="360" w:lineRule="auto"/>
        <w:ind w:firstLine="945"/>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181658C8">
      <w:pPr>
        <w:spacing w:line="360" w:lineRule="auto"/>
        <w:ind w:firstLine="420"/>
        <w:rPr>
          <w:rFonts w:hint="eastAsia"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hAnsi="宋体" w:cs="宋体"/>
          <w:color w:val="000000" w:themeColor="text1"/>
          <w:highlight w:val="none"/>
          <w14:textFill>
            <w14:solidFill>
              <w14:schemeClr w14:val="tx1"/>
            </w14:solidFill>
          </w14:textFill>
        </w:rPr>
        <w:t>合同价格形式：</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48069CBB">
      <w:pPr>
        <w:spacing w:line="360" w:lineRule="auto"/>
        <w:ind w:firstLine="422"/>
        <w:outlineLvl w:val="0"/>
        <w:rPr>
          <w:b/>
          <w:bCs/>
          <w:color w:val="000000" w:themeColor="text1"/>
          <w:highlight w:val="none"/>
          <w14:textFill>
            <w14:solidFill>
              <w14:schemeClr w14:val="tx1"/>
            </w14:solidFill>
          </w14:textFill>
        </w:rPr>
      </w:pPr>
      <w:bookmarkStart w:id="199" w:name="_Toc351203485"/>
      <w:bookmarkStart w:id="200" w:name="_Toc122424273"/>
      <w:bookmarkStart w:id="201" w:name="_Toc122424024"/>
      <w:bookmarkStart w:id="202" w:name="_Toc12104"/>
      <w:bookmarkStart w:id="203" w:name="_Toc22528"/>
      <w:r>
        <w:rPr>
          <w:rFonts w:hint="eastAsia" w:hAnsi="宋体" w:cs="宋体"/>
          <w:b/>
          <w:bCs/>
          <w:color w:val="000000" w:themeColor="text1"/>
          <w:highlight w:val="none"/>
          <w14:textFill>
            <w14:solidFill>
              <w14:schemeClr w14:val="tx1"/>
            </w14:solidFill>
          </w14:textFill>
        </w:rPr>
        <w:t>五、</w:t>
      </w:r>
      <w:bookmarkEnd w:id="199"/>
      <w:r>
        <w:rPr>
          <w:rFonts w:hint="eastAsia" w:hAnsi="宋体" w:cs="宋体"/>
          <w:b/>
          <w:bCs/>
          <w:color w:val="000000" w:themeColor="text1"/>
          <w:highlight w:val="none"/>
          <w14:textFill>
            <w14:solidFill>
              <w14:schemeClr w14:val="tx1"/>
            </w14:solidFill>
          </w14:textFill>
        </w:rPr>
        <w:t>项目经理</w:t>
      </w:r>
      <w:bookmarkEnd w:id="200"/>
      <w:bookmarkEnd w:id="201"/>
      <w:bookmarkEnd w:id="202"/>
      <w:bookmarkEnd w:id="203"/>
    </w:p>
    <w:p w14:paraId="1A078888">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承包人项目经理：</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634C0C7D">
      <w:pPr>
        <w:spacing w:line="360" w:lineRule="auto"/>
        <w:ind w:firstLine="422"/>
        <w:outlineLvl w:val="0"/>
        <w:rPr>
          <w:b/>
          <w:bCs/>
          <w:color w:val="000000" w:themeColor="text1"/>
          <w:highlight w:val="none"/>
          <w14:textFill>
            <w14:solidFill>
              <w14:schemeClr w14:val="tx1"/>
            </w14:solidFill>
          </w14:textFill>
        </w:rPr>
      </w:pPr>
      <w:bookmarkStart w:id="204" w:name="_Toc351203486"/>
      <w:bookmarkStart w:id="205" w:name="_Toc122424025"/>
      <w:bookmarkStart w:id="206" w:name="_Toc122424274"/>
      <w:bookmarkStart w:id="207" w:name="_Toc17102"/>
      <w:bookmarkStart w:id="208" w:name="_Toc20290"/>
      <w:r>
        <w:rPr>
          <w:rFonts w:hint="eastAsia" w:hAnsi="宋体" w:cs="宋体"/>
          <w:b/>
          <w:bCs/>
          <w:color w:val="000000" w:themeColor="text1"/>
          <w:highlight w:val="none"/>
          <w14:textFill>
            <w14:solidFill>
              <w14:schemeClr w14:val="tx1"/>
            </w14:solidFill>
          </w14:textFill>
        </w:rPr>
        <w:t>六、合同文件构成</w:t>
      </w:r>
      <w:bookmarkEnd w:id="204"/>
      <w:bookmarkEnd w:id="205"/>
      <w:bookmarkEnd w:id="206"/>
      <w:bookmarkEnd w:id="207"/>
      <w:bookmarkEnd w:id="208"/>
    </w:p>
    <w:p w14:paraId="65921E4D">
      <w:pPr>
        <w:spacing w:line="360" w:lineRule="auto"/>
        <w:ind w:firstLine="42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本协议书与下列文件一起构成合同文件：</w:t>
      </w:r>
    </w:p>
    <w:p w14:paraId="1E0FE73E">
      <w:pPr>
        <w:spacing w:line="360" w:lineRule="auto"/>
        <w:ind w:firstLine="420"/>
        <w:jc w:val="lef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（1）中标</w:t>
      </w:r>
      <w:r>
        <w:rPr>
          <w:rFonts w:hint="eastAsia" w:hAnsi="宋体" w:cs="宋体"/>
          <w:color w:val="000000" w:themeColor="text1"/>
          <w:highlight w:val="none"/>
          <w:lang w:eastAsia="zh-CN"/>
          <w14:textFill>
            <w14:solidFill>
              <w14:schemeClr w14:val="tx1"/>
            </w14:solidFill>
          </w14:textFill>
        </w:rPr>
        <w:t>（成交）</w:t>
      </w:r>
      <w:r>
        <w:rPr>
          <w:rFonts w:hint="eastAsia" w:hAnsi="宋体" w:cs="宋体"/>
          <w:color w:val="000000" w:themeColor="text1"/>
          <w:highlight w:val="none"/>
          <w14:textFill>
            <w14:solidFill>
              <w14:schemeClr w14:val="tx1"/>
            </w14:solidFill>
          </w14:textFill>
        </w:rPr>
        <w:t>通知书（如果有）；</w:t>
      </w:r>
    </w:p>
    <w:p w14:paraId="7D326AE1">
      <w:pPr>
        <w:spacing w:line="360" w:lineRule="auto"/>
        <w:ind w:firstLine="420"/>
        <w:jc w:val="lef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（2）投标函及其附录（如果有）； </w:t>
      </w:r>
    </w:p>
    <w:p w14:paraId="6EDE6466">
      <w:pPr>
        <w:spacing w:line="360" w:lineRule="auto"/>
        <w:ind w:firstLine="420"/>
        <w:jc w:val="lef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（3）专用合同条款及其附件；</w:t>
      </w:r>
    </w:p>
    <w:p w14:paraId="20F5B5FF">
      <w:pPr>
        <w:spacing w:line="360" w:lineRule="auto"/>
        <w:ind w:firstLine="420"/>
        <w:jc w:val="lef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（4）通用合同条款；</w:t>
      </w:r>
    </w:p>
    <w:p w14:paraId="517623FE">
      <w:pPr>
        <w:spacing w:line="360" w:lineRule="auto"/>
        <w:ind w:firstLine="420"/>
        <w:jc w:val="lef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（5）技术标准和要求；</w:t>
      </w:r>
    </w:p>
    <w:p w14:paraId="12F06E05">
      <w:pPr>
        <w:spacing w:line="360" w:lineRule="auto"/>
        <w:ind w:firstLine="420"/>
        <w:jc w:val="lef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rFonts w:hint="eastAsia" w:hAnsi="宋体" w:cs="宋体"/>
          <w:color w:val="000000" w:themeColor="text1"/>
          <w:highlight w:val="none"/>
          <w:lang w:val="en-US" w:eastAsia="zh-CN"/>
          <w14:textFill>
            <w14:solidFill>
              <w14:schemeClr w14:val="tx1"/>
            </w14:solidFill>
          </w14:textFill>
        </w:rPr>
        <w:t>6</w:t>
      </w:r>
      <w:r>
        <w:rPr>
          <w:rFonts w:hint="eastAsia" w:hAnsi="宋体" w:cs="宋体"/>
          <w:color w:val="000000" w:themeColor="text1"/>
          <w:highlight w:val="none"/>
          <w14:textFill>
            <w14:solidFill>
              <w14:schemeClr w14:val="tx1"/>
            </w14:solidFill>
          </w14:textFill>
        </w:rPr>
        <w:t>）已标价工程量清单或预算书；</w:t>
      </w:r>
    </w:p>
    <w:p w14:paraId="6144403D">
      <w:pPr>
        <w:spacing w:line="360" w:lineRule="auto"/>
        <w:ind w:firstLine="420"/>
        <w:jc w:val="lef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rFonts w:hint="eastAsia" w:hAnsi="宋体" w:cs="宋体"/>
          <w:color w:val="000000" w:themeColor="text1"/>
          <w:highlight w:val="none"/>
          <w:lang w:val="en-US" w:eastAsia="zh-CN"/>
          <w14:textFill>
            <w14:solidFill>
              <w14:schemeClr w14:val="tx1"/>
            </w14:solidFill>
          </w14:textFill>
        </w:rPr>
        <w:t>7</w:t>
      </w:r>
      <w:r>
        <w:rPr>
          <w:rFonts w:hint="eastAsia" w:hAnsi="宋体" w:cs="宋体"/>
          <w:color w:val="000000" w:themeColor="text1"/>
          <w:highlight w:val="none"/>
          <w14:textFill>
            <w14:solidFill>
              <w14:schemeClr w14:val="tx1"/>
            </w14:solidFill>
          </w14:textFill>
        </w:rPr>
        <w:t>）图纸；</w:t>
      </w:r>
    </w:p>
    <w:p w14:paraId="65EFDA3E">
      <w:pPr>
        <w:spacing w:line="360" w:lineRule="auto"/>
        <w:ind w:firstLine="420"/>
        <w:jc w:val="lef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lang w:val="en-US" w:eastAsia="zh-CN"/>
          <w14:textFill>
            <w14:solidFill>
              <w14:schemeClr w14:val="tx1"/>
            </w14:solidFill>
          </w14:textFill>
        </w:rPr>
        <w:t>（8）竞争性磋商</w:t>
      </w:r>
      <w:r>
        <w:rPr>
          <w:rFonts w:hint="eastAsia" w:hAnsi="宋体" w:cs="宋体"/>
          <w:color w:val="000000" w:themeColor="text1"/>
          <w:highlight w:val="none"/>
          <w14:textFill>
            <w14:solidFill>
              <w14:schemeClr w14:val="tx1"/>
            </w14:solidFill>
          </w14:textFill>
        </w:rPr>
        <w:t>文件及其附件（含所有补遗通知书和答疑）</w:t>
      </w:r>
    </w:p>
    <w:p w14:paraId="49CE6860">
      <w:pPr>
        <w:spacing w:line="360" w:lineRule="auto"/>
        <w:ind w:firstLine="420"/>
        <w:jc w:val="lef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rFonts w:hint="eastAsia" w:hAnsi="宋体" w:cs="宋体"/>
          <w:color w:val="000000" w:themeColor="text1"/>
          <w:highlight w:val="none"/>
          <w:lang w:val="en-US" w:eastAsia="zh-CN"/>
          <w14:textFill>
            <w14:solidFill>
              <w14:schemeClr w14:val="tx1"/>
            </w14:solidFill>
          </w14:textFill>
        </w:rPr>
        <w:t>9</w:t>
      </w:r>
      <w:r>
        <w:rPr>
          <w:rFonts w:hint="eastAsia" w:hAnsi="宋体" w:cs="宋体"/>
          <w:color w:val="000000" w:themeColor="text1"/>
          <w:highlight w:val="none"/>
          <w14:textFill>
            <w14:solidFill>
              <w14:schemeClr w14:val="tx1"/>
            </w14:solidFill>
          </w14:textFill>
        </w:rPr>
        <w:t>）其他合同文件。</w:t>
      </w:r>
    </w:p>
    <w:p w14:paraId="37CB3905">
      <w:pPr>
        <w:spacing w:line="360" w:lineRule="auto"/>
        <w:ind w:firstLine="420"/>
        <w:jc w:val="left"/>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上述各项合同文件包括合同当事人就该项合同文件所作出的补充和修改，属于同一类内容的文件，应以最新签署的为准（违反磋商文件</w:t>
      </w:r>
      <w:r>
        <w:rPr>
          <w:rFonts w:hAnsi="宋体" w:cs="宋体"/>
          <w:color w:val="000000" w:themeColor="text1"/>
          <w:highlight w:val="none"/>
          <w14:textFill>
            <w14:solidFill>
              <w14:schemeClr w14:val="tx1"/>
            </w14:solidFill>
          </w14:textFill>
        </w:rPr>
        <w:t>实质性内容的约定除外</w:t>
      </w:r>
      <w:r>
        <w:rPr>
          <w:rFonts w:hint="eastAsia" w:hAnsi="宋体" w:cs="宋体"/>
          <w:color w:val="000000" w:themeColor="text1"/>
          <w:highlight w:val="none"/>
          <w14:textFill>
            <w14:solidFill>
              <w14:schemeClr w14:val="tx1"/>
            </w14:solidFill>
          </w14:textFill>
        </w:rPr>
        <w:t>）。专用合同条款及其附件须经合同当事人签字或盖章。</w:t>
      </w:r>
    </w:p>
    <w:p w14:paraId="29055A68">
      <w:pPr>
        <w:spacing w:line="360" w:lineRule="auto"/>
        <w:ind w:firstLine="422"/>
        <w:jc w:val="left"/>
        <w:outlineLvl w:val="0"/>
        <w:rPr>
          <w:b/>
          <w:bCs/>
          <w:color w:val="000000" w:themeColor="text1"/>
          <w:highlight w:val="none"/>
          <w14:textFill>
            <w14:solidFill>
              <w14:schemeClr w14:val="tx1"/>
            </w14:solidFill>
          </w14:textFill>
        </w:rPr>
      </w:pPr>
      <w:bookmarkStart w:id="209" w:name="_Toc351203487"/>
      <w:bookmarkStart w:id="210" w:name="_Toc122424026"/>
      <w:bookmarkStart w:id="211" w:name="_Toc24432"/>
      <w:bookmarkStart w:id="212" w:name="_Toc11781"/>
      <w:bookmarkStart w:id="213" w:name="_Toc122424275"/>
      <w:r>
        <w:rPr>
          <w:rFonts w:hint="eastAsia" w:hAnsi="宋体" w:cs="宋体"/>
          <w:b/>
          <w:bCs/>
          <w:color w:val="000000" w:themeColor="text1"/>
          <w:highlight w:val="none"/>
          <w14:textFill>
            <w14:solidFill>
              <w14:schemeClr w14:val="tx1"/>
            </w14:solidFill>
          </w14:textFill>
        </w:rPr>
        <w:t>七、承诺</w:t>
      </w:r>
      <w:bookmarkEnd w:id="209"/>
      <w:bookmarkEnd w:id="210"/>
      <w:bookmarkEnd w:id="211"/>
      <w:bookmarkEnd w:id="212"/>
      <w:bookmarkEnd w:id="213"/>
    </w:p>
    <w:p w14:paraId="55B09BD2">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hAnsi="宋体" w:cs="宋体"/>
          <w:color w:val="000000" w:themeColor="text1"/>
          <w:highlight w:val="none"/>
          <w14:textFill>
            <w14:solidFill>
              <w14:schemeClr w14:val="tx1"/>
            </w14:solidFill>
          </w14:textFill>
        </w:rPr>
        <w:t>发包人承诺按照法律规定履行项目审批手续、筹集工程建设资金并按照合同约定的期限和方式支付合同价款。</w:t>
      </w:r>
    </w:p>
    <w:p w14:paraId="0D88B034">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hAnsi="宋体" w:cs="宋体"/>
          <w:color w:val="000000" w:themeColor="text1"/>
          <w:highlight w:val="none"/>
          <w14:textFill>
            <w14:solidFill>
              <w14:schemeClr w14:val="tx1"/>
            </w14:solidFill>
          </w14:textFill>
        </w:rPr>
        <w:t>承包人承诺按照法律规定及合同约定组织完成工程施工，确保工程质量和安全，不进行转包及违法分包，并在缺陷责任期及保修期内承担相应的工程维修责任。</w:t>
      </w:r>
    </w:p>
    <w:p w14:paraId="28143AEB">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 </w:t>
      </w:r>
      <w:r>
        <w:rPr>
          <w:rFonts w:hint="eastAsia" w:hAnsi="宋体" w:cs="宋体"/>
          <w:color w:val="000000" w:themeColor="text1"/>
          <w:highlight w:val="none"/>
          <w14:textFill>
            <w14:solidFill>
              <w14:schemeClr w14:val="tx1"/>
            </w14:solidFill>
          </w14:textFill>
        </w:rPr>
        <w:t>发包人和承包人通过招投标形式签订合同的，双方理解并承诺不再就同一工程另行签订与合同实质性内容相背离的协议。</w:t>
      </w:r>
      <w:bookmarkStart w:id="214" w:name="_Toc351203488"/>
    </w:p>
    <w:p w14:paraId="09AEBABD">
      <w:pPr>
        <w:spacing w:line="360" w:lineRule="auto"/>
        <w:ind w:firstLine="422"/>
        <w:outlineLvl w:val="0"/>
        <w:rPr>
          <w:b/>
          <w:bCs/>
          <w:color w:val="000000" w:themeColor="text1"/>
          <w:highlight w:val="none"/>
          <w14:textFill>
            <w14:solidFill>
              <w14:schemeClr w14:val="tx1"/>
            </w14:solidFill>
          </w14:textFill>
        </w:rPr>
      </w:pPr>
      <w:bookmarkStart w:id="215" w:name="_Toc122424027"/>
      <w:bookmarkStart w:id="216" w:name="_Toc16308"/>
      <w:bookmarkStart w:id="217" w:name="_Toc10105"/>
      <w:bookmarkStart w:id="218" w:name="_Toc122424276"/>
      <w:r>
        <w:rPr>
          <w:rFonts w:hint="eastAsia" w:hAnsi="宋体" w:cs="宋体"/>
          <w:b/>
          <w:bCs/>
          <w:color w:val="000000" w:themeColor="text1"/>
          <w:highlight w:val="none"/>
          <w14:textFill>
            <w14:solidFill>
              <w14:schemeClr w14:val="tx1"/>
            </w14:solidFill>
          </w14:textFill>
        </w:rPr>
        <w:t>八、词语含义</w:t>
      </w:r>
      <w:bookmarkEnd w:id="214"/>
      <w:bookmarkEnd w:id="215"/>
      <w:bookmarkEnd w:id="216"/>
      <w:bookmarkEnd w:id="217"/>
      <w:bookmarkEnd w:id="218"/>
    </w:p>
    <w:p w14:paraId="73A5B978">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本协议书中词语含义与第二部分通用合同条款中赋予的含义相同。</w:t>
      </w:r>
    </w:p>
    <w:p w14:paraId="224818E6">
      <w:pPr>
        <w:spacing w:line="360" w:lineRule="auto"/>
        <w:ind w:firstLine="422"/>
        <w:outlineLvl w:val="0"/>
        <w:rPr>
          <w:b/>
          <w:bCs/>
          <w:color w:val="000000" w:themeColor="text1"/>
          <w:highlight w:val="none"/>
          <w14:textFill>
            <w14:solidFill>
              <w14:schemeClr w14:val="tx1"/>
            </w14:solidFill>
          </w14:textFill>
        </w:rPr>
      </w:pPr>
      <w:bookmarkStart w:id="219" w:name="_Toc668"/>
      <w:bookmarkStart w:id="220" w:name="_Toc5712"/>
      <w:bookmarkStart w:id="221" w:name="_Toc351203489"/>
      <w:bookmarkStart w:id="222" w:name="_Toc122424028"/>
      <w:bookmarkStart w:id="223" w:name="_Toc122424277"/>
      <w:r>
        <w:rPr>
          <w:rFonts w:hint="eastAsia" w:hAnsi="宋体" w:cs="宋体"/>
          <w:b/>
          <w:bCs/>
          <w:color w:val="000000" w:themeColor="text1"/>
          <w:highlight w:val="none"/>
          <w14:textFill>
            <w14:solidFill>
              <w14:schemeClr w14:val="tx1"/>
            </w14:solidFill>
          </w14:textFill>
        </w:rPr>
        <w:t>九、签订时间</w:t>
      </w:r>
      <w:bookmarkEnd w:id="219"/>
      <w:bookmarkEnd w:id="220"/>
      <w:bookmarkEnd w:id="221"/>
      <w:bookmarkEnd w:id="222"/>
      <w:bookmarkEnd w:id="223"/>
    </w:p>
    <w:p w14:paraId="3465CC54">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本合同于</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年</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月</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日签订。</w:t>
      </w:r>
    </w:p>
    <w:p w14:paraId="0AF555F7">
      <w:pPr>
        <w:spacing w:line="360" w:lineRule="auto"/>
        <w:ind w:firstLine="422"/>
        <w:outlineLvl w:val="0"/>
        <w:rPr>
          <w:b/>
          <w:bCs/>
          <w:color w:val="000000" w:themeColor="text1"/>
          <w:highlight w:val="none"/>
          <w14:textFill>
            <w14:solidFill>
              <w14:schemeClr w14:val="tx1"/>
            </w14:solidFill>
          </w14:textFill>
        </w:rPr>
      </w:pPr>
      <w:bookmarkStart w:id="224" w:name="_Toc15414"/>
      <w:bookmarkStart w:id="225" w:name="_Toc351203490"/>
      <w:bookmarkStart w:id="226" w:name="_Toc122424029"/>
      <w:bookmarkStart w:id="227" w:name="_Toc8931"/>
      <w:bookmarkStart w:id="228" w:name="_Toc122424278"/>
      <w:r>
        <w:rPr>
          <w:rFonts w:hint="eastAsia" w:hAnsi="宋体" w:cs="宋体"/>
          <w:b/>
          <w:bCs/>
          <w:color w:val="000000" w:themeColor="text1"/>
          <w:highlight w:val="none"/>
          <w14:textFill>
            <w14:solidFill>
              <w14:schemeClr w14:val="tx1"/>
            </w14:solidFill>
          </w14:textFill>
        </w:rPr>
        <w:t>十、签订地点</w:t>
      </w:r>
      <w:bookmarkEnd w:id="224"/>
      <w:bookmarkEnd w:id="225"/>
      <w:bookmarkEnd w:id="226"/>
      <w:bookmarkEnd w:id="227"/>
      <w:bookmarkEnd w:id="228"/>
    </w:p>
    <w:p w14:paraId="48805743">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本合同在</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签订。</w:t>
      </w:r>
    </w:p>
    <w:p w14:paraId="7AA10D82">
      <w:pPr>
        <w:spacing w:line="360" w:lineRule="auto"/>
        <w:ind w:firstLine="422"/>
        <w:outlineLvl w:val="0"/>
        <w:rPr>
          <w:b/>
          <w:bCs/>
          <w:color w:val="000000" w:themeColor="text1"/>
          <w:highlight w:val="none"/>
          <w14:textFill>
            <w14:solidFill>
              <w14:schemeClr w14:val="tx1"/>
            </w14:solidFill>
          </w14:textFill>
        </w:rPr>
      </w:pPr>
      <w:bookmarkStart w:id="229" w:name="_Toc351203491"/>
      <w:bookmarkStart w:id="230" w:name="_Toc2531"/>
      <w:bookmarkStart w:id="231" w:name="_Toc10259"/>
      <w:bookmarkStart w:id="232" w:name="_Toc122424279"/>
      <w:bookmarkStart w:id="233" w:name="_Toc122424030"/>
      <w:r>
        <w:rPr>
          <w:rFonts w:hint="eastAsia" w:hAnsi="宋体" w:cs="宋体"/>
          <w:b/>
          <w:bCs/>
          <w:color w:val="000000" w:themeColor="text1"/>
          <w:highlight w:val="none"/>
          <w14:textFill>
            <w14:solidFill>
              <w14:schemeClr w14:val="tx1"/>
            </w14:solidFill>
          </w14:textFill>
        </w:rPr>
        <w:t>十一、补充协议</w:t>
      </w:r>
      <w:bookmarkEnd w:id="229"/>
      <w:bookmarkEnd w:id="230"/>
      <w:bookmarkEnd w:id="231"/>
      <w:bookmarkEnd w:id="232"/>
      <w:bookmarkEnd w:id="233"/>
    </w:p>
    <w:p w14:paraId="515F4CCB">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合同未尽事宜，合同当事人另行签订补充协议，补充协议是合同的组成部分。</w:t>
      </w:r>
    </w:p>
    <w:p w14:paraId="42730ABC">
      <w:pPr>
        <w:spacing w:line="360" w:lineRule="auto"/>
        <w:ind w:firstLine="422"/>
        <w:outlineLvl w:val="0"/>
        <w:rPr>
          <w:b/>
          <w:bCs/>
          <w:color w:val="000000" w:themeColor="text1"/>
          <w:highlight w:val="none"/>
          <w14:textFill>
            <w14:solidFill>
              <w14:schemeClr w14:val="tx1"/>
            </w14:solidFill>
          </w14:textFill>
        </w:rPr>
      </w:pPr>
      <w:bookmarkStart w:id="234" w:name="_Toc13626"/>
      <w:bookmarkStart w:id="235" w:name="_Toc351203492"/>
      <w:bookmarkStart w:id="236" w:name="_Toc122424280"/>
      <w:bookmarkStart w:id="237" w:name="_Toc122424031"/>
      <w:bookmarkStart w:id="238" w:name="_Toc27932"/>
      <w:r>
        <w:rPr>
          <w:rFonts w:hint="eastAsia" w:hAnsi="宋体" w:cs="宋体"/>
          <w:b/>
          <w:bCs/>
          <w:color w:val="000000" w:themeColor="text1"/>
          <w:highlight w:val="none"/>
          <w14:textFill>
            <w14:solidFill>
              <w14:schemeClr w14:val="tx1"/>
            </w14:solidFill>
          </w14:textFill>
        </w:rPr>
        <w:t>十二、合同生效</w:t>
      </w:r>
      <w:bookmarkEnd w:id="234"/>
      <w:bookmarkEnd w:id="235"/>
      <w:bookmarkEnd w:id="236"/>
      <w:bookmarkEnd w:id="237"/>
      <w:bookmarkEnd w:id="238"/>
    </w:p>
    <w:p w14:paraId="2B6D2539">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本合同自</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双方签字盖章后</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生效。</w:t>
      </w:r>
    </w:p>
    <w:p w14:paraId="453FC688">
      <w:pPr>
        <w:spacing w:line="360" w:lineRule="auto"/>
        <w:ind w:firstLine="422"/>
        <w:outlineLvl w:val="0"/>
        <w:rPr>
          <w:b/>
          <w:bCs/>
          <w:color w:val="000000" w:themeColor="text1"/>
          <w:highlight w:val="none"/>
          <w14:textFill>
            <w14:solidFill>
              <w14:schemeClr w14:val="tx1"/>
            </w14:solidFill>
          </w14:textFill>
        </w:rPr>
      </w:pPr>
      <w:bookmarkStart w:id="239" w:name="_Toc122424281"/>
      <w:bookmarkStart w:id="240" w:name="_Toc122424032"/>
      <w:bookmarkStart w:id="241" w:name="_Toc8017"/>
      <w:bookmarkStart w:id="242" w:name="_Toc351203493"/>
      <w:bookmarkStart w:id="243" w:name="_Toc27558"/>
      <w:r>
        <w:rPr>
          <w:rFonts w:hint="eastAsia" w:hAnsi="宋体" w:cs="宋体"/>
          <w:b/>
          <w:bCs/>
          <w:color w:val="000000" w:themeColor="text1"/>
          <w:highlight w:val="none"/>
          <w14:textFill>
            <w14:solidFill>
              <w14:schemeClr w14:val="tx1"/>
            </w14:solidFill>
          </w14:textFill>
        </w:rPr>
        <w:t>十三、合同份数</w:t>
      </w:r>
      <w:bookmarkEnd w:id="239"/>
      <w:bookmarkEnd w:id="240"/>
      <w:bookmarkEnd w:id="241"/>
      <w:bookmarkEnd w:id="242"/>
      <w:bookmarkEnd w:id="243"/>
    </w:p>
    <w:p w14:paraId="1D1B931D">
      <w:pPr>
        <w:spacing w:line="360" w:lineRule="auto"/>
        <w:ind w:firstLine="42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本合同一式拾贰份，均具有同等法律效力，发包人执陆份，承包人执陆份。</w:t>
      </w:r>
    </w:p>
    <w:p w14:paraId="631BFFAA">
      <w:pPr>
        <w:spacing w:line="360" w:lineRule="auto"/>
        <w:rPr>
          <w:color w:val="000000" w:themeColor="text1"/>
          <w:highlight w:val="none"/>
          <w14:textFill>
            <w14:solidFill>
              <w14:schemeClr w14:val="tx1"/>
            </w14:solidFill>
          </w14:textFill>
        </w:rPr>
      </w:pPr>
    </w:p>
    <w:p w14:paraId="5F2B4898">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公章</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承包人：</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公章</w:t>
      </w:r>
      <w:r>
        <w:rPr>
          <w:rFonts w:hint="eastAsia" w:cs="宋体"/>
          <w:color w:val="000000" w:themeColor="text1"/>
          <w:highlight w:val="none"/>
          <w14:textFill>
            <w14:solidFill>
              <w14:schemeClr w14:val="tx1"/>
            </w14:solidFill>
          </w14:textFill>
        </w:rPr>
        <w:t>）</w:t>
      </w:r>
    </w:p>
    <w:p w14:paraId="1082D124">
      <w:pPr>
        <w:spacing w:line="360" w:lineRule="auto"/>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p>
    <w:p w14:paraId="3B0B2911">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法定代表人或其委托代理人：</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法定代表人或其委托代理人：</w:t>
      </w:r>
    </w:p>
    <w:p w14:paraId="43669F4F">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（签字）</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（签字）</w:t>
      </w:r>
    </w:p>
    <w:p w14:paraId="59CF05F3">
      <w:pPr>
        <w:spacing w:line="360" w:lineRule="auto"/>
        <w:rPr>
          <w:color w:val="000000" w:themeColor="text1"/>
          <w:highlight w:val="none"/>
          <w:u w:val="single"/>
          <w14:textFill>
            <w14:solidFill>
              <w14:schemeClr w14:val="tx1"/>
            </w14:solidFill>
          </w14:textFill>
        </w:rPr>
      </w:pPr>
    </w:p>
    <w:p w14:paraId="0E144C1D">
      <w:pPr>
        <w:tabs>
          <w:tab w:val="left" w:pos="4410"/>
        </w:tabs>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统一社会信用代码：</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统一</w:t>
      </w:r>
      <w:r>
        <w:rPr>
          <w:rFonts w:hint="eastAsia" w:hAnsi="宋体" w:cs="宋体"/>
          <w:color w:val="000000" w:themeColor="text1"/>
          <w:highlight w:val="none"/>
          <w14:textFill>
            <w14:solidFill>
              <w14:schemeClr w14:val="tx1"/>
            </w14:solidFill>
          </w14:textFill>
        </w:rPr>
        <w:t>社会信用代码：</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p>
    <w:p w14:paraId="39F1D9A3">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地</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址：</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地</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址：</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p>
    <w:p w14:paraId="598E9CD9">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邮政编码：</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邮政编码：</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p>
    <w:p w14:paraId="6D252D3C">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法定代表人：</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法定代表人：</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p>
    <w:p w14:paraId="0A560051">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委托代理人：</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委托代理人：</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p>
    <w:p w14:paraId="5C328556">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电</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话：</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电</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话：</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p>
    <w:p w14:paraId="41A15855">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传</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真：</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传</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真：</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p>
    <w:p w14:paraId="50D820F8">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电子信箱：</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电子信箱：</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p>
    <w:p w14:paraId="4E19B040">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开户银行：</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开户银行：</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p>
    <w:p w14:paraId="2FD01153">
      <w:pPr>
        <w:rPr>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账</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号：</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账</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号：</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p>
    <w:p w14:paraId="66499614">
      <w:pPr>
        <w:pStyle w:val="2"/>
        <w:jc w:val="center"/>
        <w:rPr>
          <w:color w:val="000000" w:themeColor="text1"/>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br w:type="page" w:clear="all"/>
      </w:r>
      <w:bookmarkStart w:id="244" w:name="_Toc1714491818"/>
      <w:bookmarkStart w:id="245" w:name="_Toc389065256"/>
      <w:bookmarkStart w:id="246" w:name="_Toc78449778"/>
      <w:bookmarkStart w:id="247" w:name="_Toc407135192"/>
      <w:bookmarkStart w:id="248" w:name="_Toc86847323"/>
      <w:bookmarkStart w:id="249" w:name="_Toc122424033"/>
      <w:bookmarkStart w:id="250" w:name="_Toc122424282"/>
      <w:bookmarkStart w:id="251" w:name="_Toc4248"/>
      <w:bookmarkStart w:id="252" w:name="_Toc13653"/>
      <w:bookmarkStart w:id="253" w:name="_Toc373478338"/>
      <w:bookmarkStart w:id="254" w:name="_Toc351203632"/>
      <w:bookmarkStart w:id="255" w:name="_Toc373227691"/>
      <w:r>
        <w:rPr>
          <w:rFonts w:hint="eastAsia" w:cs="黑体"/>
          <w:color w:val="000000" w:themeColor="text1"/>
          <w:highlight w:val="none"/>
          <w14:textFill>
            <w14:solidFill>
              <w14:schemeClr w14:val="tx1"/>
            </w14:solidFill>
          </w14:textFill>
        </w:rPr>
        <w:t>第二部分</w:t>
      </w:r>
      <w:r>
        <w:rPr>
          <w:color w:val="000000" w:themeColor="text1"/>
          <w:highlight w:val="none"/>
          <w14:textFill>
            <w14:solidFill>
              <w14:schemeClr w14:val="tx1"/>
            </w14:solidFill>
          </w14:textFill>
        </w:rPr>
        <w:t xml:space="preserve"> </w:t>
      </w:r>
      <w:r>
        <w:rPr>
          <w:rFonts w:hint="eastAsia" w:cs="黑体"/>
          <w:color w:val="000000" w:themeColor="text1"/>
          <w:highlight w:val="none"/>
          <w14:textFill>
            <w14:solidFill>
              <w14:schemeClr w14:val="tx1"/>
            </w14:solidFill>
          </w14:textFill>
        </w:rPr>
        <w:t>通用合同条款</w:t>
      </w:r>
      <w:bookmarkEnd w:id="244"/>
      <w:bookmarkEnd w:id="245"/>
      <w:bookmarkEnd w:id="246"/>
      <w:bookmarkEnd w:id="247"/>
      <w:bookmarkEnd w:id="248"/>
      <w:bookmarkEnd w:id="249"/>
      <w:bookmarkEnd w:id="250"/>
      <w:bookmarkEnd w:id="251"/>
      <w:bookmarkEnd w:id="252"/>
    </w:p>
    <w:p w14:paraId="2867DE7B">
      <w:pPr>
        <w:spacing w:line="360" w:lineRule="auto"/>
        <w:ind w:firstLine="420"/>
        <w:rPr>
          <w:rFonts w:hAnsi="宋体"/>
          <w:color w:val="000000" w:themeColor="text1"/>
          <w:highlight w:val="none"/>
          <w14:textFill>
            <w14:solidFill>
              <w14:schemeClr w14:val="tx1"/>
            </w14:solidFill>
          </w14:textFill>
        </w:rPr>
      </w:pPr>
    </w:p>
    <w:p w14:paraId="11F861E8">
      <w:pPr>
        <w:spacing w:line="360" w:lineRule="auto"/>
        <w:ind w:firstLine="422"/>
        <w:rPr>
          <w:rFonts w:hAnsi="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采用《建设工程施工合同（示范文本）》（</w:t>
      </w:r>
      <w:r>
        <w:rPr>
          <w:rFonts w:hAnsi="宋体"/>
          <w:b/>
          <w:bCs/>
          <w:color w:val="000000" w:themeColor="text1"/>
          <w:highlight w:val="none"/>
          <w14:textFill>
            <w14:solidFill>
              <w14:schemeClr w14:val="tx1"/>
            </w14:solidFill>
          </w14:textFill>
        </w:rPr>
        <w:t>GF</w:t>
      </w:r>
      <w:r>
        <w:rPr>
          <w:rFonts w:hAnsi="宋体" w:cs="宋体"/>
          <w:b/>
          <w:bCs/>
          <w:color w:val="000000" w:themeColor="text1"/>
          <w:highlight w:val="none"/>
          <w14:textFill>
            <w14:solidFill>
              <w14:schemeClr w14:val="tx1"/>
            </w14:solidFill>
          </w14:textFill>
        </w:rPr>
        <w:t>—</w:t>
      </w:r>
      <w:r>
        <w:rPr>
          <w:rFonts w:hAnsi="宋体"/>
          <w:b/>
          <w:bCs/>
          <w:color w:val="000000" w:themeColor="text1"/>
          <w:highlight w:val="none"/>
          <w14:textFill>
            <w14:solidFill>
              <w14:schemeClr w14:val="tx1"/>
            </w14:solidFill>
          </w14:textFill>
        </w:rPr>
        <w:t>201</w:t>
      </w:r>
      <w:r>
        <w:rPr>
          <w:rFonts w:hint="eastAsia" w:hAnsi="宋体"/>
          <w:b/>
          <w:bCs/>
          <w:color w:val="000000" w:themeColor="text1"/>
          <w:highlight w:val="none"/>
          <w14:textFill>
            <w14:solidFill>
              <w14:schemeClr w14:val="tx1"/>
            </w14:solidFill>
          </w14:textFill>
        </w:rPr>
        <w:t>7</w:t>
      </w:r>
      <w:r>
        <w:rPr>
          <w:rFonts w:hAnsi="宋体" w:cs="宋体"/>
          <w:b/>
          <w:bCs/>
          <w:color w:val="000000" w:themeColor="text1"/>
          <w:highlight w:val="none"/>
          <w14:textFill>
            <w14:solidFill>
              <w14:schemeClr w14:val="tx1"/>
            </w14:solidFill>
          </w14:textFill>
        </w:rPr>
        <w:t>—</w:t>
      </w:r>
      <w:r>
        <w:rPr>
          <w:rFonts w:hAnsi="宋体"/>
          <w:b/>
          <w:bCs/>
          <w:color w:val="000000" w:themeColor="text1"/>
          <w:highlight w:val="none"/>
          <w14:textFill>
            <w14:solidFill>
              <w14:schemeClr w14:val="tx1"/>
            </w14:solidFill>
          </w14:textFill>
        </w:rPr>
        <w:t>0201</w:t>
      </w:r>
      <w:r>
        <w:rPr>
          <w:rFonts w:hint="eastAsia" w:hAnsi="宋体" w:cs="宋体"/>
          <w:b/>
          <w:bCs/>
          <w:color w:val="000000" w:themeColor="text1"/>
          <w:highlight w:val="none"/>
          <w14:textFill>
            <w14:solidFill>
              <w14:schemeClr w14:val="tx1"/>
            </w14:solidFill>
          </w14:textFill>
        </w:rPr>
        <w:t>）。</w:t>
      </w:r>
    </w:p>
    <w:p w14:paraId="093E2ED4">
      <w:pPr>
        <w:pStyle w:val="2"/>
        <w:keepNext w:val="0"/>
        <w:keepLines w:val="0"/>
        <w:jc w:val="center"/>
        <w:rPr>
          <w:rFonts w:hAnsi="宋体"/>
          <w:color w:val="000000" w:themeColor="text1"/>
          <w:sz w:val="30"/>
          <w:szCs w:val="30"/>
          <w:highlight w:val="none"/>
          <w14:textFill>
            <w14:solidFill>
              <w14:schemeClr w14:val="tx1"/>
            </w14:solidFill>
          </w14:textFill>
        </w:rPr>
      </w:pPr>
      <w:bookmarkStart w:id="256" w:name="_Toc1204138598"/>
      <w:bookmarkStart w:id="257" w:name="_Toc389065257"/>
      <w:bookmarkStart w:id="258" w:name="_Toc704444909"/>
      <w:bookmarkStart w:id="259" w:name="_Toc407135193"/>
      <w:bookmarkStart w:id="260" w:name="_Toc78449779"/>
      <w:bookmarkStart w:id="261" w:name="_Toc7074"/>
      <w:bookmarkStart w:id="262" w:name="_Toc122424034"/>
      <w:bookmarkStart w:id="263" w:name="_Toc13436"/>
      <w:bookmarkStart w:id="264" w:name="_Toc122424283"/>
      <w:r>
        <w:rPr>
          <w:rFonts w:hint="eastAsia" w:hAnsi="宋体" w:cs="黑体"/>
          <w:color w:val="000000" w:themeColor="text1"/>
          <w:sz w:val="30"/>
          <w:szCs w:val="30"/>
          <w:highlight w:val="none"/>
          <w14:textFill>
            <w14:solidFill>
              <w14:schemeClr w14:val="tx1"/>
            </w14:solidFill>
          </w14:textFill>
        </w:rPr>
        <w:t>第三部分</w:t>
      </w:r>
      <w:r>
        <w:rPr>
          <w:color w:val="000000" w:themeColor="text1"/>
          <w:sz w:val="30"/>
          <w:szCs w:val="30"/>
          <w:highlight w:val="none"/>
          <w14:textFill>
            <w14:solidFill>
              <w14:schemeClr w14:val="tx1"/>
            </w14:solidFill>
          </w14:textFill>
        </w:rPr>
        <w:t xml:space="preserve"> </w:t>
      </w:r>
      <w:r>
        <w:rPr>
          <w:rFonts w:hint="eastAsia" w:hAnsi="宋体" w:cs="黑体"/>
          <w:color w:val="000000" w:themeColor="text1"/>
          <w:sz w:val="30"/>
          <w:szCs w:val="30"/>
          <w:highlight w:val="none"/>
          <w14:textFill>
            <w14:solidFill>
              <w14:schemeClr w14:val="tx1"/>
            </w14:solidFill>
          </w14:textFill>
        </w:rPr>
        <w:t>专用合同条款</w:t>
      </w:r>
      <w:bookmarkEnd w:id="253"/>
      <w:bookmarkEnd w:id="254"/>
      <w:bookmarkEnd w:id="255"/>
      <w:bookmarkEnd w:id="256"/>
      <w:bookmarkEnd w:id="257"/>
      <w:bookmarkEnd w:id="258"/>
      <w:bookmarkEnd w:id="259"/>
      <w:bookmarkEnd w:id="260"/>
      <w:bookmarkEnd w:id="261"/>
      <w:bookmarkEnd w:id="262"/>
      <w:bookmarkEnd w:id="263"/>
      <w:bookmarkEnd w:id="264"/>
    </w:p>
    <w:p w14:paraId="43C6CA6F">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一般约定</w:t>
      </w:r>
    </w:p>
    <w:p w14:paraId="544CF112">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 词语定义</w:t>
      </w:r>
    </w:p>
    <w:p w14:paraId="6EC71C6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1.1.1 合同</w:t>
      </w:r>
    </w:p>
    <w:p w14:paraId="05F536FD">
      <w:pPr>
        <w:spacing w:line="360" w:lineRule="auto"/>
        <w:ind w:firstLine="6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1.1.1.10 其他合同文件包括：</w:t>
      </w:r>
      <w:r>
        <w:rPr>
          <w:rFonts w:hint="eastAsia" w:ascii="宋体" w:hAnsi="宋体" w:cs="宋体"/>
          <w:color w:val="000000" w:themeColor="text1"/>
          <w:sz w:val="24"/>
          <w:highlight w:val="none"/>
          <w:u w:val="single"/>
          <w14:textFill>
            <w14:solidFill>
              <w14:schemeClr w14:val="tx1"/>
            </w14:solidFill>
          </w14:textFill>
        </w:rPr>
        <w:t>双方在履行合同过程中形成的双方授权代表签署的会议纪要、备忘录、补充文件、变更和洽商等书面形式的文件构成本合同的组成部分。</w:t>
      </w:r>
    </w:p>
    <w:p w14:paraId="3EC0E4D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1.1.2 合同当事人及其他相关方</w:t>
      </w:r>
    </w:p>
    <w:p w14:paraId="29135328">
      <w:pPr>
        <w:spacing w:line="360" w:lineRule="auto"/>
        <w:ind w:firstLine="480"/>
        <w:outlineLvl w:val="0"/>
        <w:rPr>
          <w:rFonts w:hint="eastAsia" w:ascii="宋体" w:hAnsi="宋体" w:cs="宋体"/>
          <w:color w:val="000000" w:themeColor="text1"/>
          <w:sz w:val="24"/>
          <w:highlight w:val="none"/>
          <w14:textFill>
            <w14:solidFill>
              <w14:schemeClr w14:val="tx1"/>
            </w14:solidFill>
          </w14:textFill>
        </w:rPr>
      </w:pPr>
      <w:bookmarkStart w:id="265" w:name="_Toc29525"/>
      <w:bookmarkStart w:id="266" w:name="_Toc16415"/>
      <w:r>
        <w:rPr>
          <w:rFonts w:hint="eastAsia" w:ascii="宋体" w:hAnsi="宋体" w:cs="宋体"/>
          <w:color w:val="000000" w:themeColor="text1"/>
          <w:sz w:val="24"/>
          <w:highlight w:val="none"/>
          <w14:textFill>
            <w14:solidFill>
              <w14:schemeClr w14:val="tx1"/>
            </w14:solidFill>
          </w14:textFill>
        </w:rPr>
        <w:t>1.1.2.4 监理人：</w:t>
      </w:r>
      <w:bookmarkEnd w:id="265"/>
      <w:bookmarkEnd w:id="266"/>
    </w:p>
    <w:p w14:paraId="2A646E14">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    称：</w:t>
      </w:r>
      <w:r>
        <w:rPr>
          <w:rFonts w:hint="eastAsia" w:ascii="宋体" w:hAnsi="宋体" w:cs="宋体"/>
          <w:color w:val="000000" w:themeColor="text1"/>
          <w:sz w:val="24"/>
          <w:highlight w:val="none"/>
          <w:u w:val="single"/>
          <w14:textFill>
            <w14:solidFill>
              <w14:schemeClr w14:val="tx1"/>
            </w14:solidFill>
          </w14:textFill>
        </w:rPr>
        <w:t xml:space="preserve"> 详见监理合同  </w:t>
      </w:r>
      <w:r>
        <w:rPr>
          <w:rFonts w:hint="eastAsia" w:ascii="宋体" w:hAnsi="宋体" w:cs="宋体"/>
          <w:color w:val="000000" w:themeColor="text1"/>
          <w:sz w:val="24"/>
          <w:highlight w:val="none"/>
          <w14:textFill>
            <w14:solidFill>
              <w14:schemeClr w14:val="tx1"/>
            </w14:solidFill>
          </w14:textFill>
        </w:rPr>
        <w:t>；</w:t>
      </w:r>
    </w:p>
    <w:p w14:paraId="1DDAE05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资质类别和等级：</w:t>
      </w:r>
      <w:r>
        <w:rPr>
          <w:rFonts w:hint="eastAsia" w:ascii="宋体" w:hAnsi="宋体" w:cs="宋体"/>
          <w:color w:val="000000" w:themeColor="text1"/>
          <w:sz w:val="24"/>
          <w:highlight w:val="none"/>
          <w:u w:val="single"/>
          <w14:textFill>
            <w14:solidFill>
              <w14:schemeClr w14:val="tx1"/>
            </w14:solidFill>
          </w14:textFill>
        </w:rPr>
        <w:t xml:space="preserve">  详见监理合同  </w:t>
      </w:r>
      <w:r>
        <w:rPr>
          <w:rFonts w:hint="eastAsia" w:ascii="宋体" w:hAnsi="宋体" w:cs="宋体"/>
          <w:color w:val="000000" w:themeColor="text1"/>
          <w:sz w:val="24"/>
          <w:highlight w:val="none"/>
          <w14:textFill>
            <w14:solidFill>
              <w14:schemeClr w14:val="tx1"/>
            </w14:solidFill>
          </w14:textFill>
        </w:rPr>
        <w:t>；</w:t>
      </w:r>
    </w:p>
    <w:p w14:paraId="277B2DC4">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single"/>
          <w14:textFill>
            <w14:solidFill>
              <w14:schemeClr w14:val="tx1"/>
            </w14:solidFill>
          </w14:textFill>
        </w:rPr>
        <w:t xml:space="preserve"> 详见监理合同  </w:t>
      </w:r>
      <w:r>
        <w:rPr>
          <w:rFonts w:hint="eastAsia" w:ascii="宋体" w:hAnsi="宋体" w:cs="宋体"/>
          <w:color w:val="000000" w:themeColor="text1"/>
          <w:sz w:val="24"/>
          <w:highlight w:val="none"/>
          <w14:textFill>
            <w14:solidFill>
              <w14:schemeClr w14:val="tx1"/>
            </w14:solidFill>
          </w14:textFill>
        </w:rPr>
        <w:t>；</w:t>
      </w:r>
    </w:p>
    <w:p w14:paraId="21F5671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电子信箱：</w:t>
      </w:r>
      <w:r>
        <w:rPr>
          <w:rFonts w:hint="eastAsia" w:ascii="宋体" w:hAnsi="宋体" w:cs="宋体"/>
          <w:color w:val="000000" w:themeColor="text1"/>
          <w:sz w:val="24"/>
          <w:highlight w:val="none"/>
          <w:u w:val="single"/>
          <w14:textFill>
            <w14:solidFill>
              <w14:schemeClr w14:val="tx1"/>
            </w14:solidFill>
          </w14:textFill>
        </w:rPr>
        <w:t xml:space="preserve"> 详见监理合同  </w:t>
      </w:r>
      <w:r>
        <w:rPr>
          <w:rFonts w:hint="eastAsia" w:ascii="宋体" w:hAnsi="宋体" w:cs="宋体"/>
          <w:color w:val="000000" w:themeColor="text1"/>
          <w:sz w:val="24"/>
          <w:highlight w:val="none"/>
          <w14:textFill>
            <w14:solidFill>
              <w14:schemeClr w14:val="tx1"/>
            </w14:solidFill>
          </w14:textFill>
        </w:rPr>
        <w:t>；</w:t>
      </w:r>
    </w:p>
    <w:p w14:paraId="69BE4506">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通信地址：</w:t>
      </w:r>
      <w:r>
        <w:rPr>
          <w:rFonts w:hint="eastAsia" w:ascii="宋体" w:hAnsi="宋体" w:cs="宋体"/>
          <w:color w:val="000000" w:themeColor="text1"/>
          <w:sz w:val="24"/>
          <w:highlight w:val="none"/>
          <w:u w:val="single"/>
          <w14:textFill>
            <w14:solidFill>
              <w14:schemeClr w14:val="tx1"/>
            </w14:solidFill>
          </w14:textFill>
        </w:rPr>
        <w:t xml:space="preserve">  详见监理合同  </w:t>
      </w:r>
      <w:r>
        <w:rPr>
          <w:rFonts w:hint="eastAsia" w:ascii="宋体" w:hAnsi="宋体" w:cs="宋体"/>
          <w:color w:val="000000" w:themeColor="text1"/>
          <w:sz w:val="24"/>
          <w:highlight w:val="none"/>
          <w14:textFill>
            <w14:solidFill>
              <w14:schemeClr w14:val="tx1"/>
            </w14:solidFill>
          </w14:textFill>
        </w:rPr>
        <w:t>。</w:t>
      </w:r>
    </w:p>
    <w:p w14:paraId="5596480E">
      <w:pPr>
        <w:spacing w:line="360" w:lineRule="auto"/>
        <w:ind w:firstLine="480"/>
        <w:outlineLvl w:val="0"/>
        <w:rPr>
          <w:rFonts w:hint="eastAsia" w:ascii="宋体" w:hAnsi="宋体" w:cs="宋体"/>
          <w:color w:val="000000" w:themeColor="text1"/>
          <w:sz w:val="24"/>
          <w:highlight w:val="none"/>
          <w14:textFill>
            <w14:solidFill>
              <w14:schemeClr w14:val="tx1"/>
            </w14:solidFill>
          </w14:textFill>
        </w:rPr>
      </w:pPr>
      <w:bookmarkStart w:id="267" w:name="_Toc20266"/>
      <w:bookmarkStart w:id="268" w:name="_Toc6955"/>
      <w:r>
        <w:rPr>
          <w:rFonts w:hint="eastAsia" w:ascii="宋体" w:hAnsi="宋体" w:cs="宋体"/>
          <w:color w:val="000000" w:themeColor="text1"/>
          <w:sz w:val="24"/>
          <w:highlight w:val="none"/>
          <w14:textFill>
            <w14:solidFill>
              <w14:schemeClr w14:val="tx1"/>
            </w14:solidFill>
          </w14:textFill>
        </w:rPr>
        <w:t>1.1.2.5 设计人：</w:t>
      </w:r>
      <w:bookmarkEnd w:id="267"/>
      <w:bookmarkEnd w:id="268"/>
    </w:p>
    <w:p w14:paraId="7412176D">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    称：</w:t>
      </w:r>
      <w:r>
        <w:rPr>
          <w:rFonts w:hint="eastAsia" w:ascii="宋体" w:hAnsi="宋体" w:cs="宋体"/>
          <w:color w:val="000000" w:themeColor="text1"/>
          <w:sz w:val="24"/>
          <w:highlight w:val="none"/>
          <w:u w:val="single"/>
          <w14:textFill>
            <w14:solidFill>
              <w14:schemeClr w14:val="tx1"/>
            </w14:solidFill>
          </w14:textFill>
        </w:rPr>
        <w:t xml:space="preserve">  详见设计合同   </w:t>
      </w:r>
      <w:r>
        <w:rPr>
          <w:rFonts w:hint="eastAsia" w:ascii="宋体" w:hAnsi="宋体" w:cs="宋体"/>
          <w:color w:val="000000" w:themeColor="text1"/>
          <w:sz w:val="24"/>
          <w:highlight w:val="none"/>
          <w14:textFill>
            <w14:solidFill>
              <w14:schemeClr w14:val="tx1"/>
            </w14:solidFill>
          </w14:textFill>
        </w:rPr>
        <w:t>；</w:t>
      </w:r>
    </w:p>
    <w:p w14:paraId="38BA4775">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资质类别和等级：</w:t>
      </w:r>
      <w:r>
        <w:rPr>
          <w:rFonts w:hint="eastAsia" w:ascii="宋体" w:hAnsi="宋体" w:cs="宋体"/>
          <w:color w:val="000000" w:themeColor="text1"/>
          <w:sz w:val="24"/>
          <w:highlight w:val="none"/>
          <w:u w:val="single"/>
          <w14:textFill>
            <w14:solidFill>
              <w14:schemeClr w14:val="tx1"/>
            </w14:solidFill>
          </w14:textFill>
        </w:rPr>
        <w:t xml:space="preserve">  详见设计合同  </w:t>
      </w:r>
      <w:r>
        <w:rPr>
          <w:rFonts w:hint="eastAsia" w:ascii="宋体" w:hAnsi="宋体" w:cs="宋体"/>
          <w:color w:val="000000" w:themeColor="text1"/>
          <w:sz w:val="24"/>
          <w:highlight w:val="none"/>
          <w14:textFill>
            <w14:solidFill>
              <w14:schemeClr w14:val="tx1"/>
            </w14:solidFill>
          </w14:textFill>
        </w:rPr>
        <w:t>；</w:t>
      </w:r>
    </w:p>
    <w:p w14:paraId="2C19831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single"/>
          <w14:textFill>
            <w14:solidFill>
              <w14:schemeClr w14:val="tx1"/>
            </w14:solidFill>
          </w14:textFill>
        </w:rPr>
        <w:t xml:space="preserve">   详见设计合同   </w:t>
      </w:r>
      <w:r>
        <w:rPr>
          <w:rFonts w:hint="eastAsia" w:ascii="宋体" w:hAnsi="宋体" w:cs="宋体"/>
          <w:color w:val="000000" w:themeColor="text1"/>
          <w:sz w:val="24"/>
          <w:highlight w:val="none"/>
          <w14:textFill>
            <w14:solidFill>
              <w14:schemeClr w14:val="tx1"/>
            </w14:solidFill>
          </w14:textFill>
        </w:rPr>
        <w:t>；</w:t>
      </w:r>
    </w:p>
    <w:p w14:paraId="43CD32A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电子信箱：</w:t>
      </w:r>
      <w:r>
        <w:rPr>
          <w:rFonts w:hint="eastAsia" w:ascii="宋体" w:hAnsi="宋体" w:cs="宋体"/>
          <w:color w:val="000000" w:themeColor="text1"/>
          <w:sz w:val="24"/>
          <w:highlight w:val="none"/>
          <w:u w:val="single"/>
          <w14:textFill>
            <w14:solidFill>
              <w14:schemeClr w14:val="tx1"/>
            </w14:solidFill>
          </w14:textFill>
        </w:rPr>
        <w:t xml:space="preserve">   详见设计合同  </w:t>
      </w:r>
      <w:r>
        <w:rPr>
          <w:rFonts w:hint="eastAsia" w:ascii="宋体" w:hAnsi="宋体" w:cs="宋体"/>
          <w:color w:val="000000" w:themeColor="text1"/>
          <w:sz w:val="24"/>
          <w:highlight w:val="none"/>
          <w14:textFill>
            <w14:solidFill>
              <w14:schemeClr w14:val="tx1"/>
            </w14:solidFill>
          </w14:textFill>
        </w:rPr>
        <w:t>；</w:t>
      </w:r>
    </w:p>
    <w:p w14:paraId="36BFE5A2">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通信地址：</w:t>
      </w:r>
      <w:r>
        <w:rPr>
          <w:rFonts w:hint="eastAsia" w:ascii="宋体" w:hAnsi="宋体" w:cs="宋体"/>
          <w:color w:val="000000" w:themeColor="text1"/>
          <w:sz w:val="24"/>
          <w:highlight w:val="none"/>
          <w:u w:val="single"/>
          <w14:textFill>
            <w14:solidFill>
              <w14:schemeClr w14:val="tx1"/>
            </w14:solidFill>
          </w14:textFill>
        </w:rPr>
        <w:t xml:space="preserve">   详见设计合同   </w:t>
      </w:r>
      <w:r>
        <w:rPr>
          <w:rFonts w:hint="eastAsia" w:ascii="宋体" w:hAnsi="宋体" w:cs="宋体"/>
          <w:color w:val="000000" w:themeColor="text1"/>
          <w:sz w:val="24"/>
          <w:highlight w:val="none"/>
          <w14:textFill>
            <w14:solidFill>
              <w14:schemeClr w14:val="tx1"/>
            </w14:solidFill>
          </w14:textFill>
        </w:rPr>
        <w:t>。</w:t>
      </w:r>
    </w:p>
    <w:p w14:paraId="21EA7B0E">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1.1.3 工程和设备</w:t>
      </w:r>
    </w:p>
    <w:p w14:paraId="72DC5FF3">
      <w:pPr>
        <w:spacing w:line="360" w:lineRule="auto"/>
        <w:ind w:firstLine="480"/>
        <w:outlineLvl w:val="0"/>
        <w:rPr>
          <w:rFonts w:hint="eastAsia" w:ascii="宋体" w:hAnsi="宋体" w:cs="宋体"/>
          <w:color w:val="000000" w:themeColor="text1"/>
          <w:sz w:val="24"/>
          <w:highlight w:val="none"/>
          <w14:textFill>
            <w14:solidFill>
              <w14:schemeClr w14:val="tx1"/>
            </w14:solidFill>
          </w14:textFill>
        </w:rPr>
      </w:pPr>
      <w:bookmarkStart w:id="269" w:name="_Toc27323"/>
      <w:bookmarkStart w:id="270" w:name="_Toc1131"/>
      <w:r>
        <w:rPr>
          <w:rFonts w:hint="eastAsia" w:ascii="宋体" w:hAnsi="宋体" w:cs="宋体"/>
          <w:color w:val="000000" w:themeColor="text1"/>
          <w:sz w:val="24"/>
          <w:highlight w:val="none"/>
          <w14:textFill>
            <w14:solidFill>
              <w14:schemeClr w14:val="tx1"/>
            </w14:solidFill>
          </w14:textFill>
        </w:rPr>
        <w:t>1.1.3.7 作为施工现场组成部分的其他场所包括：</w:t>
      </w:r>
      <w:r>
        <w:rPr>
          <w:rFonts w:hint="eastAsia" w:ascii="宋体" w:hAnsi="宋体" w:cs="宋体"/>
          <w:color w:val="000000" w:themeColor="text1"/>
          <w:sz w:val="24"/>
          <w:highlight w:val="none"/>
          <w:u w:val="single"/>
          <w14:textFill>
            <w14:solidFill>
              <w14:schemeClr w14:val="tx1"/>
            </w14:solidFill>
          </w14:textFill>
        </w:rPr>
        <w:t xml:space="preserve">项目部等    </w:t>
      </w:r>
      <w:r>
        <w:rPr>
          <w:rFonts w:hint="eastAsia" w:ascii="宋体" w:hAnsi="宋体" w:cs="宋体"/>
          <w:color w:val="000000" w:themeColor="text1"/>
          <w:sz w:val="24"/>
          <w:highlight w:val="none"/>
          <w14:textFill>
            <w14:solidFill>
              <w14:schemeClr w14:val="tx1"/>
            </w14:solidFill>
          </w14:textFill>
        </w:rPr>
        <w:t>。</w:t>
      </w:r>
      <w:bookmarkEnd w:id="269"/>
      <w:bookmarkEnd w:id="270"/>
    </w:p>
    <w:p w14:paraId="03F61C93">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1.1.3.9 永久占地包括：</w:t>
      </w:r>
      <w:r>
        <w:rPr>
          <w:rFonts w:hint="eastAsia" w:ascii="宋体" w:hAnsi="宋体" w:cs="宋体"/>
          <w:color w:val="000000" w:themeColor="text1"/>
          <w:sz w:val="24"/>
          <w:highlight w:val="none"/>
          <w:u w:val="single"/>
          <w14:textFill>
            <w14:solidFill>
              <w14:schemeClr w14:val="tx1"/>
            </w14:solidFill>
          </w14:textFill>
        </w:rPr>
        <w:t xml:space="preserve">本工程规划红线内需占用的土地    </w:t>
      </w:r>
      <w:r>
        <w:rPr>
          <w:rFonts w:hint="eastAsia" w:ascii="宋体" w:hAnsi="宋体" w:cs="宋体"/>
          <w:color w:val="000000" w:themeColor="text1"/>
          <w:sz w:val="24"/>
          <w:highlight w:val="none"/>
          <w14:textFill>
            <w14:solidFill>
              <w14:schemeClr w14:val="tx1"/>
            </w14:solidFill>
          </w14:textFill>
        </w:rPr>
        <w:t>。</w:t>
      </w:r>
    </w:p>
    <w:p w14:paraId="49B999B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1.1.3.10 临时占地包括：</w:t>
      </w:r>
      <w:r>
        <w:rPr>
          <w:rFonts w:hint="eastAsia" w:ascii="宋体" w:hAnsi="宋体" w:cs="宋体"/>
          <w:color w:val="000000" w:themeColor="text1"/>
          <w:sz w:val="24"/>
          <w:highlight w:val="none"/>
          <w:u w:val="single"/>
          <w14:textFill>
            <w14:solidFill>
              <w14:schemeClr w14:val="tx1"/>
            </w14:solidFill>
          </w14:textFill>
        </w:rPr>
        <w:t xml:space="preserve">临时工人宿舍、实验室、材料堆放场、材料加工场及施工便道用地等 </w:t>
      </w:r>
      <w:r>
        <w:rPr>
          <w:rFonts w:hint="eastAsia" w:ascii="宋体" w:hAnsi="宋体" w:cs="宋体"/>
          <w:color w:val="000000" w:themeColor="text1"/>
          <w:sz w:val="24"/>
          <w:highlight w:val="none"/>
          <w14:textFill>
            <w14:solidFill>
              <w14:schemeClr w14:val="tx1"/>
            </w14:solidFill>
          </w14:textFill>
        </w:rPr>
        <w:t>。</w:t>
      </w:r>
    </w:p>
    <w:p w14:paraId="2523FC9B">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71" w:name="_Toc25164"/>
      <w:bookmarkStart w:id="272" w:name="_Toc7601"/>
      <w:r>
        <w:rPr>
          <w:rFonts w:hint="eastAsia" w:ascii="宋体" w:hAnsi="宋体" w:cs="宋体"/>
          <w:color w:val="000000" w:themeColor="text1"/>
          <w:sz w:val="24"/>
          <w:szCs w:val="24"/>
          <w:highlight w:val="none"/>
          <w14:textFill>
            <w14:solidFill>
              <w14:schemeClr w14:val="tx1"/>
            </w14:solidFill>
          </w14:textFill>
        </w:rPr>
        <w:t>1.3 法律</w:t>
      </w:r>
      <w:bookmarkEnd w:id="271"/>
      <w:bookmarkEnd w:id="272"/>
    </w:p>
    <w:p w14:paraId="7B1D346C">
      <w:pPr>
        <w:pStyle w:val="374"/>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适用于合同的其他规范性文件：</w:t>
      </w:r>
      <w:r>
        <w:rPr>
          <w:rFonts w:hint="eastAsia" w:ascii="宋体" w:hAnsi="宋体" w:cs="宋体"/>
          <w:color w:val="000000" w:themeColor="text1"/>
          <w:sz w:val="24"/>
          <w:szCs w:val="24"/>
          <w:highlight w:val="none"/>
          <w:u w:val="single"/>
          <w14:textFill>
            <w14:solidFill>
              <w14:schemeClr w14:val="tx1"/>
            </w14:solidFill>
          </w14:textFill>
        </w:rPr>
        <w:t xml:space="preserve">现行《中华人民共和国建筑法》、《中华人民共和国民法典》、《中华人民共和国招标投标法》、《建设工程质量管理条例》、《建筑施工合同管理办法》《建设工程安全生产管理条例》及省市地方建设工程的法律、法规等 </w:t>
      </w:r>
      <w:r>
        <w:rPr>
          <w:rFonts w:hint="eastAsia" w:ascii="宋体" w:hAnsi="宋体" w:cs="宋体"/>
          <w:color w:val="000000" w:themeColor="text1"/>
          <w:sz w:val="24"/>
          <w:szCs w:val="24"/>
          <w:highlight w:val="none"/>
          <w14:textFill>
            <w14:solidFill>
              <w14:schemeClr w14:val="tx1"/>
            </w14:solidFill>
          </w14:textFill>
        </w:rPr>
        <w:t>。</w:t>
      </w:r>
    </w:p>
    <w:p w14:paraId="766672DA">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73" w:name="_Toc22144"/>
      <w:bookmarkStart w:id="274" w:name="_Toc17980"/>
      <w:r>
        <w:rPr>
          <w:rFonts w:hint="eastAsia" w:ascii="宋体" w:hAnsi="宋体" w:cs="宋体"/>
          <w:color w:val="000000" w:themeColor="text1"/>
          <w:sz w:val="24"/>
          <w:szCs w:val="24"/>
          <w:highlight w:val="none"/>
          <w14:textFill>
            <w14:solidFill>
              <w14:schemeClr w14:val="tx1"/>
            </w14:solidFill>
          </w14:textFill>
        </w:rPr>
        <w:t>1.4 标准和规范</w:t>
      </w:r>
      <w:bookmarkEnd w:id="273"/>
      <w:bookmarkEnd w:id="274"/>
    </w:p>
    <w:p w14:paraId="415FC240">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1.4.1 适用于工程的标准规范包括：</w:t>
      </w:r>
      <w:r>
        <w:rPr>
          <w:rFonts w:hint="eastAsia" w:ascii="宋体" w:hAnsi="宋体" w:cs="宋体"/>
          <w:color w:val="000000" w:themeColor="text1"/>
          <w:sz w:val="24"/>
          <w:highlight w:val="none"/>
          <w:u w:val="single"/>
          <w14:textFill>
            <w14:solidFill>
              <w14:schemeClr w14:val="tx1"/>
            </w14:solidFill>
          </w14:textFill>
        </w:rPr>
        <w:t>国家现行有效的有关建设项目管理、施工、验收及保修等规范和标准，以及项目主管部门批准的文件。发包人根据本工程具体情况，依照国家有关标准制订的施工技术规定及验收办法。</w:t>
      </w:r>
    </w:p>
    <w:p w14:paraId="1F328902">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1.4.2 发包人提供国外标准、规范的名称：</w:t>
      </w:r>
      <w:r>
        <w:rPr>
          <w:rFonts w:hint="eastAsia" w:ascii="宋体" w:hAnsi="宋体" w:cs="宋体"/>
          <w:color w:val="000000" w:themeColor="text1"/>
          <w:sz w:val="24"/>
          <w:highlight w:val="none"/>
          <w:u w:val="single"/>
          <w14:textFill>
            <w14:solidFill>
              <w14:schemeClr w14:val="tx1"/>
            </w14:solidFill>
          </w14:textFill>
        </w:rPr>
        <w:t xml:space="preserve">            无            </w:t>
      </w:r>
    </w:p>
    <w:p w14:paraId="0F80F95B">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发包人提供国外标准、规范的份数：</w:t>
      </w:r>
      <w:r>
        <w:rPr>
          <w:rFonts w:hint="eastAsia" w:ascii="宋体" w:hAnsi="宋体" w:cs="宋体"/>
          <w:color w:val="000000" w:themeColor="text1"/>
          <w:sz w:val="24"/>
          <w:highlight w:val="none"/>
          <w:u w:val="single"/>
          <w14:textFill>
            <w14:solidFill>
              <w14:schemeClr w14:val="tx1"/>
            </w14:solidFill>
          </w14:textFill>
        </w:rPr>
        <w:t xml:space="preserve">               无         </w:t>
      </w:r>
      <w:r>
        <w:rPr>
          <w:rFonts w:hint="eastAsia" w:ascii="宋体" w:hAnsi="宋体" w:cs="宋体"/>
          <w:color w:val="000000" w:themeColor="text1"/>
          <w:sz w:val="24"/>
          <w:highlight w:val="none"/>
          <w14:textFill>
            <w14:solidFill>
              <w14:schemeClr w14:val="tx1"/>
            </w14:solidFill>
          </w14:textFill>
        </w:rPr>
        <w:t>；</w:t>
      </w:r>
    </w:p>
    <w:p w14:paraId="2580BFA4">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发包人提供国外标准、规范的名称：</w:t>
      </w:r>
      <w:r>
        <w:rPr>
          <w:rFonts w:hint="eastAsia" w:ascii="宋体" w:hAnsi="宋体" w:cs="宋体"/>
          <w:color w:val="000000" w:themeColor="text1"/>
          <w:sz w:val="24"/>
          <w:highlight w:val="none"/>
          <w:u w:val="single"/>
          <w14:textFill>
            <w14:solidFill>
              <w14:schemeClr w14:val="tx1"/>
            </w14:solidFill>
          </w14:textFill>
        </w:rPr>
        <w:t xml:space="preserve">            无            </w:t>
      </w:r>
      <w:r>
        <w:rPr>
          <w:rFonts w:hint="eastAsia" w:ascii="宋体" w:hAnsi="宋体" w:cs="宋体"/>
          <w:color w:val="000000" w:themeColor="text1"/>
          <w:sz w:val="24"/>
          <w:highlight w:val="none"/>
          <w14:textFill>
            <w14:solidFill>
              <w14:schemeClr w14:val="tx1"/>
            </w14:solidFill>
          </w14:textFill>
        </w:rPr>
        <w:t>。</w:t>
      </w:r>
    </w:p>
    <w:p w14:paraId="4A4737D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1.4.3 发包人对工程的技术标准和功能要求的特殊要求：</w:t>
      </w:r>
      <w:r>
        <w:rPr>
          <w:rFonts w:hint="eastAsia" w:ascii="宋体" w:hAnsi="宋体" w:cs="宋体"/>
          <w:color w:val="000000" w:themeColor="text1"/>
          <w:sz w:val="24"/>
          <w:highlight w:val="none"/>
          <w:u w:val="single"/>
          <w14:textFill>
            <w14:solidFill>
              <w14:schemeClr w14:val="tx1"/>
            </w14:solidFill>
          </w14:textFill>
        </w:rPr>
        <w:t xml:space="preserve">      无     </w:t>
      </w:r>
      <w:r>
        <w:rPr>
          <w:rFonts w:hint="eastAsia" w:ascii="宋体" w:hAnsi="宋体" w:cs="宋体"/>
          <w:color w:val="000000" w:themeColor="text1"/>
          <w:sz w:val="24"/>
          <w:highlight w:val="none"/>
          <w14:textFill>
            <w14:solidFill>
              <w14:schemeClr w14:val="tx1"/>
            </w14:solidFill>
          </w14:textFill>
        </w:rPr>
        <w:t>。</w:t>
      </w:r>
    </w:p>
    <w:p w14:paraId="73BBF40C">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75" w:name="_Toc21811"/>
      <w:bookmarkStart w:id="276" w:name="_Toc31772"/>
      <w:r>
        <w:rPr>
          <w:rFonts w:hint="eastAsia" w:ascii="宋体" w:hAnsi="宋体" w:cs="宋体"/>
          <w:color w:val="000000" w:themeColor="text1"/>
          <w:sz w:val="24"/>
          <w:szCs w:val="24"/>
          <w:highlight w:val="none"/>
          <w14:textFill>
            <w14:solidFill>
              <w14:schemeClr w14:val="tx1"/>
            </w14:solidFill>
          </w14:textFill>
        </w:rPr>
        <w:t>1.5 合同文件的优先顺序</w:t>
      </w:r>
      <w:bookmarkEnd w:id="275"/>
      <w:bookmarkEnd w:id="276"/>
    </w:p>
    <w:p w14:paraId="6A145C2E">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合同文件组成及优先顺序为：</w:t>
      </w:r>
    </w:p>
    <w:p w14:paraId="6CA31256">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（1）中标（成交）通知书（如果有）；</w:t>
      </w:r>
    </w:p>
    <w:p w14:paraId="5F54014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（2）投标函及其附录（如果有）； </w:t>
      </w:r>
    </w:p>
    <w:p w14:paraId="61282FDE">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（3）专用合同条款及其附件；</w:t>
      </w:r>
    </w:p>
    <w:p w14:paraId="2CAE3E21">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（4）通用合同条款；</w:t>
      </w:r>
    </w:p>
    <w:p w14:paraId="7C025617">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（5）技术标准和要求；</w:t>
      </w:r>
    </w:p>
    <w:p w14:paraId="30BA1D5C">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（6）已标价工程量清单或预算书；</w:t>
      </w:r>
    </w:p>
    <w:p w14:paraId="0AFC3021">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（7）图纸；</w:t>
      </w:r>
    </w:p>
    <w:p w14:paraId="6D7D45DF">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（8）竞争性磋商文件及其附件（含所有补遗通知书和答疑）</w:t>
      </w:r>
    </w:p>
    <w:p w14:paraId="0C72E790">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（9）其他合同文件。</w:t>
      </w:r>
    </w:p>
    <w:p w14:paraId="5CF242A9">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417D39FA">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77" w:name="_Toc3025"/>
      <w:bookmarkStart w:id="278" w:name="_Toc7547"/>
      <w:r>
        <w:rPr>
          <w:rFonts w:hint="eastAsia" w:ascii="宋体" w:hAnsi="宋体" w:cs="宋体"/>
          <w:color w:val="000000" w:themeColor="text1"/>
          <w:sz w:val="24"/>
          <w:szCs w:val="24"/>
          <w:highlight w:val="none"/>
          <w14:textFill>
            <w14:solidFill>
              <w14:schemeClr w14:val="tx1"/>
            </w14:solidFill>
          </w14:textFill>
        </w:rPr>
        <w:t>1.6 图纸和承包人文件</w:t>
      </w:r>
      <w:bookmarkEnd w:id="277"/>
      <w:bookmarkEnd w:id="278"/>
      <w:r>
        <w:rPr>
          <w:rFonts w:hint="eastAsia" w:ascii="宋体" w:hAnsi="宋体" w:cs="宋体"/>
          <w:color w:val="000000" w:themeColor="text1"/>
          <w:sz w:val="24"/>
          <w:szCs w:val="24"/>
          <w:highlight w:val="none"/>
          <w14:textFill>
            <w14:solidFill>
              <w14:schemeClr w14:val="tx1"/>
            </w14:solidFill>
          </w14:textFill>
        </w:rPr>
        <w:tab/>
      </w:r>
    </w:p>
    <w:p w14:paraId="60E352C9">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 图纸的提供</w:t>
      </w:r>
    </w:p>
    <w:p w14:paraId="48442AE4">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发包人向承包人提供图纸的期限：</w:t>
      </w:r>
      <w:r>
        <w:rPr>
          <w:rFonts w:hint="eastAsia" w:ascii="宋体" w:hAnsi="宋体" w:cs="宋体"/>
          <w:color w:val="000000" w:themeColor="text1"/>
          <w:sz w:val="24"/>
          <w:highlight w:val="none"/>
          <w:u w:val="single"/>
          <w14:textFill>
            <w14:solidFill>
              <w14:schemeClr w14:val="tx1"/>
            </w14:solidFill>
          </w14:textFill>
        </w:rPr>
        <w:t xml:space="preserve">   签订合同后三天内      </w:t>
      </w:r>
      <w:r>
        <w:rPr>
          <w:rFonts w:hint="eastAsia" w:ascii="宋体" w:hAnsi="宋体" w:cs="宋体"/>
          <w:color w:val="000000" w:themeColor="text1"/>
          <w:sz w:val="24"/>
          <w:highlight w:val="none"/>
          <w14:textFill>
            <w14:solidFill>
              <w14:schemeClr w14:val="tx1"/>
            </w14:solidFill>
          </w14:textFill>
        </w:rPr>
        <w:t>；</w:t>
      </w:r>
    </w:p>
    <w:p w14:paraId="14999057">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发包人向承包人提供图纸的数量：</w:t>
      </w:r>
      <w:r>
        <w:rPr>
          <w:rFonts w:hint="eastAsia" w:ascii="宋体" w:hAnsi="宋体" w:cs="宋体"/>
          <w:color w:val="000000" w:themeColor="text1"/>
          <w:sz w:val="24"/>
          <w:highlight w:val="none"/>
          <w:u w:val="single"/>
          <w14:textFill>
            <w14:solidFill>
              <w14:schemeClr w14:val="tx1"/>
            </w14:solidFill>
          </w14:textFill>
        </w:rPr>
        <w:t xml:space="preserve">  1  </w:t>
      </w:r>
      <w:r>
        <w:rPr>
          <w:rFonts w:hint="eastAsia" w:ascii="宋体" w:hAnsi="宋体" w:cs="宋体"/>
          <w:color w:val="000000" w:themeColor="text1"/>
          <w:sz w:val="24"/>
          <w:highlight w:val="none"/>
          <w14:textFill>
            <w14:solidFill>
              <w14:schemeClr w14:val="tx1"/>
            </w14:solidFill>
          </w14:textFill>
        </w:rPr>
        <w:t>套（承包人需要增加图纸套数的，自行复制）；</w:t>
      </w:r>
    </w:p>
    <w:p w14:paraId="2897A38C">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发包人向承包人提供图纸的内容：</w:t>
      </w:r>
      <w:r>
        <w:rPr>
          <w:rFonts w:hint="eastAsia" w:ascii="宋体" w:hAnsi="宋体" w:cs="宋体"/>
          <w:color w:val="000000" w:themeColor="text1"/>
          <w:sz w:val="24"/>
          <w:highlight w:val="none"/>
          <w:u w:val="single"/>
          <w14:textFill>
            <w14:solidFill>
              <w14:schemeClr w14:val="tx1"/>
            </w14:solidFill>
          </w14:textFill>
        </w:rPr>
        <w:t xml:space="preserve">   本合同发包内容中的全部图纸      </w:t>
      </w:r>
      <w:r>
        <w:rPr>
          <w:rFonts w:hint="eastAsia" w:ascii="宋体" w:hAnsi="宋体" w:cs="宋体"/>
          <w:color w:val="000000" w:themeColor="text1"/>
          <w:sz w:val="24"/>
          <w:highlight w:val="none"/>
          <w14:textFill>
            <w14:solidFill>
              <w14:schemeClr w14:val="tx1"/>
            </w14:solidFill>
          </w14:textFill>
        </w:rPr>
        <w:t>。</w:t>
      </w:r>
    </w:p>
    <w:p w14:paraId="07A0B750">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1.6.4 承包人文件</w:t>
      </w:r>
    </w:p>
    <w:p w14:paraId="1217BA51">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需要由承包人提供的文件，包括：</w:t>
      </w:r>
      <w:r>
        <w:rPr>
          <w:rFonts w:hint="eastAsia" w:ascii="宋体" w:hAnsi="宋体" w:cs="宋体"/>
          <w:color w:val="000000" w:themeColor="text1"/>
          <w:sz w:val="24"/>
          <w:highlight w:val="none"/>
          <w:u w:val="single"/>
          <w14:textFill>
            <w14:solidFill>
              <w14:schemeClr w14:val="tx1"/>
            </w14:solidFill>
          </w14:textFill>
        </w:rPr>
        <w:t xml:space="preserve">   施工组织设计、进度计划书        </w:t>
      </w:r>
      <w:r>
        <w:rPr>
          <w:rFonts w:hint="eastAsia" w:ascii="宋体" w:hAnsi="宋体" w:cs="宋体"/>
          <w:color w:val="000000" w:themeColor="text1"/>
          <w:sz w:val="24"/>
          <w:highlight w:val="none"/>
          <w14:textFill>
            <w14:solidFill>
              <w14:schemeClr w14:val="tx1"/>
            </w14:solidFill>
          </w14:textFill>
        </w:rPr>
        <w:t>；</w:t>
      </w:r>
    </w:p>
    <w:p w14:paraId="4C536056">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承包人提供的文件的期限为：</w:t>
      </w:r>
      <w:r>
        <w:rPr>
          <w:rFonts w:hint="eastAsia" w:ascii="宋体" w:hAnsi="宋体" w:cs="宋体"/>
          <w:color w:val="000000" w:themeColor="text1"/>
          <w:sz w:val="24"/>
          <w:highlight w:val="none"/>
          <w:u w:val="single"/>
          <w14:textFill>
            <w14:solidFill>
              <w14:schemeClr w14:val="tx1"/>
            </w14:solidFill>
          </w14:textFill>
        </w:rPr>
        <w:t xml:space="preserve">         构件开始施工前 14 天内         </w:t>
      </w:r>
      <w:r>
        <w:rPr>
          <w:rFonts w:hint="eastAsia" w:ascii="宋体" w:hAnsi="宋体" w:cs="宋体"/>
          <w:color w:val="000000" w:themeColor="text1"/>
          <w:sz w:val="24"/>
          <w:highlight w:val="none"/>
          <w14:textFill>
            <w14:solidFill>
              <w14:schemeClr w14:val="tx1"/>
            </w14:solidFill>
          </w14:textFill>
        </w:rPr>
        <w:t>；</w:t>
      </w:r>
    </w:p>
    <w:p w14:paraId="236A2E2E">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承包人提供的文件的数量为：</w:t>
      </w:r>
      <w:r>
        <w:rPr>
          <w:rFonts w:hint="eastAsia" w:ascii="宋体" w:hAnsi="宋体" w:cs="宋体"/>
          <w:color w:val="000000" w:themeColor="text1"/>
          <w:sz w:val="24"/>
          <w:highlight w:val="none"/>
          <w:u w:val="single"/>
          <w14:textFill>
            <w14:solidFill>
              <w14:schemeClr w14:val="tx1"/>
            </w14:solidFill>
          </w14:textFill>
        </w:rPr>
        <w:t xml:space="preserve">             6份               </w:t>
      </w:r>
      <w:r>
        <w:rPr>
          <w:rFonts w:hint="eastAsia" w:ascii="宋体" w:hAnsi="宋体" w:cs="宋体"/>
          <w:color w:val="000000" w:themeColor="text1"/>
          <w:sz w:val="24"/>
          <w:highlight w:val="none"/>
          <w14:textFill>
            <w14:solidFill>
              <w14:schemeClr w14:val="tx1"/>
            </w14:solidFill>
          </w14:textFill>
        </w:rPr>
        <w:t>；</w:t>
      </w:r>
    </w:p>
    <w:p w14:paraId="0251B45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承包人提供的文件的形式为：</w:t>
      </w:r>
      <w:r>
        <w:rPr>
          <w:rFonts w:hint="eastAsia" w:ascii="宋体" w:hAnsi="宋体" w:cs="宋体"/>
          <w:color w:val="000000" w:themeColor="text1"/>
          <w:sz w:val="24"/>
          <w:highlight w:val="none"/>
          <w:u w:val="single"/>
          <w14:textFill>
            <w14:solidFill>
              <w14:schemeClr w14:val="tx1"/>
            </w14:solidFill>
          </w14:textFill>
        </w:rPr>
        <w:t xml:space="preserve">                书面              </w:t>
      </w:r>
      <w:r>
        <w:rPr>
          <w:rFonts w:hint="eastAsia" w:ascii="宋体" w:hAnsi="宋体" w:cs="宋体"/>
          <w:color w:val="000000" w:themeColor="text1"/>
          <w:sz w:val="24"/>
          <w:highlight w:val="none"/>
          <w14:textFill>
            <w14:solidFill>
              <w14:schemeClr w14:val="tx1"/>
            </w14:solidFill>
          </w14:textFill>
        </w:rPr>
        <w:t>；</w:t>
      </w:r>
    </w:p>
    <w:p w14:paraId="52306F95">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发包人审批承包人文件的期限：</w:t>
      </w:r>
      <w:r>
        <w:rPr>
          <w:rFonts w:hint="eastAsia" w:ascii="宋体" w:hAnsi="宋体" w:cs="宋体"/>
          <w:color w:val="000000" w:themeColor="text1"/>
          <w:sz w:val="24"/>
          <w:highlight w:val="none"/>
          <w:u w:val="single"/>
          <w14:textFill>
            <w14:solidFill>
              <w14:schemeClr w14:val="tx1"/>
            </w14:solidFill>
          </w14:textFill>
        </w:rPr>
        <w:t xml:space="preserve">   在承包人提供文件后7天内审定完毕    </w:t>
      </w:r>
      <w:r>
        <w:rPr>
          <w:rFonts w:hint="eastAsia" w:ascii="宋体" w:hAnsi="宋体" w:cs="宋体"/>
          <w:color w:val="000000" w:themeColor="text1"/>
          <w:sz w:val="24"/>
          <w:highlight w:val="none"/>
          <w14:textFill>
            <w14:solidFill>
              <w14:schemeClr w14:val="tx1"/>
            </w14:solidFill>
          </w14:textFill>
        </w:rPr>
        <w:t>。</w:t>
      </w:r>
    </w:p>
    <w:p w14:paraId="4D0AC984">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1.6.5 现场图纸准备</w:t>
      </w:r>
    </w:p>
    <w:p w14:paraId="0BA2EF09">
      <w:pPr>
        <w:pStyle w:val="374"/>
        <w:spacing w:line="360" w:lineRule="auto"/>
        <w:ind w:firstLine="48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关于现场图纸准备的约定：</w:t>
      </w:r>
      <w:r>
        <w:rPr>
          <w:rFonts w:hint="eastAsia" w:ascii="宋体" w:hAnsi="宋体" w:cs="宋体"/>
          <w:color w:val="000000" w:themeColor="text1"/>
          <w:sz w:val="24"/>
          <w:szCs w:val="24"/>
          <w:highlight w:val="none"/>
          <w:u w:val="single"/>
          <w14:textFill>
            <w14:solidFill>
              <w14:schemeClr w14:val="tx1"/>
            </w14:solidFill>
          </w14:textFill>
        </w:rPr>
        <w:t xml:space="preserve">承包人应在施工现场另外保存一套完整的图纸和承包人文件，供发包人、监理人及有关人员进行工程检查时使用 </w:t>
      </w:r>
      <w:r>
        <w:rPr>
          <w:rFonts w:hint="eastAsia" w:ascii="宋体" w:hAnsi="宋体" w:cs="宋体"/>
          <w:color w:val="000000" w:themeColor="text1"/>
          <w:sz w:val="24"/>
          <w:szCs w:val="24"/>
          <w:highlight w:val="none"/>
          <w14:textFill>
            <w14:solidFill>
              <w14:schemeClr w14:val="tx1"/>
            </w14:solidFill>
          </w14:textFill>
        </w:rPr>
        <w:t>。</w:t>
      </w:r>
    </w:p>
    <w:p w14:paraId="1B8785B8">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79" w:name="_Toc30801"/>
      <w:bookmarkStart w:id="280" w:name="_Toc1417"/>
      <w:r>
        <w:rPr>
          <w:rFonts w:hint="eastAsia" w:ascii="宋体" w:hAnsi="宋体" w:cs="宋体"/>
          <w:color w:val="000000" w:themeColor="text1"/>
          <w:sz w:val="24"/>
          <w:szCs w:val="24"/>
          <w:highlight w:val="none"/>
          <w14:textFill>
            <w14:solidFill>
              <w14:schemeClr w14:val="tx1"/>
            </w14:solidFill>
          </w14:textFill>
        </w:rPr>
        <w:t>1.7 联络</w:t>
      </w:r>
      <w:bookmarkEnd w:id="279"/>
      <w:bookmarkEnd w:id="280"/>
    </w:p>
    <w:p w14:paraId="1C4F88AF">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1.7.1发包人和承包人应当在</w:t>
      </w:r>
      <w:r>
        <w:rPr>
          <w:rFonts w:hint="eastAsia" w:ascii="宋体" w:hAnsi="宋体" w:cs="宋体"/>
          <w:color w:val="000000" w:themeColor="text1"/>
          <w:sz w:val="24"/>
          <w:highlight w:val="none"/>
          <w:u w:val="single"/>
          <w14:textFill>
            <w14:solidFill>
              <w14:schemeClr w14:val="tx1"/>
            </w14:solidFill>
          </w14:textFill>
        </w:rPr>
        <w:t xml:space="preserve">  3  </w:t>
      </w:r>
      <w:r>
        <w:rPr>
          <w:rFonts w:hint="eastAsia" w:ascii="宋体" w:hAnsi="宋体" w:cs="宋体"/>
          <w:color w:val="000000" w:themeColor="text1"/>
          <w:sz w:val="24"/>
          <w:highlight w:val="none"/>
          <w14:textFill>
            <w14:solidFill>
              <w14:schemeClr w14:val="tx1"/>
            </w14:solidFill>
          </w14:textFill>
        </w:rPr>
        <w:t>天内将与合同有关的通知、批准、证明、证书、指示、指令、要求、请求、同意、意见、确定和决定等书面函件送达对方当事人。</w:t>
      </w:r>
    </w:p>
    <w:p w14:paraId="283B7F72">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 发包人接收文件的地点：</w:t>
      </w:r>
      <w:r>
        <w:rPr>
          <w:rFonts w:hint="eastAsia" w:ascii="宋体" w:hAnsi="宋体" w:cs="宋体"/>
          <w:color w:val="000000" w:themeColor="text1"/>
          <w:sz w:val="24"/>
          <w:highlight w:val="none"/>
          <w:u w:val="single"/>
          <w14:textFill>
            <w14:solidFill>
              <w14:schemeClr w14:val="tx1"/>
            </w14:solidFill>
          </w14:textFill>
        </w:rPr>
        <w:t xml:space="preserve">       发包人办公室      </w:t>
      </w:r>
      <w:r>
        <w:rPr>
          <w:rFonts w:hint="eastAsia" w:ascii="宋体" w:hAnsi="宋体" w:cs="宋体"/>
          <w:color w:val="000000" w:themeColor="text1"/>
          <w:sz w:val="24"/>
          <w:highlight w:val="none"/>
          <w14:textFill>
            <w14:solidFill>
              <w14:schemeClr w14:val="tx1"/>
            </w14:solidFill>
          </w14:textFill>
        </w:rPr>
        <w:t>；</w:t>
      </w:r>
    </w:p>
    <w:p w14:paraId="0D2DD11B">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发包人指定的接收人为：</w:t>
      </w:r>
      <w:r>
        <w:rPr>
          <w:rFonts w:hint="eastAsia" w:ascii="宋体" w:hAnsi="宋体" w:cs="宋体"/>
          <w:color w:val="000000" w:themeColor="text1"/>
          <w:sz w:val="24"/>
          <w:highlight w:val="none"/>
          <w:u w:val="single"/>
          <w14:textFill>
            <w14:solidFill>
              <w14:schemeClr w14:val="tx1"/>
            </w14:solidFill>
          </w14:textFill>
        </w:rPr>
        <w:t xml:space="preserve">           委派工程师            </w:t>
      </w:r>
      <w:r>
        <w:rPr>
          <w:rFonts w:hint="eastAsia" w:ascii="宋体" w:hAnsi="宋体" w:cs="宋体"/>
          <w:color w:val="000000" w:themeColor="text1"/>
          <w:sz w:val="24"/>
          <w:highlight w:val="none"/>
          <w14:textFill>
            <w14:solidFill>
              <w14:schemeClr w14:val="tx1"/>
            </w14:solidFill>
          </w14:textFill>
        </w:rPr>
        <w:t>。</w:t>
      </w:r>
    </w:p>
    <w:p w14:paraId="2EA0D115">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承包人接收文件的地点：</w:t>
      </w:r>
      <w:r>
        <w:rPr>
          <w:rFonts w:hint="eastAsia" w:ascii="宋体" w:hAnsi="宋体" w:cs="宋体"/>
          <w:color w:val="000000" w:themeColor="text1"/>
          <w:sz w:val="24"/>
          <w:highlight w:val="none"/>
          <w:u w:val="single"/>
          <w14:textFill>
            <w14:solidFill>
              <w14:schemeClr w14:val="tx1"/>
            </w14:solidFill>
          </w14:textFill>
        </w:rPr>
        <w:t xml:space="preserve">          项目部办公室            </w:t>
      </w:r>
      <w:r>
        <w:rPr>
          <w:rFonts w:hint="eastAsia" w:ascii="宋体" w:hAnsi="宋体" w:cs="宋体"/>
          <w:color w:val="000000" w:themeColor="text1"/>
          <w:sz w:val="24"/>
          <w:highlight w:val="none"/>
          <w14:textFill>
            <w14:solidFill>
              <w14:schemeClr w14:val="tx1"/>
            </w14:solidFill>
          </w14:textFill>
        </w:rPr>
        <w:t>；</w:t>
      </w:r>
    </w:p>
    <w:p w14:paraId="0300F480">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承包人指定的接收人为：</w:t>
      </w:r>
      <w:r>
        <w:rPr>
          <w:rFonts w:hint="eastAsia" w:ascii="宋体" w:hAnsi="宋体" w:cs="宋体"/>
          <w:color w:val="000000" w:themeColor="text1"/>
          <w:sz w:val="24"/>
          <w:highlight w:val="none"/>
          <w:u w:val="single"/>
          <w14:textFill>
            <w14:solidFill>
              <w14:schemeClr w14:val="tx1"/>
            </w14:solidFill>
          </w14:textFill>
        </w:rPr>
        <w:t xml:space="preserve">           项目经理             </w:t>
      </w:r>
      <w:r>
        <w:rPr>
          <w:rFonts w:hint="eastAsia" w:ascii="宋体" w:hAnsi="宋体" w:cs="宋体"/>
          <w:color w:val="000000" w:themeColor="text1"/>
          <w:sz w:val="24"/>
          <w:highlight w:val="none"/>
          <w14:textFill>
            <w14:solidFill>
              <w14:schemeClr w14:val="tx1"/>
            </w14:solidFill>
          </w14:textFill>
        </w:rPr>
        <w:t>。</w:t>
      </w:r>
    </w:p>
    <w:p w14:paraId="347CAE6B">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监理人接收文件的地点：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1D89EC4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监理人指定的接收人为：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03E43B2E">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81" w:name="_Toc24201"/>
      <w:bookmarkStart w:id="282" w:name="_Toc21296"/>
      <w:r>
        <w:rPr>
          <w:rFonts w:hint="eastAsia" w:ascii="宋体" w:hAnsi="宋体" w:cs="宋体"/>
          <w:color w:val="000000" w:themeColor="text1"/>
          <w:sz w:val="24"/>
          <w:szCs w:val="24"/>
          <w:highlight w:val="none"/>
          <w14:textFill>
            <w14:solidFill>
              <w14:schemeClr w14:val="tx1"/>
            </w14:solidFill>
          </w14:textFill>
        </w:rPr>
        <w:t>1.10 交通运输</w:t>
      </w:r>
      <w:bookmarkEnd w:id="281"/>
      <w:bookmarkEnd w:id="282"/>
    </w:p>
    <w:p w14:paraId="14587431">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1.10.1 出入现场的权利</w:t>
      </w:r>
    </w:p>
    <w:p w14:paraId="7525563A">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关于出入现场的权利的约定：</w:t>
      </w:r>
      <w:r>
        <w:rPr>
          <w:rFonts w:hint="eastAsia" w:ascii="宋体" w:hAnsi="宋体" w:cs="宋体"/>
          <w:color w:val="000000" w:themeColor="text1"/>
          <w:sz w:val="24"/>
          <w:highlight w:val="none"/>
          <w:u w:val="single"/>
          <w14:textFill>
            <w14:solidFill>
              <w14:schemeClr w14:val="tx1"/>
            </w14:solidFill>
          </w14:textFill>
        </w:rPr>
        <w:t xml:space="preserve">发包人协助承包人取得出入施工现场所需的批准手续和全部权利，以及取得因施工所需修建道路、桥梁以及其他基础设施的权利，承包人承担相关手续费用和修建道路、桥梁以及其他基础设施的建设费用，此等费用无论承包人是否在投标报价中单独列支，发包人均认为此项费用包含在投标报价中，由承包人承担此等费用 </w:t>
      </w:r>
      <w:r>
        <w:rPr>
          <w:rFonts w:hint="eastAsia" w:ascii="宋体" w:hAnsi="宋体" w:cs="宋体"/>
          <w:color w:val="000000" w:themeColor="text1"/>
          <w:sz w:val="24"/>
          <w:highlight w:val="none"/>
          <w14:textFill>
            <w14:solidFill>
              <w14:schemeClr w14:val="tx1"/>
            </w14:solidFill>
          </w14:textFill>
        </w:rPr>
        <w:t>。</w:t>
      </w:r>
    </w:p>
    <w:p w14:paraId="17D8D7C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1.10.3 场内交通</w:t>
      </w:r>
    </w:p>
    <w:p w14:paraId="7BA33934">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关于场外交通和场内交通的边界的约定：</w:t>
      </w:r>
      <w:r>
        <w:rPr>
          <w:rFonts w:hint="eastAsia" w:ascii="宋体" w:hAnsi="宋体" w:cs="宋体"/>
          <w:color w:val="000000" w:themeColor="text1"/>
          <w:sz w:val="24"/>
          <w:highlight w:val="none"/>
          <w:u w:val="single"/>
          <w14:textFill>
            <w14:solidFill>
              <w14:schemeClr w14:val="tx1"/>
            </w14:solidFill>
          </w14:textFill>
        </w:rPr>
        <w:t xml:space="preserve">     以设计红线范围为界     </w:t>
      </w:r>
      <w:r>
        <w:rPr>
          <w:rFonts w:hint="eastAsia" w:ascii="宋体" w:hAnsi="宋体" w:cs="宋体"/>
          <w:color w:val="000000" w:themeColor="text1"/>
          <w:sz w:val="24"/>
          <w:highlight w:val="none"/>
          <w14:textFill>
            <w14:solidFill>
              <w14:schemeClr w14:val="tx1"/>
            </w14:solidFill>
          </w14:textFill>
        </w:rPr>
        <w:t>。</w:t>
      </w:r>
    </w:p>
    <w:p w14:paraId="281E2E61">
      <w:pPr>
        <w:pStyle w:val="374"/>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关于发包人向承包人免费提供满足工程施工需要的场内道路和交通设施的约定：</w:t>
      </w:r>
      <w:r>
        <w:rPr>
          <w:rFonts w:hint="eastAsia" w:ascii="宋体" w:hAnsi="宋体" w:cs="宋体"/>
          <w:color w:val="000000" w:themeColor="text1"/>
          <w:sz w:val="24"/>
          <w:szCs w:val="24"/>
          <w:highlight w:val="none"/>
          <w:u w:val="single"/>
          <w14:textFill>
            <w14:solidFill>
              <w14:schemeClr w14:val="tx1"/>
            </w14:solidFill>
          </w14:textFill>
        </w:rPr>
        <w:t xml:space="preserve">由承包人负责并承担相应费用  </w:t>
      </w:r>
      <w:r>
        <w:rPr>
          <w:rFonts w:hint="eastAsia" w:ascii="宋体" w:hAnsi="宋体" w:cs="宋体"/>
          <w:color w:val="000000" w:themeColor="text1"/>
          <w:sz w:val="24"/>
          <w:szCs w:val="24"/>
          <w:highlight w:val="none"/>
          <w14:textFill>
            <w14:solidFill>
              <w14:schemeClr w14:val="tx1"/>
            </w14:solidFill>
          </w14:textFill>
        </w:rPr>
        <w:t>。</w:t>
      </w:r>
    </w:p>
    <w:p w14:paraId="13EAE31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1.10.4 超大件和超重件的运输</w:t>
      </w:r>
    </w:p>
    <w:p w14:paraId="742E0196">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运输超大件或超重件所需的道路和桥梁临时加固改造费用和其他有关费用由</w:t>
      </w:r>
      <w:r>
        <w:rPr>
          <w:rFonts w:hint="eastAsia" w:ascii="宋体" w:hAnsi="宋体" w:cs="宋体"/>
          <w:color w:val="000000" w:themeColor="text1"/>
          <w:sz w:val="24"/>
          <w:highlight w:val="none"/>
          <w:u w:val="single"/>
          <w14:textFill>
            <w14:solidFill>
              <w14:schemeClr w14:val="tx1"/>
            </w14:solidFill>
          </w14:textFill>
        </w:rPr>
        <w:t xml:space="preserve">  承包人 </w:t>
      </w:r>
      <w:r>
        <w:rPr>
          <w:rFonts w:hint="eastAsia" w:ascii="宋体" w:hAnsi="宋体" w:cs="宋体"/>
          <w:color w:val="000000" w:themeColor="text1"/>
          <w:sz w:val="24"/>
          <w:highlight w:val="none"/>
          <w14:textFill>
            <w14:solidFill>
              <w14:schemeClr w14:val="tx1"/>
            </w14:solidFill>
          </w14:textFill>
        </w:rPr>
        <w:t>承担。</w:t>
      </w:r>
    </w:p>
    <w:p w14:paraId="5F1E365D">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83" w:name="_Toc11545"/>
      <w:bookmarkStart w:id="284" w:name="_Toc32516"/>
      <w:r>
        <w:rPr>
          <w:rFonts w:hint="eastAsia" w:ascii="宋体" w:hAnsi="宋体" w:cs="宋体"/>
          <w:color w:val="000000" w:themeColor="text1"/>
          <w:sz w:val="24"/>
          <w:szCs w:val="24"/>
          <w:highlight w:val="none"/>
          <w14:textFill>
            <w14:solidFill>
              <w14:schemeClr w14:val="tx1"/>
            </w14:solidFill>
          </w14:textFill>
        </w:rPr>
        <w:t>1.11 知识产权</w:t>
      </w:r>
      <w:bookmarkEnd w:id="283"/>
      <w:bookmarkEnd w:id="284"/>
    </w:p>
    <w:p w14:paraId="2A172D8F">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000000" w:themeColor="text1"/>
          <w:sz w:val="24"/>
          <w:highlight w:val="none"/>
          <w:u w:val="single"/>
          <w14:textFill>
            <w14:solidFill>
              <w14:schemeClr w14:val="tx1"/>
            </w14:solidFill>
          </w14:textFill>
        </w:rPr>
        <w:t xml:space="preserve"> 发包人 </w:t>
      </w:r>
      <w:r>
        <w:rPr>
          <w:rFonts w:hint="eastAsia" w:ascii="宋体" w:hAnsi="宋体" w:cs="宋体"/>
          <w:color w:val="000000" w:themeColor="text1"/>
          <w:sz w:val="24"/>
          <w:highlight w:val="none"/>
          <w14:textFill>
            <w14:solidFill>
              <w14:schemeClr w14:val="tx1"/>
            </w14:solidFill>
          </w14:textFill>
        </w:rPr>
        <w:t>。</w:t>
      </w:r>
    </w:p>
    <w:p w14:paraId="71D24505">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关于发包人提供的上述文件的使用限制的要求：</w:t>
      </w:r>
      <w:r>
        <w:rPr>
          <w:rFonts w:hint="eastAsia" w:ascii="宋体" w:hAnsi="宋体" w:cs="宋体"/>
          <w:color w:val="000000" w:themeColor="text1"/>
          <w:sz w:val="24"/>
          <w:highlight w:val="none"/>
          <w:u w:val="single"/>
          <w14:textFill>
            <w14:solidFill>
              <w14:schemeClr w14:val="tx1"/>
            </w14:solidFill>
          </w14:textFill>
        </w:rPr>
        <w:t xml:space="preserve"> 按《通用合同条款》1.11.1 条执行 </w:t>
      </w:r>
      <w:r>
        <w:rPr>
          <w:rFonts w:hint="eastAsia" w:ascii="宋体" w:hAnsi="宋体" w:cs="宋体"/>
          <w:color w:val="000000" w:themeColor="text1"/>
          <w:sz w:val="24"/>
          <w:highlight w:val="none"/>
          <w14:textFill>
            <w14:solidFill>
              <w14:schemeClr w14:val="tx1"/>
            </w14:solidFill>
          </w14:textFill>
        </w:rPr>
        <w:t>。</w:t>
      </w:r>
    </w:p>
    <w:p w14:paraId="1FC4916A">
      <w:pPr>
        <w:pStyle w:val="374"/>
        <w:spacing w:line="360" w:lineRule="auto"/>
        <w:ind w:firstLine="48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1.11.2 关于承包人为实施工程所编制文件的著作权的归属：</w:t>
      </w:r>
      <w:r>
        <w:rPr>
          <w:rFonts w:hint="eastAsia" w:ascii="宋体" w:hAnsi="宋体" w:cs="宋体"/>
          <w:color w:val="000000" w:themeColor="text1"/>
          <w:sz w:val="24"/>
          <w:szCs w:val="24"/>
          <w:highlight w:val="none"/>
          <w:u w:val="single"/>
          <w14:textFill>
            <w14:solidFill>
              <w14:schemeClr w14:val="tx1"/>
            </w14:solidFill>
          </w14:textFill>
        </w:rPr>
        <w:t xml:space="preserve">  除署名权以外的著作权属于发包人  </w:t>
      </w:r>
      <w:r>
        <w:rPr>
          <w:rFonts w:hint="eastAsia" w:ascii="宋体" w:hAnsi="宋体" w:cs="宋体"/>
          <w:color w:val="000000" w:themeColor="text1"/>
          <w:sz w:val="24"/>
          <w:szCs w:val="24"/>
          <w:highlight w:val="none"/>
          <w14:textFill>
            <w14:solidFill>
              <w14:schemeClr w14:val="tx1"/>
            </w14:solidFill>
          </w14:textFill>
        </w:rPr>
        <w:t>。</w:t>
      </w:r>
    </w:p>
    <w:p w14:paraId="422E5FA8">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关于承包人提供的上述文件的使用限制的要求：</w:t>
      </w:r>
      <w:r>
        <w:rPr>
          <w:rFonts w:hint="eastAsia" w:ascii="宋体" w:hAnsi="宋体" w:cs="宋体"/>
          <w:color w:val="000000" w:themeColor="text1"/>
          <w:sz w:val="24"/>
          <w:highlight w:val="none"/>
          <w:u w:val="single"/>
          <w14:textFill>
            <w14:solidFill>
              <w14:schemeClr w14:val="tx1"/>
            </w14:solidFill>
          </w14:textFill>
        </w:rPr>
        <w:t xml:space="preserve">  按《通用合同条款》1.11.2 条执行 </w:t>
      </w:r>
      <w:r>
        <w:rPr>
          <w:rFonts w:hint="eastAsia" w:ascii="宋体" w:hAnsi="宋体" w:cs="宋体"/>
          <w:color w:val="000000" w:themeColor="text1"/>
          <w:sz w:val="24"/>
          <w:highlight w:val="none"/>
          <w14:textFill>
            <w14:solidFill>
              <w14:schemeClr w14:val="tx1"/>
            </w14:solidFill>
          </w14:textFill>
        </w:rPr>
        <w:t>。</w:t>
      </w:r>
    </w:p>
    <w:p w14:paraId="0A76A6EB">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1.11.4 承包人在施工过程中所采用的专利、专有技术、技术秘密的使用费的承担方式：</w:t>
      </w:r>
    </w:p>
    <w:p w14:paraId="37391A07">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承包人在合同签订前和签订时已确定采用的专利、专有技术、技术秘密的使用费已包含在签约合同价中 </w:t>
      </w:r>
      <w:r>
        <w:rPr>
          <w:rFonts w:hint="eastAsia" w:ascii="宋体" w:hAnsi="宋体" w:cs="宋体"/>
          <w:color w:val="000000" w:themeColor="text1"/>
          <w:sz w:val="24"/>
          <w:highlight w:val="none"/>
          <w14:textFill>
            <w14:solidFill>
              <w14:schemeClr w14:val="tx1"/>
            </w14:solidFill>
          </w14:textFill>
        </w:rPr>
        <w:t>。</w:t>
      </w:r>
    </w:p>
    <w:p w14:paraId="03D87FD6">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85" w:name="_Toc24911"/>
      <w:bookmarkStart w:id="286" w:name="_Toc6590"/>
      <w:r>
        <w:rPr>
          <w:rFonts w:hint="eastAsia" w:ascii="宋体" w:hAnsi="宋体" w:cs="宋体"/>
          <w:color w:val="000000" w:themeColor="text1"/>
          <w:sz w:val="24"/>
          <w:szCs w:val="24"/>
          <w:highlight w:val="none"/>
          <w14:textFill>
            <w14:solidFill>
              <w14:schemeClr w14:val="tx1"/>
            </w14:solidFill>
          </w14:textFill>
        </w:rPr>
        <w:t>1.13工程量清单错误的修正</w:t>
      </w:r>
      <w:bookmarkEnd w:id="285"/>
      <w:bookmarkEnd w:id="286"/>
    </w:p>
    <w:p w14:paraId="6B56EBEC">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出现工程量清单工程量偏差时，是否调整合同价格：</w:t>
      </w:r>
      <w:r>
        <w:rPr>
          <w:rFonts w:hint="eastAsia" w:ascii="宋体" w:hAnsi="宋体" w:cs="宋体"/>
          <w:color w:val="000000" w:themeColor="text1"/>
          <w:sz w:val="24"/>
          <w:highlight w:val="none"/>
          <w:u w:val="single"/>
          <w:lang w:eastAsia="zh-CN"/>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是  </w:t>
      </w:r>
      <w:r>
        <w:rPr>
          <w:rFonts w:hint="eastAsia" w:ascii="宋体" w:hAnsi="宋体" w:cs="宋体"/>
          <w:color w:val="000000" w:themeColor="text1"/>
          <w:sz w:val="24"/>
          <w:highlight w:val="none"/>
          <w:u w:val="single"/>
          <w:lang w:eastAsia="zh-CN"/>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否</w:t>
      </w:r>
      <w:r>
        <w:rPr>
          <w:rFonts w:hint="eastAsia" w:ascii="宋体" w:hAnsi="宋体" w:cs="宋体"/>
          <w:color w:val="000000" w:themeColor="text1"/>
          <w:sz w:val="24"/>
          <w:highlight w:val="none"/>
          <w14:textFill>
            <w14:solidFill>
              <w14:schemeClr w14:val="tx1"/>
            </w14:solidFill>
          </w14:textFill>
        </w:rPr>
        <w:t>。</w:t>
      </w:r>
    </w:p>
    <w:p w14:paraId="1DDF33E5">
      <w:pPr>
        <w:spacing w:line="360" w:lineRule="auto"/>
        <w:ind w:firstLine="480"/>
        <w:rPr>
          <w:rFonts w:hint="eastAsia"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允许调整合同价格的工程量偏差范围及其调整办法：</w:t>
      </w:r>
      <w:r>
        <w:rPr>
          <w:rFonts w:hint="eastAsia" w:ascii="宋体" w:hAnsi="宋体" w:cs="宋体"/>
          <w:color w:val="000000" w:themeColor="text1"/>
          <w:sz w:val="24"/>
          <w:highlight w:val="none"/>
          <w:u w:val="single"/>
          <w14:textFill>
            <w14:solidFill>
              <w14:schemeClr w14:val="tx1"/>
            </w14:solidFill>
          </w14:textFill>
        </w:rPr>
        <w:t>本工程采用固定</w:t>
      </w:r>
      <w:r>
        <w:rPr>
          <w:rFonts w:hint="eastAsia" w:ascii="宋体" w:hAnsi="宋体" w:cs="宋体"/>
          <w:color w:val="000000" w:themeColor="text1"/>
          <w:sz w:val="24"/>
          <w:highlight w:val="none"/>
          <w:u w:val="single"/>
          <w:lang w:eastAsia="zh-CN"/>
          <w14:textFill>
            <w14:solidFill>
              <w14:schemeClr w14:val="tx1"/>
            </w14:solidFill>
          </w14:textFill>
        </w:rPr>
        <w:t>总价。</w:t>
      </w:r>
    </w:p>
    <w:p w14:paraId="50C670E1">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287" w:name="_Toc30434"/>
      <w:bookmarkStart w:id="288" w:name="_Toc23720"/>
      <w:r>
        <w:rPr>
          <w:rFonts w:hint="eastAsia" w:ascii="宋体" w:hAnsi="宋体" w:cs="宋体"/>
          <w:color w:val="000000" w:themeColor="text1"/>
          <w:sz w:val="24"/>
          <w:szCs w:val="24"/>
          <w:highlight w:val="none"/>
          <w14:textFill>
            <w14:solidFill>
              <w14:schemeClr w14:val="tx1"/>
            </w14:solidFill>
          </w14:textFill>
        </w:rPr>
        <w:t>2. 发包人</w:t>
      </w:r>
      <w:bookmarkEnd w:id="287"/>
      <w:bookmarkEnd w:id="288"/>
    </w:p>
    <w:p w14:paraId="3788EB2C">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89" w:name="_Toc32683"/>
      <w:bookmarkStart w:id="290" w:name="_Toc31647"/>
      <w:r>
        <w:rPr>
          <w:rFonts w:hint="eastAsia" w:ascii="宋体" w:hAnsi="宋体" w:cs="宋体"/>
          <w:color w:val="000000" w:themeColor="text1"/>
          <w:sz w:val="24"/>
          <w:szCs w:val="24"/>
          <w:highlight w:val="none"/>
          <w14:textFill>
            <w14:solidFill>
              <w14:schemeClr w14:val="tx1"/>
            </w14:solidFill>
          </w14:textFill>
        </w:rPr>
        <w:t>2.2 发包人代表</w:t>
      </w:r>
      <w:bookmarkEnd w:id="289"/>
      <w:bookmarkEnd w:id="290"/>
    </w:p>
    <w:p w14:paraId="23D55D5F">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发包人代表：</w:t>
      </w:r>
    </w:p>
    <w:p w14:paraId="3BFB579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w:t>
      </w:r>
      <w:r>
        <w:rPr>
          <w:rFonts w:hint="eastAsia" w:ascii="宋体" w:hAnsi="宋体" w:cs="宋体"/>
          <w:color w:val="000000" w:themeColor="text1"/>
          <w:sz w:val="24"/>
          <w:highlight w:val="none"/>
          <w:u w:val="single"/>
          <w14:textFill>
            <w14:solidFill>
              <w14:schemeClr w14:val="tx1"/>
            </w14:solidFill>
          </w14:textFill>
        </w:rPr>
        <w:t>     </w:t>
      </w:r>
      <w:r>
        <w:rPr>
          <w:rFonts w:hint="eastAsia" w:ascii="宋体" w:hAnsi="宋体" w:cs="宋体"/>
          <w:color w:val="000000" w:themeColor="text1"/>
          <w:sz w:val="24"/>
          <w:highlight w:val="none"/>
          <w14:textFill>
            <w14:solidFill>
              <w14:schemeClr w14:val="tx1"/>
            </w14:solidFill>
          </w14:textFill>
        </w:rPr>
        <w:t>；</w:t>
      </w:r>
    </w:p>
    <w:p w14:paraId="08CBDFD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w:t>
      </w:r>
      <w:r>
        <w:rPr>
          <w:rFonts w:hint="eastAsia" w:ascii="宋体" w:hAnsi="宋体" w:cs="宋体"/>
          <w:color w:val="000000" w:themeColor="text1"/>
          <w:sz w:val="24"/>
          <w:highlight w:val="none"/>
          <w:u w:val="single"/>
          <w14:textFill>
            <w14:solidFill>
              <w14:schemeClr w14:val="tx1"/>
            </w14:solidFill>
          </w14:textFill>
        </w:rPr>
        <w:t>      </w:t>
      </w:r>
      <w:r>
        <w:rPr>
          <w:rFonts w:hint="eastAsia" w:ascii="宋体" w:hAnsi="宋体" w:cs="宋体"/>
          <w:color w:val="000000" w:themeColor="text1"/>
          <w:sz w:val="24"/>
          <w:highlight w:val="none"/>
          <w14:textFill>
            <w14:solidFill>
              <w14:schemeClr w14:val="tx1"/>
            </w14:solidFill>
          </w14:textFill>
        </w:rPr>
        <w:t>；</w:t>
      </w:r>
    </w:p>
    <w:p w14:paraId="33CCB39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职    务：</w:t>
      </w:r>
      <w:r>
        <w:rPr>
          <w:rFonts w:hint="eastAsia" w:ascii="宋体" w:hAnsi="宋体" w:cs="宋体"/>
          <w:color w:val="000000" w:themeColor="text1"/>
          <w:sz w:val="24"/>
          <w:highlight w:val="none"/>
          <w:u w:val="single"/>
          <w14:textFill>
            <w14:solidFill>
              <w14:schemeClr w14:val="tx1"/>
            </w14:solidFill>
          </w14:textFill>
        </w:rPr>
        <w:t>    </w:t>
      </w:r>
      <w:r>
        <w:rPr>
          <w:rFonts w:hint="eastAsia" w:ascii="宋体" w:hAnsi="宋体" w:cs="宋体"/>
          <w:color w:val="000000" w:themeColor="text1"/>
          <w:sz w:val="24"/>
          <w:highlight w:val="none"/>
          <w14:textFill>
            <w14:solidFill>
              <w14:schemeClr w14:val="tx1"/>
            </w14:solidFill>
          </w14:textFill>
        </w:rPr>
        <w:t>；</w:t>
      </w:r>
    </w:p>
    <w:p w14:paraId="584DBE11">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single"/>
          <w14:textFill>
            <w14:solidFill>
              <w14:schemeClr w14:val="tx1"/>
            </w14:solidFill>
          </w14:textFill>
        </w:rPr>
        <w:t>     </w:t>
      </w:r>
      <w:r>
        <w:rPr>
          <w:rFonts w:hint="eastAsia" w:ascii="宋体" w:hAnsi="宋体" w:cs="宋体"/>
          <w:color w:val="000000" w:themeColor="text1"/>
          <w:sz w:val="24"/>
          <w:highlight w:val="none"/>
          <w14:textFill>
            <w14:solidFill>
              <w14:schemeClr w14:val="tx1"/>
            </w14:solidFill>
          </w14:textFill>
        </w:rPr>
        <w:t>；</w:t>
      </w:r>
    </w:p>
    <w:p w14:paraId="4D3145D6">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电子信箱：</w:t>
      </w:r>
      <w:r>
        <w:rPr>
          <w:rFonts w:hint="eastAsia" w:ascii="宋体" w:hAnsi="宋体" w:cs="宋体"/>
          <w:color w:val="000000" w:themeColor="text1"/>
          <w:sz w:val="24"/>
          <w:highlight w:val="none"/>
          <w:u w:val="single"/>
          <w14:textFill>
            <w14:solidFill>
              <w14:schemeClr w14:val="tx1"/>
            </w14:solidFill>
          </w14:textFill>
        </w:rPr>
        <w:t>     </w:t>
      </w:r>
      <w:r>
        <w:rPr>
          <w:rFonts w:hint="eastAsia" w:ascii="宋体" w:hAnsi="宋体" w:cs="宋体"/>
          <w:color w:val="000000" w:themeColor="text1"/>
          <w:sz w:val="24"/>
          <w:highlight w:val="none"/>
          <w14:textFill>
            <w14:solidFill>
              <w14:schemeClr w14:val="tx1"/>
            </w14:solidFill>
          </w14:textFill>
        </w:rPr>
        <w:t>；</w:t>
      </w:r>
    </w:p>
    <w:p w14:paraId="6BBBCB75">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通信地址：</w:t>
      </w:r>
      <w:r>
        <w:rPr>
          <w:rFonts w:hint="eastAsia" w:ascii="宋体" w:hAnsi="宋体" w:cs="宋体"/>
          <w:color w:val="000000" w:themeColor="text1"/>
          <w:sz w:val="24"/>
          <w:highlight w:val="none"/>
          <w:u w:val="single"/>
          <w14:textFill>
            <w14:solidFill>
              <w14:schemeClr w14:val="tx1"/>
            </w14:solidFill>
          </w14:textFill>
        </w:rPr>
        <w:t>    </w:t>
      </w:r>
      <w:r>
        <w:rPr>
          <w:rFonts w:hint="eastAsia" w:ascii="宋体" w:hAnsi="宋体" w:cs="宋体"/>
          <w:color w:val="000000" w:themeColor="text1"/>
          <w:sz w:val="24"/>
          <w:highlight w:val="none"/>
          <w14:textFill>
            <w14:solidFill>
              <w14:schemeClr w14:val="tx1"/>
            </w14:solidFill>
          </w14:textFill>
        </w:rPr>
        <w:t>。</w:t>
      </w:r>
    </w:p>
    <w:p w14:paraId="44A28081">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发包人对发包人代表的授权范围如下：</w:t>
      </w:r>
      <w:r>
        <w:rPr>
          <w:rFonts w:hint="eastAsia" w:ascii="宋体" w:hAnsi="宋体" w:cs="宋体"/>
          <w:color w:val="000000" w:themeColor="text1"/>
          <w:sz w:val="24"/>
          <w:highlight w:val="none"/>
          <w:u w:val="single"/>
          <w14:textFill>
            <w14:solidFill>
              <w14:schemeClr w14:val="tx1"/>
            </w14:solidFill>
          </w14:textFill>
        </w:rPr>
        <w:t xml:space="preserve">（1）对承包人的工作进行监督、检查；（2）按照合同约定，代表发包人履行其权利和义务；（3）协调有关政府主管部门。 </w:t>
      </w:r>
    </w:p>
    <w:p w14:paraId="6240D9B5">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91" w:name="_Toc17575"/>
      <w:bookmarkStart w:id="292" w:name="_Toc10338"/>
      <w:r>
        <w:rPr>
          <w:rFonts w:hint="eastAsia" w:ascii="宋体" w:hAnsi="宋体" w:cs="宋体"/>
          <w:color w:val="000000" w:themeColor="text1"/>
          <w:sz w:val="24"/>
          <w:szCs w:val="24"/>
          <w:highlight w:val="none"/>
          <w14:textFill>
            <w14:solidFill>
              <w14:schemeClr w14:val="tx1"/>
            </w14:solidFill>
          </w14:textFill>
        </w:rPr>
        <w:t>2.4 施工现场、施工条件和基础资料的提供</w:t>
      </w:r>
      <w:bookmarkEnd w:id="291"/>
      <w:bookmarkEnd w:id="292"/>
    </w:p>
    <w:p w14:paraId="2E2FB2A9">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2.4.1 提供施工现场</w:t>
      </w:r>
    </w:p>
    <w:p w14:paraId="7ED4BE2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关于发包人移交施工现场的期限要求：</w:t>
      </w:r>
      <w:r>
        <w:rPr>
          <w:rFonts w:hint="eastAsia" w:ascii="宋体" w:hAnsi="宋体" w:cs="宋体"/>
          <w:color w:val="000000" w:themeColor="text1"/>
          <w:sz w:val="24"/>
          <w:highlight w:val="none"/>
          <w:u w:val="single"/>
          <w14:textFill>
            <w14:solidFill>
              <w14:schemeClr w14:val="tx1"/>
            </w14:solidFill>
          </w14:textFill>
        </w:rPr>
        <w:t xml:space="preserve">     开工7日前移交         </w:t>
      </w:r>
      <w:r>
        <w:rPr>
          <w:rFonts w:hint="eastAsia" w:ascii="宋体" w:hAnsi="宋体" w:cs="宋体"/>
          <w:color w:val="000000" w:themeColor="text1"/>
          <w:sz w:val="24"/>
          <w:highlight w:val="none"/>
          <w14:textFill>
            <w14:solidFill>
              <w14:schemeClr w14:val="tx1"/>
            </w14:solidFill>
          </w14:textFill>
        </w:rPr>
        <w:t>。</w:t>
      </w:r>
    </w:p>
    <w:p w14:paraId="219E998C">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2.4.2 提供施工条件</w:t>
      </w:r>
    </w:p>
    <w:p w14:paraId="5A68CDCE">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关于发包人应负责提供施工所需要的条件，包括：</w:t>
      </w:r>
      <w:r>
        <w:rPr>
          <w:rFonts w:hint="eastAsia" w:ascii="宋体" w:hAnsi="宋体" w:cs="宋体"/>
          <w:color w:val="000000" w:themeColor="text1"/>
          <w:sz w:val="24"/>
          <w:highlight w:val="none"/>
          <w:u w:val="single"/>
          <w14:textFill>
            <w14:solidFill>
              <w14:schemeClr w14:val="tx1"/>
            </w14:solidFill>
          </w14:textFill>
        </w:rPr>
        <w:t xml:space="preserve">   施工所需电接点和水接点由发包人提供，接点至施工现场段管道/管线、计量设备由承包人自行解决，电讯线路的开通由承包人自行解决并承担费用；承包人使用的水、电、通讯费用由承包人负责。若供电部门的原因造成停电，承包人必须自行解决施工用电，费用由承包人负责 </w:t>
      </w:r>
      <w:r>
        <w:rPr>
          <w:rFonts w:hint="eastAsia" w:ascii="宋体" w:hAnsi="宋体" w:cs="宋体"/>
          <w:color w:val="000000" w:themeColor="text1"/>
          <w:sz w:val="24"/>
          <w:highlight w:val="none"/>
          <w14:textFill>
            <w14:solidFill>
              <w14:schemeClr w14:val="tx1"/>
            </w14:solidFill>
          </w14:textFill>
        </w:rPr>
        <w:t>。</w:t>
      </w:r>
    </w:p>
    <w:p w14:paraId="10DF778F">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93" w:name="_Toc11516"/>
      <w:bookmarkStart w:id="294" w:name="_Toc14841"/>
      <w:r>
        <w:rPr>
          <w:rFonts w:hint="eastAsia" w:ascii="宋体" w:hAnsi="宋体" w:cs="宋体"/>
          <w:color w:val="000000" w:themeColor="text1"/>
          <w:sz w:val="24"/>
          <w:szCs w:val="24"/>
          <w:highlight w:val="none"/>
          <w14:textFill>
            <w14:solidFill>
              <w14:schemeClr w14:val="tx1"/>
            </w14:solidFill>
          </w14:textFill>
        </w:rPr>
        <w:t>2.5 资金来源证明及支付担保</w:t>
      </w:r>
      <w:bookmarkEnd w:id="293"/>
      <w:bookmarkEnd w:id="294"/>
    </w:p>
    <w:p w14:paraId="18EE19C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发包人提供资金来源证明的期限要求：</w:t>
      </w:r>
      <w:r>
        <w:rPr>
          <w:rFonts w:hint="eastAsia" w:ascii="宋体" w:hAnsi="宋体" w:cs="宋体"/>
          <w:color w:val="000000" w:themeColor="text1"/>
          <w:sz w:val="24"/>
          <w:highlight w:val="none"/>
          <w:u w:val="single"/>
          <w14:textFill>
            <w14:solidFill>
              <w14:schemeClr w14:val="tx1"/>
            </w14:solidFill>
          </w14:textFill>
        </w:rPr>
        <w:t xml:space="preserve">    无           </w:t>
      </w:r>
      <w:r>
        <w:rPr>
          <w:rFonts w:hint="eastAsia" w:ascii="宋体" w:hAnsi="宋体" w:cs="宋体"/>
          <w:color w:val="000000" w:themeColor="text1"/>
          <w:sz w:val="24"/>
          <w:highlight w:val="none"/>
          <w14:textFill>
            <w14:solidFill>
              <w14:schemeClr w14:val="tx1"/>
            </w14:solidFill>
          </w14:textFill>
        </w:rPr>
        <w:t>。</w:t>
      </w:r>
    </w:p>
    <w:p w14:paraId="484E9830">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发包人是否提供支付担保：</w:t>
      </w:r>
      <w:r>
        <w:rPr>
          <w:rFonts w:hint="eastAsia" w:ascii="宋体" w:hAnsi="宋体" w:cs="宋体"/>
          <w:color w:val="000000" w:themeColor="text1"/>
          <w:sz w:val="24"/>
          <w:highlight w:val="none"/>
          <w:u w:val="single"/>
          <w14:textFill>
            <w14:solidFill>
              <w14:schemeClr w14:val="tx1"/>
            </w14:solidFill>
          </w14:textFill>
        </w:rPr>
        <w:t xml:space="preserve">            无        </w:t>
      </w:r>
      <w:r>
        <w:rPr>
          <w:rFonts w:hint="eastAsia" w:ascii="宋体" w:hAnsi="宋体" w:cs="宋体"/>
          <w:color w:val="000000" w:themeColor="text1"/>
          <w:sz w:val="24"/>
          <w:highlight w:val="none"/>
          <w14:textFill>
            <w14:solidFill>
              <w14:schemeClr w14:val="tx1"/>
            </w14:solidFill>
          </w14:textFill>
        </w:rPr>
        <w:t xml:space="preserve"> </w:t>
      </w:r>
    </w:p>
    <w:p w14:paraId="078C5F5E">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295" w:name="_Toc9001"/>
      <w:bookmarkStart w:id="296" w:name="_Toc18979"/>
      <w:r>
        <w:rPr>
          <w:rFonts w:hint="eastAsia" w:ascii="宋体" w:hAnsi="宋体" w:cs="宋体"/>
          <w:color w:val="000000" w:themeColor="text1"/>
          <w:sz w:val="24"/>
          <w:szCs w:val="24"/>
          <w:highlight w:val="none"/>
          <w14:textFill>
            <w14:solidFill>
              <w14:schemeClr w14:val="tx1"/>
            </w14:solidFill>
          </w14:textFill>
        </w:rPr>
        <w:t>3. 承包人</w:t>
      </w:r>
      <w:bookmarkEnd w:id="295"/>
      <w:bookmarkEnd w:id="296"/>
    </w:p>
    <w:p w14:paraId="2C98DE75">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97" w:name="_Toc20199"/>
      <w:bookmarkStart w:id="298" w:name="_Toc2605"/>
      <w:r>
        <w:rPr>
          <w:rFonts w:hint="eastAsia" w:ascii="宋体" w:hAnsi="宋体" w:cs="宋体"/>
          <w:color w:val="000000" w:themeColor="text1"/>
          <w:sz w:val="24"/>
          <w:szCs w:val="24"/>
          <w:highlight w:val="none"/>
          <w14:textFill>
            <w14:solidFill>
              <w14:schemeClr w14:val="tx1"/>
            </w14:solidFill>
          </w14:textFill>
        </w:rPr>
        <w:t>3.1 承包人的一般义务</w:t>
      </w:r>
      <w:bookmarkEnd w:id="297"/>
      <w:bookmarkEnd w:id="298"/>
    </w:p>
    <w:p w14:paraId="29980924">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（9）承包人提交的竣工资料的内容：</w:t>
      </w:r>
    </w:p>
    <w:p w14:paraId="3B02F8D4">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提供符合法律规定和合同约定及工程所在地行政质检监督部门要求的竣工图及竣工资料  </w:t>
      </w:r>
      <w:r>
        <w:rPr>
          <w:rFonts w:hint="eastAsia" w:ascii="宋体" w:hAnsi="宋体" w:cs="宋体"/>
          <w:color w:val="000000" w:themeColor="text1"/>
          <w:sz w:val="24"/>
          <w:highlight w:val="none"/>
          <w14:textFill>
            <w14:solidFill>
              <w14:schemeClr w14:val="tx1"/>
            </w14:solidFill>
          </w14:textFill>
        </w:rPr>
        <w:t>。</w:t>
      </w:r>
    </w:p>
    <w:p w14:paraId="1DB687D5">
      <w:pPr>
        <w:pStyle w:val="374"/>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承包人需要提交的竣工资料套数：</w:t>
      </w:r>
      <w:r>
        <w:rPr>
          <w:rFonts w:hint="eastAsia" w:ascii="宋体" w:hAnsi="宋体" w:cs="宋体"/>
          <w:color w:val="000000" w:themeColor="text1"/>
          <w:sz w:val="24"/>
          <w:szCs w:val="24"/>
          <w:highlight w:val="none"/>
          <w:u w:val="single"/>
          <w14:textFill>
            <w14:solidFill>
              <w14:schemeClr w14:val="tx1"/>
            </w14:solidFill>
          </w14:textFill>
        </w:rPr>
        <w:t xml:space="preserve"> 六套竣工图、六套竣工资料和电子版竣工图及资料光盘贰张</w:t>
      </w:r>
      <w:r>
        <w:rPr>
          <w:rFonts w:hint="eastAsia" w:ascii="宋体" w:hAnsi="宋体" w:cs="宋体"/>
          <w:color w:val="000000" w:themeColor="text1"/>
          <w:sz w:val="24"/>
          <w:szCs w:val="24"/>
          <w:highlight w:val="none"/>
          <w14:textFill>
            <w14:solidFill>
              <w14:schemeClr w14:val="tx1"/>
            </w14:solidFill>
          </w14:textFill>
        </w:rPr>
        <w:t>。</w:t>
      </w:r>
    </w:p>
    <w:p w14:paraId="71307BD5">
      <w:pPr>
        <w:spacing w:line="360" w:lineRule="auto"/>
        <w:ind w:left="424"/>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承包人提交的竣工资料的费用承担：</w:t>
      </w:r>
      <w:r>
        <w:rPr>
          <w:rFonts w:hint="eastAsia" w:ascii="宋体" w:hAnsi="宋体" w:cs="宋体"/>
          <w:color w:val="000000" w:themeColor="text1"/>
          <w:sz w:val="24"/>
          <w:highlight w:val="none"/>
          <w:u w:val="single"/>
          <w14:textFill>
            <w14:solidFill>
              <w14:schemeClr w14:val="tx1"/>
            </w14:solidFill>
          </w14:textFill>
        </w:rPr>
        <w:t xml:space="preserve">  由承包人承担 </w:t>
      </w:r>
      <w:r>
        <w:rPr>
          <w:rFonts w:hint="eastAsia" w:ascii="宋体" w:hAnsi="宋体" w:cs="宋体"/>
          <w:color w:val="000000" w:themeColor="text1"/>
          <w:sz w:val="24"/>
          <w:highlight w:val="none"/>
          <w14:textFill>
            <w14:solidFill>
              <w14:schemeClr w14:val="tx1"/>
            </w14:solidFill>
          </w14:textFill>
        </w:rPr>
        <w:t>。</w:t>
      </w:r>
    </w:p>
    <w:p w14:paraId="52C0E2EC">
      <w:pPr>
        <w:spacing w:line="360" w:lineRule="auto"/>
        <w:ind w:left="424"/>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承包人提交的竣工资料移交时间：</w:t>
      </w:r>
      <w:r>
        <w:rPr>
          <w:rFonts w:hint="eastAsia" w:ascii="宋体" w:hAnsi="宋体" w:cs="宋体"/>
          <w:color w:val="000000" w:themeColor="text1"/>
          <w:sz w:val="24"/>
          <w:highlight w:val="none"/>
          <w:u w:val="single"/>
          <w14:textFill>
            <w14:solidFill>
              <w14:schemeClr w14:val="tx1"/>
            </w14:solidFill>
          </w14:textFill>
        </w:rPr>
        <w:t xml:space="preserve">    竣工验收前   </w:t>
      </w:r>
      <w:r>
        <w:rPr>
          <w:rFonts w:hint="eastAsia" w:ascii="宋体" w:hAnsi="宋体" w:cs="宋体"/>
          <w:color w:val="000000" w:themeColor="text1"/>
          <w:sz w:val="24"/>
          <w:highlight w:val="none"/>
          <w14:textFill>
            <w14:solidFill>
              <w14:schemeClr w14:val="tx1"/>
            </w14:solidFill>
          </w14:textFill>
        </w:rPr>
        <w:t>。</w:t>
      </w:r>
    </w:p>
    <w:p w14:paraId="0E75A01B">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承包人提交的竣工资料形式要求：</w:t>
      </w:r>
      <w:r>
        <w:rPr>
          <w:rFonts w:hint="eastAsia" w:ascii="宋体" w:hAnsi="宋体" w:cs="宋体"/>
          <w:color w:val="000000" w:themeColor="text1"/>
          <w:sz w:val="24"/>
          <w:highlight w:val="none"/>
          <w:u w:val="single"/>
          <w14:textFill>
            <w14:solidFill>
              <w14:schemeClr w14:val="tx1"/>
            </w14:solidFill>
          </w14:textFill>
        </w:rPr>
        <w:t xml:space="preserve">        书面形式和电子文件    </w:t>
      </w:r>
      <w:r>
        <w:rPr>
          <w:rFonts w:hint="eastAsia" w:ascii="宋体" w:hAnsi="宋体" w:cs="宋体"/>
          <w:color w:val="000000" w:themeColor="text1"/>
          <w:sz w:val="24"/>
          <w:highlight w:val="none"/>
          <w14:textFill>
            <w14:solidFill>
              <w14:schemeClr w14:val="tx1"/>
            </w14:solidFill>
          </w14:textFill>
        </w:rPr>
        <w:t>。</w:t>
      </w:r>
    </w:p>
    <w:p w14:paraId="02C0CB9D">
      <w:pPr>
        <w:pStyle w:val="374"/>
        <w:spacing w:line="360" w:lineRule="auto"/>
        <w:ind w:firstLine="480"/>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（10）承包人应履行的其他义务：</w:t>
      </w:r>
      <w:r>
        <w:rPr>
          <w:rFonts w:hint="eastAsia" w:ascii="宋体" w:hAnsi="宋体" w:cs="宋体"/>
          <w:color w:val="000000" w:themeColor="text1"/>
          <w:sz w:val="24"/>
          <w:szCs w:val="24"/>
          <w:highlight w:val="none"/>
          <w:u w:val="single"/>
          <w14:textFill>
            <w14:solidFill>
              <w14:schemeClr w14:val="tx1"/>
            </w14:solidFill>
          </w14:textFill>
        </w:rPr>
        <w:t xml:space="preserve"> ①承包人应按发包人的指令，完成发包人要求的对工程内容的任何增加和删减。③承包人应按照政府相关规定，建立健全的雇员工资发放和劳动保障制度。如因雇员的工资发放和劳动保障制度不健全而引发纠纷，导致民工围堵发包人等的，发包人有权解除合同，并要求承包人退场并赔偿发包人的经济损失。④承包人使用的临时用水、临时用电等设施在合同执行期间，如发包人要求为与本合同相关的其他承包人提供分表接口的，承包人应予无条件同意。⑤如承包人进入居民住宅区施工，做好现场安全文明施工及已有成品保护工作。现场运输材料、堆放材料等造成的路面的污染，承包人应该有专人负责跟踪打扫；居民住宅区的绿化、市政等公用设施做好施工期间的保护工作；现场施工及生活产生的垃圾应该每天有人清除；不允许在园区道路上搅拌砼及砂浆。⑥必须遵守居民社区的相关制度,服从工程所在地行业行政主管部门对施工现场生活区、作业区、办公区的市政管理、施工现场管理、卫生管理等规定。</w:t>
      </w:r>
    </w:p>
    <w:p w14:paraId="08763466">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299" w:name="_Toc14361"/>
      <w:bookmarkStart w:id="300" w:name="_Toc20451"/>
      <w:r>
        <w:rPr>
          <w:rFonts w:hint="eastAsia" w:ascii="宋体" w:hAnsi="宋体" w:cs="宋体"/>
          <w:color w:val="000000" w:themeColor="text1"/>
          <w:sz w:val="24"/>
          <w:szCs w:val="24"/>
          <w:highlight w:val="none"/>
          <w14:textFill>
            <w14:solidFill>
              <w14:schemeClr w14:val="tx1"/>
            </w14:solidFill>
          </w14:textFill>
        </w:rPr>
        <w:t>3.2 项目经理</w:t>
      </w:r>
      <w:bookmarkEnd w:id="299"/>
      <w:bookmarkEnd w:id="300"/>
    </w:p>
    <w:p w14:paraId="73E3DBE4">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3.2.1 项目经理：</w:t>
      </w:r>
    </w:p>
    <w:p w14:paraId="0BCF1892">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s="宋体"/>
          <w:color w:val="000000" w:themeColor="text1"/>
          <w:sz w:val="24"/>
          <w:highlight w:val="none"/>
          <w14:textFill>
            <w14:solidFill>
              <w14:schemeClr w14:val="tx1"/>
            </w14:solidFill>
          </w14:textFill>
        </w:rPr>
        <w:t>；</w:t>
      </w:r>
    </w:p>
    <w:p w14:paraId="020EFC1C">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s="宋体"/>
          <w:color w:val="000000" w:themeColor="text1"/>
          <w:sz w:val="24"/>
          <w:highlight w:val="none"/>
          <w14:textFill>
            <w14:solidFill>
              <w14:schemeClr w14:val="tx1"/>
            </w14:solidFill>
          </w14:textFill>
        </w:rPr>
        <w:t>；</w:t>
      </w:r>
    </w:p>
    <w:p w14:paraId="07FDC961">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建造师执业资格等级：</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s="宋体"/>
          <w:color w:val="000000" w:themeColor="text1"/>
          <w:sz w:val="24"/>
          <w:highlight w:val="none"/>
          <w14:textFill>
            <w14:solidFill>
              <w14:schemeClr w14:val="tx1"/>
            </w14:solidFill>
          </w14:textFill>
        </w:rPr>
        <w:t>；</w:t>
      </w:r>
    </w:p>
    <w:p w14:paraId="2364B98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建造师注册证书号：</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s="宋体"/>
          <w:color w:val="000000" w:themeColor="text1"/>
          <w:sz w:val="24"/>
          <w:highlight w:val="none"/>
          <w14:textFill>
            <w14:solidFill>
              <w14:schemeClr w14:val="tx1"/>
            </w14:solidFill>
          </w14:textFill>
        </w:rPr>
        <w:t>；</w:t>
      </w:r>
    </w:p>
    <w:p w14:paraId="560B068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安全生产考核合格证书号：</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s="宋体"/>
          <w:color w:val="000000" w:themeColor="text1"/>
          <w:sz w:val="24"/>
          <w:highlight w:val="none"/>
          <w14:textFill>
            <w14:solidFill>
              <w14:schemeClr w14:val="tx1"/>
            </w14:solidFill>
          </w14:textFill>
        </w:rPr>
        <w:t>；</w:t>
      </w:r>
    </w:p>
    <w:p w14:paraId="17E45B79">
      <w:pPr>
        <w:pStyle w:val="388"/>
        <w:spacing w:line="360" w:lineRule="auto"/>
        <w:ind w:firstLine="48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联系电话：</w:t>
      </w:r>
      <w:r>
        <w:rPr>
          <w:rFonts w:hint="eastAsia" w:ascii="宋体" w:hAnsi="宋体" w:cs="宋体"/>
          <w:color w:val="000000" w:themeColor="text1"/>
          <w:sz w:val="24"/>
          <w:szCs w:val="24"/>
          <w:highlight w:val="none"/>
          <w:u w:val="single"/>
          <w14:textFill>
            <w14:solidFill>
              <w14:schemeClr w14:val="tx1"/>
            </w14:solidFill>
          </w14:textFill>
        </w:rPr>
        <w:t> </w:t>
      </w:r>
      <w:r>
        <w:rPr>
          <w:rFonts w:hint="eastAsia" w:ascii="宋体" w:hAnsi="宋体" w:cs="宋体"/>
          <w:color w:val="000000" w:themeColor="text1"/>
          <w:sz w:val="24"/>
          <w:szCs w:val="24"/>
          <w:highlight w:val="none"/>
          <w14:textFill>
            <w14:solidFill>
              <w14:schemeClr w14:val="tx1"/>
            </w14:solidFill>
          </w14:textFill>
        </w:rPr>
        <w:t>；</w:t>
      </w:r>
    </w:p>
    <w:p w14:paraId="59B3E7A9">
      <w:pPr>
        <w:pStyle w:val="388"/>
        <w:spacing w:line="360" w:lineRule="auto"/>
        <w:ind w:firstLine="48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电子信箱：</w:t>
      </w:r>
      <w:r>
        <w:rPr>
          <w:rFonts w:hint="eastAsia" w:ascii="宋体" w:hAnsi="宋体" w:cs="宋体"/>
          <w:color w:val="000000" w:themeColor="text1"/>
          <w:sz w:val="24"/>
          <w:szCs w:val="24"/>
          <w:highlight w:val="none"/>
          <w:u w:val="single"/>
          <w14:textFill>
            <w14:solidFill>
              <w14:schemeClr w14:val="tx1"/>
            </w14:solidFill>
          </w14:textFill>
        </w:rPr>
        <w:t> </w:t>
      </w:r>
      <w:r>
        <w:rPr>
          <w:rFonts w:hint="eastAsia" w:ascii="宋体" w:hAnsi="宋体" w:cs="宋体"/>
          <w:color w:val="000000" w:themeColor="text1"/>
          <w:sz w:val="24"/>
          <w:szCs w:val="24"/>
          <w:highlight w:val="none"/>
          <w14:textFill>
            <w14:solidFill>
              <w14:schemeClr w14:val="tx1"/>
            </w14:solidFill>
          </w14:textFill>
        </w:rPr>
        <w:t>；</w:t>
      </w:r>
    </w:p>
    <w:p w14:paraId="65528383">
      <w:pPr>
        <w:pStyle w:val="374"/>
        <w:spacing w:line="360" w:lineRule="auto"/>
        <w:ind w:firstLine="48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通信地址：</w:t>
      </w:r>
      <w:r>
        <w:rPr>
          <w:rFonts w:hint="eastAsia" w:ascii="宋体" w:hAnsi="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w:t>
      </w:r>
    </w:p>
    <w:p w14:paraId="1EF8F7DE">
      <w:pPr>
        <w:pStyle w:val="374"/>
        <w:spacing w:line="360" w:lineRule="auto"/>
        <w:ind w:firstLine="48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承包人对项目经理的授权范围如下：  </w:t>
      </w:r>
      <w:r>
        <w:rPr>
          <w:rFonts w:hint="eastAsia" w:ascii="宋体" w:hAnsi="宋体" w:cs="宋体"/>
          <w:color w:val="000000" w:themeColor="text1"/>
          <w:sz w:val="24"/>
          <w:szCs w:val="24"/>
          <w:highlight w:val="none"/>
          <w:u w:val="single"/>
          <w14:textFill>
            <w14:solidFill>
              <w14:schemeClr w14:val="tx1"/>
            </w14:solidFill>
          </w14:textFill>
        </w:rPr>
        <w:t>项目经理为承包人法定代表人在该项目上的代表人，负责本工程施工过程</w:t>
      </w:r>
      <w:r>
        <w:rPr>
          <w:rFonts w:hint="eastAsia" w:ascii="宋体" w:hAnsi="宋体" w:cs="宋体"/>
          <w:color w:val="000000" w:themeColor="text1"/>
          <w:sz w:val="24"/>
          <w:szCs w:val="24"/>
          <w:highlight w:val="none"/>
          <w:u w:val="single"/>
          <w:lang w:eastAsia="zh-CN"/>
          <w14:textFill>
            <w14:solidFill>
              <w14:schemeClr w14:val="tx1"/>
            </w14:solidFill>
          </w14:textFill>
        </w:rPr>
        <w:t>中</w:t>
      </w:r>
      <w:r>
        <w:rPr>
          <w:rFonts w:hint="eastAsia" w:ascii="宋体" w:hAnsi="宋体" w:cs="宋体"/>
          <w:color w:val="000000" w:themeColor="text1"/>
          <w:sz w:val="24"/>
          <w:szCs w:val="24"/>
          <w:highlight w:val="none"/>
          <w:u w:val="single"/>
          <w14:textFill>
            <w14:solidFill>
              <w14:schemeClr w14:val="tx1"/>
            </w14:solidFill>
          </w14:textFill>
        </w:rPr>
        <w:t xml:space="preserve">的一切事务，项目经理仅限于本工程的现场施工管理，未经承包人签字盖章同意不得以承包人名义代收工程款、变更合同约定、向外采购材料设备、租用建筑周围材料、雇佣劳动力、签订分包合同等一切为承包人设立义务或责任的行为 </w:t>
      </w:r>
      <w:r>
        <w:rPr>
          <w:rFonts w:hint="eastAsia" w:ascii="宋体" w:hAnsi="宋体" w:cs="宋体"/>
          <w:color w:val="000000" w:themeColor="text1"/>
          <w:sz w:val="24"/>
          <w:szCs w:val="24"/>
          <w:highlight w:val="none"/>
          <w14:textFill>
            <w14:solidFill>
              <w14:schemeClr w14:val="tx1"/>
            </w14:solidFill>
          </w14:textFill>
        </w:rPr>
        <w:t>。</w:t>
      </w:r>
    </w:p>
    <w:p w14:paraId="2FBCF357">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关于项目经理每月在施工现场的时间要求：</w:t>
      </w:r>
      <w:r>
        <w:rPr>
          <w:rFonts w:hint="eastAsia" w:ascii="宋体" w:hAnsi="宋体" w:cs="宋体"/>
          <w:color w:val="000000" w:themeColor="text1"/>
          <w:sz w:val="24"/>
          <w:highlight w:val="none"/>
          <w:u w:val="single"/>
          <w14:textFill>
            <w14:solidFill>
              <w14:schemeClr w14:val="tx1"/>
            </w14:solidFill>
          </w14:textFill>
        </w:rPr>
        <w:t>项目经理不少于 24 日历天，未达到的每少一天罚1000元，按月考核， 发包人可从应向承包人支付的款项中扣除此项违约金或其他方式回收此款；项目经理不到位累计达 5 天的，发包人及监理人给予警告，累计达 10 天及以上的，发包人有权终止合同，由此引起的损失由承包人承担</w:t>
      </w:r>
      <w:r>
        <w:rPr>
          <w:rFonts w:hint="eastAsia" w:ascii="宋体" w:hAnsi="宋体" w:cs="宋体"/>
          <w:color w:val="000000" w:themeColor="text1"/>
          <w:sz w:val="24"/>
          <w:highlight w:val="none"/>
          <w14:textFill>
            <w14:solidFill>
              <w14:schemeClr w14:val="tx1"/>
            </w14:solidFill>
          </w14:textFill>
        </w:rPr>
        <w:t>。</w:t>
      </w:r>
    </w:p>
    <w:p w14:paraId="68790C5D">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承包人未提交劳动合同，以及没有为项目经理缴纳社会保险证明的违约责任：</w:t>
      </w:r>
      <w:r>
        <w:rPr>
          <w:rFonts w:hint="eastAsia" w:ascii="宋体" w:hAnsi="宋体" w:cs="宋体"/>
          <w:color w:val="000000" w:themeColor="text1"/>
          <w:sz w:val="24"/>
          <w:highlight w:val="none"/>
          <w:u w:val="single"/>
          <w14:textFill>
            <w14:solidFill>
              <w14:schemeClr w14:val="tx1"/>
            </w14:solidFill>
          </w14:textFill>
        </w:rPr>
        <w:t xml:space="preserve"> 由承包人自行承担相关责任</w:t>
      </w:r>
      <w:r>
        <w:rPr>
          <w:rFonts w:hint="eastAsia" w:ascii="宋体" w:hAnsi="宋体" w:cs="宋体"/>
          <w:color w:val="000000" w:themeColor="text1"/>
          <w:sz w:val="24"/>
          <w:highlight w:val="none"/>
          <w14:textFill>
            <w14:solidFill>
              <w14:schemeClr w14:val="tx1"/>
            </w14:solidFill>
          </w14:textFill>
        </w:rPr>
        <w:t>。</w:t>
      </w:r>
    </w:p>
    <w:p w14:paraId="386354B8">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项目经理未经批准，擅自离开施工现场的违约责任：</w:t>
      </w:r>
      <w:r>
        <w:rPr>
          <w:rFonts w:hint="eastAsia" w:ascii="宋体" w:hAnsi="宋体" w:cs="宋体"/>
          <w:color w:val="000000" w:themeColor="text1"/>
          <w:sz w:val="24"/>
          <w:highlight w:val="none"/>
          <w:u w:val="single"/>
          <w14:textFill>
            <w14:solidFill>
              <w14:schemeClr w14:val="tx1"/>
            </w14:solidFill>
          </w14:textFill>
        </w:rPr>
        <w:t xml:space="preserve">项目经理每月在岗带班时间不得少于当月施工时间的80%。未经发包人同意或正当理由，项目经理每月在岗带班时间少于当月施工时间80%的，少在岗带班一天，发包人有权处违约金1000元/日（人民币）  </w:t>
      </w:r>
      <w:r>
        <w:rPr>
          <w:rFonts w:hint="eastAsia" w:ascii="宋体" w:hAnsi="宋体" w:cs="宋体"/>
          <w:color w:val="000000" w:themeColor="text1"/>
          <w:sz w:val="24"/>
          <w:highlight w:val="none"/>
          <w14:textFill>
            <w14:solidFill>
              <w14:schemeClr w14:val="tx1"/>
            </w14:solidFill>
          </w14:textFill>
        </w:rPr>
        <w:t>。</w:t>
      </w:r>
    </w:p>
    <w:p w14:paraId="36C1C402">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3.2.3 承包人擅自更换项目经理的违约责任：</w:t>
      </w:r>
      <w:r>
        <w:rPr>
          <w:rFonts w:hint="eastAsia" w:ascii="宋体" w:hAnsi="宋体" w:cs="宋体"/>
          <w:color w:val="000000" w:themeColor="text1"/>
          <w:sz w:val="24"/>
          <w:highlight w:val="none"/>
          <w:u w:val="single"/>
          <w14:textFill>
            <w14:solidFill>
              <w14:schemeClr w14:val="tx1"/>
            </w14:solidFill>
          </w14:textFill>
        </w:rPr>
        <w:t>承包人项目经理必须与承包人投标时所承诺的人员一致，并在开工日期前到</w:t>
      </w:r>
      <w:r>
        <w:rPr>
          <w:rFonts w:hint="eastAsia" w:ascii="宋体" w:hAnsi="宋体" w:cs="宋体"/>
          <w:color w:val="000000" w:themeColor="text1"/>
          <w:sz w:val="24"/>
          <w:highlight w:val="none"/>
          <w14:textFill>
            <w14:solidFill>
              <w14:schemeClr w14:val="tx1"/>
            </w14:solidFill>
          </w14:textFill>
        </w:rPr>
        <w:t xml:space="preserve">任。在监理人向承包人颁发 </w:t>
      </w:r>
      <w:r>
        <w:rPr>
          <w:rFonts w:hint="eastAsia" w:ascii="宋体" w:hAnsi="宋体" w:cs="宋体"/>
          <w:color w:val="000000" w:themeColor="text1"/>
          <w:sz w:val="24"/>
          <w:highlight w:val="none"/>
          <w:u w:val="single"/>
          <w14:textFill>
            <w14:solidFill>
              <w14:schemeClr w14:val="tx1"/>
            </w14:solidFill>
          </w14:textFill>
        </w:rPr>
        <w:t xml:space="preserve">   （竣工证明材料名称）   </w:t>
      </w:r>
      <w:r>
        <w:rPr>
          <w:rFonts w:hint="eastAsia" w:ascii="宋体" w:hAnsi="宋体" w:cs="宋体"/>
          <w:color w:val="000000" w:themeColor="text1"/>
          <w:sz w:val="24"/>
          <w:highlight w:val="none"/>
          <w14:textFill>
            <w14:solidFill>
              <w14:schemeClr w14:val="tx1"/>
            </w14:solidFill>
          </w14:textFill>
        </w:rPr>
        <w:t xml:space="preserve"> 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w:t>
      </w:r>
      <w:r>
        <w:rPr>
          <w:rFonts w:hint="eastAsia" w:ascii="宋体" w:hAnsi="宋体" w:cs="宋体"/>
          <w:color w:val="000000" w:themeColor="text1"/>
          <w:sz w:val="24"/>
          <w:highlight w:val="none"/>
          <w:u w:val="single"/>
          <w14:textFill>
            <w14:solidFill>
              <w14:schemeClr w14:val="tx1"/>
            </w14:solidFill>
          </w14:textFill>
        </w:rPr>
        <w:t xml:space="preserve"> 1000</w:t>
      </w:r>
      <w:r>
        <w:rPr>
          <w:rFonts w:hint="eastAsia" w:ascii="宋体" w:hAnsi="宋体" w:cs="宋体"/>
          <w:color w:val="000000" w:themeColor="text1"/>
          <w:sz w:val="24"/>
          <w:highlight w:val="none"/>
          <w14:textFill>
            <w14:solidFill>
              <w14:schemeClr w14:val="tx1"/>
            </w14:solidFill>
          </w14:textFill>
        </w:rPr>
        <w:t>元/人•次（人民币）。</w:t>
      </w:r>
    </w:p>
    <w:p w14:paraId="21D48DC8">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3.2.4 承包人无正当理由拒绝更换项目经理的违约责任：</w:t>
      </w:r>
      <w:r>
        <w:rPr>
          <w:rFonts w:hint="eastAsia" w:ascii="宋体" w:hAnsi="宋体" w:cs="宋体"/>
          <w:color w:val="000000" w:themeColor="text1"/>
          <w:sz w:val="24"/>
          <w:highlight w:val="none"/>
          <w:u w:val="single"/>
          <w14:textFill>
            <w14:solidFill>
              <w14:schemeClr w14:val="tx1"/>
            </w14:solidFill>
          </w14:textFill>
        </w:rPr>
        <w:t>因承包人项目经理不称职，发包人要求调换而未及时调换的（超过5天不更换到位），视为承包人违约，必须向发包人交纳处罚金1000元/人•次（人民币）</w:t>
      </w:r>
      <w:r>
        <w:rPr>
          <w:rFonts w:hint="eastAsia" w:ascii="宋体" w:hAnsi="宋体" w:cs="宋体"/>
          <w:color w:val="000000" w:themeColor="text1"/>
          <w:sz w:val="24"/>
          <w:highlight w:val="none"/>
          <w14:textFill>
            <w14:solidFill>
              <w14:schemeClr w14:val="tx1"/>
            </w14:solidFill>
          </w14:textFill>
        </w:rPr>
        <w:t>。</w:t>
      </w:r>
    </w:p>
    <w:p w14:paraId="1E8FC3A3">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01" w:name="_Toc25949"/>
      <w:bookmarkStart w:id="302" w:name="_Toc29512"/>
      <w:r>
        <w:rPr>
          <w:rFonts w:hint="eastAsia" w:ascii="宋体" w:hAnsi="宋体" w:cs="宋体"/>
          <w:color w:val="000000" w:themeColor="text1"/>
          <w:sz w:val="24"/>
          <w:szCs w:val="24"/>
          <w:highlight w:val="none"/>
          <w14:textFill>
            <w14:solidFill>
              <w14:schemeClr w14:val="tx1"/>
            </w14:solidFill>
          </w14:textFill>
        </w:rPr>
        <w:t>3.3 承包人人员</w:t>
      </w:r>
      <w:bookmarkEnd w:id="301"/>
      <w:bookmarkEnd w:id="302"/>
    </w:p>
    <w:p w14:paraId="6026B8D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3.3.1 承包人提交项目管理机构及施工现场管理人员安排报告（格式见合同附件5）的期限：</w:t>
      </w:r>
      <w:r>
        <w:rPr>
          <w:rFonts w:hint="eastAsia" w:ascii="宋体" w:hAnsi="宋体" w:cs="宋体"/>
          <w:color w:val="000000" w:themeColor="text1"/>
          <w:sz w:val="24"/>
          <w:highlight w:val="none"/>
          <w:u w:val="single"/>
          <w14:textFill>
            <w14:solidFill>
              <w14:schemeClr w14:val="tx1"/>
            </w14:solidFill>
          </w14:textFill>
        </w:rPr>
        <w:t xml:space="preserve"> 开工日期前 7 天   </w:t>
      </w:r>
      <w:r>
        <w:rPr>
          <w:rFonts w:hint="eastAsia" w:ascii="宋体" w:hAnsi="宋体" w:cs="宋体"/>
          <w:color w:val="000000" w:themeColor="text1"/>
          <w:sz w:val="24"/>
          <w:highlight w:val="none"/>
          <w14:textFill>
            <w14:solidFill>
              <w14:schemeClr w14:val="tx1"/>
            </w14:solidFill>
          </w14:textFill>
        </w:rPr>
        <w:t>。</w:t>
      </w:r>
    </w:p>
    <w:p w14:paraId="7C2AF6D4">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3.3.3 承包人无正当理由拒绝撤换主要施工管理人员的违约责任：</w:t>
      </w:r>
      <w:r>
        <w:rPr>
          <w:rFonts w:hint="eastAsia" w:ascii="宋体" w:hAnsi="宋体" w:cs="宋体"/>
          <w:color w:val="000000" w:themeColor="text1"/>
          <w:sz w:val="24"/>
          <w:highlight w:val="none"/>
          <w:u w:val="single"/>
          <w14:textFill>
            <w14:solidFill>
              <w14:schemeClr w14:val="tx1"/>
            </w14:solidFill>
          </w14:textFill>
        </w:rPr>
        <w:t>因承包人主要施工管理人员不称职，发包人要求调换而无正当理由拒绝撤换或未及时调换的，视为承包人违约，必须向发包人交纳处罚金，处罚标准：技术负责人 1000元/人•次（人民币）；专业工程师 1000 元/人•次（人民币）</w:t>
      </w:r>
      <w:r>
        <w:rPr>
          <w:rFonts w:hint="eastAsia" w:ascii="宋体" w:hAnsi="宋体" w:cs="宋体"/>
          <w:color w:val="000000" w:themeColor="text1"/>
          <w:sz w:val="24"/>
          <w:highlight w:val="none"/>
          <w14:textFill>
            <w14:solidFill>
              <w14:schemeClr w14:val="tx1"/>
            </w14:solidFill>
          </w14:textFill>
        </w:rPr>
        <w:t>。</w:t>
      </w:r>
    </w:p>
    <w:p w14:paraId="75B3AC40">
      <w:pPr>
        <w:pStyle w:val="374"/>
        <w:spacing w:line="360" w:lineRule="auto"/>
        <w:ind w:firstLine="480"/>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3.3.4 承包人主要施工管理人员离开施工现场的批准要求：</w:t>
      </w:r>
      <w:r>
        <w:rPr>
          <w:rFonts w:hint="eastAsia" w:ascii="宋体" w:hAnsi="宋体" w:cs="宋体"/>
          <w:color w:val="000000" w:themeColor="text1"/>
          <w:sz w:val="24"/>
          <w:szCs w:val="24"/>
          <w:highlight w:val="none"/>
          <w:u w:val="single"/>
          <w14:textFill>
            <w14:solidFill>
              <w14:schemeClr w14:val="tx1"/>
            </w14:solidFill>
          </w14:textFill>
        </w:rPr>
        <w:t xml:space="preserve">承包人的主要施工管理人员（五大员）每人每月到位率不少于 24 日历天，未经发包人同意或正当理由，少在岗一天，发包人有权处违约金1000元/日（人民币） </w:t>
      </w:r>
      <w:r>
        <w:rPr>
          <w:rFonts w:hint="eastAsia" w:ascii="宋体" w:hAnsi="宋体" w:cs="宋体"/>
          <w:color w:val="000000" w:themeColor="text1"/>
          <w:sz w:val="24"/>
          <w:szCs w:val="24"/>
          <w:highlight w:val="none"/>
          <w14:textFill>
            <w14:solidFill>
              <w14:schemeClr w14:val="tx1"/>
            </w14:solidFill>
          </w14:textFill>
        </w:rPr>
        <w:t>。</w:t>
      </w:r>
    </w:p>
    <w:p w14:paraId="1C5C97BD">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3.3.5 承包人擅自更换主要施工管理人员的违约责任：</w:t>
      </w:r>
      <w:r>
        <w:rPr>
          <w:rFonts w:hint="eastAsia" w:ascii="宋体" w:hAnsi="宋体" w:cs="宋体"/>
          <w:color w:val="000000" w:themeColor="text1"/>
          <w:sz w:val="24"/>
          <w:highlight w:val="none"/>
          <w:u w:val="single"/>
          <w14:textFill>
            <w14:solidFill>
              <w14:schemeClr w14:val="tx1"/>
            </w14:solidFill>
          </w14:textFill>
        </w:rPr>
        <w:t>项目技术负责人、专职安全生产管理人员及其承诺的其它在场管理人员未经发包人书面同意不准擅自更换，擅自更换项目技术负责人处1000元/人•次（人民币）违约金；擅自更换专职安全生产管理人员处 1000   元/人•次（人民币）违约金；擅自更换其它在场管理人员处 1000元/人•次（人民币）违约金</w:t>
      </w:r>
      <w:r>
        <w:rPr>
          <w:rFonts w:hint="eastAsia" w:ascii="宋体" w:hAnsi="宋体" w:cs="宋体"/>
          <w:color w:val="000000" w:themeColor="text1"/>
          <w:sz w:val="24"/>
          <w:highlight w:val="none"/>
          <w14:textFill>
            <w14:solidFill>
              <w14:schemeClr w14:val="tx1"/>
            </w14:solidFill>
          </w14:textFill>
        </w:rPr>
        <w:t>。</w:t>
      </w:r>
    </w:p>
    <w:p w14:paraId="5D98E015">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承包人主要施工管理人员擅自离开施工现场的违约责任：</w:t>
      </w:r>
      <w:r>
        <w:rPr>
          <w:rFonts w:hint="eastAsia" w:ascii="宋体" w:hAnsi="宋体" w:cs="宋体"/>
          <w:color w:val="000000" w:themeColor="text1"/>
          <w:sz w:val="24"/>
          <w:highlight w:val="none"/>
          <w:u w:val="single"/>
          <w14:textFill>
            <w14:solidFill>
              <w14:schemeClr w14:val="tx1"/>
            </w14:solidFill>
          </w14:textFill>
        </w:rPr>
        <w:t>未经发包人同意，项目技术负责人擅自离岗的，视为承包人违约，发包人有权处违约金500元/人•次（人民币）；未经发包人同意，专职安全生产管理人员擅自离岗的，视为承包人违约，发包人有权处违约金 500元/人•次（人民币）；其它在场管理人员擅自离岗的，视为承包人违约，发包人有权处违约金500 元/人•次（人民币）</w:t>
      </w:r>
      <w:r>
        <w:rPr>
          <w:rFonts w:hint="eastAsia" w:ascii="宋体" w:hAnsi="宋体" w:cs="宋体"/>
          <w:color w:val="000000" w:themeColor="text1"/>
          <w:sz w:val="24"/>
          <w:highlight w:val="none"/>
          <w14:textFill>
            <w14:solidFill>
              <w14:schemeClr w14:val="tx1"/>
            </w14:solidFill>
          </w14:textFill>
        </w:rPr>
        <w:t>。</w:t>
      </w:r>
    </w:p>
    <w:p w14:paraId="75C6403E">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03" w:name="_Toc22906"/>
      <w:bookmarkStart w:id="304" w:name="_Toc22691"/>
      <w:r>
        <w:rPr>
          <w:rFonts w:hint="eastAsia" w:ascii="宋体" w:hAnsi="宋体" w:cs="宋体"/>
          <w:color w:val="000000" w:themeColor="text1"/>
          <w:sz w:val="24"/>
          <w:szCs w:val="24"/>
          <w:highlight w:val="none"/>
          <w14:textFill>
            <w14:solidFill>
              <w14:schemeClr w14:val="tx1"/>
            </w14:solidFill>
          </w14:textFill>
        </w:rPr>
        <w:t>3.5 分包</w:t>
      </w:r>
      <w:bookmarkEnd w:id="303"/>
      <w:bookmarkEnd w:id="304"/>
    </w:p>
    <w:p w14:paraId="1B338BDE">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lang w:eastAsia="zh-CN"/>
          <w14:textFill>
            <w14:solidFill>
              <w14:schemeClr w14:val="tx1"/>
            </w14:solidFill>
          </w14:textFill>
        </w:rPr>
        <w:t>本项目不允许分包</w:t>
      </w:r>
    </w:p>
    <w:p w14:paraId="5BF1A613">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05" w:name="_Toc11121"/>
      <w:bookmarkStart w:id="306" w:name="_Toc27920"/>
      <w:r>
        <w:rPr>
          <w:rFonts w:hint="eastAsia" w:ascii="宋体" w:hAnsi="宋体" w:cs="宋体"/>
          <w:color w:val="000000" w:themeColor="text1"/>
          <w:sz w:val="24"/>
          <w:szCs w:val="24"/>
          <w:highlight w:val="none"/>
          <w14:textFill>
            <w14:solidFill>
              <w14:schemeClr w14:val="tx1"/>
            </w14:solidFill>
          </w14:textFill>
        </w:rPr>
        <w:t>3.6 工程照管与成品、半成品保护</w:t>
      </w:r>
      <w:bookmarkEnd w:id="305"/>
      <w:bookmarkEnd w:id="306"/>
    </w:p>
    <w:p w14:paraId="726B2A25">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承包人负责照管工程及工程相关的材料、工程设备的起始时间：</w:t>
      </w:r>
      <w:r>
        <w:rPr>
          <w:rFonts w:hint="eastAsia" w:ascii="宋体" w:hAnsi="宋体" w:cs="宋体"/>
          <w:color w:val="000000" w:themeColor="text1"/>
          <w:sz w:val="24"/>
          <w:highlight w:val="none"/>
          <w:u w:val="single"/>
          <w14:textFill>
            <w14:solidFill>
              <w14:schemeClr w14:val="tx1"/>
            </w14:solidFill>
          </w14:textFill>
        </w:rPr>
        <w:t>自发包人向承包人移交施工现场之日起，至承包人向发包人交付工程之日止</w:t>
      </w:r>
      <w:r>
        <w:rPr>
          <w:rFonts w:hint="eastAsia" w:ascii="宋体" w:hAnsi="宋体" w:cs="宋体"/>
          <w:color w:val="000000" w:themeColor="text1"/>
          <w:sz w:val="24"/>
          <w:highlight w:val="none"/>
          <w14:textFill>
            <w14:solidFill>
              <w14:schemeClr w14:val="tx1"/>
            </w14:solidFill>
          </w14:textFill>
        </w:rPr>
        <w:t>。</w:t>
      </w:r>
    </w:p>
    <w:p w14:paraId="1425E0E4">
      <w:pPr>
        <w:pStyle w:val="4"/>
        <w:spacing w:line="360" w:lineRule="auto"/>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307" w:name="_Toc1730"/>
      <w:bookmarkStart w:id="308" w:name="_Toc1755"/>
      <w:r>
        <w:rPr>
          <w:rFonts w:hint="eastAsia" w:ascii="宋体" w:hAnsi="宋体" w:cs="宋体"/>
          <w:color w:val="000000" w:themeColor="text1"/>
          <w:sz w:val="24"/>
          <w:szCs w:val="24"/>
          <w:highlight w:val="none"/>
          <w14:textFill>
            <w14:solidFill>
              <w14:schemeClr w14:val="tx1"/>
            </w14:solidFill>
          </w14:textFill>
        </w:rPr>
        <w:t>3.7 履约保证金</w:t>
      </w:r>
      <w:r>
        <w:rPr>
          <w:rFonts w:hint="eastAsia" w:ascii="宋体" w:hAnsi="宋体" w:cs="宋体"/>
          <w:color w:val="000000" w:themeColor="text1"/>
          <w:sz w:val="24"/>
          <w:szCs w:val="24"/>
          <w:highlight w:val="none"/>
          <w:lang w:eastAsia="zh-CN"/>
          <w14:textFill>
            <w14:solidFill>
              <w14:schemeClr w14:val="tx1"/>
            </w14:solidFill>
          </w14:textFill>
        </w:rPr>
        <w:t>：本项目无履约保证金要求。</w:t>
      </w:r>
      <w:bookmarkEnd w:id="307"/>
      <w:bookmarkEnd w:id="308"/>
    </w:p>
    <w:p w14:paraId="002C506D">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309" w:name="_Toc4012"/>
      <w:bookmarkStart w:id="310" w:name="_Toc9184"/>
      <w:r>
        <w:rPr>
          <w:rFonts w:hint="eastAsia" w:ascii="宋体" w:hAnsi="宋体" w:cs="宋体"/>
          <w:color w:val="000000" w:themeColor="text1"/>
          <w:sz w:val="24"/>
          <w:szCs w:val="24"/>
          <w:highlight w:val="none"/>
          <w14:textFill>
            <w14:solidFill>
              <w14:schemeClr w14:val="tx1"/>
            </w14:solidFill>
          </w14:textFill>
        </w:rPr>
        <w:t>4. 监理人</w:t>
      </w:r>
      <w:bookmarkEnd w:id="309"/>
      <w:bookmarkEnd w:id="310"/>
    </w:p>
    <w:p w14:paraId="458D904C">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11" w:name="_Toc8728"/>
      <w:bookmarkStart w:id="312" w:name="_Toc5496"/>
      <w:r>
        <w:rPr>
          <w:rFonts w:hint="eastAsia" w:ascii="宋体" w:hAnsi="宋体" w:cs="宋体"/>
          <w:color w:val="000000" w:themeColor="text1"/>
          <w:sz w:val="24"/>
          <w:szCs w:val="24"/>
          <w:highlight w:val="none"/>
          <w14:textFill>
            <w14:solidFill>
              <w14:schemeClr w14:val="tx1"/>
            </w14:solidFill>
          </w14:textFill>
        </w:rPr>
        <w:t>4.1 监理人的一般规定</w:t>
      </w:r>
      <w:bookmarkEnd w:id="311"/>
      <w:bookmarkEnd w:id="312"/>
    </w:p>
    <w:p w14:paraId="1E48E2A4">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关于监理人的监理内容：</w:t>
      </w:r>
      <w:r>
        <w:rPr>
          <w:rFonts w:hint="eastAsia" w:ascii="宋体" w:hAnsi="宋体" w:cs="宋体"/>
          <w:color w:val="000000" w:themeColor="text1"/>
          <w:sz w:val="24"/>
          <w:highlight w:val="none"/>
          <w:u w:val="single"/>
          <w14:textFill>
            <w14:solidFill>
              <w14:schemeClr w14:val="tx1"/>
            </w14:solidFill>
          </w14:textFill>
        </w:rPr>
        <w:t>根据发包人与监理人签订的《监理合同》及工程实际需要确定</w:t>
      </w:r>
      <w:r>
        <w:rPr>
          <w:rFonts w:hint="eastAsia" w:ascii="宋体" w:hAnsi="宋体" w:cs="宋体"/>
          <w:color w:val="000000" w:themeColor="text1"/>
          <w:sz w:val="24"/>
          <w:highlight w:val="none"/>
          <w14:textFill>
            <w14:solidFill>
              <w14:schemeClr w14:val="tx1"/>
            </w14:solidFill>
          </w14:textFill>
        </w:rPr>
        <w:t>。关于监理人的监理权限：</w:t>
      </w:r>
      <w:r>
        <w:rPr>
          <w:rFonts w:hint="eastAsia" w:ascii="宋体" w:hAnsi="宋体" w:cs="宋体"/>
          <w:color w:val="000000" w:themeColor="text1"/>
          <w:sz w:val="24"/>
          <w:highlight w:val="none"/>
          <w:u w:val="single"/>
          <w14:textFill>
            <w14:solidFill>
              <w14:schemeClr w14:val="tx1"/>
            </w14:solidFill>
          </w14:textFill>
        </w:rPr>
        <w:t xml:space="preserve">根据监理合同、施工承包合同和法律法规规定的事项代表发包人进行工程前期协调、施工现场协调、工程监理      </w:t>
      </w:r>
      <w:r>
        <w:rPr>
          <w:rFonts w:hint="eastAsia" w:ascii="宋体" w:hAnsi="宋体" w:cs="宋体"/>
          <w:color w:val="000000" w:themeColor="text1"/>
          <w:sz w:val="24"/>
          <w:highlight w:val="none"/>
          <w14:textFill>
            <w14:solidFill>
              <w14:schemeClr w14:val="tx1"/>
            </w14:solidFill>
          </w14:textFill>
        </w:rPr>
        <w:t xml:space="preserve">。 </w:t>
      </w:r>
    </w:p>
    <w:p w14:paraId="339D34A8">
      <w:pPr>
        <w:pStyle w:val="374"/>
        <w:spacing w:line="360" w:lineRule="auto"/>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关于监理人在施工现场的办公场所、生活场所的提供和费用承担的约定：</w:t>
      </w:r>
      <w:r>
        <w:rPr>
          <w:rFonts w:hint="eastAsia" w:ascii="宋体" w:hAnsi="宋体" w:cs="宋体"/>
          <w:color w:val="000000" w:themeColor="text1"/>
          <w:sz w:val="24"/>
          <w:szCs w:val="24"/>
          <w:highlight w:val="none"/>
          <w:u w:val="single"/>
          <w14:textFill>
            <w14:solidFill>
              <w14:schemeClr w14:val="tx1"/>
            </w14:solidFill>
          </w14:textFill>
        </w:rPr>
        <w:t xml:space="preserve"> 监理人在施工现</w:t>
      </w:r>
    </w:p>
    <w:p w14:paraId="2F397A19">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场的办公场所、生活场所由承包人提供，所发生的费用由承包人承担  </w:t>
      </w:r>
      <w:r>
        <w:rPr>
          <w:rFonts w:hint="eastAsia" w:ascii="宋体" w:hAnsi="宋体" w:cs="宋体"/>
          <w:color w:val="000000" w:themeColor="text1"/>
          <w:sz w:val="24"/>
          <w:highlight w:val="none"/>
          <w14:textFill>
            <w14:solidFill>
              <w14:schemeClr w14:val="tx1"/>
            </w14:solidFill>
          </w14:textFill>
        </w:rPr>
        <w:t>。</w:t>
      </w:r>
    </w:p>
    <w:p w14:paraId="4C773D8A">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13" w:name="_Toc9067"/>
      <w:bookmarkStart w:id="314" w:name="_Toc5576"/>
      <w:r>
        <w:rPr>
          <w:rFonts w:hint="eastAsia" w:ascii="宋体" w:hAnsi="宋体" w:cs="宋体"/>
          <w:color w:val="000000" w:themeColor="text1"/>
          <w:sz w:val="24"/>
          <w:szCs w:val="24"/>
          <w:highlight w:val="none"/>
          <w14:textFill>
            <w14:solidFill>
              <w14:schemeClr w14:val="tx1"/>
            </w14:solidFill>
          </w14:textFill>
        </w:rPr>
        <w:t>4.2 监理人员</w:t>
      </w:r>
      <w:bookmarkEnd w:id="313"/>
      <w:bookmarkEnd w:id="314"/>
    </w:p>
    <w:p w14:paraId="666199A0">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总监理工程师：</w:t>
      </w:r>
    </w:p>
    <w:p w14:paraId="53E9241F">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w:t>
      </w:r>
      <w:r>
        <w:rPr>
          <w:rFonts w:hint="eastAsia" w:ascii="宋体" w:hAnsi="宋体" w:cs="宋体"/>
          <w:color w:val="000000" w:themeColor="text1"/>
          <w:sz w:val="24"/>
          <w:highlight w:val="none"/>
          <w:u w:val="single"/>
          <w14:textFill>
            <w14:solidFill>
              <w14:schemeClr w14:val="tx1"/>
            </w14:solidFill>
          </w14:textFill>
        </w:rPr>
        <w:t>详见监理合同 </w:t>
      </w:r>
      <w:r>
        <w:rPr>
          <w:rFonts w:hint="eastAsia" w:ascii="宋体" w:hAnsi="宋体" w:cs="宋体"/>
          <w:color w:val="000000" w:themeColor="text1"/>
          <w:sz w:val="24"/>
          <w:highlight w:val="none"/>
          <w14:textFill>
            <w14:solidFill>
              <w14:schemeClr w14:val="tx1"/>
            </w14:solidFill>
          </w14:textFill>
        </w:rPr>
        <w:t>；</w:t>
      </w:r>
    </w:p>
    <w:p w14:paraId="09794870">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职    务：</w:t>
      </w:r>
      <w:r>
        <w:rPr>
          <w:rFonts w:hint="eastAsia" w:ascii="宋体" w:hAnsi="宋体" w:cs="宋体"/>
          <w:color w:val="000000" w:themeColor="text1"/>
          <w:sz w:val="24"/>
          <w:highlight w:val="none"/>
          <w:u w:val="single"/>
          <w14:textFill>
            <w14:solidFill>
              <w14:schemeClr w14:val="tx1"/>
            </w14:solidFill>
          </w14:textFill>
        </w:rPr>
        <w:t>详见监理合同 </w:t>
      </w:r>
      <w:r>
        <w:rPr>
          <w:rFonts w:hint="eastAsia" w:ascii="宋体" w:hAnsi="宋体" w:cs="宋体"/>
          <w:color w:val="000000" w:themeColor="text1"/>
          <w:sz w:val="24"/>
          <w:highlight w:val="none"/>
          <w14:textFill>
            <w14:solidFill>
              <w14:schemeClr w14:val="tx1"/>
            </w14:solidFill>
          </w14:textFill>
        </w:rPr>
        <w:t>；</w:t>
      </w:r>
    </w:p>
    <w:p w14:paraId="7BC5A35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监理工程师注册证书号：</w:t>
      </w:r>
      <w:r>
        <w:rPr>
          <w:rFonts w:hint="eastAsia" w:ascii="宋体" w:hAnsi="宋体" w:cs="宋体"/>
          <w:color w:val="000000" w:themeColor="text1"/>
          <w:sz w:val="24"/>
          <w:highlight w:val="none"/>
          <w:u w:val="single"/>
          <w14:textFill>
            <w14:solidFill>
              <w14:schemeClr w14:val="tx1"/>
            </w14:solidFill>
          </w14:textFill>
        </w:rPr>
        <w:t>详见监理合同</w:t>
      </w:r>
      <w:r>
        <w:rPr>
          <w:rFonts w:hint="eastAsia" w:ascii="宋体" w:hAnsi="宋体" w:cs="宋体"/>
          <w:color w:val="000000" w:themeColor="text1"/>
          <w:sz w:val="24"/>
          <w:highlight w:val="none"/>
          <w14:textFill>
            <w14:solidFill>
              <w14:schemeClr w14:val="tx1"/>
            </w14:solidFill>
          </w14:textFill>
        </w:rPr>
        <w:t>；</w:t>
      </w:r>
    </w:p>
    <w:p w14:paraId="65374900">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single"/>
          <w14:textFill>
            <w14:solidFill>
              <w14:schemeClr w14:val="tx1"/>
            </w14:solidFill>
          </w14:textFill>
        </w:rPr>
        <w:t>详见监理合同 </w:t>
      </w:r>
      <w:r>
        <w:rPr>
          <w:rFonts w:hint="eastAsia" w:ascii="宋体" w:hAnsi="宋体" w:cs="宋体"/>
          <w:color w:val="000000" w:themeColor="text1"/>
          <w:sz w:val="24"/>
          <w:highlight w:val="none"/>
          <w14:textFill>
            <w14:solidFill>
              <w14:schemeClr w14:val="tx1"/>
            </w14:solidFill>
          </w14:textFill>
        </w:rPr>
        <w:t>；</w:t>
      </w:r>
    </w:p>
    <w:p w14:paraId="7EB26B4F">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电子信箱：</w:t>
      </w:r>
      <w:r>
        <w:rPr>
          <w:rFonts w:hint="eastAsia" w:ascii="宋体" w:hAnsi="宋体" w:cs="宋体"/>
          <w:color w:val="000000" w:themeColor="text1"/>
          <w:sz w:val="24"/>
          <w:highlight w:val="none"/>
          <w:u w:val="single"/>
          <w14:textFill>
            <w14:solidFill>
              <w14:schemeClr w14:val="tx1"/>
            </w14:solidFill>
          </w14:textFill>
        </w:rPr>
        <w:t>详见监理合同</w:t>
      </w:r>
      <w:r>
        <w:rPr>
          <w:rFonts w:hint="eastAsia" w:ascii="宋体" w:hAnsi="宋体" w:cs="宋体"/>
          <w:color w:val="000000" w:themeColor="text1"/>
          <w:sz w:val="24"/>
          <w:highlight w:val="none"/>
          <w14:textFill>
            <w14:solidFill>
              <w14:schemeClr w14:val="tx1"/>
            </w14:solidFill>
          </w14:textFill>
        </w:rPr>
        <w:t>；</w:t>
      </w:r>
    </w:p>
    <w:p w14:paraId="3DEAEDEC">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通信地址：</w:t>
      </w:r>
      <w:r>
        <w:rPr>
          <w:rFonts w:hint="eastAsia" w:ascii="宋体" w:hAnsi="宋体" w:cs="宋体"/>
          <w:color w:val="000000" w:themeColor="text1"/>
          <w:sz w:val="24"/>
          <w:highlight w:val="none"/>
          <w:u w:val="single"/>
          <w14:textFill>
            <w14:solidFill>
              <w14:schemeClr w14:val="tx1"/>
            </w14:solidFill>
          </w14:textFill>
        </w:rPr>
        <w:t>详见监理合同</w:t>
      </w:r>
      <w:r>
        <w:rPr>
          <w:rFonts w:hint="eastAsia" w:ascii="宋体" w:hAnsi="宋体" w:cs="宋体"/>
          <w:color w:val="000000" w:themeColor="text1"/>
          <w:sz w:val="24"/>
          <w:highlight w:val="none"/>
          <w14:textFill>
            <w14:solidFill>
              <w14:schemeClr w14:val="tx1"/>
            </w14:solidFill>
          </w14:textFill>
        </w:rPr>
        <w:t>；</w:t>
      </w:r>
    </w:p>
    <w:p w14:paraId="3CB0359D">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关于监理人的其他约定：</w:t>
      </w:r>
      <w:r>
        <w:rPr>
          <w:rFonts w:hint="eastAsia" w:ascii="宋体" w:hAnsi="宋体" w:cs="宋体"/>
          <w:color w:val="000000" w:themeColor="text1"/>
          <w:sz w:val="24"/>
          <w:highlight w:val="none"/>
          <w:u w:val="single"/>
          <w14:textFill>
            <w14:solidFill>
              <w14:schemeClr w14:val="tx1"/>
            </w14:solidFill>
          </w14:textFill>
        </w:rPr>
        <w:t>按《通用合同条款》执行</w:t>
      </w:r>
      <w:r>
        <w:rPr>
          <w:rFonts w:hint="eastAsia" w:ascii="宋体" w:hAnsi="宋体" w:cs="宋体"/>
          <w:color w:val="000000" w:themeColor="text1"/>
          <w:sz w:val="24"/>
          <w:highlight w:val="none"/>
          <w14:textFill>
            <w14:solidFill>
              <w14:schemeClr w14:val="tx1"/>
            </w14:solidFill>
          </w14:textFill>
        </w:rPr>
        <w:t>。</w:t>
      </w:r>
    </w:p>
    <w:p w14:paraId="431BF85F">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15" w:name="_Toc25232"/>
      <w:bookmarkStart w:id="316" w:name="_Toc23380"/>
      <w:r>
        <w:rPr>
          <w:rFonts w:hint="eastAsia" w:ascii="宋体" w:hAnsi="宋体" w:cs="宋体"/>
          <w:color w:val="000000" w:themeColor="text1"/>
          <w:sz w:val="24"/>
          <w:szCs w:val="24"/>
          <w:highlight w:val="none"/>
          <w14:textFill>
            <w14:solidFill>
              <w14:schemeClr w14:val="tx1"/>
            </w14:solidFill>
          </w14:textFill>
        </w:rPr>
        <w:t>4.4 商定或确定</w:t>
      </w:r>
      <w:bookmarkEnd w:id="315"/>
      <w:bookmarkEnd w:id="316"/>
    </w:p>
    <w:p w14:paraId="73D3C987">
      <w:pPr>
        <w:spacing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在发包人和承包人不能通过协商达成一致意见时，发包人授权监理人对以下事项进行确定：</w:t>
      </w:r>
      <w:r>
        <w:rPr>
          <w:rFonts w:hint="eastAsia" w:ascii="宋体" w:hAnsi="宋体" w:cs="宋体"/>
          <w:color w:val="000000" w:themeColor="text1"/>
          <w:sz w:val="24"/>
          <w:highlight w:val="none"/>
          <w:u w:val="single"/>
          <w14:textFill>
            <w14:solidFill>
              <w14:schemeClr w14:val="tx1"/>
            </w14:solidFill>
          </w14:textFill>
        </w:rPr>
        <w:t>/。</w:t>
      </w:r>
    </w:p>
    <w:p w14:paraId="09556061">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317" w:name="_Toc12415"/>
      <w:bookmarkStart w:id="318" w:name="_Toc19102"/>
      <w:r>
        <w:rPr>
          <w:rFonts w:hint="eastAsia" w:ascii="宋体" w:hAnsi="宋体" w:cs="宋体"/>
          <w:color w:val="000000" w:themeColor="text1"/>
          <w:sz w:val="24"/>
          <w:szCs w:val="24"/>
          <w:highlight w:val="none"/>
          <w14:textFill>
            <w14:solidFill>
              <w14:schemeClr w14:val="tx1"/>
            </w14:solidFill>
          </w14:textFill>
        </w:rPr>
        <w:t>5. 工程质量</w:t>
      </w:r>
      <w:bookmarkEnd w:id="317"/>
      <w:bookmarkEnd w:id="318"/>
    </w:p>
    <w:p w14:paraId="0D3550E0">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19" w:name="_Toc5047"/>
      <w:bookmarkStart w:id="320" w:name="_Toc5490"/>
      <w:r>
        <w:rPr>
          <w:rFonts w:hint="eastAsia" w:ascii="宋体" w:hAnsi="宋体" w:cs="宋体"/>
          <w:color w:val="000000" w:themeColor="text1"/>
          <w:sz w:val="24"/>
          <w:szCs w:val="24"/>
          <w:highlight w:val="none"/>
          <w14:textFill>
            <w14:solidFill>
              <w14:schemeClr w14:val="tx1"/>
            </w14:solidFill>
          </w14:textFill>
        </w:rPr>
        <w:t>5.1 质量要求</w:t>
      </w:r>
      <w:bookmarkEnd w:id="319"/>
      <w:bookmarkEnd w:id="320"/>
    </w:p>
    <w:p w14:paraId="7E2EA2A3">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5.1.1 特殊质量标准和要求：</w:t>
      </w:r>
      <w:r>
        <w:rPr>
          <w:rFonts w:hint="eastAsia" w:ascii="宋体" w:hAnsi="宋体" w:cs="宋体"/>
          <w:color w:val="000000" w:themeColor="text1"/>
          <w:sz w:val="24"/>
          <w:highlight w:val="none"/>
          <w:u w:val="single"/>
          <w14:textFill>
            <w14:solidFill>
              <w14:schemeClr w14:val="tx1"/>
            </w14:solidFill>
          </w14:textFill>
        </w:rPr>
        <w:t>严格执行广西住房和城乡自治区住建厅《关于严格实行房屋建筑和市政基础设施工程质量终身责任承诺、永久性质量责任标牌、终身责任信息档案等制度 的通知》（桂建管【2014】96 号），落实建设工程质量终身责任</w:t>
      </w:r>
      <w:r>
        <w:rPr>
          <w:rFonts w:hint="eastAsia" w:ascii="宋体" w:hAnsi="宋体" w:cs="宋体"/>
          <w:color w:val="000000" w:themeColor="text1"/>
          <w:sz w:val="24"/>
          <w:highlight w:val="none"/>
          <w14:textFill>
            <w14:solidFill>
              <w14:schemeClr w14:val="tx1"/>
            </w14:solidFill>
          </w14:textFill>
        </w:rPr>
        <w:t>。</w:t>
      </w:r>
    </w:p>
    <w:p w14:paraId="69F4B5A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关于工程奖项的约定： 如果工程获得</w:t>
      </w:r>
      <w:r>
        <w:rPr>
          <w:rFonts w:hint="eastAsia" w:ascii="宋体" w:hAnsi="宋体" w:cs="宋体"/>
          <w:color w:val="000000" w:themeColor="text1"/>
          <w:sz w:val="24"/>
          <w:highlight w:val="none"/>
          <w:u w:val="single"/>
          <w14:textFill>
            <w14:solidFill>
              <w14:schemeClr w14:val="tx1"/>
            </w14:solidFill>
          </w14:textFill>
        </w:rPr>
        <w:t xml:space="preserve">     /        （奖项名称）</w:t>
      </w:r>
      <w:r>
        <w:rPr>
          <w:rFonts w:hint="eastAsia" w:ascii="宋体" w:hAnsi="宋体" w:cs="宋体"/>
          <w:color w:val="000000" w:themeColor="text1"/>
          <w:sz w:val="24"/>
          <w:highlight w:val="none"/>
          <w14:textFill>
            <w14:solidFill>
              <w14:schemeClr w14:val="tx1"/>
            </w14:solidFill>
          </w14:textFill>
        </w:rPr>
        <w:t>，给予承包人合同价</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%的奖励。（建设单位创建优质工程的，鼓励在招标控制价和预算中按我区工程建设定额规定计列工程优质费，并在招标文件中明确工程优质费不可竞争。）</w:t>
      </w:r>
    </w:p>
    <w:p w14:paraId="1A1EA1AA">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5.3 隐蔽工程检查</w:t>
      </w:r>
    </w:p>
    <w:p w14:paraId="08B2F9A0">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如验收不合格,双方商订时限内整改后按上述顺序重新验收,并视隐蔽工程或中间验收的关键部位和重要性处500元至20000元的罚款，并有权拒绝支付该部分工程款。</w:t>
      </w:r>
    </w:p>
    <w:p w14:paraId="1015BC3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监理人不能按时进行检查时，应提前</w:t>
      </w:r>
      <w:r>
        <w:rPr>
          <w:rFonts w:hint="eastAsia" w:ascii="宋体" w:hAnsi="宋体" w:cs="宋体"/>
          <w:color w:val="000000" w:themeColor="text1"/>
          <w:sz w:val="24"/>
          <w:highlight w:val="none"/>
          <w:u w:val="single"/>
          <w14:textFill>
            <w14:solidFill>
              <w14:schemeClr w14:val="tx1"/>
            </w14:solidFill>
          </w14:textFill>
        </w:rPr>
        <w:t xml:space="preserve">    12   </w:t>
      </w:r>
      <w:r>
        <w:rPr>
          <w:rFonts w:hint="eastAsia" w:ascii="宋体" w:hAnsi="宋体" w:cs="宋体"/>
          <w:color w:val="000000" w:themeColor="text1"/>
          <w:sz w:val="24"/>
          <w:highlight w:val="none"/>
          <w14:textFill>
            <w14:solidFill>
              <w14:schemeClr w14:val="tx1"/>
            </w14:solidFill>
          </w14:textFill>
        </w:rPr>
        <w:t>小时提交书面延期要求。</w:t>
      </w:r>
    </w:p>
    <w:p w14:paraId="252C6B23">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关于延期最长不得超过：</w:t>
      </w:r>
      <w:r>
        <w:rPr>
          <w:rFonts w:hint="eastAsia" w:ascii="宋体" w:hAnsi="宋体" w:cs="宋体"/>
          <w:color w:val="000000" w:themeColor="text1"/>
          <w:sz w:val="24"/>
          <w:highlight w:val="none"/>
          <w:u w:val="single"/>
          <w14:textFill>
            <w14:solidFill>
              <w14:schemeClr w14:val="tx1"/>
            </w14:solidFill>
          </w14:textFill>
        </w:rPr>
        <w:t xml:space="preserve">    24     </w:t>
      </w:r>
      <w:r>
        <w:rPr>
          <w:rFonts w:hint="eastAsia" w:ascii="宋体" w:hAnsi="宋体" w:cs="宋体"/>
          <w:color w:val="000000" w:themeColor="text1"/>
          <w:sz w:val="24"/>
          <w:highlight w:val="none"/>
          <w14:textFill>
            <w14:solidFill>
              <w14:schemeClr w14:val="tx1"/>
            </w14:solidFill>
          </w14:textFill>
        </w:rPr>
        <w:t>小时。</w:t>
      </w:r>
    </w:p>
    <w:p w14:paraId="7F2C4CE1">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321" w:name="_Toc30100"/>
      <w:bookmarkStart w:id="322" w:name="_Toc8554"/>
      <w:r>
        <w:rPr>
          <w:rFonts w:hint="eastAsia" w:ascii="宋体" w:hAnsi="宋体" w:cs="宋体"/>
          <w:color w:val="000000" w:themeColor="text1"/>
          <w:sz w:val="24"/>
          <w:szCs w:val="24"/>
          <w:highlight w:val="none"/>
          <w14:textFill>
            <w14:solidFill>
              <w14:schemeClr w14:val="tx1"/>
            </w14:solidFill>
          </w14:textFill>
        </w:rPr>
        <w:t>6. 安全文明施工与环境保护</w:t>
      </w:r>
      <w:bookmarkEnd w:id="321"/>
      <w:bookmarkEnd w:id="322"/>
    </w:p>
    <w:p w14:paraId="0E455AC7">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23" w:name="_Toc21087"/>
      <w:bookmarkStart w:id="324" w:name="_Toc6104"/>
      <w:r>
        <w:rPr>
          <w:rFonts w:hint="eastAsia" w:ascii="宋体" w:hAnsi="宋体" w:cs="宋体"/>
          <w:color w:val="000000" w:themeColor="text1"/>
          <w:sz w:val="24"/>
          <w:szCs w:val="24"/>
          <w:highlight w:val="none"/>
          <w14:textFill>
            <w14:solidFill>
              <w14:schemeClr w14:val="tx1"/>
            </w14:solidFill>
          </w14:textFill>
        </w:rPr>
        <w:t>6.1 安全文明施工</w:t>
      </w:r>
      <w:bookmarkEnd w:id="323"/>
      <w:bookmarkEnd w:id="324"/>
    </w:p>
    <w:p w14:paraId="614A3FAC">
      <w:pPr>
        <w:widowControl/>
        <w:spacing w:line="360" w:lineRule="auto"/>
        <w:ind w:firstLine="42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6.1.1 项目安全生产的达标目标及相应事项的约定：</w:t>
      </w:r>
      <w:r>
        <w:rPr>
          <w:rFonts w:hint="eastAsia" w:ascii="宋体" w:hAnsi="宋体" w:cs="宋体"/>
          <w:color w:val="000000" w:themeColor="text1"/>
          <w:sz w:val="24"/>
          <w:highlight w:val="none"/>
          <w:u w:val="single"/>
          <w14:textFill>
            <w14:solidFill>
              <w14:schemeClr w14:val="tx1"/>
            </w14:solidFill>
          </w14:textFill>
        </w:rPr>
        <w:t xml:space="preserve">承包人应遵守国家安全生产法律、法规的规定及国家和工程所在地工程建设安全生产有关管理规定，严格按现行安全标准组织施工，并随时服从和接受发包人、监理人和行业安全检查人员依法实施的监督检查，采取必要的安全防护措施，消除事故隐患。其安全施工防护费用已经含在合同价款内。本工程在整个施工期间杜绝一切人身伤亡和重大质量安全事故，如发生上述事故，则发包人视为承包人违约，在施工期间每发生一起人身损害（不包括死亡）事故，承包人除了接受政府相关部门处罚外，承包人须向发包人支付违约金 2 万元，每发生一起人身死亡事故，承包人除了接受政府相关部门处罚外，承包人须向发包人支付违约金 3 万元。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如经政府相关部门调查发现因承包人过失造成事故的发生，发包人有权解除合同，由此造成的一切经济损失和法律责任由承包人承担 。未尽事宜按《通用合同条款》6.1.1 条执行 </w:t>
      </w:r>
      <w:r>
        <w:rPr>
          <w:rFonts w:hint="eastAsia" w:ascii="宋体" w:hAnsi="宋体" w:cs="宋体"/>
          <w:color w:val="000000" w:themeColor="text1"/>
          <w:sz w:val="24"/>
          <w:highlight w:val="none"/>
          <w14:textFill>
            <w14:solidFill>
              <w14:schemeClr w14:val="tx1"/>
            </w14:solidFill>
          </w14:textFill>
        </w:rPr>
        <w:t>。</w:t>
      </w:r>
    </w:p>
    <w:p w14:paraId="638AED43">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关于安全文明施工奖项的约定：</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w:t>
      </w:r>
    </w:p>
    <w:p w14:paraId="1AAC3214">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6.1.4 关于治安保卫的特别约定：</w:t>
      </w:r>
      <w:r>
        <w:rPr>
          <w:rFonts w:hint="eastAsia" w:ascii="宋体" w:hAnsi="宋体" w:cs="宋体"/>
          <w:color w:val="000000" w:themeColor="text1"/>
          <w:sz w:val="24"/>
          <w:highlight w:val="none"/>
          <w:u w:val="single"/>
          <w14:textFill>
            <w14:solidFill>
              <w14:schemeClr w14:val="tx1"/>
            </w14:solidFill>
          </w14:textFill>
        </w:rPr>
        <w:t>承包人应承担施工安全保卫工作及非夜间施工照明的责任，承包人应采取一切合理的预防措施，防止人员伤亡、财产损失事故，费用由承包人承担。承包人生活设施及施工</w:t>
      </w:r>
      <w:r>
        <w:rPr>
          <w:rFonts w:hint="eastAsia" w:ascii="宋体" w:hAnsi="宋体" w:cs="宋体"/>
          <w:color w:val="000000" w:themeColor="text1"/>
          <w:sz w:val="24"/>
          <w:highlight w:val="none"/>
          <w:u w:val="single"/>
          <w:lang w:eastAsia="zh-CN"/>
          <w14:textFill>
            <w14:solidFill>
              <w14:schemeClr w14:val="tx1"/>
            </w14:solidFill>
          </w14:textFill>
        </w:rPr>
        <w:t>现场</w:t>
      </w:r>
      <w:r>
        <w:rPr>
          <w:rFonts w:hint="eastAsia" w:ascii="宋体" w:hAnsi="宋体" w:cs="宋体"/>
          <w:color w:val="000000" w:themeColor="text1"/>
          <w:sz w:val="24"/>
          <w:highlight w:val="none"/>
          <w:u w:val="single"/>
          <w14:textFill>
            <w14:solidFill>
              <w14:schemeClr w14:val="tx1"/>
            </w14:solidFill>
          </w14:textFill>
        </w:rPr>
        <w:t>应自费配备消防设备，防止火灾发生。</w:t>
      </w:r>
    </w:p>
    <w:p w14:paraId="32F80110">
      <w:pPr>
        <w:pStyle w:val="374"/>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关于编制施工场地治安管理计划的约定：</w:t>
      </w:r>
      <w:r>
        <w:rPr>
          <w:rFonts w:hint="eastAsia" w:ascii="宋体" w:hAnsi="宋体" w:cs="宋体"/>
          <w:color w:val="000000" w:themeColor="text1"/>
          <w:sz w:val="24"/>
          <w:szCs w:val="24"/>
          <w:highlight w:val="none"/>
          <w:u w:val="single"/>
          <w14:textFill>
            <w14:solidFill>
              <w14:schemeClr w14:val="tx1"/>
            </w14:solidFill>
          </w14:textFill>
        </w:rPr>
        <w:t xml:space="preserve"> 承包人应在工程开工后 7 天内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r>
        <w:rPr>
          <w:rFonts w:hint="eastAsia" w:ascii="宋体" w:hAnsi="宋体" w:cs="宋体"/>
          <w:color w:val="000000" w:themeColor="text1"/>
          <w:sz w:val="24"/>
          <w:szCs w:val="24"/>
          <w:highlight w:val="none"/>
          <w14:textFill>
            <w14:solidFill>
              <w14:schemeClr w14:val="tx1"/>
            </w14:solidFill>
          </w14:textFill>
        </w:rPr>
        <w:t>。</w:t>
      </w:r>
    </w:p>
    <w:p w14:paraId="6D8886B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6.1.5 文明施工</w:t>
      </w:r>
    </w:p>
    <w:p w14:paraId="36B4137D">
      <w:pPr>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合同当事人对文明施工的要求：</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严格执行《中华人民共和国大气污染防治法》（主席令第三十一号）的有关规定确保建设工程各项安全防护、文明施工措施及其费用在工地一线按标准落实到位。</w:t>
      </w:r>
      <w:r>
        <w:rPr>
          <w:rFonts w:hint="eastAsia" w:ascii="宋体" w:hAnsi="宋体" w:cs="宋体"/>
          <w:color w:val="000000" w:themeColor="text1"/>
          <w:sz w:val="24"/>
          <w:highlight w:val="none"/>
          <w:u w:val="single"/>
          <w14:textFill>
            <w14:solidFill>
              <w14:schemeClr w14:val="tx1"/>
            </w14:solidFill>
          </w14:textFill>
        </w:rPr>
        <w:t xml:space="preserve"> </w:t>
      </w:r>
    </w:p>
    <w:p w14:paraId="2945CB0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6.1.6关于安全生产费总额、支付比例、支付期限、转入和结余收回的约定：</w:t>
      </w:r>
    </w:p>
    <w:p w14:paraId="7EC89A9A">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（1）本合同价款已包含安全文明施工费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b/>
          <w:bCs/>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元。</w:t>
      </w:r>
    </w:p>
    <w:p w14:paraId="62E93A4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（2）使用要求：专款专用，不得用于其他用途。具体按</w:t>
      </w:r>
      <w:r>
        <w:rPr>
          <w:rFonts w:hint="eastAsia" w:ascii="宋体" w:hAnsi="宋体" w:cs="宋体"/>
          <w:color w:val="000000" w:themeColor="text1"/>
          <w:sz w:val="24"/>
          <w:highlight w:val="none"/>
          <w:u w:val="single"/>
          <w14:textFill>
            <w14:solidFill>
              <w14:schemeClr w14:val="tx1"/>
            </w14:solidFill>
          </w14:textFill>
        </w:rPr>
        <w:t>《广西壮族自治区建设工程安全文明施工费使用管理细则》（桂建质〔2015〕16号）</w:t>
      </w:r>
      <w:r>
        <w:rPr>
          <w:rFonts w:hint="eastAsia" w:ascii="宋体" w:hAnsi="宋体" w:cs="宋体"/>
          <w:color w:val="000000" w:themeColor="text1"/>
          <w:sz w:val="24"/>
          <w:highlight w:val="none"/>
          <w14:textFill>
            <w14:solidFill>
              <w14:schemeClr w14:val="tx1"/>
            </w14:solidFill>
          </w14:textFill>
        </w:rPr>
        <w:t>相关规定执行。</w:t>
      </w:r>
    </w:p>
    <w:p w14:paraId="2C90096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（3）支付约定：在本合同签订后</w:t>
      </w:r>
      <w:r>
        <w:rPr>
          <w:rFonts w:hint="eastAsia" w:ascii="宋体" w:hAnsi="宋体" w:cs="宋体"/>
          <w:color w:val="000000" w:themeColor="text1"/>
          <w:sz w:val="24"/>
          <w:highlight w:val="none"/>
          <w:u w:val="single"/>
          <w14:textFill>
            <w14:solidFill>
              <w14:schemeClr w14:val="tx1"/>
            </w14:solidFill>
          </w14:textFill>
        </w:rPr>
        <w:t xml:space="preserve">  30 </w:t>
      </w:r>
      <w:r>
        <w:rPr>
          <w:rFonts w:hint="eastAsia" w:ascii="宋体" w:hAnsi="宋体" w:cs="宋体"/>
          <w:color w:val="000000" w:themeColor="text1"/>
          <w:sz w:val="24"/>
          <w:highlight w:val="none"/>
          <w14:textFill>
            <w14:solidFill>
              <w14:schemeClr w14:val="tx1"/>
            </w14:solidFill>
          </w14:textFill>
        </w:rPr>
        <w:t>个工作日内，预付安全文明施工费总额的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5</w:t>
      </w:r>
      <w:r>
        <w:rPr>
          <w:rFonts w:hint="eastAsia" w:ascii="宋体" w:hAnsi="宋体" w:cs="宋体"/>
          <w:color w:val="000000" w:themeColor="text1"/>
          <w:sz w:val="24"/>
          <w:highlight w:val="none"/>
          <w:u w:val="single"/>
          <w14:textFill>
            <w14:solidFill>
              <w14:schemeClr w14:val="tx1"/>
            </w14:solidFill>
          </w14:textFill>
        </w:rPr>
        <w:t xml:space="preserve">0 </w:t>
      </w:r>
      <w:r>
        <w:rPr>
          <w:rFonts w:hint="eastAsia" w:ascii="宋体" w:hAnsi="宋体" w:cs="宋体"/>
          <w:color w:val="000000" w:themeColor="text1"/>
          <w:sz w:val="24"/>
          <w:highlight w:val="none"/>
          <w14:textFill>
            <w14:solidFill>
              <w14:schemeClr w14:val="tx1"/>
            </w14:solidFill>
          </w14:textFill>
        </w:rPr>
        <w:t xml:space="preserve"> %，其余部分待检查合格后与进度款同期支付，安全文明施工费预付款在工程进度款累计金额超过合同价的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5</w:t>
      </w:r>
      <w:r>
        <w:rPr>
          <w:rFonts w:hint="eastAsia" w:ascii="宋体" w:hAnsi="宋体" w:cs="宋体"/>
          <w:color w:val="000000" w:themeColor="text1"/>
          <w:sz w:val="24"/>
          <w:highlight w:val="none"/>
          <w:u w:val="single"/>
          <w14:textFill>
            <w14:solidFill>
              <w14:schemeClr w14:val="tx1"/>
            </w14:solidFill>
          </w14:textFill>
        </w:rPr>
        <w:t>0 %</w:t>
      </w:r>
      <w:r>
        <w:rPr>
          <w:rFonts w:hint="eastAsia" w:ascii="宋体" w:hAnsi="宋体" w:cs="宋体"/>
          <w:color w:val="000000" w:themeColor="text1"/>
          <w:sz w:val="24"/>
          <w:highlight w:val="none"/>
          <w14:textFill>
            <w14:solidFill>
              <w14:schemeClr w14:val="tx1"/>
            </w14:solidFill>
          </w14:textFill>
        </w:rPr>
        <w:t>时开始起扣，每月从支付给承包商的工程款内按安全文明预付款占合同总价的同一百分比扣回。</w:t>
      </w:r>
    </w:p>
    <w:p w14:paraId="62010A7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（4）建设单位按规定将安全生产费用转入施工单位设立的安全生产费用专户。</w:t>
      </w:r>
    </w:p>
    <w:p w14:paraId="7E139B00">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（5）施工单位将安全生产费用使用情况定期报告建设单位和监理单位，并提供相应的材料接受建设行政主管部门对此事项监管。</w:t>
      </w:r>
    </w:p>
    <w:p w14:paraId="1FB91145">
      <w:pPr>
        <w:spacing w:line="360" w:lineRule="auto"/>
        <w:ind w:firstLine="48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r>
        <w:rPr>
          <w:rFonts w:hint="eastAsia" w:ascii="宋体" w:hAnsi="宋体" w:cs="宋体"/>
          <w:b/>
          <w:bCs/>
          <w:color w:val="000000" w:themeColor="text1"/>
          <w:sz w:val="24"/>
          <w:highlight w:val="none"/>
          <w14:textFill>
            <w14:solidFill>
              <w14:schemeClr w14:val="tx1"/>
            </w14:solidFill>
          </w14:textFill>
        </w:rPr>
        <w:t>安全生产费用专户</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b/>
          <w:bCs/>
          <w:color w:val="000000" w:themeColor="text1"/>
          <w:sz w:val="24"/>
          <w:highlight w:val="none"/>
          <w:u w:val="single"/>
          <w14:textFill>
            <w14:solidFill>
              <w14:schemeClr w14:val="tx1"/>
            </w14:solidFill>
          </w14:textFill>
        </w:rPr>
        <w:t xml:space="preserve">       </w:t>
      </w:r>
      <w:r>
        <w:rPr>
          <w:rFonts w:hint="eastAsia" w:ascii="宋体" w:hAnsi="宋体" w:cs="宋体"/>
          <w:b/>
          <w:bCs/>
          <w:color w:val="000000" w:themeColor="text1"/>
          <w:sz w:val="24"/>
          <w:highlight w:val="none"/>
          <w14:textFill>
            <w14:solidFill>
              <w14:schemeClr w14:val="tx1"/>
            </w14:solidFill>
          </w14:textFill>
        </w:rPr>
        <w:t>。</w:t>
      </w:r>
    </w:p>
    <w:p w14:paraId="01B3C3B5">
      <w:pPr>
        <w:spacing w:line="360" w:lineRule="auto"/>
        <w:ind w:firstLine="2409"/>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账号:</w:t>
      </w:r>
      <w:r>
        <w:rPr>
          <w:rFonts w:hint="eastAsia" w:ascii="宋体" w:hAnsi="宋体" w:cs="宋体"/>
          <w:b/>
          <w:bCs/>
          <w:color w:val="000000" w:themeColor="text1"/>
          <w:sz w:val="24"/>
          <w:highlight w:val="none"/>
          <w:u w:val="single"/>
          <w14:textFill>
            <w14:solidFill>
              <w14:schemeClr w14:val="tx1"/>
            </w14:solidFill>
          </w14:textFill>
        </w:rPr>
        <w:t xml:space="preserve">          </w:t>
      </w:r>
      <w:r>
        <w:rPr>
          <w:rFonts w:hint="eastAsia" w:ascii="宋体" w:hAnsi="宋体" w:cs="宋体"/>
          <w:b/>
          <w:bCs/>
          <w:color w:val="000000" w:themeColor="text1"/>
          <w:sz w:val="24"/>
          <w:highlight w:val="none"/>
          <w14:textFill>
            <w14:solidFill>
              <w14:schemeClr w14:val="tx1"/>
            </w14:solidFill>
          </w14:textFill>
        </w:rPr>
        <w:t>。</w:t>
      </w:r>
    </w:p>
    <w:p w14:paraId="5E361EB7">
      <w:pPr>
        <w:spacing w:line="360" w:lineRule="auto"/>
        <w:ind w:firstLine="1928"/>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开户银行：</w:t>
      </w:r>
      <w:r>
        <w:rPr>
          <w:rFonts w:hint="eastAsia" w:ascii="宋体" w:hAnsi="宋体" w:cs="宋体"/>
          <w:b/>
          <w:bCs/>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7EF78BE6">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25" w:name="_Toc1543"/>
      <w:bookmarkStart w:id="326" w:name="_Toc1667"/>
      <w:r>
        <w:rPr>
          <w:rFonts w:hint="eastAsia" w:ascii="宋体" w:hAnsi="宋体" w:cs="宋体"/>
          <w:color w:val="000000" w:themeColor="text1"/>
          <w:sz w:val="24"/>
          <w:szCs w:val="24"/>
          <w:highlight w:val="none"/>
          <w14:textFill>
            <w14:solidFill>
              <w14:schemeClr w14:val="tx1"/>
            </w14:solidFill>
          </w14:textFill>
        </w:rPr>
        <w:t>6.3 环境保护</w:t>
      </w:r>
      <w:bookmarkEnd w:id="325"/>
      <w:bookmarkEnd w:id="326"/>
    </w:p>
    <w:p w14:paraId="7B9E31C8">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因施工需要，经发包人批准，由承包人办理有关施工场地交通、环卫和施工噪音管理等手续，费用由承包人负责。</w:t>
      </w:r>
    </w:p>
    <w:p w14:paraId="43EFAB62">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经过城市道路的施工车辆，必须按交警、城管、运输等部门相关规定执行。由于施工车辆造成的道路、环境等污染，其责任和费用均由承包人承担。</w:t>
      </w:r>
    </w:p>
    <w:p w14:paraId="025F2C67">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327" w:name="_Toc22886"/>
      <w:bookmarkStart w:id="328" w:name="_Toc8656"/>
      <w:r>
        <w:rPr>
          <w:rFonts w:hint="eastAsia" w:ascii="宋体" w:hAnsi="宋体" w:cs="宋体"/>
          <w:color w:val="000000" w:themeColor="text1"/>
          <w:sz w:val="24"/>
          <w:szCs w:val="24"/>
          <w:highlight w:val="none"/>
          <w14:textFill>
            <w14:solidFill>
              <w14:schemeClr w14:val="tx1"/>
            </w14:solidFill>
          </w14:textFill>
        </w:rPr>
        <w:t>7. 工期和进度</w:t>
      </w:r>
      <w:bookmarkEnd w:id="327"/>
      <w:bookmarkEnd w:id="328"/>
    </w:p>
    <w:p w14:paraId="660B4C85">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29" w:name="_Toc17003"/>
      <w:bookmarkStart w:id="330" w:name="_Toc28404"/>
      <w:r>
        <w:rPr>
          <w:rFonts w:hint="eastAsia" w:ascii="宋体" w:hAnsi="宋体" w:cs="宋体"/>
          <w:color w:val="000000" w:themeColor="text1"/>
          <w:sz w:val="24"/>
          <w:szCs w:val="24"/>
          <w:highlight w:val="none"/>
          <w14:textFill>
            <w14:solidFill>
              <w14:schemeClr w14:val="tx1"/>
            </w14:solidFill>
          </w14:textFill>
        </w:rPr>
        <w:t>7.1 施工组织设计</w:t>
      </w:r>
      <w:bookmarkEnd w:id="329"/>
      <w:bookmarkEnd w:id="330"/>
    </w:p>
    <w:p w14:paraId="3111AC7D">
      <w:pPr>
        <w:pStyle w:val="374"/>
        <w:spacing w:line="360" w:lineRule="auto"/>
        <w:ind w:firstLine="480"/>
        <w:jc w:val="left"/>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7.1.1 合同当事人约定的施工组织设计应包括的其他内容：</w:t>
      </w:r>
      <w:r>
        <w:rPr>
          <w:rFonts w:hint="eastAsia" w:ascii="宋体" w:hAnsi="宋体" w:cs="宋体"/>
          <w:color w:val="000000" w:themeColor="text1"/>
          <w:sz w:val="24"/>
          <w:szCs w:val="24"/>
          <w:highlight w:val="none"/>
          <w:u w:val="single"/>
          <w14:textFill>
            <w14:solidFill>
              <w14:schemeClr w14:val="tx1"/>
            </w14:solidFill>
          </w14:textFill>
        </w:rPr>
        <w:t xml:space="preserve">按《通用合同条款》7.1.1条执行 </w:t>
      </w:r>
      <w:r>
        <w:rPr>
          <w:rFonts w:hint="eastAsia" w:ascii="宋体" w:hAnsi="宋体" w:cs="宋体"/>
          <w:color w:val="000000" w:themeColor="text1"/>
          <w:sz w:val="24"/>
          <w:szCs w:val="24"/>
          <w:highlight w:val="none"/>
          <w14:textFill>
            <w14:solidFill>
              <w14:schemeClr w14:val="tx1"/>
            </w14:solidFill>
          </w14:textFill>
        </w:rPr>
        <w:t>。</w:t>
      </w:r>
    </w:p>
    <w:p w14:paraId="69AB16C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7.1.2 施工组织设计的提交和修改</w:t>
      </w:r>
    </w:p>
    <w:p w14:paraId="0D89D3D9">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承包人提交详细施工组织设计的期限的约定：</w:t>
      </w:r>
      <w:r>
        <w:rPr>
          <w:rFonts w:hint="eastAsia" w:ascii="宋体" w:hAnsi="宋体" w:cs="宋体"/>
          <w:color w:val="000000" w:themeColor="text1"/>
          <w:sz w:val="24"/>
          <w:highlight w:val="none"/>
          <w:u w:val="single"/>
          <w14:textFill>
            <w14:solidFill>
              <w14:schemeClr w14:val="tx1"/>
            </w14:solidFill>
          </w14:textFill>
        </w:rPr>
        <w:t xml:space="preserve">   承包人应在合同签订后3天内   </w:t>
      </w:r>
      <w:r>
        <w:rPr>
          <w:rFonts w:hint="eastAsia" w:ascii="宋体" w:hAnsi="宋体" w:cs="宋体"/>
          <w:color w:val="000000" w:themeColor="text1"/>
          <w:sz w:val="24"/>
          <w:highlight w:val="none"/>
          <w14:textFill>
            <w14:solidFill>
              <w14:schemeClr w14:val="tx1"/>
            </w14:solidFill>
          </w14:textFill>
        </w:rPr>
        <w:t>。</w:t>
      </w:r>
    </w:p>
    <w:p w14:paraId="5A74EA52">
      <w:pPr>
        <w:pStyle w:val="374"/>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发包人和监理人在收到详细的施工组织设计后确认或提出修改意见的期限：</w:t>
      </w:r>
      <w:r>
        <w:rPr>
          <w:rFonts w:hint="eastAsia" w:ascii="宋体" w:hAnsi="宋体" w:cs="宋体"/>
          <w:color w:val="000000" w:themeColor="text1"/>
          <w:sz w:val="24"/>
          <w:szCs w:val="24"/>
          <w:highlight w:val="none"/>
          <w:u w:val="single"/>
          <w14:textFill>
            <w14:solidFill>
              <w14:schemeClr w14:val="tx1"/>
            </w14:solidFill>
          </w14:textFill>
        </w:rPr>
        <w:t xml:space="preserve"> 收到施工组织设计后 2 天内确认或提出修改意见</w:t>
      </w:r>
      <w:r>
        <w:rPr>
          <w:rFonts w:hint="eastAsia" w:ascii="宋体" w:hAnsi="宋体" w:cs="宋体"/>
          <w:color w:val="000000" w:themeColor="text1"/>
          <w:sz w:val="24"/>
          <w:szCs w:val="24"/>
          <w:highlight w:val="none"/>
          <w14:textFill>
            <w14:solidFill>
              <w14:schemeClr w14:val="tx1"/>
            </w14:solidFill>
          </w14:textFill>
        </w:rPr>
        <w:t>。</w:t>
      </w:r>
    </w:p>
    <w:p w14:paraId="2589709C">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31" w:name="_Toc12089"/>
      <w:bookmarkStart w:id="332" w:name="_Toc20420"/>
      <w:r>
        <w:rPr>
          <w:rFonts w:hint="eastAsia" w:ascii="宋体" w:hAnsi="宋体" w:cs="宋体"/>
          <w:color w:val="000000" w:themeColor="text1"/>
          <w:sz w:val="24"/>
          <w:szCs w:val="24"/>
          <w:highlight w:val="none"/>
          <w14:textFill>
            <w14:solidFill>
              <w14:schemeClr w14:val="tx1"/>
            </w14:solidFill>
          </w14:textFill>
        </w:rPr>
        <w:t>7.2 施工进度计划</w:t>
      </w:r>
      <w:bookmarkEnd w:id="331"/>
      <w:bookmarkEnd w:id="332"/>
    </w:p>
    <w:p w14:paraId="584FE01F">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7.2.2 施工进度计划的修订</w:t>
      </w:r>
    </w:p>
    <w:p w14:paraId="0C778532">
      <w:pPr>
        <w:pStyle w:val="374"/>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发包人和监理人在收到修订的施工进度计划后确认或提出修改意见的期限：</w:t>
      </w:r>
      <w:r>
        <w:rPr>
          <w:rFonts w:hint="eastAsia" w:ascii="宋体" w:hAnsi="宋体" w:cs="宋体"/>
          <w:color w:val="000000" w:themeColor="text1"/>
          <w:sz w:val="24"/>
          <w:szCs w:val="24"/>
          <w:highlight w:val="none"/>
          <w:u w:val="single"/>
          <w14:textFill>
            <w14:solidFill>
              <w14:schemeClr w14:val="tx1"/>
            </w14:solidFill>
          </w14:textFill>
        </w:rPr>
        <w:t xml:space="preserve">到修订的施工进度计划后 2 天内确认或提出修改意见 </w:t>
      </w:r>
      <w:r>
        <w:rPr>
          <w:rFonts w:hint="eastAsia" w:ascii="宋体" w:hAnsi="宋体" w:cs="宋体"/>
          <w:color w:val="000000" w:themeColor="text1"/>
          <w:sz w:val="24"/>
          <w:szCs w:val="24"/>
          <w:highlight w:val="none"/>
          <w14:textFill>
            <w14:solidFill>
              <w14:schemeClr w14:val="tx1"/>
            </w14:solidFill>
          </w14:textFill>
        </w:rPr>
        <w:t>。</w:t>
      </w:r>
    </w:p>
    <w:p w14:paraId="41CBEE57">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33" w:name="_Toc17961"/>
      <w:bookmarkStart w:id="334" w:name="_Toc7120"/>
      <w:r>
        <w:rPr>
          <w:rFonts w:hint="eastAsia" w:ascii="宋体" w:hAnsi="宋体" w:cs="宋体"/>
          <w:color w:val="000000" w:themeColor="text1"/>
          <w:sz w:val="24"/>
          <w:szCs w:val="24"/>
          <w:highlight w:val="none"/>
          <w14:textFill>
            <w14:solidFill>
              <w14:schemeClr w14:val="tx1"/>
            </w14:solidFill>
          </w14:textFill>
        </w:rPr>
        <w:t>7.3 开工</w:t>
      </w:r>
      <w:bookmarkEnd w:id="333"/>
      <w:bookmarkEnd w:id="334"/>
    </w:p>
    <w:p w14:paraId="635EA352">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7.3.1 开工准备</w:t>
      </w:r>
    </w:p>
    <w:p w14:paraId="77913C9F">
      <w:pPr>
        <w:spacing w:line="360" w:lineRule="auto"/>
        <w:ind w:firstLine="426"/>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关于承包人提交工程开工报审表的期限：</w:t>
      </w:r>
      <w:r>
        <w:rPr>
          <w:rFonts w:hint="eastAsia" w:ascii="宋体" w:hAnsi="宋体" w:cs="宋体"/>
          <w:color w:val="000000" w:themeColor="text1"/>
          <w:sz w:val="24"/>
          <w:highlight w:val="none"/>
          <w:u w:val="single"/>
          <w14:textFill>
            <w14:solidFill>
              <w14:schemeClr w14:val="tx1"/>
            </w14:solidFill>
          </w14:textFill>
        </w:rPr>
        <w:t xml:space="preserve">   开工日期前 7 天    </w:t>
      </w:r>
      <w:r>
        <w:rPr>
          <w:rFonts w:hint="eastAsia" w:ascii="宋体" w:hAnsi="宋体" w:cs="宋体"/>
          <w:color w:val="000000" w:themeColor="text1"/>
          <w:sz w:val="24"/>
          <w:highlight w:val="none"/>
          <w14:textFill>
            <w14:solidFill>
              <w14:schemeClr w14:val="tx1"/>
            </w14:solidFill>
          </w14:textFill>
        </w:rPr>
        <w:t>。</w:t>
      </w:r>
    </w:p>
    <w:p w14:paraId="7E08A12B">
      <w:pPr>
        <w:spacing w:line="360" w:lineRule="auto"/>
        <w:ind w:firstLine="426"/>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关于发包人应完成的其他开工准备工作及期限：</w:t>
      </w:r>
      <w:r>
        <w:rPr>
          <w:rFonts w:hint="eastAsia" w:ascii="宋体" w:hAnsi="宋体" w:cs="宋体"/>
          <w:color w:val="000000" w:themeColor="text1"/>
          <w:sz w:val="24"/>
          <w:highlight w:val="none"/>
          <w:u w:val="single"/>
          <w14:textFill>
            <w14:solidFill>
              <w14:schemeClr w14:val="tx1"/>
            </w14:solidFill>
          </w14:textFill>
        </w:rPr>
        <w:t xml:space="preserve">  按《通用合同条款》执行</w:t>
      </w:r>
      <w:r>
        <w:rPr>
          <w:rFonts w:hint="eastAsia" w:ascii="宋体" w:hAnsi="宋体" w:cs="宋体"/>
          <w:color w:val="000000" w:themeColor="text1"/>
          <w:sz w:val="24"/>
          <w:highlight w:val="none"/>
          <w14:textFill>
            <w14:solidFill>
              <w14:schemeClr w14:val="tx1"/>
            </w14:solidFill>
          </w14:textFill>
        </w:rPr>
        <w:t>。</w:t>
      </w:r>
    </w:p>
    <w:p w14:paraId="6FD2D94E">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关于承包人应完成的其他开工准备工作及期限：</w:t>
      </w:r>
      <w:r>
        <w:rPr>
          <w:rFonts w:hint="eastAsia" w:ascii="宋体" w:hAnsi="宋体" w:cs="宋体"/>
          <w:color w:val="000000" w:themeColor="text1"/>
          <w:sz w:val="24"/>
          <w:highlight w:val="none"/>
          <w:u w:val="single"/>
          <w14:textFill>
            <w14:solidFill>
              <w14:schemeClr w14:val="tx1"/>
            </w14:solidFill>
          </w14:textFill>
        </w:rPr>
        <w:t xml:space="preserve">   开工日期前 7 天 </w:t>
      </w:r>
      <w:r>
        <w:rPr>
          <w:rFonts w:hint="eastAsia" w:ascii="宋体" w:hAnsi="宋体" w:cs="宋体"/>
          <w:color w:val="000000" w:themeColor="text1"/>
          <w:sz w:val="24"/>
          <w:highlight w:val="none"/>
          <w14:textFill>
            <w14:solidFill>
              <w14:schemeClr w14:val="tx1"/>
            </w14:solidFill>
          </w14:textFill>
        </w:rPr>
        <w:t>。</w:t>
      </w:r>
    </w:p>
    <w:p w14:paraId="45141A63">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7.3.2 开工通知</w:t>
      </w:r>
    </w:p>
    <w:p w14:paraId="28C5CE6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因发包人原因造成监理人未能在计划开工日期之日起</w:t>
      </w:r>
      <w:r>
        <w:rPr>
          <w:rFonts w:hint="eastAsia" w:ascii="宋体" w:hAnsi="宋体" w:cs="宋体"/>
          <w:color w:val="000000" w:themeColor="text1"/>
          <w:sz w:val="24"/>
          <w:highlight w:val="none"/>
          <w:u w:val="single"/>
          <w14:textFill>
            <w14:solidFill>
              <w14:schemeClr w14:val="tx1"/>
            </w14:solidFill>
          </w14:textFill>
        </w:rPr>
        <w:t xml:space="preserve">   90  </w:t>
      </w:r>
      <w:r>
        <w:rPr>
          <w:rFonts w:hint="eastAsia" w:ascii="宋体" w:hAnsi="宋体" w:cs="宋体"/>
          <w:color w:val="000000" w:themeColor="text1"/>
          <w:sz w:val="24"/>
          <w:highlight w:val="none"/>
          <w14:textFill>
            <w14:solidFill>
              <w14:schemeClr w14:val="tx1"/>
            </w14:solidFill>
          </w14:textFill>
        </w:rPr>
        <w:t>天内发出开工通知的，承包人有权提出价格调整要求，或者解除合同。</w:t>
      </w:r>
    </w:p>
    <w:p w14:paraId="76EDE8D1">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35" w:name="_Toc32074"/>
      <w:bookmarkStart w:id="336" w:name="_Toc983"/>
      <w:r>
        <w:rPr>
          <w:rFonts w:hint="eastAsia" w:ascii="宋体" w:hAnsi="宋体" w:cs="宋体"/>
          <w:color w:val="000000" w:themeColor="text1"/>
          <w:sz w:val="24"/>
          <w:szCs w:val="24"/>
          <w:highlight w:val="none"/>
          <w14:textFill>
            <w14:solidFill>
              <w14:schemeClr w14:val="tx1"/>
            </w14:solidFill>
          </w14:textFill>
        </w:rPr>
        <w:t>7.4 测量放线</w:t>
      </w:r>
      <w:bookmarkEnd w:id="335"/>
      <w:bookmarkEnd w:id="336"/>
    </w:p>
    <w:p w14:paraId="38C20F3E">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7.4.1发包人通过监理人向承包人提供测量基准点、基准线和水准点及其书面资料的期限：</w:t>
      </w:r>
      <w:r>
        <w:rPr>
          <w:rFonts w:hint="eastAsia" w:ascii="宋体" w:hAnsi="宋体" w:cs="宋体"/>
          <w:color w:val="000000" w:themeColor="text1"/>
          <w:sz w:val="24"/>
          <w:highlight w:val="none"/>
          <w:u w:val="single"/>
          <w14:textFill>
            <w14:solidFill>
              <w14:schemeClr w14:val="tx1"/>
            </w14:solidFill>
          </w14:textFill>
        </w:rPr>
        <w:t xml:space="preserve">        开工前7天        </w:t>
      </w:r>
      <w:r>
        <w:rPr>
          <w:rFonts w:hint="eastAsia" w:ascii="宋体" w:hAnsi="宋体" w:cs="宋体"/>
          <w:color w:val="000000" w:themeColor="text1"/>
          <w:sz w:val="24"/>
          <w:highlight w:val="none"/>
          <w14:textFill>
            <w14:solidFill>
              <w14:schemeClr w14:val="tx1"/>
            </w14:solidFill>
          </w14:textFill>
        </w:rPr>
        <w:t>。</w:t>
      </w:r>
    </w:p>
    <w:p w14:paraId="4CB4467C">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37" w:name="_Toc5323"/>
      <w:bookmarkStart w:id="338" w:name="_Toc13226"/>
      <w:r>
        <w:rPr>
          <w:rFonts w:hint="eastAsia" w:ascii="宋体" w:hAnsi="宋体" w:cs="宋体"/>
          <w:color w:val="000000" w:themeColor="text1"/>
          <w:sz w:val="24"/>
          <w:szCs w:val="24"/>
          <w:highlight w:val="none"/>
          <w14:textFill>
            <w14:solidFill>
              <w14:schemeClr w14:val="tx1"/>
            </w14:solidFill>
          </w14:textFill>
        </w:rPr>
        <w:t>7.5 工期延误</w:t>
      </w:r>
      <w:bookmarkEnd w:id="337"/>
      <w:bookmarkEnd w:id="338"/>
    </w:p>
    <w:p w14:paraId="5F4A32C3">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7.5.1 因发包人原因导致工期延误</w:t>
      </w:r>
    </w:p>
    <w:p w14:paraId="11D93D03">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（7）因发包人原因导致工期延误的其他情形：</w:t>
      </w:r>
      <w:r>
        <w:rPr>
          <w:rFonts w:hint="eastAsia" w:ascii="宋体" w:hAnsi="宋体" w:cs="宋体"/>
          <w:color w:val="000000" w:themeColor="text1"/>
          <w:sz w:val="24"/>
          <w:highlight w:val="none"/>
          <w:u w:val="single"/>
          <w14:textFill>
            <w14:solidFill>
              <w14:schemeClr w14:val="tx1"/>
            </w14:solidFill>
          </w14:textFill>
        </w:rPr>
        <w:t>①重大图纸变更影响</w:t>
      </w:r>
      <w:r>
        <w:rPr>
          <w:rFonts w:hint="eastAsia" w:ascii="宋体" w:hAnsi="宋体" w:cs="宋体"/>
          <w:color w:val="000000" w:themeColor="text1"/>
          <w:sz w:val="24"/>
          <w:highlight w:val="none"/>
          <w:u w:val="single"/>
          <w:lang w:eastAsia="zh-CN"/>
          <w14:textFill>
            <w14:solidFill>
              <w14:schemeClr w14:val="tx1"/>
            </w14:solidFill>
          </w14:textFill>
        </w:rPr>
        <w:t>关键</w:t>
      </w:r>
      <w:r>
        <w:rPr>
          <w:rFonts w:hint="eastAsia" w:ascii="宋体" w:hAnsi="宋体" w:cs="宋体"/>
          <w:color w:val="000000" w:themeColor="text1"/>
          <w:sz w:val="24"/>
          <w:highlight w:val="none"/>
          <w:u w:val="single"/>
          <w14:textFill>
            <w14:solidFill>
              <w14:schemeClr w14:val="tx1"/>
            </w14:solidFill>
          </w14:textFill>
        </w:rPr>
        <w:t>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cs="宋体"/>
          <w:color w:val="000000" w:themeColor="text1"/>
          <w:sz w:val="24"/>
          <w:highlight w:val="none"/>
          <w14:textFill>
            <w14:solidFill>
              <w14:schemeClr w14:val="tx1"/>
            </w14:solidFill>
          </w14:textFill>
        </w:rPr>
        <w:t xml:space="preserve"> 。</w:t>
      </w:r>
    </w:p>
    <w:p w14:paraId="478A67F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7.5.2 因承包人原因导致工期延误</w:t>
      </w:r>
    </w:p>
    <w:p w14:paraId="614971F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因承包人原因造成工期延误，逾期竣工违约金的计算方法为：</w:t>
      </w:r>
      <w:r>
        <w:rPr>
          <w:rFonts w:hint="eastAsia" w:ascii="宋体" w:hAnsi="宋体" w:cs="宋体"/>
          <w:color w:val="000000" w:themeColor="text1"/>
          <w:sz w:val="24"/>
          <w:highlight w:val="none"/>
          <w:u w:val="single"/>
          <w14:textFill>
            <w14:solidFill>
              <w14:schemeClr w14:val="tx1"/>
            </w14:solidFill>
          </w14:textFill>
        </w:rPr>
        <w:t>按逾期竣工的单项工程罚款，每延误一天,按单项工程应支付给承包人的结算造价的万分之一处罚,罚款直接从结算款中扣除。误期时间从规定竣工日期起直到实际竣工日期的天数（扣除发包人批准顺延的工期）。</w:t>
      </w:r>
      <w:r>
        <w:rPr>
          <w:rFonts w:hint="eastAsia" w:ascii="宋体" w:hAnsi="宋体" w:cs="宋体"/>
          <w:color w:val="000000" w:themeColor="text1"/>
          <w:sz w:val="24"/>
          <w:highlight w:val="none"/>
          <w14:textFill>
            <w14:solidFill>
              <w14:schemeClr w14:val="tx1"/>
            </w14:solidFill>
          </w14:textFill>
        </w:rPr>
        <w:t>因承包人原因造成工期延误，逾期竣工违约金的上限：</w:t>
      </w:r>
      <w:r>
        <w:rPr>
          <w:rFonts w:hint="eastAsia" w:ascii="宋体" w:hAnsi="宋体" w:cs="宋体"/>
          <w:color w:val="000000" w:themeColor="text1"/>
          <w:sz w:val="24"/>
          <w:highlight w:val="none"/>
          <w:u w:val="single"/>
          <w14:textFill>
            <w14:solidFill>
              <w14:schemeClr w14:val="tx1"/>
            </w14:solidFill>
          </w14:textFill>
        </w:rPr>
        <w:t>合同价的1%</w:t>
      </w:r>
      <w:r>
        <w:rPr>
          <w:rFonts w:hint="eastAsia" w:ascii="宋体" w:hAnsi="宋体" w:cs="宋体"/>
          <w:color w:val="000000" w:themeColor="text1"/>
          <w:sz w:val="24"/>
          <w:highlight w:val="none"/>
          <w14:textFill>
            <w14:solidFill>
              <w14:schemeClr w14:val="tx1"/>
            </w14:solidFill>
          </w14:textFill>
        </w:rPr>
        <w:t>。</w:t>
      </w:r>
    </w:p>
    <w:p w14:paraId="1BB45BA5">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7.5.3因其他原因导致的工期延误</w:t>
      </w:r>
    </w:p>
    <w:p w14:paraId="69FC34F3">
      <w:pPr>
        <w:pStyle w:val="389"/>
        <w:spacing w:before="0" w:after="0" w:line="360" w:lineRule="auto"/>
        <w:ind w:firstLine="480"/>
        <w:jc w:val="both"/>
        <w:rPr>
          <w:rFonts w:hint="eastAsia"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由于以下原因之一在施工关键节点线路上及控制工期推迟的延误，工期顺延：</w:t>
      </w:r>
    </w:p>
    <w:p w14:paraId="36025FF5">
      <w:pPr>
        <w:pStyle w:val="370"/>
        <w:spacing w:line="360" w:lineRule="auto"/>
        <w:ind w:firstLine="480"/>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（1）因政府指令性要求停工的（国家法定节假日、“三月三”、中考、高考及“两会一节”等能合理</w:t>
      </w:r>
      <w:r>
        <w:rPr>
          <w:rFonts w:hint="eastAsia" w:ascii="宋体" w:hAnsi="宋体" w:cs="宋体"/>
          <w:color w:val="000000" w:themeColor="text1"/>
          <w:sz w:val="24"/>
          <w:szCs w:val="24"/>
          <w:highlight w:val="none"/>
          <w:u w:val="single"/>
          <w:lang w:eastAsia="zh-CN"/>
          <w14:textFill>
            <w14:solidFill>
              <w14:schemeClr w14:val="tx1"/>
            </w14:solidFill>
          </w14:textFill>
        </w:rPr>
        <w:t>预见</w:t>
      </w:r>
      <w:r>
        <w:rPr>
          <w:rFonts w:hint="eastAsia" w:ascii="宋体" w:hAnsi="宋体" w:cs="宋体"/>
          <w:color w:val="000000" w:themeColor="text1"/>
          <w:sz w:val="24"/>
          <w:szCs w:val="24"/>
          <w:highlight w:val="none"/>
          <w:u w:val="single"/>
          <w14:textFill>
            <w14:solidFill>
              <w14:schemeClr w14:val="tx1"/>
            </w14:solidFill>
          </w14:textFill>
        </w:rPr>
        <w:t>的情形除外）。</w:t>
      </w:r>
    </w:p>
    <w:p w14:paraId="12FB1F33">
      <w:pPr>
        <w:pStyle w:val="370"/>
        <w:spacing w:line="360" w:lineRule="auto"/>
        <w:ind w:firstLine="480"/>
        <w:jc w:val="left"/>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（2）非承包人的责任造成的工期延误或承包人提供证据证明的可顺延工期且经发包人同意的其他情况。</w:t>
      </w:r>
    </w:p>
    <w:p w14:paraId="75998760">
      <w:pPr>
        <w:pStyle w:val="370"/>
        <w:spacing w:line="360" w:lineRule="auto"/>
        <w:ind w:firstLine="48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7.5.4 工期延误签证程序</w:t>
      </w:r>
    </w:p>
    <w:p w14:paraId="69766D76">
      <w:pPr>
        <w:pStyle w:val="370"/>
        <w:spacing w:line="360" w:lineRule="auto"/>
        <w:ind w:firstLine="48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承包人在关键节点延误事件发生之日起2天内，应就工期以书面形式向发包人提出意向，并在此延误事件结束之日起5天内提出报告。发包人在收到报告之日起14天内予以确认或答复，</w:t>
      </w:r>
      <w:r>
        <w:rPr>
          <w:rFonts w:hint="eastAsia" w:ascii="宋体" w:hAnsi="宋体" w:cs="宋体"/>
          <w:color w:val="000000" w:themeColor="text1"/>
          <w:sz w:val="24"/>
          <w:szCs w:val="24"/>
          <w:highlight w:val="none"/>
          <w:u w:val="single"/>
          <w14:textFill>
            <w14:solidFill>
              <w14:schemeClr w14:val="tx1"/>
            </w14:solidFill>
          </w14:textFill>
        </w:rPr>
        <w:t>逾期不批复确认也不提出书面意见的，视为同意。</w:t>
      </w:r>
      <w:r>
        <w:rPr>
          <w:rFonts w:hint="eastAsia" w:ascii="宋体" w:hAnsi="宋体" w:cs="宋体"/>
          <w:color w:val="000000" w:themeColor="text1"/>
          <w:sz w:val="24"/>
          <w:szCs w:val="24"/>
          <w:highlight w:val="none"/>
          <w14:textFill>
            <w14:solidFill>
              <w14:schemeClr w14:val="tx1"/>
            </w14:solidFill>
          </w14:textFill>
        </w:rPr>
        <w:t>如承包人未在上述时间内提出申请，视为工期不受影响。</w:t>
      </w:r>
    </w:p>
    <w:p w14:paraId="4B51AED7">
      <w:pPr>
        <w:pStyle w:val="370"/>
        <w:spacing w:line="360" w:lineRule="auto"/>
        <w:ind w:firstLine="48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双方约定本工程属下列情况者，工期不予顺延：</w:t>
      </w:r>
    </w:p>
    <w:p w14:paraId="5E37A618">
      <w:pPr>
        <w:pStyle w:val="370"/>
        <w:spacing w:line="360" w:lineRule="auto"/>
        <w:ind w:firstLine="480"/>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（1） 因承包人违反规范或任何工程质量不合格而进行返工、重建、修建的施工工期或以伪劣材料充抵合同规定的品牌、型号、质量等级、或没有按投标时报送样品进行采购供货或不按本合同规定的人员进行配置时，经发包人代表或监理工程师下达停工令的停工日期的；</w:t>
      </w:r>
    </w:p>
    <w:p w14:paraId="35DDEF56">
      <w:pPr>
        <w:pStyle w:val="370"/>
        <w:spacing w:line="360" w:lineRule="auto"/>
        <w:ind w:firstLine="480"/>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（2）承包人未按设计要求进行施工、或因施工组织方案不可行导致发包人未能按时审批影响开工的；</w:t>
      </w:r>
    </w:p>
    <w:p w14:paraId="69D95E05">
      <w:pPr>
        <w:pStyle w:val="370"/>
        <w:spacing w:line="360" w:lineRule="auto"/>
        <w:ind w:firstLine="480"/>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 xml:space="preserve">（3）工程实施期间或完工后接受有关部门检查发现存在质量问题、或技术问题需作整改的； </w:t>
      </w:r>
    </w:p>
    <w:p w14:paraId="754AC74D">
      <w:pPr>
        <w:pStyle w:val="370"/>
        <w:spacing w:line="360" w:lineRule="auto"/>
        <w:ind w:firstLine="480"/>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（4）承包人自身原因的待工待料的；</w:t>
      </w:r>
    </w:p>
    <w:p w14:paraId="1B08D97E">
      <w:pPr>
        <w:pStyle w:val="370"/>
        <w:spacing w:line="360" w:lineRule="auto"/>
        <w:ind w:firstLine="48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（5）工程质量未达到等级标准要求，发包人要求承包人返工的。</w:t>
      </w:r>
    </w:p>
    <w:p w14:paraId="52FFB487">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39" w:name="_Toc18252"/>
      <w:bookmarkStart w:id="340" w:name="_Toc17775"/>
      <w:r>
        <w:rPr>
          <w:rFonts w:hint="eastAsia" w:ascii="宋体" w:hAnsi="宋体" w:cs="宋体"/>
          <w:color w:val="000000" w:themeColor="text1"/>
          <w:sz w:val="24"/>
          <w:szCs w:val="24"/>
          <w:highlight w:val="none"/>
          <w14:textFill>
            <w14:solidFill>
              <w14:schemeClr w14:val="tx1"/>
            </w14:solidFill>
          </w14:textFill>
        </w:rPr>
        <w:t>7.6 不利物质条件</w:t>
      </w:r>
      <w:bookmarkEnd w:id="339"/>
      <w:bookmarkEnd w:id="340"/>
    </w:p>
    <w:p w14:paraId="4E42A4C8">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不利物质条件的其他情形和有关约定：</w:t>
      </w:r>
      <w:r>
        <w:rPr>
          <w:rFonts w:hint="eastAsia" w:ascii="宋体" w:hAnsi="宋体" w:cs="宋体"/>
          <w:color w:val="000000" w:themeColor="text1"/>
          <w:sz w:val="24"/>
          <w:highlight w:val="none"/>
          <w:u w:val="single"/>
          <w14:textFill>
            <w14:solidFill>
              <w14:schemeClr w14:val="tx1"/>
            </w14:solidFill>
          </w14:textFill>
        </w:rPr>
        <w:t xml:space="preserve">  按《通用合同条款》7.6 条执行    </w:t>
      </w:r>
      <w:r>
        <w:rPr>
          <w:rFonts w:hint="eastAsia" w:ascii="宋体" w:hAnsi="宋体" w:cs="宋体"/>
          <w:color w:val="000000" w:themeColor="text1"/>
          <w:sz w:val="24"/>
          <w:highlight w:val="none"/>
          <w14:textFill>
            <w14:solidFill>
              <w14:schemeClr w14:val="tx1"/>
            </w14:solidFill>
          </w14:textFill>
        </w:rPr>
        <w:t>。</w:t>
      </w:r>
    </w:p>
    <w:p w14:paraId="3C517146">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41" w:name="_Toc3392"/>
      <w:bookmarkStart w:id="342" w:name="_Toc18944"/>
      <w:r>
        <w:rPr>
          <w:rFonts w:hint="eastAsia" w:ascii="宋体" w:hAnsi="宋体" w:cs="宋体"/>
          <w:color w:val="000000" w:themeColor="text1"/>
          <w:sz w:val="24"/>
          <w:szCs w:val="24"/>
          <w:highlight w:val="none"/>
          <w14:textFill>
            <w14:solidFill>
              <w14:schemeClr w14:val="tx1"/>
            </w14:solidFill>
          </w14:textFill>
        </w:rPr>
        <w:t>7.7 异常恶劣的气候条件</w:t>
      </w:r>
      <w:bookmarkEnd w:id="341"/>
      <w:bookmarkEnd w:id="342"/>
    </w:p>
    <w:p w14:paraId="531B96D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发包人和承包人同意以下情形视为异常恶劣的气候条件：</w:t>
      </w:r>
    </w:p>
    <w:p w14:paraId="0D91CFEB">
      <w:pPr>
        <w:pStyle w:val="374"/>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u w:val="single"/>
          <w14:textFill>
            <w14:solidFill>
              <w14:schemeClr w14:val="tx1"/>
            </w14:solidFill>
          </w14:textFill>
        </w:rPr>
        <w:t xml:space="preserve">  5 年一遇强度的降水   </w:t>
      </w:r>
      <w:r>
        <w:rPr>
          <w:rFonts w:hint="eastAsia" w:ascii="宋体" w:hAnsi="宋体" w:cs="宋体"/>
          <w:color w:val="000000" w:themeColor="text1"/>
          <w:sz w:val="24"/>
          <w:szCs w:val="24"/>
          <w:highlight w:val="none"/>
          <w14:textFill>
            <w14:solidFill>
              <w14:schemeClr w14:val="tx1"/>
            </w14:solidFill>
          </w14:textFill>
        </w:rPr>
        <w:t>；</w:t>
      </w:r>
    </w:p>
    <w:p w14:paraId="67022E98">
      <w:pPr>
        <w:pStyle w:val="374"/>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u w:val="single"/>
          <w14:textFill>
            <w14:solidFill>
              <w14:schemeClr w14:val="tx1"/>
            </w14:solidFill>
          </w14:textFill>
        </w:rPr>
        <w:t xml:space="preserve">    6 级以上大风     </w:t>
      </w:r>
      <w:r>
        <w:rPr>
          <w:rFonts w:hint="eastAsia" w:ascii="宋体" w:hAnsi="宋体" w:cs="宋体"/>
          <w:color w:val="000000" w:themeColor="text1"/>
          <w:sz w:val="24"/>
          <w:szCs w:val="24"/>
          <w:highlight w:val="none"/>
          <w14:textFill>
            <w14:solidFill>
              <w14:schemeClr w14:val="tx1"/>
            </w14:solidFill>
          </w14:textFill>
        </w:rPr>
        <w:t>；</w:t>
      </w:r>
    </w:p>
    <w:p w14:paraId="780F4866">
      <w:pPr>
        <w:pStyle w:val="374"/>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u w:val="single"/>
          <w14:textFill>
            <w14:solidFill>
              <w14:schemeClr w14:val="tx1"/>
            </w14:solidFill>
          </w14:textFill>
        </w:rPr>
        <w:t xml:space="preserve">   室内气温 40℃及以上</w:t>
      </w:r>
      <w:r>
        <w:rPr>
          <w:rFonts w:hint="eastAsia" w:ascii="宋体" w:hAnsi="宋体" w:cs="宋体"/>
          <w:color w:val="000000" w:themeColor="text1"/>
          <w:sz w:val="24"/>
          <w:szCs w:val="24"/>
          <w:highlight w:val="none"/>
          <w14:textFill>
            <w14:solidFill>
              <w14:schemeClr w14:val="tx1"/>
            </w14:solidFill>
          </w14:textFill>
        </w:rPr>
        <w:t>。</w:t>
      </w:r>
    </w:p>
    <w:p w14:paraId="50075FF7">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43" w:name="_Toc21576"/>
      <w:bookmarkStart w:id="344" w:name="_Toc11011"/>
      <w:r>
        <w:rPr>
          <w:rFonts w:hint="eastAsia" w:ascii="宋体" w:hAnsi="宋体" w:cs="宋体"/>
          <w:color w:val="000000" w:themeColor="text1"/>
          <w:sz w:val="24"/>
          <w:szCs w:val="24"/>
          <w:highlight w:val="none"/>
          <w14:textFill>
            <w14:solidFill>
              <w14:schemeClr w14:val="tx1"/>
            </w14:solidFill>
          </w14:textFill>
        </w:rPr>
        <w:t>7.9 提前竣工</w:t>
      </w:r>
      <w:bookmarkEnd w:id="343"/>
      <w:bookmarkEnd w:id="344"/>
    </w:p>
    <w:p w14:paraId="58701A57">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7.9.2提前竣工（赶工）增加费的计算方法：</w:t>
      </w:r>
      <w:r>
        <w:rPr>
          <w:rFonts w:hint="eastAsia" w:ascii="宋体" w:hAnsi="宋体" w:cs="宋体"/>
          <w:color w:val="000000" w:themeColor="text1"/>
          <w:sz w:val="24"/>
          <w:highlight w:val="none"/>
          <w:u w:val="single"/>
          <w14:textFill>
            <w14:solidFill>
              <w14:schemeClr w14:val="tx1"/>
            </w14:solidFill>
          </w14:textFill>
        </w:rPr>
        <w:t xml:space="preserve">       无          </w:t>
      </w:r>
      <w:r>
        <w:rPr>
          <w:rFonts w:hint="eastAsia" w:ascii="宋体" w:hAnsi="宋体" w:cs="宋体"/>
          <w:color w:val="000000" w:themeColor="text1"/>
          <w:sz w:val="24"/>
          <w:highlight w:val="none"/>
          <w14:textFill>
            <w14:solidFill>
              <w14:schemeClr w14:val="tx1"/>
            </w14:solidFill>
          </w14:textFill>
        </w:rPr>
        <w:t>。</w:t>
      </w:r>
    </w:p>
    <w:p w14:paraId="548FCEF6">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345" w:name="_Toc23729"/>
      <w:bookmarkStart w:id="346" w:name="_Toc10951"/>
      <w:r>
        <w:rPr>
          <w:rFonts w:hint="eastAsia" w:ascii="宋体" w:hAnsi="宋体" w:cs="宋体"/>
          <w:color w:val="000000" w:themeColor="text1"/>
          <w:sz w:val="24"/>
          <w:szCs w:val="24"/>
          <w:highlight w:val="none"/>
          <w14:textFill>
            <w14:solidFill>
              <w14:schemeClr w14:val="tx1"/>
            </w14:solidFill>
          </w14:textFill>
        </w:rPr>
        <w:t>8. 材料与设备</w:t>
      </w:r>
      <w:bookmarkEnd w:id="345"/>
      <w:bookmarkEnd w:id="346"/>
    </w:p>
    <w:p w14:paraId="74D13F3C">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47" w:name="_Toc29282"/>
      <w:bookmarkStart w:id="348" w:name="_Toc13893"/>
      <w:r>
        <w:rPr>
          <w:rFonts w:hint="eastAsia" w:ascii="宋体" w:hAnsi="宋体" w:cs="宋体"/>
          <w:color w:val="000000" w:themeColor="text1"/>
          <w:sz w:val="24"/>
          <w:szCs w:val="24"/>
          <w:highlight w:val="none"/>
          <w14:textFill>
            <w14:solidFill>
              <w14:schemeClr w14:val="tx1"/>
            </w14:solidFill>
          </w14:textFill>
        </w:rPr>
        <w:t>8.2 承包人采购材料与工程设备</w:t>
      </w:r>
      <w:bookmarkEnd w:id="347"/>
      <w:bookmarkEnd w:id="348"/>
    </w:p>
    <w:p w14:paraId="2046FD3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除已标价工程量清单《发包人提供主要材料和工程设备一览表》（表-21）中明确的材料、工程设备外，由承包人负责材料和工程设备的采购、运输和保管。</w:t>
      </w:r>
    </w:p>
    <w:p w14:paraId="6D05351E">
      <w:pPr>
        <w:pStyle w:val="372"/>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承包人负责采购材料、工程设备的，应按照设计和有关标准要求采购，并提供产品合格证明及出厂证明，对材料、工程设备质量负责。</w:t>
      </w:r>
    </w:p>
    <w:p w14:paraId="47EE1433">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建筑、装修及安装的材料，承包人应选择相当于或优于工程量清单描述品牌。如实际采购与其不符，承包人收集有关材料上报，报发包人项目管理部及监理工程师确定后方可采购。严禁承包人采购小型钢厂且不符合冶金类行业标准的钢筋。在施工前，承包人须将材料样板送监理单位及发包人确认封板后方可使用。施工期间该部分材料或设备如未超过招标约定的风险幅度的，结算时按投标单价支付，不得调整。</w:t>
      </w:r>
    </w:p>
    <w:p w14:paraId="2B70F6F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00893FDF">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禁止使用松木、松木包装材料设备、种子、苗木、花卉及繁殖材料。</w:t>
      </w:r>
    </w:p>
    <w:p w14:paraId="7F1502E6">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49" w:name="_Toc29084"/>
      <w:bookmarkStart w:id="350" w:name="_Toc30332"/>
      <w:r>
        <w:rPr>
          <w:rFonts w:hint="eastAsia" w:ascii="宋体" w:hAnsi="宋体" w:cs="宋体"/>
          <w:color w:val="000000" w:themeColor="text1"/>
          <w:sz w:val="24"/>
          <w:szCs w:val="24"/>
          <w:highlight w:val="none"/>
          <w14:textFill>
            <w14:solidFill>
              <w14:schemeClr w14:val="tx1"/>
            </w14:solidFill>
          </w14:textFill>
        </w:rPr>
        <w:t>8.4 材料与工程设备的保管与使用</w:t>
      </w:r>
      <w:bookmarkEnd w:id="349"/>
      <w:bookmarkEnd w:id="350"/>
    </w:p>
    <w:p w14:paraId="6F5B51E7">
      <w:pPr>
        <w:pStyle w:val="374"/>
        <w:spacing w:line="360" w:lineRule="auto"/>
        <w:ind w:firstLine="480"/>
        <w:jc w:val="left"/>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8.4.1发包人供应的材料设备的保管费用的承担：</w:t>
      </w:r>
      <w:r>
        <w:rPr>
          <w:rFonts w:hint="eastAsia" w:ascii="宋体" w:hAnsi="宋体" w:cs="宋体"/>
          <w:color w:val="000000" w:themeColor="text1"/>
          <w:sz w:val="24"/>
          <w:szCs w:val="24"/>
          <w:highlight w:val="none"/>
          <w:u w:val="single"/>
          <w14:textFill>
            <w14:solidFill>
              <w14:schemeClr w14:val="tx1"/>
            </w14:solidFill>
          </w14:textFill>
        </w:rPr>
        <w:t xml:space="preserve">由承包人在投标报价中考虑并承担相应费用  </w:t>
      </w:r>
      <w:r>
        <w:rPr>
          <w:rFonts w:hint="eastAsia" w:ascii="宋体" w:hAnsi="宋体" w:cs="宋体"/>
          <w:color w:val="000000" w:themeColor="text1"/>
          <w:sz w:val="24"/>
          <w:szCs w:val="24"/>
          <w:highlight w:val="none"/>
          <w14:textFill>
            <w14:solidFill>
              <w14:schemeClr w14:val="tx1"/>
            </w14:solidFill>
          </w14:textFill>
        </w:rPr>
        <w:t>。</w:t>
      </w:r>
    </w:p>
    <w:p w14:paraId="62D64B59">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51" w:name="_Toc25816"/>
      <w:bookmarkStart w:id="352" w:name="_Toc27537"/>
      <w:r>
        <w:rPr>
          <w:rFonts w:hint="eastAsia" w:ascii="宋体" w:hAnsi="宋体" w:cs="宋体"/>
          <w:color w:val="000000" w:themeColor="text1"/>
          <w:sz w:val="24"/>
          <w:szCs w:val="24"/>
          <w:highlight w:val="none"/>
          <w14:textFill>
            <w14:solidFill>
              <w14:schemeClr w14:val="tx1"/>
            </w14:solidFill>
          </w14:textFill>
        </w:rPr>
        <w:t>8.6 样品</w:t>
      </w:r>
      <w:bookmarkEnd w:id="351"/>
      <w:bookmarkEnd w:id="352"/>
    </w:p>
    <w:p w14:paraId="40EC7B92">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8.6.1 样品的报送与封存</w:t>
      </w:r>
    </w:p>
    <w:p w14:paraId="2288F59C">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需要承包人报送样品的材料或工程设备，样品的种类、名称、规格、数量要求：</w:t>
      </w:r>
      <w:r>
        <w:rPr>
          <w:rFonts w:hint="eastAsia" w:ascii="宋体" w:hAnsi="宋体" w:cs="宋体"/>
          <w:color w:val="000000" w:themeColor="text1"/>
          <w:sz w:val="24"/>
          <w:highlight w:val="none"/>
          <w:u w:val="single"/>
          <w14:textFill>
            <w14:solidFill>
              <w14:schemeClr w14:val="tx1"/>
            </w14:solidFill>
          </w14:textFill>
        </w:rPr>
        <w:t>主要材料涉及品种、款式、颜色等方面内容的，承包人应提交准备合格的材料样品送发包人选定。</w:t>
      </w:r>
    </w:p>
    <w:p w14:paraId="5685CD6D">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53" w:name="_Toc2872"/>
      <w:bookmarkStart w:id="354" w:name="_Toc27001"/>
      <w:r>
        <w:rPr>
          <w:rFonts w:hint="eastAsia" w:ascii="宋体" w:hAnsi="宋体" w:cs="宋体"/>
          <w:color w:val="000000" w:themeColor="text1"/>
          <w:sz w:val="24"/>
          <w:szCs w:val="24"/>
          <w:highlight w:val="none"/>
          <w14:textFill>
            <w14:solidFill>
              <w14:schemeClr w14:val="tx1"/>
            </w14:solidFill>
          </w14:textFill>
        </w:rPr>
        <w:t>8.8 施工设备和临时设施</w:t>
      </w:r>
      <w:bookmarkEnd w:id="353"/>
      <w:bookmarkEnd w:id="354"/>
    </w:p>
    <w:p w14:paraId="53E7B6E2">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8.8.1 承包人提供的施工设备和临时设施</w:t>
      </w:r>
    </w:p>
    <w:p w14:paraId="3DBB3C9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14:paraId="5A7F19FB">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关于修建临时设施费用承担的约定：</w:t>
      </w:r>
    </w:p>
    <w:p w14:paraId="191593E9">
      <w:pPr>
        <w:pStyle w:val="374"/>
        <w:spacing w:line="360" w:lineRule="auto"/>
        <w:ind w:firstLine="480"/>
        <w:jc w:val="left"/>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 xml:space="preserve"> ①承包人的临时用地（含项目部驻地等）租用费（含拆迁补偿）、临时用地的环保、恢复、临时用地的青苗补偿及地面附着物拆除等费用均由承包人负责，以上费用在投标报价中综合考虑。</w:t>
      </w:r>
    </w:p>
    <w:p w14:paraId="129F0A71">
      <w:pPr>
        <w:pStyle w:val="374"/>
        <w:spacing w:line="360" w:lineRule="auto"/>
        <w:ind w:firstLine="480"/>
        <w:jc w:val="left"/>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②承包人负责合同实施期间其合同段内临时交通道路（含场内外连接公共交通道路）和交通设施的修建、维修、养护和交通管理工作，并承担一切费用。</w:t>
      </w:r>
    </w:p>
    <w:p w14:paraId="0A1FBC1F">
      <w:pPr>
        <w:pStyle w:val="374"/>
        <w:spacing w:line="360" w:lineRule="auto"/>
        <w:jc w:val="left"/>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③承包人修建的临时道路和交通设施，应免费提供给发包人、监理工程师使用。</w:t>
      </w:r>
    </w:p>
    <w:p w14:paraId="12350B2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8.8.2 发包人提供的施工设备和临时设施</w:t>
      </w:r>
    </w:p>
    <w:p w14:paraId="3C5448B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发包人提供的施工设备和临时设施：</w:t>
      </w:r>
      <w:r>
        <w:rPr>
          <w:rFonts w:hint="eastAsia" w:ascii="宋体" w:hAnsi="宋体" w:cs="宋体"/>
          <w:color w:val="000000" w:themeColor="text1"/>
          <w:sz w:val="24"/>
          <w:highlight w:val="none"/>
          <w:u w:val="single"/>
          <w14:textFill>
            <w14:solidFill>
              <w14:schemeClr w14:val="tx1"/>
            </w14:solidFill>
          </w14:textFill>
        </w:rPr>
        <w:t xml:space="preserve">      按《通用合同合同条款》条执行     </w:t>
      </w:r>
      <w:r>
        <w:rPr>
          <w:rFonts w:hint="eastAsia" w:ascii="宋体" w:hAnsi="宋体" w:cs="宋体"/>
          <w:color w:val="000000" w:themeColor="text1"/>
          <w:sz w:val="24"/>
          <w:highlight w:val="none"/>
          <w14:textFill>
            <w14:solidFill>
              <w14:schemeClr w14:val="tx1"/>
            </w14:solidFill>
          </w14:textFill>
        </w:rPr>
        <w:t>。</w:t>
      </w:r>
    </w:p>
    <w:p w14:paraId="3130337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发包人提供的施工设备和临时设施的运行、维护、拆除、清运费用的承担人：</w:t>
      </w:r>
      <w:r>
        <w:rPr>
          <w:rFonts w:hint="eastAsia" w:ascii="宋体" w:hAnsi="宋体" w:cs="宋体"/>
          <w:color w:val="000000" w:themeColor="text1"/>
          <w:sz w:val="24"/>
          <w:highlight w:val="none"/>
          <w:u w:val="single"/>
          <w14:textFill>
            <w14:solidFill>
              <w14:schemeClr w14:val="tx1"/>
            </w14:solidFill>
          </w14:textFill>
        </w:rPr>
        <w:t xml:space="preserve"> 由承包人承担相应费用</w:t>
      </w:r>
      <w:r>
        <w:rPr>
          <w:rFonts w:hint="eastAsia" w:ascii="宋体" w:hAnsi="宋体" w:cs="宋体"/>
          <w:color w:val="000000" w:themeColor="text1"/>
          <w:sz w:val="24"/>
          <w:highlight w:val="none"/>
          <w14:textFill>
            <w14:solidFill>
              <w14:schemeClr w14:val="tx1"/>
            </w14:solidFill>
          </w14:textFill>
        </w:rPr>
        <w:t>。</w:t>
      </w:r>
    </w:p>
    <w:p w14:paraId="03019DC4">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355" w:name="_Toc7513"/>
      <w:bookmarkStart w:id="356" w:name="_Toc24429"/>
      <w:r>
        <w:rPr>
          <w:rFonts w:hint="eastAsia" w:ascii="宋体" w:hAnsi="宋体" w:cs="宋体"/>
          <w:color w:val="000000" w:themeColor="text1"/>
          <w:sz w:val="24"/>
          <w:szCs w:val="24"/>
          <w:highlight w:val="none"/>
          <w14:textFill>
            <w14:solidFill>
              <w14:schemeClr w14:val="tx1"/>
            </w14:solidFill>
          </w14:textFill>
        </w:rPr>
        <w:t>9. 试验与检验</w:t>
      </w:r>
      <w:bookmarkEnd w:id="355"/>
      <w:bookmarkEnd w:id="356"/>
    </w:p>
    <w:p w14:paraId="1AD7A877">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57" w:name="_Toc31163"/>
      <w:bookmarkStart w:id="358" w:name="_Toc26141"/>
      <w:r>
        <w:rPr>
          <w:rFonts w:hint="eastAsia" w:ascii="宋体" w:hAnsi="宋体" w:cs="宋体"/>
          <w:color w:val="000000" w:themeColor="text1"/>
          <w:sz w:val="24"/>
          <w:szCs w:val="24"/>
          <w:highlight w:val="none"/>
          <w14:textFill>
            <w14:solidFill>
              <w14:schemeClr w14:val="tx1"/>
            </w14:solidFill>
          </w14:textFill>
        </w:rPr>
        <w:t>9.1 试验设备与试验人员</w:t>
      </w:r>
      <w:bookmarkEnd w:id="357"/>
      <w:bookmarkEnd w:id="358"/>
    </w:p>
    <w:p w14:paraId="6E50C63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9.1.2 试验设备</w:t>
      </w:r>
    </w:p>
    <w:p w14:paraId="254F8492">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施工现场需要配置的试验场所：</w:t>
      </w:r>
      <w:r>
        <w:rPr>
          <w:rFonts w:hint="eastAsia" w:ascii="宋体" w:hAnsi="宋体" w:cs="宋体"/>
          <w:color w:val="000000" w:themeColor="text1"/>
          <w:sz w:val="24"/>
          <w:highlight w:val="none"/>
          <w:u w:val="single"/>
          <w14:textFill>
            <w14:solidFill>
              <w14:schemeClr w14:val="tx1"/>
            </w14:solidFill>
          </w14:textFill>
        </w:rPr>
        <w:t xml:space="preserve">  按相关规定执行，由承包人提供   </w:t>
      </w:r>
      <w:r>
        <w:rPr>
          <w:rFonts w:hint="eastAsia" w:ascii="宋体" w:hAnsi="宋体" w:cs="宋体"/>
          <w:color w:val="000000" w:themeColor="text1"/>
          <w:sz w:val="24"/>
          <w:highlight w:val="none"/>
          <w14:textFill>
            <w14:solidFill>
              <w14:schemeClr w14:val="tx1"/>
            </w14:solidFill>
          </w14:textFill>
        </w:rPr>
        <w:t>。</w:t>
      </w:r>
    </w:p>
    <w:p w14:paraId="584A2AFF">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施工现场需要配备的试验设备：</w:t>
      </w:r>
      <w:r>
        <w:rPr>
          <w:rFonts w:hint="eastAsia" w:ascii="宋体" w:hAnsi="宋体" w:cs="宋体"/>
          <w:color w:val="000000" w:themeColor="text1"/>
          <w:sz w:val="24"/>
          <w:highlight w:val="none"/>
          <w:u w:val="single"/>
          <w14:textFill>
            <w14:solidFill>
              <w14:schemeClr w14:val="tx1"/>
            </w14:solidFill>
          </w14:textFill>
        </w:rPr>
        <w:t xml:space="preserve">    按相关规定执行，由承包人提供    </w:t>
      </w:r>
      <w:r>
        <w:rPr>
          <w:rFonts w:hint="eastAsia" w:ascii="宋体" w:hAnsi="宋体" w:cs="宋体"/>
          <w:color w:val="000000" w:themeColor="text1"/>
          <w:sz w:val="24"/>
          <w:highlight w:val="none"/>
          <w14:textFill>
            <w14:solidFill>
              <w14:schemeClr w14:val="tx1"/>
            </w14:solidFill>
          </w14:textFill>
        </w:rPr>
        <w:t>。</w:t>
      </w:r>
    </w:p>
    <w:p w14:paraId="77188765">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施工现场需要具备的其他试验条件：</w:t>
      </w:r>
      <w:r>
        <w:rPr>
          <w:rFonts w:hint="eastAsia" w:ascii="宋体" w:hAnsi="宋体" w:cs="宋体"/>
          <w:color w:val="000000" w:themeColor="text1"/>
          <w:sz w:val="24"/>
          <w:highlight w:val="none"/>
          <w:u w:val="single"/>
          <w14:textFill>
            <w14:solidFill>
              <w14:schemeClr w14:val="tx1"/>
            </w14:solidFill>
          </w14:textFill>
        </w:rPr>
        <w:t xml:space="preserve">   按相关规定执行，由承包人提供    </w:t>
      </w:r>
      <w:r>
        <w:rPr>
          <w:rFonts w:hint="eastAsia" w:ascii="宋体" w:hAnsi="宋体" w:cs="宋体"/>
          <w:color w:val="000000" w:themeColor="text1"/>
          <w:sz w:val="24"/>
          <w:highlight w:val="none"/>
          <w14:textFill>
            <w14:solidFill>
              <w14:schemeClr w14:val="tx1"/>
            </w14:solidFill>
          </w14:textFill>
        </w:rPr>
        <w:t>。</w:t>
      </w:r>
    </w:p>
    <w:p w14:paraId="48B60CC7">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59" w:name="_Toc22294"/>
      <w:bookmarkStart w:id="360" w:name="_Toc24380"/>
      <w:r>
        <w:rPr>
          <w:rFonts w:hint="eastAsia" w:ascii="宋体" w:hAnsi="宋体" w:cs="宋体"/>
          <w:color w:val="000000" w:themeColor="text1"/>
          <w:sz w:val="24"/>
          <w:szCs w:val="24"/>
          <w:highlight w:val="none"/>
          <w14:textFill>
            <w14:solidFill>
              <w14:schemeClr w14:val="tx1"/>
            </w14:solidFill>
          </w14:textFill>
        </w:rPr>
        <w:t>9.4 现场工艺试验</w:t>
      </w:r>
      <w:bookmarkEnd w:id="359"/>
      <w:bookmarkEnd w:id="360"/>
      <w:r>
        <w:rPr>
          <w:rFonts w:hint="eastAsia" w:ascii="宋体" w:hAnsi="宋体" w:cs="宋体"/>
          <w:color w:val="000000" w:themeColor="text1"/>
          <w:sz w:val="24"/>
          <w:szCs w:val="24"/>
          <w:highlight w:val="none"/>
          <w14:textFill>
            <w14:solidFill>
              <w14:schemeClr w14:val="tx1"/>
            </w14:solidFill>
          </w14:textFill>
        </w:rPr>
        <w:t xml:space="preserve"> </w:t>
      </w:r>
    </w:p>
    <w:p w14:paraId="23346643">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现场工艺试验的有关约定：</w:t>
      </w:r>
      <w:r>
        <w:rPr>
          <w:rFonts w:hint="eastAsia" w:ascii="宋体" w:hAnsi="宋体" w:cs="宋体"/>
          <w:color w:val="000000" w:themeColor="text1"/>
          <w:sz w:val="24"/>
          <w:highlight w:val="none"/>
          <w:u w:val="single"/>
          <w14:textFill>
            <w14:solidFill>
              <w14:schemeClr w14:val="tx1"/>
            </w14:solidFill>
          </w14:textFill>
        </w:rPr>
        <w:t xml:space="preserve">    按《通用合同条款》9.4 条执行 </w:t>
      </w:r>
      <w:r>
        <w:rPr>
          <w:rFonts w:hint="eastAsia" w:ascii="宋体" w:hAnsi="宋体" w:cs="宋体"/>
          <w:color w:val="000000" w:themeColor="text1"/>
          <w:sz w:val="24"/>
          <w:highlight w:val="none"/>
          <w14:textFill>
            <w14:solidFill>
              <w14:schemeClr w14:val="tx1"/>
            </w14:solidFill>
          </w14:textFill>
        </w:rPr>
        <w:t>。</w:t>
      </w:r>
    </w:p>
    <w:p w14:paraId="7881CE9D">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61" w:name="_Toc26091"/>
      <w:bookmarkStart w:id="362" w:name="_Toc30986"/>
      <w:r>
        <w:rPr>
          <w:rFonts w:hint="eastAsia" w:ascii="宋体" w:hAnsi="宋体" w:cs="宋体"/>
          <w:color w:val="000000" w:themeColor="text1"/>
          <w:sz w:val="24"/>
          <w:szCs w:val="24"/>
          <w:highlight w:val="none"/>
          <w14:textFill>
            <w14:solidFill>
              <w14:schemeClr w14:val="tx1"/>
            </w14:solidFill>
          </w14:textFill>
        </w:rPr>
        <w:t>9.5 检验费用</w:t>
      </w:r>
      <w:bookmarkEnd w:id="361"/>
      <w:bookmarkEnd w:id="362"/>
    </w:p>
    <w:p w14:paraId="4E7EDF56">
      <w:pPr>
        <w:spacing w:line="360" w:lineRule="auto"/>
        <w:ind w:firstLine="47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建设工程质量检测管理办法》（中华人民共和国住房和城乡建设部令第57号）规定，工程质量检测业务由发包人委托有相应资质的检测机构检测。费用从发包人的项目建设经费中支出并直接支付给检测机构，不计入合同价款内。</w:t>
      </w:r>
    </w:p>
    <w:p w14:paraId="44916E58">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363" w:name="_Toc28409"/>
      <w:bookmarkStart w:id="364" w:name="_Toc28804"/>
      <w:r>
        <w:rPr>
          <w:rFonts w:hint="eastAsia" w:ascii="宋体" w:hAnsi="宋体" w:cs="宋体"/>
          <w:color w:val="000000" w:themeColor="text1"/>
          <w:sz w:val="24"/>
          <w:szCs w:val="24"/>
          <w:highlight w:val="none"/>
          <w14:textFill>
            <w14:solidFill>
              <w14:schemeClr w14:val="tx1"/>
            </w14:solidFill>
          </w14:textFill>
        </w:rPr>
        <w:t>10. 变更</w:t>
      </w:r>
      <w:bookmarkEnd w:id="363"/>
      <w:bookmarkEnd w:id="364"/>
    </w:p>
    <w:p w14:paraId="40AB4E19">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65" w:name="_Toc32327"/>
      <w:bookmarkStart w:id="366" w:name="_Toc29800"/>
      <w:r>
        <w:rPr>
          <w:rFonts w:hint="eastAsia" w:ascii="宋体" w:hAnsi="宋体" w:cs="宋体"/>
          <w:color w:val="000000" w:themeColor="text1"/>
          <w:sz w:val="24"/>
          <w:szCs w:val="24"/>
          <w:highlight w:val="none"/>
          <w14:textFill>
            <w14:solidFill>
              <w14:schemeClr w14:val="tx1"/>
            </w14:solidFill>
          </w14:textFill>
        </w:rPr>
        <w:t>10.1 变更的范围</w:t>
      </w:r>
      <w:bookmarkEnd w:id="365"/>
      <w:bookmarkEnd w:id="366"/>
    </w:p>
    <w:p w14:paraId="661443F4">
      <w:pPr>
        <w:pStyle w:val="39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关于变更的范围的约定：包括工程设计变更和其他变更。</w:t>
      </w:r>
    </w:p>
    <w:p w14:paraId="3BE563CC">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（1）增加或减少合同中任何工作，或追加额外的工作；</w:t>
      </w:r>
    </w:p>
    <w:p w14:paraId="4F4B68C7">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（2）取消合同中任何工作，但转由他人实施的工作除外；</w:t>
      </w:r>
    </w:p>
    <w:p w14:paraId="33D859FA">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（3）改变合同中任何工作的质量标准或其他特性；</w:t>
      </w:r>
    </w:p>
    <w:p w14:paraId="6A205275">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（4）改变工程的基线、标高、位置和尺寸；</w:t>
      </w:r>
    </w:p>
    <w:p w14:paraId="47EC2D44">
      <w:pPr>
        <w:pStyle w:val="372"/>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（5）改变工程的时间安排或实施顺序。</w:t>
      </w:r>
    </w:p>
    <w:p w14:paraId="7219532B">
      <w:pPr>
        <w:pStyle w:val="391"/>
        <w:spacing w:before="0" w:after="0" w:line="360" w:lineRule="auto"/>
        <w:outlineLvl w:val="0"/>
        <w:rPr>
          <w:rFonts w:hint="eastAsia" w:ascii="宋体" w:hAnsi="宋体" w:cs="宋体"/>
          <w:color w:val="000000" w:themeColor="text1"/>
          <w:sz w:val="24"/>
          <w:szCs w:val="24"/>
          <w:highlight w:val="none"/>
          <w14:textFill>
            <w14:solidFill>
              <w14:schemeClr w14:val="tx1"/>
            </w14:solidFill>
          </w14:textFill>
        </w:rPr>
      </w:pPr>
      <w:bookmarkStart w:id="367" w:name="_Toc373478389"/>
      <w:bookmarkStart w:id="368" w:name="_Toc23171"/>
      <w:bookmarkStart w:id="369" w:name="_Toc373227742"/>
      <w:bookmarkStart w:id="370" w:name="_Toc389065308"/>
      <w:bookmarkStart w:id="371" w:name="_Toc5085"/>
      <w:bookmarkStart w:id="372" w:name="_Toc407135245"/>
      <w:bookmarkStart w:id="373" w:name="_Toc12609400"/>
      <w:r>
        <w:rPr>
          <w:rFonts w:hint="eastAsia" w:ascii="宋体" w:hAnsi="宋体" w:cs="宋体"/>
          <w:color w:val="000000" w:themeColor="text1"/>
          <w:sz w:val="24"/>
          <w:szCs w:val="24"/>
          <w:highlight w:val="none"/>
          <w14:textFill>
            <w14:solidFill>
              <w14:schemeClr w14:val="tx1"/>
            </w14:solidFill>
          </w14:textFill>
        </w:rPr>
        <w:t>10.2 变更估价</w:t>
      </w:r>
      <w:bookmarkEnd w:id="367"/>
      <w:bookmarkEnd w:id="368"/>
      <w:bookmarkEnd w:id="369"/>
      <w:bookmarkEnd w:id="370"/>
      <w:bookmarkEnd w:id="371"/>
      <w:bookmarkEnd w:id="372"/>
      <w:bookmarkEnd w:id="373"/>
    </w:p>
    <w:p w14:paraId="08A08FBE">
      <w:pPr>
        <w:pStyle w:val="372"/>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变更估价原则</w:t>
      </w:r>
    </w:p>
    <w:p w14:paraId="5F527B6E">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关于变更估价按本款约定处理: </w:t>
      </w:r>
    </w:p>
    <w:p w14:paraId="7998E7C7">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（1）合同工程量清单中有相同细目的，按该相同细目合同综合单价计算；</w:t>
      </w:r>
    </w:p>
    <w:p w14:paraId="497AEB40">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（2）如无相同细目，但合同工程量清单中有类似细目的，参照类似细目合同综合单价计算；</w:t>
      </w:r>
    </w:p>
    <w:p w14:paraId="5C32BD3A">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无类似细目的新增项目，有定额的套定额，并乘以下浮系数计算，下浮系数为投标报价/招标控制价。其中材料价格按施工期《贵港市建设工程造价信息》相应材料除税信息价计取，无信息价的，由发包人、承包人、监理单位共同根据市场调查确定；无定额可套的，根据市场价格协商确定，单价按市场价格结算。新增项目的单价必须经发包人审定。</w:t>
      </w:r>
    </w:p>
    <w:p w14:paraId="440FB23A">
      <w:pPr>
        <w:pStyle w:val="370"/>
        <w:keepNext/>
        <w:keepLines/>
        <w:spacing w:line="360" w:lineRule="auto"/>
        <w:ind w:firstLine="480"/>
        <w:outlineLvl w:val="2"/>
        <w:rPr>
          <w:rFonts w:hint="eastAsia" w:ascii="宋体" w:hAnsi="宋体" w:cs="宋体"/>
          <w:color w:val="000000" w:themeColor="text1"/>
          <w:sz w:val="24"/>
          <w:szCs w:val="24"/>
          <w:highlight w:val="none"/>
          <w14:textFill>
            <w14:solidFill>
              <w14:schemeClr w14:val="tx1"/>
            </w14:solidFill>
          </w14:textFill>
        </w:rPr>
      </w:pPr>
      <w:bookmarkStart w:id="374" w:name="_Toc1066"/>
      <w:bookmarkStart w:id="375" w:name="_Toc31854"/>
      <w:r>
        <w:rPr>
          <w:rFonts w:hint="eastAsia" w:ascii="宋体" w:hAnsi="宋体" w:cs="宋体"/>
          <w:color w:val="000000" w:themeColor="text1"/>
          <w:sz w:val="24"/>
          <w:szCs w:val="24"/>
          <w:highlight w:val="none"/>
          <w14:textFill>
            <w14:solidFill>
              <w14:schemeClr w14:val="tx1"/>
            </w14:solidFill>
          </w14:textFill>
        </w:rPr>
        <w:t>工程变更必须经监理人代表、发包人代表共同签字并经发包人确认后方可实施，否则所发生的费用和相关责任均由承包人自行承担。任何未经发包人确认的工程变更均视为无效，发包人有权不予支付。</w:t>
      </w:r>
      <w:bookmarkEnd w:id="374"/>
      <w:bookmarkEnd w:id="375"/>
    </w:p>
    <w:p w14:paraId="0BD1349D">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76" w:name="_Toc5889"/>
      <w:bookmarkStart w:id="377" w:name="_Toc13229"/>
      <w:r>
        <w:rPr>
          <w:rFonts w:hint="eastAsia" w:ascii="宋体" w:hAnsi="宋体" w:cs="宋体"/>
          <w:color w:val="000000" w:themeColor="text1"/>
          <w:sz w:val="24"/>
          <w:szCs w:val="24"/>
          <w:highlight w:val="none"/>
          <w14:textFill>
            <w14:solidFill>
              <w14:schemeClr w14:val="tx1"/>
            </w14:solidFill>
          </w14:textFill>
        </w:rPr>
        <w:t>10.3 变更程序</w:t>
      </w:r>
      <w:bookmarkEnd w:id="376"/>
      <w:bookmarkEnd w:id="377"/>
    </w:p>
    <w:p w14:paraId="7803A00D">
      <w:pPr>
        <w:pStyle w:val="24"/>
        <w:spacing w:line="360" w:lineRule="auto"/>
        <w:ind w:firstLine="504"/>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10.3.1国有投资项目：</w:t>
      </w:r>
    </w:p>
    <w:p w14:paraId="5F987146">
      <w:pPr>
        <w:pStyle w:val="24"/>
        <w:spacing w:line="360" w:lineRule="auto"/>
        <w:ind w:firstLine="504"/>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⑴设计变更和工程签证，按各市政府或相关部门的规定办理。属不可抗力（自然灾害、突发事件等）造成变更的，按特事特办原则予以办理。</w:t>
      </w:r>
    </w:p>
    <w:p w14:paraId="4071B3ED">
      <w:pPr>
        <w:pStyle w:val="24"/>
        <w:spacing w:line="360" w:lineRule="auto"/>
        <w:ind w:firstLine="504"/>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⑵建设单位在实施项目过程中，若发生单价变动，由发包人、承包人、监理或造价咨询等单位共同商定并签字确认。</w:t>
      </w:r>
    </w:p>
    <w:p w14:paraId="1A76BA2E">
      <w:pPr>
        <w:pStyle w:val="24"/>
        <w:spacing w:line="360" w:lineRule="auto"/>
        <w:ind w:firstLine="504"/>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⑶ 当合同规定的合同价款调整情况发生后，承包人未在规定时间内通知发包人，或者未在规定时间内提出调整报告，发包人可以根据有关资料，决定是否调整和调整的金额，并书面通知承包人。</w:t>
      </w:r>
    </w:p>
    <w:p w14:paraId="356480E8">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78" w:name="_Toc3702"/>
      <w:bookmarkStart w:id="379" w:name="_Toc10719"/>
      <w:r>
        <w:rPr>
          <w:rFonts w:hint="eastAsia" w:ascii="宋体" w:hAnsi="宋体" w:cs="宋体"/>
          <w:color w:val="000000" w:themeColor="text1"/>
          <w:sz w:val="24"/>
          <w:szCs w:val="24"/>
          <w:highlight w:val="none"/>
          <w14:textFill>
            <w14:solidFill>
              <w14:schemeClr w14:val="tx1"/>
            </w14:solidFill>
          </w14:textFill>
        </w:rPr>
        <w:t>10.4 变更估价</w:t>
      </w:r>
      <w:bookmarkEnd w:id="378"/>
      <w:bookmarkEnd w:id="379"/>
    </w:p>
    <w:p w14:paraId="1FCEA2F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10.4.1 变更估价原则</w:t>
      </w:r>
    </w:p>
    <w:p w14:paraId="21BB4C7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关于变更估价的约定: </w:t>
      </w:r>
      <w:r>
        <w:rPr>
          <w:rFonts w:hint="eastAsia" w:ascii="宋体" w:hAnsi="宋体" w:cs="宋体"/>
          <w:color w:val="000000" w:themeColor="text1"/>
          <w:sz w:val="24"/>
          <w:highlight w:val="none"/>
          <w:u w:val="single"/>
          <w14:textFill>
            <w14:solidFill>
              <w14:schemeClr w14:val="tx1"/>
            </w14:solidFill>
          </w14:textFill>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cs="宋体"/>
          <w:b/>
          <w:bCs/>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乘以中标下浮系数      %，</w:t>
      </w:r>
      <w:r>
        <w:rPr>
          <w:rFonts w:hint="eastAsia" w:ascii="宋体" w:hAnsi="宋体" w:cs="宋体"/>
          <w:b/>
          <w:bCs/>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不乘下浮系数）计算，其中：材料设备价格按施工期间的《贵港 市建设工程造价信息》相应信息价的加权平均值计算，《贵港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r>
        <w:rPr>
          <w:rFonts w:hint="eastAsia" w:ascii="宋体" w:hAnsi="宋体" w:cs="宋体"/>
          <w:color w:val="000000" w:themeColor="text1"/>
          <w:sz w:val="24"/>
          <w:highlight w:val="none"/>
          <w14:textFill>
            <w14:solidFill>
              <w14:schemeClr w14:val="tx1"/>
            </w14:solidFill>
          </w14:textFill>
        </w:rPr>
        <w:t>。以上约定同时适用于招标工程量清单缺项以及工程量清单项目特征与图纸不符时的价款确定。</w:t>
      </w:r>
    </w:p>
    <w:p w14:paraId="6F179D6C">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工程变更导致实际完成的变更工程量与已标价清单或预算书中列明的该项目工程量有偏差时，其综合单价的确定按专用条款“11.1工程量清单错误的修正”执行。</w:t>
      </w:r>
    </w:p>
    <w:p w14:paraId="4FCBC571">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80" w:name="_Toc18076"/>
      <w:bookmarkStart w:id="381" w:name="_Toc23208"/>
      <w:r>
        <w:rPr>
          <w:rFonts w:hint="eastAsia" w:ascii="宋体" w:hAnsi="宋体" w:cs="宋体"/>
          <w:color w:val="000000" w:themeColor="text1"/>
          <w:sz w:val="24"/>
          <w:szCs w:val="24"/>
          <w:highlight w:val="none"/>
          <w14:textFill>
            <w14:solidFill>
              <w14:schemeClr w14:val="tx1"/>
            </w14:solidFill>
          </w14:textFill>
        </w:rPr>
        <w:t>10.5 承包人的合理化建议</w:t>
      </w:r>
      <w:bookmarkEnd w:id="380"/>
      <w:bookmarkEnd w:id="381"/>
    </w:p>
    <w:p w14:paraId="31A74929">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监理人审查承包人合理化建议的期限：</w:t>
      </w:r>
      <w:r>
        <w:rPr>
          <w:rFonts w:hint="eastAsia" w:ascii="宋体" w:hAnsi="宋体" w:cs="宋体"/>
          <w:color w:val="000000" w:themeColor="text1"/>
          <w:sz w:val="24"/>
          <w:highlight w:val="none"/>
          <w:u w:val="single"/>
          <w14:textFill>
            <w14:solidFill>
              <w14:schemeClr w14:val="tx1"/>
            </w14:solidFill>
          </w14:textFill>
        </w:rPr>
        <w:t xml:space="preserve">  3 天内审查完毕并报发包人</w:t>
      </w:r>
      <w:r>
        <w:rPr>
          <w:rFonts w:hint="eastAsia" w:ascii="宋体" w:hAnsi="宋体" w:cs="宋体"/>
          <w:color w:val="000000" w:themeColor="text1"/>
          <w:sz w:val="24"/>
          <w:highlight w:val="none"/>
          <w14:textFill>
            <w14:solidFill>
              <w14:schemeClr w14:val="tx1"/>
            </w14:solidFill>
          </w14:textFill>
        </w:rPr>
        <w:t>。</w:t>
      </w:r>
    </w:p>
    <w:p w14:paraId="6CEADAA6">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发包人审批承包人合理化建议的期限：</w:t>
      </w:r>
      <w:r>
        <w:rPr>
          <w:rFonts w:hint="eastAsia" w:ascii="宋体" w:hAnsi="宋体" w:cs="宋体"/>
          <w:color w:val="000000" w:themeColor="text1"/>
          <w:sz w:val="24"/>
          <w:highlight w:val="none"/>
          <w:u w:val="single"/>
          <w14:textFill>
            <w14:solidFill>
              <w14:schemeClr w14:val="tx1"/>
            </w14:solidFill>
          </w14:textFill>
        </w:rPr>
        <w:t xml:space="preserve">  收到监理人报送的合理化建议后 7 天内审批完毕 </w:t>
      </w:r>
      <w:r>
        <w:rPr>
          <w:rFonts w:hint="eastAsia" w:ascii="宋体" w:hAnsi="宋体" w:cs="宋体"/>
          <w:color w:val="000000" w:themeColor="text1"/>
          <w:sz w:val="24"/>
          <w:highlight w:val="none"/>
          <w14:textFill>
            <w14:solidFill>
              <w14:schemeClr w14:val="tx1"/>
            </w14:solidFill>
          </w14:textFill>
        </w:rPr>
        <w:t>。</w:t>
      </w:r>
    </w:p>
    <w:p w14:paraId="7669850F">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承包人提出的合理化建议降低了合同价格或者提高了工程经济效益的奖励的方法和金额为：</w:t>
      </w:r>
      <w:r>
        <w:rPr>
          <w:rFonts w:hint="eastAsia" w:ascii="宋体" w:hAnsi="宋体" w:cs="宋体"/>
          <w:color w:val="000000" w:themeColor="text1"/>
          <w:sz w:val="24"/>
          <w:highlight w:val="none"/>
          <w:u w:val="single"/>
          <w14:textFill>
            <w14:solidFill>
              <w14:schemeClr w14:val="tx1"/>
            </w14:solidFill>
          </w14:textFill>
        </w:rPr>
        <w:t xml:space="preserve">       无             </w:t>
      </w:r>
      <w:r>
        <w:rPr>
          <w:rFonts w:hint="eastAsia" w:ascii="宋体" w:hAnsi="宋体" w:cs="宋体"/>
          <w:color w:val="000000" w:themeColor="text1"/>
          <w:sz w:val="24"/>
          <w:highlight w:val="none"/>
          <w14:textFill>
            <w14:solidFill>
              <w14:schemeClr w14:val="tx1"/>
            </w14:solidFill>
          </w14:textFill>
        </w:rPr>
        <w:t>。</w:t>
      </w:r>
    </w:p>
    <w:p w14:paraId="368B8F1B">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82" w:name="_Toc6301"/>
      <w:bookmarkStart w:id="383" w:name="_Toc30538"/>
      <w:r>
        <w:rPr>
          <w:rFonts w:hint="eastAsia" w:ascii="宋体" w:hAnsi="宋体" w:cs="宋体"/>
          <w:color w:val="000000" w:themeColor="text1"/>
          <w:sz w:val="24"/>
          <w:szCs w:val="24"/>
          <w:highlight w:val="none"/>
          <w14:textFill>
            <w14:solidFill>
              <w14:schemeClr w14:val="tx1"/>
            </w14:solidFill>
          </w14:textFill>
        </w:rPr>
        <w:t>10.7 暂估价</w:t>
      </w:r>
      <w:bookmarkEnd w:id="382"/>
      <w:bookmarkEnd w:id="383"/>
    </w:p>
    <w:p w14:paraId="1374178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暂估价材料和工程设备的明细详见已标价工程量清单《材料（工程设备）暂估价格及调整表》（表12-2）和《专业工程暂估价表》（表12-3）。</w:t>
      </w:r>
    </w:p>
    <w:p w14:paraId="57E66734">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10.7.1 依法必须招标的暂估价项目</w:t>
      </w:r>
    </w:p>
    <w:p w14:paraId="1887DFD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对于依法必须招标的暂估价项目的确认和批准采取第</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种方式确定。</w:t>
      </w:r>
    </w:p>
    <w:p w14:paraId="3A4028D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10.7.2 不属于依法必须招标的暂估价项目</w:t>
      </w:r>
    </w:p>
    <w:p w14:paraId="13661820">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对于不属于依法必须招标的暂估价项目的确认和批准采取第</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 xml:space="preserve"> 种方式确定。</w:t>
      </w:r>
    </w:p>
    <w:p w14:paraId="024427B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第3种方式：承包人直接实施的暂估价项目</w:t>
      </w:r>
    </w:p>
    <w:p w14:paraId="440D3710">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承包人直接实施的暂估价项目的约定：</w:t>
      </w:r>
      <w:r>
        <w:rPr>
          <w:rFonts w:hint="eastAsia" w:ascii="宋体" w:hAnsi="宋体" w:cs="宋体"/>
          <w:color w:val="000000" w:themeColor="text1"/>
          <w:sz w:val="24"/>
          <w:highlight w:val="none"/>
          <w:u w:val="single"/>
          <w14:textFill>
            <w14:solidFill>
              <w14:schemeClr w14:val="tx1"/>
            </w14:solidFill>
          </w14:textFill>
        </w:rPr>
        <w:t xml:space="preserve">        无       </w:t>
      </w:r>
      <w:r>
        <w:rPr>
          <w:rFonts w:hint="eastAsia" w:ascii="宋体" w:hAnsi="宋体" w:cs="宋体"/>
          <w:color w:val="000000" w:themeColor="text1"/>
          <w:sz w:val="24"/>
          <w:highlight w:val="none"/>
          <w14:textFill>
            <w14:solidFill>
              <w14:schemeClr w14:val="tx1"/>
            </w14:solidFill>
          </w14:textFill>
        </w:rPr>
        <w:t>。</w:t>
      </w:r>
    </w:p>
    <w:p w14:paraId="2E0E1F9E">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84" w:name="_Toc31697"/>
      <w:bookmarkStart w:id="385" w:name="_Toc3709"/>
      <w:r>
        <w:rPr>
          <w:rFonts w:hint="eastAsia" w:ascii="宋体" w:hAnsi="宋体" w:cs="宋体"/>
          <w:color w:val="000000" w:themeColor="text1"/>
          <w:sz w:val="24"/>
          <w:szCs w:val="24"/>
          <w:highlight w:val="none"/>
          <w14:textFill>
            <w14:solidFill>
              <w14:schemeClr w14:val="tx1"/>
            </w14:solidFill>
          </w14:textFill>
        </w:rPr>
        <w:t>10.8 暂列金额</w:t>
      </w:r>
      <w:bookmarkEnd w:id="384"/>
      <w:bookmarkEnd w:id="385"/>
    </w:p>
    <w:p w14:paraId="7FADBF00">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合同当事人关于暂列金额使用的约定：</w:t>
      </w:r>
      <w:r>
        <w:rPr>
          <w:rFonts w:hint="eastAsia" w:ascii="宋体" w:hAnsi="宋体" w:cs="宋体"/>
          <w:color w:val="000000" w:themeColor="text1"/>
          <w:sz w:val="24"/>
          <w:highlight w:val="none"/>
          <w:u w:val="single"/>
          <w14:textFill>
            <w14:solidFill>
              <w14:schemeClr w14:val="tx1"/>
            </w14:solidFill>
          </w14:textFill>
        </w:rPr>
        <w:t xml:space="preserve">     调整       </w:t>
      </w:r>
      <w:r>
        <w:rPr>
          <w:rFonts w:hint="eastAsia" w:ascii="宋体" w:hAnsi="宋体" w:cs="宋体"/>
          <w:color w:val="000000" w:themeColor="text1"/>
          <w:sz w:val="24"/>
          <w:highlight w:val="none"/>
          <w14:textFill>
            <w14:solidFill>
              <w14:schemeClr w14:val="tx1"/>
            </w14:solidFill>
          </w14:textFill>
        </w:rPr>
        <w:t>。</w:t>
      </w:r>
    </w:p>
    <w:p w14:paraId="198A7050">
      <w:pPr>
        <w:pStyle w:val="3"/>
        <w:numPr>
          <w:ilvl w:val="0"/>
          <w:numId w:val="4"/>
        </w:numPr>
        <w:spacing w:line="360" w:lineRule="auto"/>
        <w:ind w:left="885" w:hanging="360"/>
        <w:rPr>
          <w:rFonts w:hint="eastAsia" w:ascii="宋体" w:hAnsi="宋体" w:cs="宋体"/>
          <w:color w:val="000000" w:themeColor="text1"/>
          <w:sz w:val="24"/>
          <w:szCs w:val="24"/>
          <w:highlight w:val="none"/>
          <w14:textFill>
            <w14:solidFill>
              <w14:schemeClr w14:val="tx1"/>
            </w14:solidFill>
          </w14:textFill>
        </w:rPr>
      </w:pPr>
      <w:bookmarkStart w:id="386" w:name="_Toc1210"/>
      <w:bookmarkStart w:id="387" w:name="_Toc31634"/>
      <w:r>
        <w:rPr>
          <w:rFonts w:hint="eastAsia" w:ascii="宋体" w:hAnsi="宋体" w:cs="宋体"/>
          <w:color w:val="000000" w:themeColor="text1"/>
          <w:sz w:val="24"/>
          <w:szCs w:val="24"/>
          <w:highlight w:val="none"/>
          <w14:textFill>
            <w14:solidFill>
              <w14:schemeClr w14:val="tx1"/>
            </w14:solidFill>
          </w14:textFill>
        </w:rPr>
        <w:t>价格调整</w:t>
      </w:r>
      <w:bookmarkEnd w:id="386"/>
      <w:bookmarkEnd w:id="387"/>
    </w:p>
    <w:p w14:paraId="30AECC9C">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88" w:name="_Toc22518"/>
      <w:bookmarkStart w:id="389" w:name="_Toc28264"/>
      <w:r>
        <w:rPr>
          <w:rFonts w:hint="eastAsia" w:ascii="宋体" w:hAnsi="宋体" w:cs="宋体"/>
          <w:color w:val="000000" w:themeColor="text1"/>
          <w:sz w:val="24"/>
          <w:szCs w:val="24"/>
          <w:highlight w:val="none"/>
          <w14:textFill>
            <w14:solidFill>
              <w14:schemeClr w14:val="tx1"/>
            </w14:solidFill>
          </w14:textFill>
        </w:rPr>
        <w:t>11.1 市场价格波动引起的调整</w:t>
      </w:r>
      <w:bookmarkEnd w:id="388"/>
      <w:bookmarkEnd w:id="389"/>
    </w:p>
    <w:p w14:paraId="32E0DE09">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市场价格波动是否调整合同价格的约定：</w:t>
      </w:r>
      <w:r>
        <w:rPr>
          <w:rFonts w:hint="eastAsia" w:ascii="宋体" w:hAnsi="宋体" w:cs="宋体"/>
          <w:color w:val="000000" w:themeColor="text1"/>
          <w:sz w:val="24"/>
          <w:highlight w:val="none"/>
          <w:u w:val="single"/>
          <w14:textFill>
            <w14:solidFill>
              <w14:schemeClr w14:val="tx1"/>
            </w14:solidFill>
          </w14:textFill>
        </w:rPr>
        <w:t>钢筋、钢材、商品混凝土、沥青、商品砂浆、水泥、砂、石、砖、砌块、电线电缆主要材料市场价格涨跌超过5%予以调整</w:t>
      </w:r>
      <w:r>
        <w:rPr>
          <w:rFonts w:hint="eastAsia" w:ascii="宋体" w:hAnsi="宋体" w:cs="宋体"/>
          <w:color w:val="000000" w:themeColor="text1"/>
          <w:sz w:val="24"/>
          <w:highlight w:val="none"/>
          <w14:textFill>
            <w14:solidFill>
              <w14:schemeClr w14:val="tx1"/>
            </w14:solidFill>
          </w14:textFill>
        </w:rPr>
        <w:t>。</w:t>
      </w:r>
    </w:p>
    <w:p w14:paraId="61D5072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因市场价格波动调整合同价格，采用以下第</w:t>
      </w:r>
      <w:r>
        <w:rPr>
          <w:rFonts w:hint="eastAsia" w:ascii="宋体" w:hAnsi="宋体" w:cs="宋体"/>
          <w:color w:val="000000" w:themeColor="text1"/>
          <w:sz w:val="24"/>
          <w:highlight w:val="none"/>
          <w:u w:val="single"/>
          <w14:textFill>
            <w14:solidFill>
              <w14:schemeClr w14:val="tx1"/>
            </w14:solidFill>
          </w14:textFill>
        </w:rPr>
        <w:t xml:space="preserve">  2  </w:t>
      </w:r>
      <w:r>
        <w:rPr>
          <w:rFonts w:hint="eastAsia" w:ascii="宋体" w:hAnsi="宋体" w:cs="宋体"/>
          <w:color w:val="000000" w:themeColor="text1"/>
          <w:sz w:val="24"/>
          <w:highlight w:val="none"/>
          <w14:textFill>
            <w14:solidFill>
              <w14:schemeClr w14:val="tx1"/>
            </w14:solidFill>
          </w14:textFill>
        </w:rPr>
        <w:t>种方式对合同价格进行调整：</w:t>
      </w:r>
    </w:p>
    <w:p w14:paraId="7D055FC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第1种方式：采用价格指数进行价格调整。</w:t>
      </w:r>
    </w:p>
    <w:p w14:paraId="0B58E7C2">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关于各可调因子、定值和变值权重，以及基本价格指数及其来源的约定：</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 xml:space="preserve">；  </w:t>
      </w:r>
    </w:p>
    <w:p w14:paraId="4CC582CE">
      <w:pPr>
        <w:pStyle w:val="370"/>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关于基准价格的约定：</w:t>
      </w:r>
      <w:r>
        <w:rPr>
          <w:rFonts w:hint="eastAsia" w:ascii="宋体" w:hAnsi="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w:t>
      </w:r>
    </w:p>
    <w:p w14:paraId="2E7D0CF3">
      <w:pPr>
        <w:spacing w:line="360" w:lineRule="auto"/>
        <w:ind w:firstLine="456"/>
        <w:jc w:val="left"/>
        <w:rPr>
          <w:rFonts w:hAnsi="宋体"/>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第2种方式：</w:t>
      </w:r>
      <w:r>
        <w:rPr>
          <w:rFonts w:hint="eastAsia" w:hAnsi="宋体" w:cs="宋体"/>
          <w:color w:val="000000" w:themeColor="text1"/>
          <w:sz w:val="24"/>
          <w:highlight w:val="none"/>
          <w14:textFill>
            <w14:solidFill>
              <w14:schemeClr w14:val="tx1"/>
            </w14:solidFill>
          </w14:textFill>
        </w:rPr>
        <w:t>采用造价信息进行价格调整。</w:t>
      </w:r>
    </w:p>
    <w:p w14:paraId="1EE10847">
      <w:pPr>
        <w:spacing w:line="360" w:lineRule="auto"/>
        <w:ind w:firstLine="480"/>
        <w:jc w:val="left"/>
        <w:rPr>
          <w:rFonts w:hAnsi="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1</w:t>
      </w:r>
      <w:r>
        <w:rPr>
          <w:rFonts w:hint="eastAsia" w:hAnsi="宋体" w:cs="宋体"/>
          <w:color w:val="000000" w:themeColor="text1"/>
          <w:sz w:val="24"/>
          <w:highlight w:val="none"/>
          <w14:textFill>
            <w14:solidFill>
              <w14:schemeClr w14:val="tx1"/>
            </w14:solidFill>
          </w14:textFill>
        </w:rPr>
        <w:t>）允许调整主要材料和</w:t>
      </w:r>
      <w:r>
        <w:rPr>
          <w:rFonts w:hAnsi="宋体" w:cs="宋体"/>
          <w:color w:val="000000" w:themeColor="text1"/>
          <w:sz w:val="24"/>
          <w:highlight w:val="none"/>
          <w:lang w:val="en"/>
          <w14:textFill>
            <w14:solidFill>
              <w14:schemeClr w14:val="tx1"/>
            </w14:solidFill>
          </w14:textFill>
        </w:rPr>
        <w:t>工程</w:t>
      </w:r>
      <w:r>
        <w:rPr>
          <w:rFonts w:hint="eastAsia" w:hAnsi="宋体" w:cs="宋体"/>
          <w:color w:val="000000" w:themeColor="text1"/>
          <w:sz w:val="24"/>
          <w:highlight w:val="none"/>
          <w14:textFill>
            <w14:solidFill>
              <w14:schemeClr w14:val="tx1"/>
            </w14:solidFill>
          </w14:textFill>
        </w:rPr>
        <w:t>设备、基期价格、风险系数、投标报价详见《</w:t>
      </w:r>
      <w:r>
        <w:rPr>
          <w:rFonts w:hAnsi="宋体" w:cs="宋体"/>
          <w:color w:val="000000" w:themeColor="text1"/>
          <w:sz w:val="24"/>
          <w:highlight w:val="none"/>
          <w:lang w:val="en"/>
          <w14:textFill>
            <w14:solidFill>
              <w14:schemeClr w14:val="tx1"/>
            </w14:solidFill>
          </w14:textFill>
        </w:rPr>
        <w:t>允许调整</w:t>
      </w:r>
      <w:r>
        <w:rPr>
          <w:rFonts w:hint="eastAsia" w:hAnsi="宋体" w:cs="宋体"/>
          <w:color w:val="000000" w:themeColor="text1"/>
          <w:sz w:val="24"/>
          <w:highlight w:val="none"/>
          <w14:textFill>
            <w14:solidFill>
              <w14:schemeClr w14:val="tx1"/>
            </w14:solidFill>
          </w14:textFill>
        </w:rPr>
        <w:t>主要材料和</w:t>
      </w:r>
      <w:r>
        <w:rPr>
          <w:rFonts w:hAnsi="宋体" w:cs="宋体"/>
          <w:color w:val="000000" w:themeColor="text1"/>
          <w:sz w:val="24"/>
          <w:highlight w:val="none"/>
          <w:lang w:val="en"/>
          <w14:textFill>
            <w14:solidFill>
              <w14:schemeClr w14:val="tx1"/>
            </w14:solidFill>
          </w14:textFill>
        </w:rPr>
        <w:t>工程</w:t>
      </w:r>
      <w:r>
        <w:rPr>
          <w:rFonts w:hint="eastAsia" w:hAnsi="宋体" w:cs="宋体"/>
          <w:color w:val="000000" w:themeColor="text1"/>
          <w:sz w:val="24"/>
          <w:highlight w:val="none"/>
          <w14:textFill>
            <w14:solidFill>
              <w14:schemeClr w14:val="tx1"/>
            </w14:solidFill>
          </w14:textFill>
        </w:rPr>
        <w:t>设备一览表》</w:t>
      </w:r>
      <w:r>
        <w:rPr>
          <w:rFonts w:hint="eastAsia" w:ascii="宋体" w:hAnsi="宋体"/>
          <w:color w:val="000000" w:themeColor="text1"/>
          <w:sz w:val="24"/>
          <w:highlight w:val="none"/>
          <w14:textFill>
            <w14:solidFill>
              <w14:schemeClr w14:val="tx1"/>
            </w14:solidFill>
          </w14:textFill>
        </w:rPr>
        <w:t>（表</w:t>
      </w:r>
      <w:r>
        <w:rPr>
          <w:rFonts w:ascii="宋体" w:hAnsi="宋体"/>
          <w:color w:val="000000" w:themeColor="text1"/>
          <w:sz w:val="24"/>
          <w:highlight w:val="none"/>
          <w14:textFill>
            <w14:solidFill>
              <w14:schemeClr w14:val="tx1"/>
            </w14:solidFill>
          </w14:textFill>
        </w:rPr>
        <w:t>-22</w:t>
      </w:r>
      <w:r>
        <w:rPr>
          <w:rFonts w:hint="eastAsia" w:ascii="宋体" w:hAnsi="宋体"/>
          <w:color w:val="000000" w:themeColor="text1"/>
          <w:sz w:val="24"/>
          <w:highlight w:val="none"/>
          <w14:textFill>
            <w14:solidFill>
              <w14:schemeClr w14:val="tx1"/>
            </w14:solidFill>
          </w14:textFill>
        </w:rPr>
        <w:t>）</w:t>
      </w:r>
      <w:r>
        <w:rPr>
          <w:rFonts w:hint="eastAsia" w:hAnsi="宋体" w:cs="宋体"/>
          <w:color w:val="000000" w:themeColor="text1"/>
          <w:sz w:val="24"/>
          <w:highlight w:val="none"/>
          <w14:textFill>
            <w14:solidFill>
              <w14:schemeClr w14:val="tx1"/>
            </w14:solidFill>
          </w14:textFill>
        </w:rPr>
        <w:t>,价</w:t>
      </w:r>
      <w:r>
        <w:rPr>
          <w:rFonts w:hAnsi="宋体" w:cs="宋体"/>
          <w:color w:val="000000" w:themeColor="text1"/>
          <w:sz w:val="24"/>
          <w:highlight w:val="none"/>
          <w14:textFill>
            <w14:solidFill>
              <w14:schemeClr w14:val="tx1"/>
            </w14:solidFill>
          </w14:textFill>
        </w:rPr>
        <w:t>差</w:t>
      </w:r>
      <w:r>
        <w:rPr>
          <w:rFonts w:hint="eastAsia" w:ascii="Calibri" w:hAnsi="宋体" w:cs="宋体"/>
          <w:color w:val="000000" w:themeColor="text1"/>
          <w:sz w:val="24"/>
          <w:highlight w:val="none"/>
          <w14:textFill>
            <w14:solidFill>
              <w14:schemeClr w14:val="tx1"/>
            </w14:solidFill>
          </w14:textFill>
        </w:rPr>
        <w:t>调整部分仅计算税金，除此表列明的材料、设备外，其余材料设备价差原则上不予调整。</w:t>
      </w:r>
    </w:p>
    <w:p w14:paraId="4211EE35">
      <w:pPr>
        <w:spacing w:line="360" w:lineRule="auto"/>
        <w:ind w:firstLine="480"/>
        <w:jc w:val="left"/>
        <w:rPr>
          <w:rFonts w:hAnsi="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2</w:t>
      </w:r>
      <w:r>
        <w:rPr>
          <w:rFonts w:hint="eastAsia" w:hAnsi="宋体" w:cs="宋体"/>
          <w:color w:val="000000" w:themeColor="text1"/>
          <w:sz w:val="24"/>
          <w:highlight w:val="none"/>
          <w14:textFill>
            <w14:solidFill>
              <w14:schemeClr w14:val="tx1"/>
            </w14:solidFill>
          </w14:textFill>
        </w:rPr>
        <w:t>）主要材料和</w:t>
      </w:r>
      <w:r>
        <w:rPr>
          <w:rFonts w:hAnsi="宋体" w:cs="宋体"/>
          <w:color w:val="000000" w:themeColor="text1"/>
          <w:sz w:val="24"/>
          <w:highlight w:val="none"/>
          <w:lang w:val="en"/>
          <w14:textFill>
            <w14:solidFill>
              <w14:schemeClr w14:val="tx1"/>
            </w14:solidFill>
          </w14:textFill>
        </w:rPr>
        <w:t>工程</w:t>
      </w:r>
      <w:r>
        <w:rPr>
          <w:rFonts w:hint="eastAsia" w:hAnsi="宋体" w:cs="宋体"/>
          <w:color w:val="000000" w:themeColor="text1"/>
          <w:sz w:val="24"/>
          <w:highlight w:val="none"/>
          <w14:textFill>
            <w14:solidFill>
              <w14:schemeClr w14:val="tx1"/>
            </w14:solidFill>
          </w14:textFill>
        </w:rPr>
        <w:t>设备确认价：</w:t>
      </w:r>
    </w:p>
    <w:p w14:paraId="1F71CCCE">
      <w:pPr>
        <w:spacing w:line="360" w:lineRule="auto"/>
        <w:ind w:firstLine="480"/>
        <w:jc w:val="left"/>
        <w:rPr>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按施工期间《</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u w:val="single"/>
          <w14:textFill>
            <w14:solidFill>
              <w14:schemeClr w14:val="tx1"/>
            </w14:solidFill>
          </w14:textFill>
        </w:rPr>
        <w:t>贵港</w:t>
      </w:r>
      <w:r>
        <w:rPr>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市建设工程造价信息》材料信息价的加权平均价计算，信息价没有的按通用条款规定确定。</w:t>
      </w:r>
    </w:p>
    <w:p w14:paraId="62C783FF">
      <w:pPr>
        <w:spacing w:line="360" w:lineRule="auto"/>
        <w:ind w:firstLine="480"/>
        <w:jc w:val="left"/>
        <w:rPr>
          <w:rFonts w:hAnsi="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3</w:t>
      </w:r>
      <w:r>
        <w:rPr>
          <w:rFonts w:hint="eastAsia" w:hAnsi="宋体" w:cs="宋体"/>
          <w:color w:val="000000" w:themeColor="text1"/>
          <w:sz w:val="24"/>
          <w:highlight w:val="none"/>
          <w14:textFill>
            <w14:solidFill>
              <w14:schemeClr w14:val="tx1"/>
            </w14:solidFill>
          </w14:textFill>
        </w:rPr>
        <w:t>）价差计算方法：</w:t>
      </w:r>
    </w:p>
    <w:p w14:paraId="53A20918">
      <w:pPr>
        <w:spacing w:line="360" w:lineRule="auto"/>
        <w:ind w:firstLine="480"/>
        <w:jc w:val="left"/>
        <w:rPr>
          <w:rFonts w:hAnsi="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①《</w:t>
      </w:r>
      <w:r>
        <w:rPr>
          <w:rFonts w:hAnsi="宋体" w:cs="宋体"/>
          <w:color w:val="000000" w:themeColor="text1"/>
          <w:sz w:val="24"/>
          <w:highlight w:val="none"/>
          <w:lang w:val="en"/>
          <w14:textFill>
            <w14:solidFill>
              <w14:schemeClr w14:val="tx1"/>
            </w14:solidFill>
          </w14:textFill>
        </w:rPr>
        <w:t>允许调整</w:t>
      </w:r>
      <w:r>
        <w:rPr>
          <w:rFonts w:hint="eastAsia" w:hAnsi="宋体" w:cs="宋体"/>
          <w:color w:val="000000" w:themeColor="text1"/>
          <w:sz w:val="24"/>
          <w:highlight w:val="none"/>
          <w14:textFill>
            <w14:solidFill>
              <w14:schemeClr w14:val="tx1"/>
            </w14:solidFill>
          </w14:textFill>
        </w:rPr>
        <w:t>主要材料和工程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163B97E">
      <w:pPr>
        <w:spacing w:line="360" w:lineRule="auto"/>
        <w:ind w:firstLine="480"/>
        <w:jc w:val="left"/>
        <w:rPr>
          <w:rFonts w:hAnsi="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②承包人在《</w:t>
      </w:r>
      <w:r>
        <w:rPr>
          <w:rFonts w:hAnsi="宋体" w:cs="宋体"/>
          <w:color w:val="000000" w:themeColor="text1"/>
          <w:sz w:val="24"/>
          <w:highlight w:val="none"/>
          <w:lang w:val="en"/>
          <w14:textFill>
            <w14:solidFill>
              <w14:schemeClr w14:val="tx1"/>
            </w14:solidFill>
          </w14:textFill>
        </w:rPr>
        <w:t>允许调整</w:t>
      </w:r>
      <w:r>
        <w:rPr>
          <w:rFonts w:hint="eastAsia" w:hAnsi="宋体" w:cs="宋体"/>
          <w:color w:val="000000" w:themeColor="text1"/>
          <w:sz w:val="24"/>
          <w:highlight w:val="none"/>
          <w14:textFill>
            <w14:solidFill>
              <w14:schemeClr w14:val="tx1"/>
            </w14:solidFill>
          </w14:textFill>
        </w:rPr>
        <w:t>主要材料和工程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3BE4D216">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③承包人在《</w:t>
      </w:r>
      <w:r>
        <w:rPr>
          <w:rFonts w:hAnsi="宋体" w:cs="宋体"/>
          <w:color w:val="000000" w:themeColor="text1"/>
          <w:sz w:val="24"/>
          <w:highlight w:val="none"/>
          <w:lang w:val="en"/>
          <w14:textFill>
            <w14:solidFill>
              <w14:schemeClr w14:val="tx1"/>
            </w14:solidFill>
          </w14:textFill>
        </w:rPr>
        <w:t>允许调整</w:t>
      </w:r>
      <w:r>
        <w:rPr>
          <w:rFonts w:hint="eastAsia" w:hAnsi="宋体" w:cs="宋体"/>
          <w:color w:val="000000" w:themeColor="text1"/>
          <w:sz w:val="24"/>
          <w:highlight w:val="none"/>
          <w14:textFill>
            <w14:solidFill>
              <w14:schemeClr w14:val="tx1"/>
            </w14:solidFill>
          </w14:textFill>
        </w:rPr>
        <w:t>主要材料和工程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7EFF9608">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390" w:name="_Toc13592"/>
      <w:bookmarkStart w:id="391" w:name="_Toc16395"/>
      <w:r>
        <w:rPr>
          <w:rFonts w:hint="eastAsia" w:ascii="宋体" w:hAnsi="宋体" w:cs="宋体"/>
          <w:color w:val="000000" w:themeColor="text1"/>
          <w:sz w:val="24"/>
          <w:szCs w:val="24"/>
          <w:highlight w:val="none"/>
          <w14:textFill>
            <w14:solidFill>
              <w14:schemeClr w14:val="tx1"/>
            </w14:solidFill>
          </w14:textFill>
        </w:rPr>
        <w:t>12. 合同价格、计量与支付</w:t>
      </w:r>
      <w:bookmarkEnd w:id="390"/>
      <w:bookmarkEnd w:id="391"/>
    </w:p>
    <w:p w14:paraId="5CF106EA">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92" w:name="_Toc23329"/>
      <w:bookmarkStart w:id="393" w:name="_Toc8029"/>
      <w:r>
        <w:rPr>
          <w:rFonts w:hint="eastAsia" w:ascii="宋体" w:hAnsi="宋体" w:cs="宋体"/>
          <w:color w:val="000000" w:themeColor="text1"/>
          <w:sz w:val="24"/>
          <w:szCs w:val="24"/>
          <w:highlight w:val="none"/>
          <w14:textFill>
            <w14:solidFill>
              <w14:schemeClr w14:val="tx1"/>
            </w14:solidFill>
          </w14:textFill>
        </w:rPr>
        <w:t>12.1 合同价格形式</w:t>
      </w:r>
      <w:bookmarkEnd w:id="392"/>
      <w:bookmarkEnd w:id="393"/>
    </w:p>
    <w:p w14:paraId="0B8DC6A7">
      <w:pPr>
        <w:spacing w:line="360" w:lineRule="auto"/>
        <w:ind w:firstLine="480"/>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本工程采用</w:t>
      </w:r>
      <w:r>
        <w:rPr>
          <w:rFonts w:hint="eastAsia" w:ascii="宋体" w:hAnsi="宋体" w:cs="宋体"/>
          <w:color w:val="000000" w:themeColor="text1"/>
          <w:sz w:val="24"/>
          <w:highlight w:val="none"/>
          <w:u w:val="single"/>
          <w14:textFill>
            <w14:solidFill>
              <w14:schemeClr w14:val="tx1"/>
            </w14:solidFill>
          </w14:textFill>
        </w:rPr>
        <w:t xml:space="preserve">  固定总价    </w:t>
      </w:r>
      <w:r>
        <w:rPr>
          <w:rFonts w:hint="eastAsia" w:ascii="宋体" w:hAnsi="宋体" w:cs="宋体"/>
          <w:color w:val="000000" w:themeColor="text1"/>
          <w:sz w:val="24"/>
          <w:highlight w:val="none"/>
          <w14:textFill>
            <w14:solidFill>
              <w14:schemeClr w14:val="tx1"/>
            </w14:solidFill>
          </w14:textFill>
        </w:rPr>
        <w:t>合同价格形式，合同价格包含增值税，本工程计价时采用的增值税计税方法为：一般计税法</w:t>
      </w:r>
      <w:r>
        <w:rPr>
          <w:rFonts w:hint="eastAsia" w:ascii="宋体" w:hAnsi="宋体" w:cs="宋体"/>
          <w:color w:val="000000" w:themeColor="text1"/>
          <w:sz w:val="24"/>
          <w:highlight w:val="none"/>
          <w:lang w:eastAsia="zh-CN"/>
          <w14:textFill>
            <w14:solidFill>
              <w14:schemeClr w14:val="tx1"/>
            </w14:solidFill>
          </w14:textFill>
        </w:rPr>
        <w:t>。</w:t>
      </w:r>
    </w:p>
    <w:p w14:paraId="4845C26D">
      <w:pPr>
        <w:spacing w:line="360" w:lineRule="auto"/>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总价包含的风险范围：</w:t>
      </w:r>
      <w:r>
        <w:rPr>
          <w:rFonts w:hint="eastAsia" w:ascii="宋体" w:hAnsi="宋体" w:eastAsia="宋体" w:cs="宋体"/>
          <w:color w:val="000000" w:themeColor="text1"/>
          <w:sz w:val="24"/>
          <w:szCs w:val="24"/>
          <w:highlight w:val="none"/>
          <w:u w:val="single"/>
          <w14:textFill>
            <w14:solidFill>
              <w14:schemeClr w14:val="tx1"/>
            </w14:solidFill>
          </w14:textFill>
        </w:rPr>
        <w:t>包含除政策性调整、市场价格波动</w:t>
      </w:r>
      <w:r>
        <w:rPr>
          <w:rFonts w:hint="eastAsia" w:ascii="宋体" w:hAnsi="宋体" w:eastAsia="宋体" w:cs="宋体"/>
          <w:color w:val="000000" w:themeColor="text1"/>
          <w:sz w:val="24"/>
          <w:szCs w:val="24"/>
          <w:highlight w:val="none"/>
          <w14:textFill>
            <w14:solidFill>
              <w14:schemeClr w14:val="tx1"/>
            </w14:solidFill>
          </w14:textFill>
        </w:rPr>
        <w:t>。</w:t>
      </w:r>
    </w:p>
    <w:p w14:paraId="3F66C032">
      <w:pPr>
        <w:spacing w:line="360" w:lineRule="auto"/>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①</w:t>
      </w:r>
      <w:r>
        <w:rPr>
          <w:rFonts w:hint="eastAsia" w:ascii="宋体" w:hAnsi="宋体" w:eastAsia="宋体" w:cs="宋体"/>
          <w:color w:val="000000" w:themeColor="text1"/>
          <w:sz w:val="24"/>
          <w:szCs w:val="24"/>
          <w:highlight w:val="none"/>
          <w14:textFill>
            <w14:solidFill>
              <w14:schemeClr w14:val="tx1"/>
            </w14:solidFill>
          </w14:textFill>
        </w:rPr>
        <w:t>风险范围以外合同价格的调整方法：</w:t>
      </w:r>
    </w:p>
    <w:p w14:paraId="624AE725">
      <w:pPr>
        <w:numPr>
          <w:ilvl w:val="0"/>
          <w:numId w:val="0"/>
        </w:numPr>
        <w:spacing w:line="360" w:lineRule="auto"/>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工程变更：按10.4.1变更估价原则的约定调整。</w:t>
      </w:r>
    </w:p>
    <w:p w14:paraId="48D40FB5">
      <w:pPr>
        <w:spacing w:line="360" w:lineRule="auto"/>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②政策性调整：按国家、</w:t>
      </w:r>
      <w:r>
        <w:rPr>
          <w:rFonts w:hint="eastAsia" w:ascii="宋体" w:hAnsi="宋体" w:eastAsia="宋体" w:cs="宋体"/>
          <w:color w:val="000000" w:themeColor="text1"/>
          <w:sz w:val="24"/>
          <w:szCs w:val="24"/>
          <w:highlight w:val="none"/>
          <w:lang w:eastAsia="zh-CN"/>
          <w14:textFill>
            <w14:solidFill>
              <w14:schemeClr w14:val="tx1"/>
            </w14:solidFill>
          </w14:textFill>
        </w:rPr>
        <w:t>广西壮族</w:t>
      </w:r>
      <w:r>
        <w:rPr>
          <w:rFonts w:hint="eastAsia" w:ascii="宋体" w:hAnsi="宋体" w:eastAsia="宋体" w:cs="宋体"/>
          <w:color w:val="000000" w:themeColor="text1"/>
          <w:sz w:val="24"/>
          <w:szCs w:val="24"/>
          <w:highlight w:val="none"/>
          <w14:textFill>
            <w14:solidFill>
              <w14:schemeClr w14:val="tx1"/>
            </w14:solidFill>
          </w14:textFill>
        </w:rPr>
        <w:t>自治区住房城乡建设厅或工程所在地市级住房城乡建设主管部门颁布的文件执行。</w:t>
      </w:r>
    </w:p>
    <w:p w14:paraId="171C4F0B">
      <w:pPr>
        <w:spacing w:line="360" w:lineRule="auto"/>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③市场波动引起的调整：按11.1的约定调整。</w:t>
      </w:r>
    </w:p>
    <w:p w14:paraId="2B7F8866">
      <w:pPr>
        <w:spacing w:line="360" w:lineRule="auto"/>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 4 \* GB3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④</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其它：</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37AE0697">
      <w:pPr>
        <w:spacing w:line="360" w:lineRule="auto"/>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（3）其他价格方式：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77B086E1">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94" w:name="_Toc13227"/>
      <w:bookmarkStart w:id="395" w:name="_Toc17380"/>
      <w:r>
        <w:rPr>
          <w:rFonts w:hint="eastAsia" w:ascii="宋体" w:hAnsi="宋体" w:cs="宋体"/>
          <w:color w:val="000000" w:themeColor="text1"/>
          <w:sz w:val="24"/>
          <w:szCs w:val="24"/>
          <w:highlight w:val="none"/>
          <w14:textFill>
            <w14:solidFill>
              <w14:schemeClr w14:val="tx1"/>
            </w14:solidFill>
          </w14:textFill>
        </w:rPr>
        <w:t>12.2 预付款</w:t>
      </w:r>
      <w:bookmarkEnd w:id="394"/>
      <w:bookmarkEnd w:id="395"/>
    </w:p>
    <w:p w14:paraId="69DB1B80">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12.2.1 预付款的支付</w:t>
      </w:r>
    </w:p>
    <w:p w14:paraId="712C1B18">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预付款支付比例或金额：</w:t>
      </w:r>
      <w:r>
        <w:rPr>
          <w:rFonts w:hint="eastAsia" w:ascii="宋体" w:hAnsi="宋体" w:cs="宋体"/>
          <w:color w:val="000000" w:themeColor="text1"/>
          <w:sz w:val="24"/>
          <w:highlight w:val="none"/>
          <w:u w:val="single"/>
          <w14:textFill>
            <w14:solidFill>
              <w14:schemeClr w14:val="tx1"/>
            </w14:solidFill>
          </w14:textFill>
        </w:rPr>
        <w:t xml:space="preserve"> 支付合同价款的30%作为工程预付款（扣除安全文明施工费）</w:t>
      </w:r>
    </w:p>
    <w:p w14:paraId="23A3E0E2">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预付款支付期限：</w:t>
      </w:r>
      <w:r>
        <w:rPr>
          <w:rFonts w:hint="eastAsia" w:ascii="宋体" w:hAnsi="宋体" w:cs="宋体"/>
          <w:color w:val="000000" w:themeColor="text1"/>
          <w:sz w:val="24"/>
          <w:highlight w:val="none"/>
          <w:u w:val="single"/>
          <w14:textFill>
            <w14:solidFill>
              <w14:schemeClr w14:val="tx1"/>
            </w14:solidFill>
          </w14:textFill>
        </w:rPr>
        <w:t xml:space="preserve"> 合同签订后 30天之内  </w:t>
      </w:r>
      <w:r>
        <w:rPr>
          <w:rFonts w:hint="eastAsia" w:ascii="宋体" w:hAnsi="宋体" w:cs="宋体"/>
          <w:color w:val="000000" w:themeColor="text1"/>
          <w:sz w:val="24"/>
          <w:highlight w:val="none"/>
          <w14:textFill>
            <w14:solidFill>
              <w14:schemeClr w14:val="tx1"/>
            </w14:solidFill>
          </w14:textFill>
        </w:rPr>
        <w:t>。</w:t>
      </w:r>
    </w:p>
    <w:p w14:paraId="71CB275D">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预付款扣回的方式：</w:t>
      </w:r>
      <w:r>
        <w:rPr>
          <w:rFonts w:hint="eastAsia" w:ascii="宋体" w:hAnsi="宋体" w:cs="宋体"/>
          <w:color w:val="000000" w:themeColor="text1"/>
          <w:sz w:val="24"/>
          <w:highlight w:val="none"/>
          <w:u w:val="single"/>
          <w14:textFill>
            <w14:solidFill>
              <w14:schemeClr w14:val="tx1"/>
            </w14:solidFill>
          </w14:textFill>
        </w:rPr>
        <w:t>工程量达到60%时工程进度款一次性拨付至合同价款的50%（扣除前期支付的30%工程预付款，本次实际支付进度款为合同金额的20%）。</w:t>
      </w:r>
    </w:p>
    <w:p w14:paraId="378E498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12.2.2 预付款担保</w:t>
      </w:r>
    </w:p>
    <w:p w14:paraId="66265E59">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承包人提交预付款担保的期限：</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w:t>
      </w:r>
    </w:p>
    <w:p w14:paraId="0999EC80">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396" w:name="_Toc13124"/>
      <w:bookmarkStart w:id="397" w:name="_Toc24401"/>
      <w:r>
        <w:rPr>
          <w:rFonts w:hint="eastAsia" w:ascii="宋体" w:hAnsi="宋体" w:cs="宋体"/>
          <w:color w:val="000000" w:themeColor="text1"/>
          <w:sz w:val="24"/>
          <w:szCs w:val="24"/>
          <w:highlight w:val="none"/>
          <w14:textFill>
            <w14:solidFill>
              <w14:schemeClr w14:val="tx1"/>
            </w14:solidFill>
          </w14:textFill>
        </w:rPr>
        <w:t>12.3 计量</w:t>
      </w:r>
      <w:bookmarkEnd w:id="396"/>
      <w:bookmarkEnd w:id="397"/>
    </w:p>
    <w:p w14:paraId="2C19598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12.3.1 计量原则</w:t>
      </w:r>
    </w:p>
    <w:p w14:paraId="70A80D0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工程量计算规则：</w:t>
      </w:r>
      <w:r>
        <w:rPr>
          <w:rFonts w:hint="eastAsia" w:ascii="宋体" w:hAnsi="宋体" w:cs="宋体"/>
          <w:color w:val="000000" w:themeColor="text1"/>
          <w:sz w:val="24"/>
          <w:highlight w:val="none"/>
          <w:u w:val="single"/>
          <w14:textFill>
            <w14:solidFill>
              <w14:schemeClr w14:val="tx1"/>
            </w14:solidFill>
          </w14:textFill>
        </w:rPr>
        <w:t>工程的计量均以《建设工程工程量清单计价规范》（GB50500－2013）及广西壮族自治区实施细则、《建设工程工程量清单计算规范》（GB50854~50862－2013）及广西实施细则、本工程补充项目清单为准。</w:t>
      </w:r>
    </w:p>
    <w:p w14:paraId="020E938A">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12.3.2 计量周期</w:t>
      </w:r>
    </w:p>
    <w:p w14:paraId="082C4F9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关于计量周期的约定：</w:t>
      </w:r>
      <w:r>
        <w:rPr>
          <w:rFonts w:hint="eastAsia" w:ascii="宋体" w:hAnsi="宋体" w:cs="宋体"/>
          <w:color w:val="000000" w:themeColor="text1"/>
          <w:sz w:val="24"/>
          <w:highlight w:val="none"/>
          <w:u w:val="single"/>
          <w14:textFill>
            <w14:solidFill>
              <w14:schemeClr w14:val="tx1"/>
            </w14:solidFill>
          </w14:textFill>
        </w:rPr>
        <w:t>每月25日前</w:t>
      </w:r>
      <w:r>
        <w:rPr>
          <w:rFonts w:hint="eastAsia" w:ascii="宋体" w:hAnsi="宋体" w:cs="宋体"/>
          <w:color w:val="000000" w:themeColor="text1"/>
          <w:sz w:val="24"/>
          <w:highlight w:val="none"/>
          <w14:textFill>
            <w14:solidFill>
              <w14:schemeClr w14:val="tx1"/>
            </w14:solidFill>
          </w14:textFill>
        </w:rPr>
        <w:t>。</w:t>
      </w:r>
    </w:p>
    <w:p w14:paraId="4E3941F2">
      <w:pPr>
        <w:spacing w:line="360" w:lineRule="auto"/>
        <w:ind w:firstLine="480"/>
        <w:jc w:val="left"/>
        <w:outlineLvl w:val="0"/>
        <w:rPr>
          <w:rFonts w:hint="eastAsia" w:ascii="宋体" w:hAnsi="宋体" w:cs="宋体"/>
          <w:color w:val="000000" w:themeColor="text1"/>
          <w:sz w:val="24"/>
          <w:highlight w:val="none"/>
          <w14:textFill>
            <w14:solidFill>
              <w14:schemeClr w14:val="tx1"/>
            </w14:solidFill>
          </w14:textFill>
        </w:rPr>
      </w:pPr>
      <w:bookmarkStart w:id="398" w:name="_Toc15615"/>
      <w:bookmarkStart w:id="399" w:name="_Toc8438"/>
      <w:r>
        <w:rPr>
          <w:rFonts w:hint="eastAsia" w:ascii="宋体" w:hAnsi="宋体" w:cs="宋体"/>
          <w:color w:val="000000" w:themeColor="text1"/>
          <w:sz w:val="24"/>
          <w:highlight w:val="none"/>
          <w14:textFill>
            <w14:solidFill>
              <w14:schemeClr w14:val="tx1"/>
            </w14:solidFill>
          </w14:textFill>
        </w:rPr>
        <w:t>12.3.3 单价合同的计量</w:t>
      </w:r>
      <w:bookmarkEnd w:id="398"/>
      <w:bookmarkEnd w:id="399"/>
    </w:p>
    <w:p w14:paraId="595C2BA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关于单价合同计量的约定：</w:t>
      </w:r>
    </w:p>
    <w:p w14:paraId="622C1904">
      <w:pPr>
        <w:spacing w:line="360" w:lineRule="auto"/>
        <w:ind w:firstLine="504"/>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工程量清单所列的工程量，不能作为承包人按合同履行其责任依据，实际施工中发生的工程量增加或减少并不影响承包人履行合同的责任，工程结算以完成的实际工程量为准。</w:t>
      </w:r>
    </w:p>
    <w:p w14:paraId="622FB310">
      <w:pPr>
        <w:spacing w:line="360" w:lineRule="auto"/>
        <w:ind w:firstLine="504"/>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 除另有规定外，工程师应按照合同通过计量来核实确定已完成的工程量和价款，承包人应得到该价款扣除保留金后的金额。当工程师要对已完工的工程量进行计量时，应适时地通知承包人参加。</w:t>
      </w:r>
    </w:p>
    <w:p w14:paraId="7DA5B12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12.3.4 总价合同的计量</w:t>
      </w:r>
    </w:p>
    <w:p w14:paraId="258CF7E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（1）总价合同计量约定：进度款按支付分解表支付，支付分解表在招标完成后签合同之前制定，具体详见本专用合同条款12.4.6。</w:t>
      </w:r>
    </w:p>
    <w:p w14:paraId="6CB5164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12.3.6 其他价格形式合同的计量</w:t>
      </w:r>
    </w:p>
    <w:p w14:paraId="26E735FF">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其他价格形式的计量方式和程序：</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w:t>
      </w:r>
    </w:p>
    <w:p w14:paraId="256A79AF">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00" w:name="_Toc27742"/>
      <w:bookmarkStart w:id="401" w:name="_Toc16581"/>
      <w:r>
        <w:rPr>
          <w:rFonts w:hint="eastAsia" w:ascii="宋体" w:hAnsi="宋体" w:cs="宋体"/>
          <w:color w:val="000000" w:themeColor="text1"/>
          <w:sz w:val="24"/>
          <w:szCs w:val="24"/>
          <w:highlight w:val="none"/>
          <w14:textFill>
            <w14:solidFill>
              <w14:schemeClr w14:val="tx1"/>
            </w14:solidFill>
          </w14:textFill>
        </w:rPr>
        <w:t>12.4 工程进度款支付</w:t>
      </w:r>
      <w:bookmarkEnd w:id="400"/>
      <w:bookmarkEnd w:id="401"/>
    </w:p>
    <w:p w14:paraId="37B5B3F3">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12.4.1 付款周期</w:t>
      </w:r>
    </w:p>
    <w:p w14:paraId="6ACEA67F">
      <w:pPr>
        <w:spacing w:line="360" w:lineRule="auto"/>
        <w:ind w:firstLine="480"/>
        <w:jc w:val="left"/>
        <w:rPr>
          <w:rFonts w:hint="eastAsia"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①合同签订后，按工程进度拨付工程进度款，工程量达到60%时工程进度款拨付至合同价款的50%（扣除前期支付的30%工程预付款，本次实际支付进度款为合同金额的20%），工程完工后支付至合同价款的</w:t>
      </w:r>
      <w:r>
        <w:rPr>
          <w:rFonts w:hint="eastAsia" w:ascii="宋体" w:hAnsi="宋体" w:cs="宋体"/>
          <w:color w:val="000000" w:themeColor="text1"/>
          <w:sz w:val="24"/>
          <w:highlight w:val="none"/>
          <w:u w:val="single"/>
          <w:lang w:eastAsia="zh-CN"/>
          <w14:textFill>
            <w14:solidFill>
              <w14:schemeClr w14:val="tx1"/>
            </w14:solidFill>
          </w14:textFill>
        </w:rPr>
        <w:t>80%</w:t>
      </w:r>
      <w:r>
        <w:rPr>
          <w:rFonts w:hint="eastAsia" w:ascii="宋体" w:hAnsi="宋体" w:cs="宋体"/>
          <w:color w:val="000000" w:themeColor="text1"/>
          <w:sz w:val="24"/>
          <w:highlight w:val="none"/>
          <w:u w:val="single"/>
          <w14:textFill>
            <w14:solidFill>
              <w14:schemeClr w14:val="tx1"/>
            </w14:solidFill>
          </w14:textFill>
        </w:rPr>
        <w:t>，经结算审计后支付至</w:t>
      </w:r>
      <w:r>
        <w:rPr>
          <w:rFonts w:hint="eastAsia" w:ascii="宋体" w:hAnsi="宋体" w:cs="宋体"/>
          <w:color w:val="000000" w:themeColor="text1"/>
          <w:sz w:val="24"/>
          <w:highlight w:val="none"/>
          <w:u w:val="single"/>
          <w:lang w:eastAsia="zh-CN"/>
          <w14:textFill>
            <w14:solidFill>
              <w14:schemeClr w14:val="tx1"/>
            </w14:solidFill>
          </w14:textFill>
        </w:rPr>
        <w:t>结算总价</w:t>
      </w:r>
      <w:r>
        <w:rPr>
          <w:rFonts w:hint="eastAsia" w:ascii="宋体" w:hAnsi="宋体" w:eastAsia="宋体" w:cs="宋体"/>
          <w:color w:val="000000" w:themeColor="text1"/>
          <w:sz w:val="24"/>
          <w:highlight w:val="none"/>
          <w:u w:val="single"/>
          <w:lang w:eastAsia="zh-CN"/>
          <w14:textFill>
            <w14:solidFill>
              <w14:schemeClr w14:val="tx1"/>
            </w14:solidFill>
          </w14:textFill>
        </w:rPr>
        <w:t>的100%。质量保证金总额为结算总价的3%，承包人可按照结算总价的3%提供质量保证金保函或缴纳质量保证金到发包人指定的账户后工程款可支付至100%，质量保证金待工程缺陷责任期满后承包人无违约行为发生的情况下，由承包人提出申请，发包人在7个工作日内无息返还。</w:t>
      </w:r>
    </w:p>
    <w:p w14:paraId="6AD67FA9">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②合同约定的工程质量缺陷责任期（最长不超过 2 年）满后由承包人向发包人提出返还保证金的申请，逾期未返还的，依法承担违约责任。发包人在接到承包人返还保证金申请后 14 天内不予答复，经催告后 14 天内仍不予答复，视同认可承包人的返还保证金申请。 </w:t>
      </w:r>
    </w:p>
    <w:p w14:paraId="6282CB4F">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12.4.2 进度付款申请单的编制</w:t>
      </w:r>
    </w:p>
    <w:p w14:paraId="682AB444">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关于进度付款申请单编制的约定：</w:t>
      </w:r>
      <w:r>
        <w:rPr>
          <w:rFonts w:hint="eastAsia" w:ascii="宋体" w:hAnsi="宋体" w:cs="宋体"/>
          <w:color w:val="000000" w:themeColor="text1"/>
          <w:sz w:val="24"/>
          <w:highlight w:val="none"/>
          <w:u w:val="single"/>
          <w14:textFill>
            <w14:solidFill>
              <w14:schemeClr w14:val="tx1"/>
            </w14:solidFill>
          </w14:textFill>
        </w:rPr>
        <w:t xml:space="preserve">      每月 25 日前     </w:t>
      </w:r>
      <w:r>
        <w:rPr>
          <w:rFonts w:hint="eastAsia" w:ascii="宋体" w:hAnsi="宋体" w:cs="宋体"/>
          <w:color w:val="000000" w:themeColor="text1"/>
          <w:sz w:val="24"/>
          <w:highlight w:val="none"/>
          <w14:textFill>
            <w14:solidFill>
              <w14:schemeClr w14:val="tx1"/>
            </w14:solidFill>
          </w14:textFill>
        </w:rPr>
        <w:t>。</w:t>
      </w:r>
    </w:p>
    <w:p w14:paraId="56E9CCF4">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12.4.3 进度付款申请单的提交</w:t>
      </w:r>
    </w:p>
    <w:p w14:paraId="217FA80D">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（1）单价合同进度付款申请单提交的约定：</w:t>
      </w:r>
      <w:r>
        <w:rPr>
          <w:rFonts w:hint="eastAsia" w:ascii="宋体" w:hAnsi="宋体" w:cs="宋体"/>
          <w:color w:val="000000" w:themeColor="text1"/>
          <w:sz w:val="24"/>
          <w:highlight w:val="none"/>
          <w:u w:val="single"/>
          <w14:textFill>
            <w14:solidFill>
              <w14:schemeClr w14:val="tx1"/>
            </w14:solidFill>
          </w14:textFill>
        </w:rPr>
        <w:t xml:space="preserve">   承包人每月 25 日，向发包人递交当月已完工程量工程进度款申请，并附已完成工程量报表   </w:t>
      </w:r>
      <w:r>
        <w:rPr>
          <w:rFonts w:hint="eastAsia" w:ascii="宋体" w:hAnsi="宋体" w:cs="宋体"/>
          <w:color w:val="000000" w:themeColor="text1"/>
          <w:sz w:val="24"/>
          <w:highlight w:val="none"/>
          <w14:textFill>
            <w14:solidFill>
              <w14:schemeClr w14:val="tx1"/>
            </w14:solidFill>
          </w14:textFill>
        </w:rPr>
        <w:t>。</w:t>
      </w:r>
    </w:p>
    <w:p w14:paraId="11B52544">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（2）总价合同进度付款申请单提交的约定：</w:t>
      </w:r>
      <w:r>
        <w:rPr>
          <w:rFonts w:hint="eastAsia" w:ascii="宋体" w:hAnsi="宋体" w:cs="宋体"/>
          <w:color w:val="000000" w:themeColor="text1"/>
          <w:sz w:val="24"/>
          <w:highlight w:val="none"/>
          <w:u w:val="single"/>
          <w14:textFill>
            <w14:solidFill>
              <w14:schemeClr w14:val="tx1"/>
            </w14:solidFill>
          </w14:textFill>
        </w:rPr>
        <w:t xml:space="preserve"> 承包人应在每个计量周期到期后的 7 天内向发包人提交已完工程进度款支付申请一式六份，详细说明此周期自己认为有权得到的款额，包括分包人已完工程的价款   </w:t>
      </w:r>
      <w:r>
        <w:rPr>
          <w:rFonts w:hint="eastAsia" w:ascii="宋体" w:hAnsi="宋体" w:cs="宋体"/>
          <w:color w:val="000000" w:themeColor="text1"/>
          <w:sz w:val="24"/>
          <w:highlight w:val="none"/>
          <w14:textFill>
            <w14:solidFill>
              <w14:schemeClr w14:val="tx1"/>
            </w14:solidFill>
          </w14:textFill>
        </w:rPr>
        <w:t>。</w:t>
      </w:r>
    </w:p>
    <w:p w14:paraId="1980CD88">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（3）其他价格形式合同进度付款申请单提交的约定：</w:t>
      </w:r>
      <w:r>
        <w:rPr>
          <w:rFonts w:hint="eastAsia" w:ascii="宋体" w:hAnsi="宋体" w:cs="宋体"/>
          <w:color w:val="000000" w:themeColor="text1"/>
          <w:sz w:val="24"/>
          <w:highlight w:val="none"/>
          <w:u w:val="single"/>
          <w14:textFill>
            <w14:solidFill>
              <w14:schemeClr w14:val="tx1"/>
            </w14:solidFill>
          </w14:textFill>
        </w:rPr>
        <w:t xml:space="preserve">     每月 25 日前    </w:t>
      </w:r>
      <w:r>
        <w:rPr>
          <w:rFonts w:hint="eastAsia" w:ascii="宋体" w:hAnsi="宋体" w:cs="宋体"/>
          <w:color w:val="000000" w:themeColor="text1"/>
          <w:sz w:val="24"/>
          <w:highlight w:val="none"/>
          <w14:textFill>
            <w14:solidFill>
              <w14:schemeClr w14:val="tx1"/>
            </w14:solidFill>
          </w14:textFill>
        </w:rPr>
        <w:t>。</w:t>
      </w:r>
    </w:p>
    <w:p w14:paraId="18CEDBA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12.4.4 进度款审核和支付</w:t>
      </w:r>
    </w:p>
    <w:p w14:paraId="19500C79">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（1）监理人审查并报送发包人的期限：</w:t>
      </w:r>
      <w:r>
        <w:rPr>
          <w:rFonts w:hint="eastAsia" w:ascii="宋体" w:hAnsi="宋体" w:cs="宋体"/>
          <w:color w:val="000000" w:themeColor="text1"/>
          <w:sz w:val="24"/>
          <w:highlight w:val="none"/>
          <w:u w:val="single"/>
          <w14:textFill>
            <w14:solidFill>
              <w14:schemeClr w14:val="tx1"/>
            </w14:solidFill>
          </w14:textFill>
        </w:rPr>
        <w:t xml:space="preserve"> 监理人应在收到承包人进度付款申请单以及相关资料后 7 天内完成审查并报送发包人   </w:t>
      </w:r>
      <w:r>
        <w:rPr>
          <w:rFonts w:hint="eastAsia" w:ascii="宋体" w:hAnsi="宋体" w:cs="宋体"/>
          <w:color w:val="000000" w:themeColor="text1"/>
          <w:sz w:val="24"/>
          <w:highlight w:val="none"/>
          <w14:textFill>
            <w14:solidFill>
              <w14:schemeClr w14:val="tx1"/>
            </w14:solidFill>
          </w14:textFill>
        </w:rPr>
        <w:t>。</w:t>
      </w:r>
    </w:p>
    <w:p w14:paraId="4964CD3A">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发包人完成审批并签发进度款支付证书的期限：</w:t>
      </w:r>
      <w:r>
        <w:rPr>
          <w:rFonts w:hint="eastAsia" w:ascii="宋体" w:hAnsi="宋体" w:cs="宋体"/>
          <w:color w:val="000000" w:themeColor="text1"/>
          <w:sz w:val="24"/>
          <w:highlight w:val="none"/>
          <w:u w:val="single"/>
          <w14:textFill>
            <w14:solidFill>
              <w14:schemeClr w14:val="tx1"/>
            </w14:solidFill>
          </w14:textFill>
        </w:rPr>
        <w:t xml:space="preserve">发包人应在收到后 7 天内完成审批并签发进度款支付证书       </w:t>
      </w:r>
      <w:r>
        <w:rPr>
          <w:rFonts w:hint="eastAsia" w:ascii="宋体" w:hAnsi="宋体" w:cs="宋体"/>
          <w:color w:val="000000" w:themeColor="text1"/>
          <w:sz w:val="24"/>
          <w:highlight w:val="none"/>
          <w14:textFill>
            <w14:solidFill>
              <w14:schemeClr w14:val="tx1"/>
            </w14:solidFill>
          </w14:textFill>
        </w:rPr>
        <w:t>。</w:t>
      </w:r>
    </w:p>
    <w:p w14:paraId="11D91FE6">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（2）发包人支付进度款的期限：</w:t>
      </w:r>
      <w:r>
        <w:rPr>
          <w:rFonts w:hint="eastAsia" w:ascii="宋体" w:hAnsi="宋体" w:cs="宋体"/>
          <w:color w:val="000000" w:themeColor="text1"/>
          <w:sz w:val="24"/>
          <w:highlight w:val="none"/>
          <w:u w:val="single"/>
          <w14:textFill>
            <w14:solidFill>
              <w14:schemeClr w14:val="tx1"/>
            </w14:solidFill>
          </w14:textFill>
        </w:rPr>
        <w:t xml:space="preserve">  进度款支付证书签发后 7 天内  </w:t>
      </w:r>
      <w:r>
        <w:rPr>
          <w:rFonts w:hint="eastAsia" w:ascii="宋体" w:hAnsi="宋体" w:cs="宋体"/>
          <w:color w:val="000000" w:themeColor="text1"/>
          <w:sz w:val="24"/>
          <w:highlight w:val="none"/>
          <w14:textFill>
            <w14:solidFill>
              <w14:schemeClr w14:val="tx1"/>
            </w14:solidFill>
          </w14:textFill>
        </w:rPr>
        <w:t>。</w:t>
      </w:r>
    </w:p>
    <w:p w14:paraId="3D0443BE">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发包人逾期支付进度款的违约金的计算方式：</w:t>
      </w:r>
      <w:r>
        <w:rPr>
          <w:rFonts w:hint="eastAsia" w:ascii="宋体" w:hAnsi="宋体" w:cs="宋体"/>
          <w:color w:val="000000" w:themeColor="text1"/>
          <w:sz w:val="24"/>
          <w:highlight w:val="none"/>
          <w:u w:val="single"/>
          <w14:textFill>
            <w14:solidFill>
              <w14:schemeClr w14:val="tx1"/>
            </w14:solidFill>
          </w14:textFill>
        </w:rPr>
        <w:t xml:space="preserve">   按《通用合同条款》执行 </w:t>
      </w:r>
      <w:r>
        <w:rPr>
          <w:rFonts w:hint="eastAsia" w:ascii="宋体" w:hAnsi="宋体" w:cs="宋体"/>
          <w:color w:val="000000" w:themeColor="text1"/>
          <w:sz w:val="24"/>
          <w:highlight w:val="none"/>
          <w14:textFill>
            <w14:solidFill>
              <w14:schemeClr w14:val="tx1"/>
            </w14:solidFill>
          </w14:textFill>
        </w:rPr>
        <w:t>。</w:t>
      </w:r>
    </w:p>
    <w:p w14:paraId="1BA4C0F9">
      <w:pPr>
        <w:spacing w:line="360" w:lineRule="auto"/>
        <w:ind w:firstLine="7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进度款支付方式：</w:t>
      </w:r>
      <w:r>
        <w:rPr>
          <w:rFonts w:hint="eastAsia" w:ascii="宋体" w:hAnsi="宋体" w:cs="宋体"/>
          <w:color w:val="000000" w:themeColor="text1"/>
          <w:sz w:val="24"/>
          <w:highlight w:val="none"/>
          <w:u w:val="single"/>
          <w14:textFill>
            <w14:solidFill>
              <w14:schemeClr w14:val="tx1"/>
            </w14:solidFill>
          </w14:textFill>
        </w:rPr>
        <w:t>银行转账</w:t>
      </w:r>
      <w:r>
        <w:rPr>
          <w:rFonts w:hint="eastAsia" w:ascii="宋体" w:hAnsi="宋体" w:cs="宋体"/>
          <w:color w:val="000000" w:themeColor="text1"/>
          <w:sz w:val="24"/>
          <w:highlight w:val="none"/>
          <w14:textFill>
            <w14:solidFill>
              <w14:schemeClr w14:val="tx1"/>
            </w14:solidFill>
          </w14:textFill>
        </w:rPr>
        <w:t>。进度款支付申请（核准）表见合同附件11。</w:t>
      </w:r>
    </w:p>
    <w:p w14:paraId="1F1B2B5A">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农民工工资支付</w:t>
      </w:r>
    </w:p>
    <w:p w14:paraId="7931DACA">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59C2A6F">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2）人工费应与工程进度款分</w:t>
      </w:r>
      <w:r>
        <w:rPr>
          <w:rFonts w:hint="eastAsia" w:ascii="宋体" w:hAnsi="宋体" w:cs="宋体"/>
          <w:color w:val="000000" w:themeColor="text1"/>
          <w:sz w:val="24"/>
          <w:highlight w:val="none"/>
          <w:lang w:eastAsia="zh-CN"/>
          <w14:textFill>
            <w14:solidFill>
              <w14:schemeClr w14:val="tx1"/>
            </w14:solidFill>
          </w14:textFill>
        </w:rPr>
        <w:t>账</w:t>
      </w:r>
      <w:r>
        <w:rPr>
          <w:rFonts w:hint="eastAsia" w:ascii="宋体" w:hAnsi="宋体" w:cs="宋体"/>
          <w:color w:val="000000" w:themeColor="text1"/>
          <w:sz w:val="24"/>
          <w:highlight w:val="none"/>
          <w14:textFill>
            <w14:solidFill>
              <w14:schemeClr w14:val="tx1"/>
            </w14:solidFill>
          </w14:textFill>
        </w:rPr>
        <w:t>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w:t>
      </w:r>
      <w:r>
        <w:rPr>
          <w:rFonts w:hint="eastAsia" w:ascii="宋体" w:hAnsi="宋体" w:cs="宋体"/>
          <w:color w:val="000000" w:themeColor="text1"/>
          <w:sz w:val="24"/>
          <w:highlight w:val="none"/>
          <w:lang w:eastAsia="zh-CN"/>
          <w14:textFill>
            <w14:solidFill>
              <w14:schemeClr w14:val="tx1"/>
            </w14:solidFill>
          </w14:textFill>
        </w:rPr>
        <w:t>账</w:t>
      </w:r>
      <w:r>
        <w:rPr>
          <w:rFonts w:hint="eastAsia" w:ascii="宋体" w:hAnsi="宋体" w:cs="宋体"/>
          <w:color w:val="000000" w:themeColor="text1"/>
          <w:sz w:val="24"/>
          <w:highlight w:val="none"/>
          <w14:textFill>
            <w14:solidFill>
              <w14:schemeClr w14:val="tx1"/>
            </w14:solidFill>
          </w14:textFill>
        </w:rPr>
        <w:t>出来的人工费转入承包人农民工工资支付专用账户，转入农民工工资支付专用账户环节必须有银行流水凭证。</w:t>
      </w:r>
    </w:p>
    <w:p w14:paraId="354D3E8D">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3）发包人依据工程进度，审核承包人申报的工程进度款，按照与承包人约定的人工费支付比例</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%（房建项目不少于20%，市政项目不少于15%），将人工费及时足额拨付至承包人的农民工工资专用账户，其余工程进度款项由发包人支付到承包人的单位基本户。</w:t>
      </w:r>
    </w:p>
    <w:p w14:paraId="4A5D682D">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0ECC5EAC">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5）凡未向付款单位提供农民工工资专用账户的，或者请款单位在申请工程进度款时未将人工费单列的，付款单位有权拒绝支付工程进度款。</w:t>
      </w:r>
    </w:p>
    <w:p w14:paraId="37DCB487">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6）人工费使用要求：专款专用，除发放农民工工资外，不得用于其他用途。</w:t>
      </w:r>
    </w:p>
    <w:p w14:paraId="2D3EFEDC">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7）承包人将人工费支付情况定期报告发包人和监理单位，并提供相应的材料接受建设行政主管部门和劳动保障行政主管部门对此事项监管。</w:t>
      </w:r>
    </w:p>
    <w:p w14:paraId="7880BF43">
      <w:pPr>
        <w:spacing w:line="360" w:lineRule="auto"/>
        <w:ind w:firstLine="480"/>
        <w:jc w:val="left"/>
        <w:rPr>
          <w:rFonts w:hint="eastAsia" w:ascii="宋体" w:hAnsi="宋体" w:cs="宋体"/>
          <w:b/>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r>
        <w:rPr>
          <w:rFonts w:hint="eastAsia" w:ascii="宋体" w:hAnsi="宋体" w:cs="宋体"/>
          <w:b/>
          <w:bCs/>
          <w:color w:val="000000" w:themeColor="text1"/>
          <w:sz w:val="24"/>
          <w:highlight w:val="none"/>
          <w14:textFill>
            <w14:solidFill>
              <w14:schemeClr w14:val="tx1"/>
            </w14:solidFill>
          </w14:textFill>
        </w:rPr>
        <w:t>人工费支付专用账户</w:t>
      </w:r>
      <w:r>
        <w:rPr>
          <w:rFonts w:hint="eastAsia" w:ascii="宋体" w:hAnsi="宋体" w:cs="宋体"/>
          <w:b/>
          <w:bCs/>
          <w:color w:val="000000" w:themeColor="text1"/>
          <w:spacing w:val="-6"/>
          <w:sz w:val="24"/>
          <w:highlight w:val="none"/>
          <w14:textFill>
            <w14:solidFill>
              <w14:schemeClr w14:val="tx1"/>
            </w14:solidFill>
          </w14:textFill>
        </w:rPr>
        <w:t>：</w:t>
      </w:r>
      <w:r>
        <w:rPr>
          <w:rFonts w:hint="eastAsia" w:ascii="宋体" w:hAnsi="宋体" w:cs="宋体"/>
          <w:b/>
          <w:bCs/>
          <w:color w:val="000000" w:themeColor="text1"/>
          <w:spacing w:val="-6"/>
          <w:sz w:val="24"/>
          <w:highlight w:val="none"/>
          <w:u w:val="single"/>
          <w14:textFill>
            <w14:solidFill>
              <w14:schemeClr w14:val="tx1"/>
            </w14:solidFill>
          </w14:textFill>
        </w:rPr>
        <w:t xml:space="preserve">      </w:t>
      </w:r>
      <w:r>
        <w:rPr>
          <w:rFonts w:hint="eastAsia" w:ascii="宋体" w:hAnsi="宋体" w:cs="宋体"/>
          <w:b/>
          <w:bCs/>
          <w:color w:val="000000" w:themeColor="text1"/>
          <w:spacing w:val="-6"/>
          <w:sz w:val="24"/>
          <w:highlight w:val="none"/>
          <w14:textFill>
            <w14:solidFill>
              <w14:schemeClr w14:val="tx1"/>
            </w14:solidFill>
          </w14:textFill>
        </w:rPr>
        <w:t>。</w:t>
      </w:r>
    </w:p>
    <w:p w14:paraId="5D1F769E">
      <w:pPr>
        <w:spacing w:line="360" w:lineRule="auto"/>
        <w:ind w:firstLine="723"/>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账号：</w:t>
      </w:r>
      <w:r>
        <w:rPr>
          <w:rFonts w:hint="eastAsia" w:ascii="宋体" w:hAnsi="宋体" w:cs="宋体"/>
          <w:b/>
          <w:bCs/>
          <w:color w:val="000000" w:themeColor="text1"/>
          <w:sz w:val="24"/>
          <w:highlight w:val="none"/>
          <w:u w:val="single"/>
          <w14:textFill>
            <w14:solidFill>
              <w14:schemeClr w14:val="tx1"/>
            </w14:solidFill>
          </w14:textFill>
        </w:rPr>
        <w:t xml:space="preserve">      </w:t>
      </w:r>
      <w:r>
        <w:rPr>
          <w:rFonts w:hint="eastAsia" w:ascii="宋体" w:hAnsi="宋体" w:cs="宋体"/>
          <w:b/>
          <w:bCs/>
          <w:color w:val="000000" w:themeColor="text1"/>
          <w:sz w:val="24"/>
          <w:highlight w:val="none"/>
          <w14:textFill>
            <w14:solidFill>
              <w14:schemeClr w14:val="tx1"/>
            </w14:solidFill>
          </w14:textFill>
        </w:rPr>
        <w:t>。</w:t>
      </w:r>
    </w:p>
    <w:p w14:paraId="3179B331">
      <w:pPr>
        <w:pStyle w:val="374"/>
        <w:spacing w:line="360" w:lineRule="auto"/>
        <w:ind w:firstLine="723"/>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开户银行：</w:t>
      </w:r>
      <w:r>
        <w:rPr>
          <w:rFonts w:hint="eastAsia" w:ascii="宋体" w:hAnsi="宋体" w:cs="宋体"/>
          <w:b/>
          <w:bCs/>
          <w:color w:val="000000" w:themeColor="text1"/>
          <w:sz w:val="24"/>
          <w:szCs w:val="24"/>
          <w:highlight w:val="none"/>
          <w:u w:val="single"/>
          <w14:textFill>
            <w14:solidFill>
              <w14:schemeClr w14:val="tx1"/>
            </w14:solidFill>
          </w14:textFill>
        </w:rPr>
        <w:t xml:space="preserve">      </w:t>
      </w:r>
      <w:r>
        <w:rPr>
          <w:rFonts w:hint="eastAsia" w:ascii="宋体" w:hAnsi="宋体" w:cs="宋体"/>
          <w:b/>
          <w:bCs/>
          <w:color w:val="000000" w:themeColor="text1"/>
          <w:sz w:val="24"/>
          <w:szCs w:val="24"/>
          <w:highlight w:val="none"/>
          <w14:textFill>
            <w14:solidFill>
              <w14:schemeClr w14:val="tx1"/>
            </w14:solidFill>
          </w14:textFill>
        </w:rPr>
        <w:t>。</w:t>
      </w:r>
    </w:p>
    <w:p w14:paraId="02FC0655">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（4）农民工工资保证金：</w:t>
      </w:r>
    </w:p>
    <w:p w14:paraId="7D588C2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农民工工资</w:t>
      </w:r>
      <w:r>
        <w:rPr>
          <w:rFonts w:hint="eastAsia" w:ascii="宋体" w:hAnsi="宋体" w:cs="宋体"/>
          <w:color w:val="000000" w:themeColor="text1"/>
          <w:sz w:val="24"/>
          <w:highlight w:val="none"/>
          <w14:textFill>
            <w14:solidFill>
              <w14:schemeClr w14:val="tx1"/>
            </w14:solidFill>
          </w14:textFill>
        </w:rPr>
        <w:t>保证金的方式、金额及期限:</w:t>
      </w:r>
      <w:r>
        <w:rPr>
          <w:rFonts w:hint="eastAsia" w:ascii="宋体" w:hAnsi="宋体" w:cs="宋体"/>
          <w:color w:val="000000" w:themeColor="text1"/>
          <w:sz w:val="24"/>
          <w:highlight w:val="none"/>
          <w:lang w:eastAsia="zh-CN"/>
          <w14:textFill>
            <w14:solidFill>
              <w14:schemeClr w14:val="tx1"/>
            </w14:solidFill>
          </w14:textFill>
        </w:rPr>
        <w:t>成交</w:t>
      </w:r>
      <w:r>
        <w:rPr>
          <w:rFonts w:hint="eastAsia" w:ascii="宋体" w:hAnsi="宋体" w:cs="宋体"/>
          <w:color w:val="000000" w:themeColor="text1"/>
          <w:sz w:val="24"/>
          <w:highlight w:val="none"/>
          <w14:textFill>
            <w14:solidFill>
              <w14:schemeClr w14:val="tx1"/>
            </w14:solidFill>
          </w14:textFill>
        </w:rPr>
        <w:t>后30日内向发包人提交</w:t>
      </w:r>
      <w:r>
        <w:rPr>
          <w:rFonts w:hint="eastAsia" w:ascii="宋体" w:hAnsi="宋体" w:cs="宋体"/>
          <w:color w:val="000000" w:themeColor="text1"/>
          <w:sz w:val="24"/>
          <w:highlight w:val="none"/>
          <w:lang w:eastAsia="zh-CN"/>
          <w14:textFill>
            <w14:solidFill>
              <w14:schemeClr w14:val="tx1"/>
            </w14:solidFill>
          </w14:textFill>
        </w:rPr>
        <w:t>农民工工资</w:t>
      </w:r>
      <w:r>
        <w:rPr>
          <w:rFonts w:hint="eastAsia" w:ascii="宋体" w:hAnsi="宋体" w:cs="宋体"/>
          <w:color w:val="000000" w:themeColor="text1"/>
          <w:sz w:val="24"/>
          <w:highlight w:val="none"/>
          <w14:textFill>
            <w14:solidFill>
              <w14:schemeClr w14:val="tx1"/>
            </w14:solidFill>
          </w14:textFill>
        </w:rPr>
        <w:t>保证金，</w:t>
      </w:r>
      <w:r>
        <w:rPr>
          <w:rFonts w:hint="eastAsia" w:ascii="宋体" w:hAnsi="宋体" w:cs="宋体"/>
          <w:color w:val="000000" w:themeColor="text1"/>
          <w:sz w:val="24"/>
          <w:highlight w:val="none"/>
          <w:lang w:eastAsia="zh-CN"/>
          <w14:textFill>
            <w14:solidFill>
              <w14:schemeClr w14:val="tx1"/>
            </w14:solidFill>
          </w14:textFill>
        </w:rPr>
        <w:t>农民工工资</w:t>
      </w:r>
      <w:r>
        <w:rPr>
          <w:rFonts w:hint="eastAsia" w:ascii="宋体" w:hAnsi="宋体" w:cs="宋体"/>
          <w:color w:val="000000" w:themeColor="text1"/>
          <w:sz w:val="24"/>
          <w:highlight w:val="none"/>
          <w14:textFill>
            <w14:solidFill>
              <w14:schemeClr w14:val="tx1"/>
            </w14:solidFill>
          </w14:textFill>
        </w:rPr>
        <w:t>保证金的有效期必须涵盖工程竣工验收合格并对验收发现的问题完成整改后且承包人向发包人完成竣工资料手续时间内。</w:t>
      </w:r>
    </w:p>
    <w:p w14:paraId="08760927">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工程竣工验收合格并对验收发现的问题完成整改且承包人向发包人完成竣工资料移交手续后，经发包人同意，承包人可申请退还</w:t>
      </w:r>
      <w:r>
        <w:rPr>
          <w:rFonts w:hint="eastAsia" w:ascii="宋体" w:hAnsi="宋体" w:cs="宋体"/>
          <w:color w:val="000000" w:themeColor="text1"/>
          <w:sz w:val="24"/>
          <w:highlight w:val="none"/>
          <w:lang w:eastAsia="zh-CN"/>
          <w14:textFill>
            <w14:solidFill>
              <w14:schemeClr w14:val="tx1"/>
            </w14:solidFill>
          </w14:textFill>
        </w:rPr>
        <w:t>农民工工资</w:t>
      </w:r>
      <w:r>
        <w:rPr>
          <w:rFonts w:hint="eastAsia" w:ascii="宋体" w:hAnsi="宋体" w:cs="宋体"/>
          <w:color w:val="000000" w:themeColor="text1"/>
          <w:sz w:val="24"/>
          <w:highlight w:val="none"/>
          <w14:textFill>
            <w14:solidFill>
              <w14:schemeClr w14:val="tx1"/>
            </w14:solidFill>
          </w14:textFill>
        </w:rPr>
        <w:t>保证金，发包人在收到承包人的申请之日起28个日历天内将农民工工资保证金退还给承包人（无息）。</w:t>
      </w:r>
    </w:p>
    <w:p w14:paraId="3900B017">
      <w:pPr>
        <w:spacing w:line="360" w:lineRule="auto"/>
        <w:ind w:firstLine="6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12.4.6 支付分解表的编制</w:t>
      </w:r>
    </w:p>
    <w:p w14:paraId="309E949D">
      <w:pPr>
        <w:spacing w:line="360" w:lineRule="auto"/>
        <w:ind w:firstLine="60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总价合同支付分解表的编制与审批：</w:t>
      </w:r>
      <w:r>
        <w:rPr>
          <w:rFonts w:hint="eastAsia" w:ascii="宋体" w:hAnsi="宋体" w:cs="宋体"/>
          <w:color w:val="000000" w:themeColor="text1"/>
          <w:sz w:val="24"/>
          <w:highlight w:val="none"/>
          <w:u w:val="single"/>
          <w14:textFill>
            <w14:solidFill>
              <w14:schemeClr w14:val="tx1"/>
            </w14:solidFill>
          </w14:textFill>
        </w:rPr>
        <w:t xml:space="preserve"> 总价合同支付分解表在招标完成后由发包人和承包人共同编制，发包人审批，并作为本合同内容，具体详见合同附件14。</w:t>
      </w:r>
    </w:p>
    <w:p w14:paraId="5434EA85">
      <w:pPr>
        <w:spacing w:line="360" w:lineRule="auto"/>
        <w:ind w:firstLine="60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（2）单价合同的总价项目支付分解表的编制与审批：总价项目不采用支付分解表的方式计算，而按《建设工程工程量清单计价规范（GB50500-2013）广西壮族自治区实施细则》的规定执行。</w:t>
      </w:r>
    </w:p>
    <w:p w14:paraId="167AD3DD">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402" w:name="_Toc25331"/>
      <w:bookmarkStart w:id="403" w:name="_Toc13537"/>
      <w:r>
        <w:rPr>
          <w:rFonts w:hint="eastAsia" w:ascii="宋体" w:hAnsi="宋体" w:cs="宋体"/>
          <w:color w:val="000000" w:themeColor="text1"/>
          <w:sz w:val="24"/>
          <w:szCs w:val="24"/>
          <w:highlight w:val="none"/>
          <w14:textFill>
            <w14:solidFill>
              <w14:schemeClr w14:val="tx1"/>
            </w14:solidFill>
          </w14:textFill>
        </w:rPr>
        <w:t>13. 验收和工程试车</w:t>
      </w:r>
      <w:bookmarkEnd w:id="402"/>
      <w:bookmarkEnd w:id="403"/>
    </w:p>
    <w:p w14:paraId="61EF7810">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04" w:name="_Toc25237"/>
      <w:bookmarkStart w:id="405" w:name="_Toc10268"/>
      <w:r>
        <w:rPr>
          <w:rFonts w:hint="eastAsia" w:ascii="宋体" w:hAnsi="宋体" w:cs="宋体"/>
          <w:color w:val="000000" w:themeColor="text1"/>
          <w:sz w:val="24"/>
          <w:szCs w:val="24"/>
          <w:highlight w:val="none"/>
          <w14:textFill>
            <w14:solidFill>
              <w14:schemeClr w14:val="tx1"/>
            </w14:solidFill>
          </w14:textFill>
        </w:rPr>
        <w:t>13.1 分部分项工程验收</w:t>
      </w:r>
      <w:bookmarkEnd w:id="404"/>
      <w:bookmarkEnd w:id="405"/>
    </w:p>
    <w:p w14:paraId="5A1A7336">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13.1.2监理人不能按时进行验收时，应提前</w:t>
      </w:r>
      <w:r>
        <w:rPr>
          <w:rFonts w:hint="eastAsia" w:ascii="宋体" w:hAnsi="宋体" w:cs="宋体"/>
          <w:color w:val="000000" w:themeColor="text1"/>
          <w:sz w:val="24"/>
          <w:highlight w:val="none"/>
          <w:u w:val="single"/>
          <w14:textFill>
            <w14:solidFill>
              <w14:schemeClr w14:val="tx1"/>
            </w14:solidFill>
          </w14:textFill>
        </w:rPr>
        <w:t xml:space="preserve">  24  </w:t>
      </w:r>
      <w:r>
        <w:rPr>
          <w:rFonts w:hint="eastAsia" w:ascii="宋体" w:hAnsi="宋体" w:cs="宋体"/>
          <w:color w:val="000000" w:themeColor="text1"/>
          <w:sz w:val="24"/>
          <w:highlight w:val="none"/>
          <w14:textFill>
            <w14:solidFill>
              <w14:schemeClr w14:val="tx1"/>
            </w14:solidFill>
          </w14:textFill>
        </w:rPr>
        <w:t>小时提交书面延期要求。</w:t>
      </w:r>
    </w:p>
    <w:p w14:paraId="387C693F">
      <w:pPr>
        <w:spacing w:line="360" w:lineRule="auto"/>
        <w:ind w:firstLine="480"/>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关于延期最长不得超过：</w:t>
      </w:r>
      <w:r>
        <w:rPr>
          <w:rFonts w:hint="eastAsia" w:ascii="宋体" w:hAnsi="宋体" w:cs="宋体"/>
          <w:color w:val="000000" w:themeColor="text1"/>
          <w:sz w:val="24"/>
          <w:highlight w:val="none"/>
          <w:u w:val="single"/>
          <w14:textFill>
            <w14:solidFill>
              <w14:schemeClr w14:val="tx1"/>
            </w14:solidFill>
          </w14:textFill>
        </w:rPr>
        <w:t xml:space="preserve">   48   </w:t>
      </w:r>
      <w:r>
        <w:rPr>
          <w:rFonts w:hint="eastAsia" w:ascii="宋体" w:hAnsi="宋体" w:cs="宋体"/>
          <w:color w:val="000000" w:themeColor="text1"/>
          <w:sz w:val="24"/>
          <w:highlight w:val="none"/>
          <w14:textFill>
            <w14:solidFill>
              <w14:schemeClr w14:val="tx1"/>
            </w14:solidFill>
          </w14:textFill>
        </w:rPr>
        <w:t>小时。</w:t>
      </w:r>
    </w:p>
    <w:p w14:paraId="74AD23E2">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06" w:name="_Toc30970"/>
      <w:bookmarkStart w:id="407" w:name="_Toc28013"/>
      <w:r>
        <w:rPr>
          <w:rFonts w:hint="eastAsia" w:ascii="宋体" w:hAnsi="宋体" w:cs="宋体"/>
          <w:color w:val="000000" w:themeColor="text1"/>
          <w:sz w:val="24"/>
          <w:szCs w:val="24"/>
          <w:highlight w:val="none"/>
          <w14:textFill>
            <w14:solidFill>
              <w14:schemeClr w14:val="tx1"/>
            </w14:solidFill>
          </w14:textFill>
        </w:rPr>
        <w:t>13.2 竣工验收</w:t>
      </w:r>
      <w:bookmarkEnd w:id="406"/>
      <w:bookmarkEnd w:id="407"/>
    </w:p>
    <w:p w14:paraId="40E4253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13.2.1竣工验收条件</w:t>
      </w:r>
    </w:p>
    <w:p w14:paraId="606E282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（3）承包人负责整理和提交的竣工验收资料应当符合工程所在地建设行政主管部门和(或)城市建设档案管理机构有关施工资料的要求，具体内容包括：</w:t>
      </w:r>
      <w:r>
        <w:rPr>
          <w:rFonts w:hint="eastAsia" w:ascii="宋体" w:hAnsi="宋体" w:cs="宋体"/>
          <w:color w:val="000000" w:themeColor="text1"/>
          <w:sz w:val="24"/>
          <w:highlight w:val="none"/>
          <w:u w:val="single"/>
          <w14:textFill>
            <w14:solidFill>
              <w14:schemeClr w14:val="tx1"/>
            </w14:solidFill>
          </w14:textFill>
        </w:rPr>
        <w:t xml:space="preserve"> 工程竣工报验单、施工单位工程竣工报告、建设工程竣工验收报告、监理单位工程竣工质量评价报告、市政基础设施工程质量保修书、竣工图等工程所在地建设行政主管部门和城市建设档案管理机构要求提交竣工验收资料  </w:t>
      </w:r>
      <w:r>
        <w:rPr>
          <w:rFonts w:hint="eastAsia" w:ascii="宋体" w:hAnsi="宋体" w:cs="宋体"/>
          <w:color w:val="000000" w:themeColor="text1"/>
          <w:sz w:val="24"/>
          <w:highlight w:val="none"/>
          <w14:textFill>
            <w14:solidFill>
              <w14:schemeClr w14:val="tx1"/>
            </w14:solidFill>
          </w14:textFill>
        </w:rPr>
        <w:t>。</w:t>
      </w:r>
    </w:p>
    <w:p w14:paraId="1523FD50">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竣工验收资料的份数：</w:t>
      </w:r>
      <w:r>
        <w:rPr>
          <w:rFonts w:hint="eastAsia" w:ascii="宋体" w:hAnsi="宋体" w:cs="宋体"/>
          <w:color w:val="000000" w:themeColor="text1"/>
          <w:sz w:val="24"/>
          <w:highlight w:val="none"/>
          <w:u w:val="single"/>
          <w14:textFill>
            <w14:solidFill>
              <w14:schemeClr w14:val="tx1"/>
            </w14:solidFill>
          </w14:textFill>
        </w:rPr>
        <w:t xml:space="preserve"> 一式陆份及电子版贰份 </w:t>
      </w:r>
      <w:r>
        <w:rPr>
          <w:rFonts w:hint="eastAsia" w:ascii="宋体" w:hAnsi="宋体" w:cs="宋体"/>
          <w:color w:val="000000" w:themeColor="text1"/>
          <w:sz w:val="24"/>
          <w:highlight w:val="none"/>
          <w14:textFill>
            <w14:solidFill>
              <w14:schemeClr w14:val="tx1"/>
            </w14:solidFill>
          </w14:textFill>
        </w:rPr>
        <w:t>。</w:t>
      </w:r>
    </w:p>
    <w:p w14:paraId="607212A2">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承包人提供竣工图的约定：</w:t>
      </w:r>
      <w:r>
        <w:rPr>
          <w:rFonts w:hint="eastAsia" w:ascii="宋体" w:hAnsi="宋体" w:cs="宋体"/>
          <w:color w:val="000000" w:themeColor="text1"/>
          <w:sz w:val="24"/>
          <w:highlight w:val="none"/>
          <w:u w:val="single"/>
          <w14:textFill>
            <w14:solidFill>
              <w14:schemeClr w14:val="tx1"/>
            </w14:solidFill>
          </w14:textFill>
        </w:rPr>
        <w:t>竣工验收正式通过后5天（工程造价在500万元以下含500万元）、10天（工程造价在500万元至1000万元之间含1000万元）、15天（工程造价在1000万元以上），提供竣工图的数量分别为2套、4套、6套。</w:t>
      </w:r>
    </w:p>
    <w:p w14:paraId="175AB924">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13.2.2竣工验收程序</w:t>
      </w:r>
    </w:p>
    <w:p w14:paraId="084BB281">
      <w:pPr>
        <w:pStyle w:val="374"/>
        <w:spacing w:line="360" w:lineRule="auto"/>
        <w:ind w:firstLine="480"/>
        <w:jc w:val="left"/>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关于竣工验收程序的约定：</w:t>
      </w:r>
      <w:r>
        <w:rPr>
          <w:rFonts w:hint="eastAsia" w:ascii="宋体" w:hAnsi="宋体" w:cs="宋体"/>
          <w:color w:val="000000" w:themeColor="text1"/>
          <w:sz w:val="24"/>
          <w:szCs w:val="24"/>
          <w:highlight w:val="none"/>
          <w:u w:val="single"/>
          <w14:textFill>
            <w14:solidFill>
              <w14:schemeClr w14:val="tx1"/>
            </w14:solidFill>
          </w14:textFill>
        </w:rPr>
        <w:t>按工程所在地建设行政主管部门和城市建设档案管理机构有关验收程序的要求进行</w:t>
      </w:r>
      <w:r>
        <w:rPr>
          <w:rFonts w:hint="eastAsia" w:ascii="宋体" w:hAnsi="宋体" w:cs="宋体"/>
          <w:color w:val="000000" w:themeColor="text1"/>
          <w:sz w:val="24"/>
          <w:szCs w:val="24"/>
          <w:highlight w:val="none"/>
          <w14:textFill>
            <w14:solidFill>
              <w14:schemeClr w14:val="tx1"/>
            </w14:solidFill>
          </w14:textFill>
        </w:rPr>
        <w:t>。</w:t>
      </w:r>
    </w:p>
    <w:p w14:paraId="5A683EA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发包人不按照本项约定组织竣工验收、颁发工程接收证书的违约金的计算方法：</w:t>
      </w:r>
      <w:r>
        <w:rPr>
          <w:rFonts w:hint="eastAsia" w:ascii="宋体" w:hAnsi="宋体" w:cs="宋体"/>
          <w:color w:val="000000" w:themeColor="text1"/>
          <w:sz w:val="24"/>
          <w:highlight w:val="none"/>
          <w:u w:val="single"/>
          <w14:textFill>
            <w14:solidFill>
              <w14:schemeClr w14:val="tx1"/>
            </w14:solidFill>
          </w14:textFill>
        </w:rPr>
        <w:t xml:space="preserve"> 无 </w:t>
      </w:r>
      <w:r>
        <w:rPr>
          <w:rFonts w:hint="eastAsia" w:ascii="宋体" w:hAnsi="宋体" w:cs="宋体"/>
          <w:color w:val="000000" w:themeColor="text1"/>
          <w:sz w:val="24"/>
          <w:highlight w:val="none"/>
          <w14:textFill>
            <w14:solidFill>
              <w14:schemeClr w14:val="tx1"/>
            </w14:solidFill>
          </w14:textFill>
        </w:rPr>
        <w:t>。</w:t>
      </w:r>
    </w:p>
    <w:p w14:paraId="4E53D527">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13.2.5移交、接收全部与部分工程</w:t>
      </w:r>
    </w:p>
    <w:p w14:paraId="6E44C572">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承包人向发包人移交工程的期限：</w:t>
      </w:r>
      <w:r>
        <w:rPr>
          <w:rFonts w:hint="eastAsia" w:ascii="宋体" w:hAnsi="宋体" w:cs="宋体"/>
          <w:color w:val="000000" w:themeColor="text1"/>
          <w:sz w:val="24"/>
          <w:highlight w:val="none"/>
          <w:u w:val="single"/>
          <w14:textFill>
            <w14:solidFill>
              <w14:schemeClr w14:val="tx1"/>
            </w14:solidFill>
          </w14:textFill>
        </w:rPr>
        <w:t xml:space="preserve"> 颁发工程接收证书后 14 天内完成工程的移交 </w:t>
      </w:r>
      <w:r>
        <w:rPr>
          <w:rFonts w:hint="eastAsia" w:ascii="宋体" w:hAnsi="宋体" w:cs="宋体"/>
          <w:color w:val="000000" w:themeColor="text1"/>
          <w:sz w:val="24"/>
          <w:highlight w:val="none"/>
          <w14:textFill>
            <w14:solidFill>
              <w14:schemeClr w14:val="tx1"/>
            </w14:solidFill>
          </w14:textFill>
        </w:rPr>
        <w:t>。</w:t>
      </w:r>
    </w:p>
    <w:p w14:paraId="52CDE5C6">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发包人未按本合同约定接收全部或部分工程的，违约金的计算方法为：</w:t>
      </w:r>
      <w:r>
        <w:rPr>
          <w:rFonts w:hint="eastAsia" w:ascii="宋体" w:hAnsi="宋体" w:cs="宋体"/>
          <w:color w:val="000000" w:themeColor="text1"/>
          <w:sz w:val="24"/>
          <w:highlight w:val="none"/>
          <w:u w:val="single"/>
          <w14:textFill>
            <w14:solidFill>
              <w14:schemeClr w14:val="tx1"/>
            </w14:solidFill>
          </w14:textFill>
        </w:rPr>
        <w:t xml:space="preserve">   无    </w:t>
      </w:r>
      <w:r>
        <w:rPr>
          <w:rFonts w:hint="eastAsia" w:ascii="宋体" w:hAnsi="宋体" w:cs="宋体"/>
          <w:color w:val="000000" w:themeColor="text1"/>
          <w:sz w:val="24"/>
          <w:highlight w:val="none"/>
          <w14:textFill>
            <w14:solidFill>
              <w14:schemeClr w14:val="tx1"/>
            </w14:solidFill>
          </w14:textFill>
        </w:rPr>
        <w:t>。</w:t>
      </w:r>
    </w:p>
    <w:p w14:paraId="53E07A92">
      <w:pPr>
        <w:pStyle w:val="374"/>
        <w:spacing w:line="360" w:lineRule="auto"/>
        <w:ind w:firstLine="480"/>
        <w:jc w:val="left"/>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承包人未按时移交工程的，违约金的计算方法为：</w:t>
      </w:r>
      <w:r>
        <w:rPr>
          <w:rFonts w:hint="eastAsia" w:ascii="宋体" w:hAnsi="宋体" w:cs="宋体"/>
          <w:color w:val="000000" w:themeColor="text1"/>
          <w:sz w:val="24"/>
          <w:szCs w:val="24"/>
          <w:highlight w:val="none"/>
          <w:u w:val="single"/>
          <w14:textFill>
            <w14:solidFill>
              <w14:schemeClr w14:val="tx1"/>
            </w14:solidFill>
          </w14:textFill>
        </w:rPr>
        <w:t xml:space="preserve">    因承包人原因未按时移交工程的，承包人应采取措施确保相关工程的正常使用，承包人应承担工程照管、成品保护、保管等与工程有关的各项费用，且每延误一天，扣除 150 元/天的质保金</w:t>
      </w:r>
      <w:r>
        <w:rPr>
          <w:rFonts w:hint="eastAsia" w:ascii="宋体" w:hAnsi="宋体" w:cs="宋体"/>
          <w:color w:val="000000" w:themeColor="text1"/>
          <w:sz w:val="24"/>
          <w:szCs w:val="24"/>
          <w:highlight w:val="none"/>
          <w14:textFill>
            <w14:solidFill>
              <w14:schemeClr w14:val="tx1"/>
            </w14:solidFill>
          </w14:textFill>
        </w:rPr>
        <w:t>。</w:t>
      </w:r>
    </w:p>
    <w:p w14:paraId="4E144E51">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08" w:name="_Toc31490"/>
      <w:bookmarkStart w:id="409" w:name="_Toc21498"/>
      <w:r>
        <w:rPr>
          <w:rFonts w:hint="eastAsia" w:ascii="宋体" w:hAnsi="宋体" w:cs="宋体"/>
          <w:color w:val="000000" w:themeColor="text1"/>
          <w:sz w:val="24"/>
          <w:szCs w:val="24"/>
          <w:highlight w:val="none"/>
          <w14:textFill>
            <w14:solidFill>
              <w14:schemeClr w14:val="tx1"/>
            </w14:solidFill>
          </w14:textFill>
        </w:rPr>
        <w:t>13.3 工程试车</w:t>
      </w:r>
      <w:bookmarkEnd w:id="408"/>
      <w:bookmarkEnd w:id="409"/>
    </w:p>
    <w:p w14:paraId="527786E0">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13.3.1 试车程序</w:t>
      </w:r>
    </w:p>
    <w:p w14:paraId="0989094B">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工程试车内容：</w:t>
      </w:r>
      <w:r>
        <w:rPr>
          <w:rFonts w:hint="eastAsia" w:ascii="宋体" w:hAnsi="宋体" w:cs="宋体"/>
          <w:color w:val="000000" w:themeColor="text1"/>
          <w:sz w:val="24"/>
          <w:highlight w:val="none"/>
          <w:u w:val="single"/>
          <w14:textFill>
            <w14:solidFill>
              <w14:schemeClr w14:val="tx1"/>
            </w14:solidFill>
          </w14:textFill>
        </w:rPr>
        <w:t xml:space="preserve">     按《通用合同条款》执行     </w:t>
      </w:r>
      <w:r>
        <w:rPr>
          <w:rFonts w:hint="eastAsia" w:ascii="宋体" w:hAnsi="宋体" w:cs="宋体"/>
          <w:color w:val="000000" w:themeColor="text1"/>
          <w:sz w:val="24"/>
          <w:highlight w:val="none"/>
          <w14:textFill>
            <w14:solidFill>
              <w14:schemeClr w14:val="tx1"/>
            </w14:solidFill>
          </w14:textFill>
        </w:rPr>
        <w:t>。</w:t>
      </w:r>
    </w:p>
    <w:p w14:paraId="5D54383F">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（1）单机无负荷试车费用由</w:t>
      </w:r>
      <w:r>
        <w:rPr>
          <w:rFonts w:hint="eastAsia" w:ascii="宋体" w:hAnsi="宋体" w:cs="宋体"/>
          <w:color w:val="000000" w:themeColor="text1"/>
          <w:sz w:val="24"/>
          <w:highlight w:val="none"/>
          <w:u w:val="single"/>
          <w14:textFill>
            <w14:solidFill>
              <w14:schemeClr w14:val="tx1"/>
            </w14:solidFill>
          </w14:textFill>
        </w:rPr>
        <w:t xml:space="preserve">   按《通用合同条款》执行   </w:t>
      </w:r>
      <w:r>
        <w:rPr>
          <w:rFonts w:hint="eastAsia" w:ascii="宋体" w:hAnsi="宋体" w:cs="宋体"/>
          <w:color w:val="000000" w:themeColor="text1"/>
          <w:sz w:val="24"/>
          <w:highlight w:val="none"/>
          <w14:textFill>
            <w14:solidFill>
              <w14:schemeClr w14:val="tx1"/>
            </w14:solidFill>
          </w14:textFill>
        </w:rPr>
        <w:t>承担；</w:t>
      </w:r>
    </w:p>
    <w:p w14:paraId="27F1CF96">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（2）无负荷联动试车费用由</w:t>
      </w:r>
      <w:r>
        <w:rPr>
          <w:rFonts w:hint="eastAsia" w:ascii="宋体" w:hAnsi="宋体" w:cs="宋体"/>
          <w:color w:val="000000" w:themeColor="text1"/>
          <w:sz w:val="24"/>
          <w:highlight w:val="none"/>
          <w:u w:val="single"/>
          <w14:textFill>
            <w14:solidFill>
              <w14:schemeClr w14:val="tx1"/>
            </w14:solidFill>
          </w14:textFill>
        </w:rPr>
        <w:t xml:space="preserve">   按《通用合同条款》执行  </w:t>
      </w:r>
      <w:r>
        <w:rPr>
          <w:rFonts w:hint="eastAsia" w:ascii="宋体" w:hAnsi="宋体" w:cs="宋体"/>
          <w:color w:val="000000" w:themeColor="text1"/>
          <w:sz w:val="24"/>
          <w:highlight w:val="none"/>
          <w14:textFill>
            <w14:solidFill>
              <w14:schemeClr w14:val="tx1"/>
            </w14:solidFill>
          </w14:textFill>
        </w:rPr>
        <w:t>承担。</w:t>
      </w:r>
    </w:p>
    <w:p w14:paraId="0C0EDE8B">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13.3.3 投料试车</w:t>
      </w:r>
    </w:p>
    <w:p w14:paraId="2CB323D0">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关于投料试车相关事项的约定：</w:t>
      </w:r>
      <w:r>
        <w:rPr>
          <w:rFonts w:hint="eastAsia" w:ascii="宋体" w:hAnsi="宋体" w:cs="宋体"/>
          <w:color w:val="000000" w:themeColor="text1"/>
          <w:sz w:val="24"/>
          <w:highlight w:val="none"/>
          <w:u w:val="single"/>
          <w14:textFill>
            <w14:solidFill>
              <w14:schemeClr w14:val="tx1"/>
            </w14:solidFill>
          </w14:textFill>
        </w:rPr>
        <w:t xml:space="preserve">    按《通用合同条款》执行   </w:t>
      </w:r>
      <w:r>
        <w:rPr>
          <w:rFonts w:hint="eastAsia" w:ascii="宋体" w:hAnsi="宋体" w:cs="宋体"/>
          <w:color w:val="000000" w:themeColor="text1"/>
          <w:sz w:val="24"/>
          <w:highlight w:val="none"/>
          <w14:textFill>
            <w14:solidFill>
              <w14:schemeClr w14:val="tx1"/>
            </w14:solidFill>
          </w14:textFill>
        </w:rPr>
        <w:t>。</w:t>
      </w:r>
    </w:p>
    <w:p w14:paraId="21A85AF8">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10" w:name="_Toc22002"/>
      <w:bookmarkStart w:id="411" w:name="_Toc583"/>
      <w:r>
        <w:rPr>
          <w:rFonts w:hint="eastAsia" w:ascii="宋体" w:hAnsi="宋体" w:cs="宋体"/>
          <w:color w:val="000000" w:themeColor="text1"/>
          <w:sz w:val="24"/>
          <w:szCs w:val="24"/>
          <w:highlight w:val="none"/>
          <w14:textFill>
            <w14:solidFill>
              <w14:schemeClr w14:val="tx1"/>
            </w14:solidFill>
          </w14:textFill>
        </w:rPr>
        <w:t>13.6 竣工退场</w:t>
      </w:r>
      <w:bookmarkEnd w:id="410"/>
      <w:bookmarkEnd w:id="411"/>
    </w:p>
    <w:p w14:paraId="533EF6DE">
      <w:pPr>
        <w:spacing w:line="360" w:lineRule="auto"/>
        <w:ind w:firstLine="480"/>
        <w:jc w:val="left"/>
        <w:outlineLvl w:val="0"/>
        <w:rPr>
          <w:rFonts w:hint="eastAsia" w:ascii="宋体" w:hAnsi="宋体" w:cs="宋体"/>
          <w:color w:val="000000" w:themeColor="text1"/>
          <w:sz w:val="24"/>
          <w:highlight w:val="none"/>
          <w14:textFill>
            <w14:solidFill>
              <w14:schemeClr w14:val="tx1"/>
            </w14:solidFill>
          </w14:textFill>
        </w:rPr>
      </w:pPr>
      <w:bookmarkStart w:id="412" w:name="_Toc11251"/>
      <w:bookmarkStart w:id="413" w:name="_Toc9532"/>
      <w:r>
        <w:rPr>
          <w:rFonts w:hint="eastAsia" w:ascii="宋体" w:hAnsi="宋体" w:cs="宋体"/>
          <w:color w:val="000000" w:themeColor="text1"/>
          <w:sz w:val="24"/>
          <w:highlight w:val="none"/>
          <w14:textFill>
            <w14:solidFill>
              <w14:schemeClr w14:val="tx1"/>
            </w14:solidFill>
          </w14:textFill>
        </w:rPr>
        <w:t>13.6.1 竣工退场</w:t>
      </w:r>
      <w:bookmarkEnd w:id="412"/>
      <w:bookmarkEnd w:id="413"/>
    </w:p>
    <w:p w14:paraId="2333F26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承包人完成竣工退场的期限：</w:t>
      </w:r>
      <w:r>
        <w:rPr>
          <w:rFonts w:hint="eastAsia" w:ascii="宋体" w:hAnsi="宋体" w:cs="宋体"/>
          <w:color w:val="000000" w:themeColor="text1"/>
          <w:sz w:val="24"/>
          <w:highlight w:val="none"/>
          <w:u w:val="single"/>
          <w14:textFill>
            <w14:solidFill>
              <w14:schemeClr w14:val="tx1"/>
            </w14:solidFill>
          </w14:textFill>
        </w:rPr>
        <w:t xml:space="preserve">   颁发工程接收证书后 7 天内完成工程的移交   </w:t>
      </w:r>
      <w:r>
        <w:rPr>
          <w:rFonts w:hint="eastAsia" w:ascii="宋体" w:hAnsi="宋体" w:cs="宋体"/>
          <w:color w:val="000000" w:themeColor="text1"/>
          <w:sz w:val="24"/>
          <w:highlight w:val="none"/>
          <w14:textFill>
            <w14:solidFill>
              <w14:schemeClr w14:val="tx1"/>
            </w14:solidFill>
          </w14:textFill>
        </w:rPr>
        <w:t>。</w:t>
      </w:r>
    </w:p>
    <w:p w14:paraId="271A6C27">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414" w:name="_Toc16865"/>
      <w:bookmarkStart w:id="415" w:name="_Toc19837"/>
      <w:r>
        <w:rPr>
          <w:rFonts w:hint="eastAsia" w:ascii="宋体" w:hAnsi="宋体" w:cs="宋体"/>
          <w:color w:val="000000" w:themeColor="text1"/>
          <w:sz w:val="24"/>
          <w:szCs w:val="24"/>
          <w:highlight w:val="none"/>
          <w14:textFill>
            <w14:solidFill>
              <w14:schemeClr w14:val="tx1"/>
            </w14:solidFill>
          </w14:textFill>
        </w:rPr>
        <w:t>14. 竣工结算</w:t>
      </w:r>
      <w:bookmarkEnd w:id="414"/>
      <w:bookmarkEnd w:id="415"/>
    </w:p>
    <w:p w14:paraId="1783AD08">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16" w:name="_Toc29999"/>
      <w:bookmarkStart w:id="417" w:name="_Toc12045"/>
      <w:r>
        <w:rPr>
          <w:rFonts w:hint="eastAsia" w:ascii="宋体" w:hAnsi="宋体" w:cs="宋体"/>
          <w:color w:val="000000" w:themeColor="text1"/>
          <w:sz w:val="24"/>
          <w:szCs w:val="24"/>
          <w:highlight w:val="none"/>
          <w14:textFill>
            <w14:solidFill>
              <w14:schemeClr w14:val="tx1"/>
            </w14:solidFill>
          </w14:textFill>
        </w:rPr>
        <w:t>14.1 竣工付款申请</w:t>
      </w:r>
      <w:bookmarkEnd w:id="416"/>
      <w:bookmarkEnd w:id="417"/>
    </w:p>
    <w:p w14:paraId="0C6060AB">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承包人提交竣工付款申请单的期限：</w:t>
      </w:r>
      <w:r>
        <w:rPr>
          <w:rFonts w:hint="eastAsia" w:ascii="宋体" w:hAnsi="宋体" w:cs="宋体"/>
          <w:color w:val="000000" w:themeColor="text1"/>
          <w:sz w:val="24"/>
          <w:highlight w:val="none"/>
          <w:u w:val="single"/>
          <w14:textFill>
            <w14:solidFill>
              <w14:schemeClr w14:val="tx1"/>
            </w14:solidFill>
          </w14:textFill>
        </w:rPr>
        <w:t xml:space="preserve">竣工结算按照港市人民政府文件贵政办通〔2018〕70号规定执行，在工程竣工验收合格后 28 天内向发包人和监理人提交竣工结算申请单及相关材料。 无正当理由延期或经发包人催促 14 天内仍未提供或明确答复的，发包人有权根据已有资料进行结算审核，责任由承包人自负。承包人应及时提供竣工结算过程中所需补充的资料  </w:t>
      </w:r>
      <w:r>
        <w:rPr>
          <w:rFonts w:hint="eastAsia" w:ascii="宋体" w:hAnsi="宋体" w:cs="宋体"/>
          <w:color w:val="000000" w:themeColor="text1"/>
          <w:sz w:val="24"/>
          <w:highlight w:val="none"/>
          <w14:textFill>
            <w14:solidFill>
              <w14:schemeClr w14:val="tx1"/>
            </w14:solidFill>
          </w14:textFill>
        </w:rPr>
        <w:t>。</w:t>
      </w:r>
    </w:p>
    <w:p w14:paraId="366C896D">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竣工付款申请单应包括的内容：</w:t>
      </w:r>
      <w:r>
        <w:rPr>
          <w:rFonts w:hint="eastAsia" w:ascii="宋体" w:hAnsi="宋体" w:cs="宋体"/>
          <w:color w:val="000000" w:themeColor="text1"/>
          <w:sz w:val="24"/>
          <w:highlight w:val="none"/>
          <w:u w:val="single"/>
          <w14:textFill>
            <w14:solidFill>
              <w14:schemeClr w14:val="tx1"/>
            </w14:solidFill>
          </w14:textFill>
        </w:rPr>
        <w:t xml:space="preserve"> 竣工付款申请单须符合贵港市人民政府相关文件规定，竣工付款申请单编制内容按发包人工程款支付管理规定执行，其它按《通用合同条款》14.1 条执行  </w:t>
      </w:r>
      <w:r>
        <w:rPr>
          <w:rFonts w:hint="eastAsia" w:ascii="宋体" w:hAnsi="宋体" w:cs="宋体"/>
          <w:color w:val="000000" w:themeColor="text1"/>
          <w:sz w:val="24"/>
          <w:highlight w:val="none"/>
          <w14:textFill>
            <w14:solidFill>
              <w14:schemeClr w14:val="tx1"/>
            </w14:solidFill>
          </w14:textFill>
        </w:rPr>
        <w:t>。竣工结算款支付申请（核准）表见合同附件12。</w:t>
      </w:r>
    </w:p>
    <w:p w14:paraId="78E64AC7">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18" w:name="_Toc12846"/>
      <w:bookmarkStart w:id="419" w:name="_Toc25944"/>
      <w:r>
        <w:rPr>
          <w:rFonts w:hint="eastAsia" w:ascii="宋体" w:hAnsi="宋体" w:cs="宋体"/>
          <w:color w:val="000000" w:themeColor="text1"/>
          <w:sz w:val="24"/>
          <w:szCs w:val="24"/>
          <w:highlight w:val="none"/>
          <w14:textFill>
            <w14:solidFill>
              <w14:schemeClr w14:val="tx1"/>
            </w14:solidFill>
          </w14:textFill>
        </w:rPr>
        <w:t>14.2 竣工结算审核</w:t>
      </w:r>
      <w:bookmarkEnd w:id="418"/>
      <w:bookmarkEnd w:id="419"/>
    </w:p>
    <w:p w14:paraId="5C87F63A">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发包人审批竣工付款申请单的期限：</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0C5C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6B7E090">
            <w:pPr>
              <w:spacing w:line="360" w:lineRule="auto"/>
              <w:rPr>
                <w:rFonts w:hint="eastAsia" w:ascii="宋体" w:hAnsi="宋体" w:cs="宋体"/>
                <w:color w:val="000000" w:themeColor="text1"/>
                <w:sz w:val="24"/>
                <w:highlight w:val="none"/>
                <w14:textFill>
                  <w14:solidFill>
                    <w14:schemeClr w14:val="tx1"/>
                  </w14:solidFill>
                </w14:textFill>
              </w:rPr>
            </w:pPr>
          </w:p>
        </w:tc>
        <w:tc>
          <w:tcPr>
            <w:tcW w:w="2466" w:type="dxa"/>
            <w:noWrap w:val="0"/>
            <w:vAlign w:val="center"/>
          </w:tcPr>
          <w:p w14:paraId="7AB87235">
            <w:pPr>
              <w:spacing w:line="360" w:lineRule="auto"/>
              <w:ind w:firstLine="31"/>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工程竣工结算报告金额</w:t>
            </w:r>
          </w:p>
        </w:tc>
        <w:tc>
          <w:tcPr>
            <w:tcW w:w="5967" w:type="dxa"/>
            <w:noWrap w:val="0"/>
            <w:vAlign w:val="center"/>
          </w:tcPr>
          <w:p w14:paraId="4E16E406">
            <w:pPr>
              <w:spacing w:line="360" w:lineRule="auto"/>
              <w:ind w:firstLine="504"/>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发包人审查时间</w:t>
            </w:r>
          </w:p>
        </w:tc>
      </w:tr>
      <w:tr w14:paraId="5C07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27F79CF">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466" w:type="dxa"/>
            <w:noWrap w:val="0"/>
            <w:vAlign w:val="center"/>
          </w:tcPr>
          <w:p w14:paraId="7C3FEC0B">
            <w:pPr>
              <w:spacing w:line="360" w:lineRule="auto"/>
              <w:ind w:firstLine="31"/>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500万元以下</w:t>
            </w:r>
          </w:p>
        </w:tc>
        <w:tc>
          <w:tcPr>
            <w:tcW w:w="5967" w:type="dxa"/>
            <w:noWrap w:val="0"/>
            <w:vAlign w:val="center"/>
          </w:tcPr>
          <w:p w14:paraId="6DCE9FE7">
            <w:pPr>
              <w:spacing w:line="360" w:lineRule="auto"/>
              <w:ind w:firstLine="504"/>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从接到竣工结算报告和完整的竣工结算资料之日起20天</w:t>
            </w:r>
          </w:p>
        </w:tc>
      </w:tr>
      <w:tr w14:paraId="715D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691ECE4">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466" w:type="dxa"/>
            <w:noWrap w:val="0"/>
            <w:vAlign w:val="center"/>
          </w:tcPr>
          <w:p w14:paraId="3A7E0AEA">
            <w:pPr>
              <w:spacing w:line="360" w:lineRule="auto"/>
              <w:ind w:firstLine="31"/>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500万元-2000万元</w:t>
            </w:r>
          </w:p>
        </w:tc>
        <w:tc>
          <w:tcPr>
            <w:tcW w:w="5967" w:type="dxa"/>
            <w:noWrap w:val="0"/>
            <w:vAlign w:val="center"/>
          </w:tcPr>
          <w:p w14:paraId="07745436">
            <w:pPr>
              <w:spacing w:line="360" w:lineRule="auto"/>
              <w:ind w:firstLine="504"/>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从接到竣工结算报告和完整的竣工结算资料之日起30天</w:t>
            </w:r>
          </w:p>
        </w:tc>
      </w:tr>
      <w:tr w14:paraId="0F11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CE6CB4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466" w:type="dxa"/>
            <w:noWrap w:val="0"/>
            <w:vAlign w:val="center"/>
          </w:tcPr>
          <w:p w14:paraId="24984673">
            <w:pPr>
              <w:spacing w:line="360" w:lineRule="auto"/>
              <w:ind w:firstLine="31"/>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2000万元-5000万元</w:t>
            </w:r>
          </w:p>
        </w:tc>
        <w:tc>
          <w:tcPr>
            <w:tcW w:w="5967" w:type="dxa"/>
            <w:noWrap w:val="0"/>
            <w:vAlign w:val="center"/>
          </w:tcPr>
          <w:p w14:paraId="3B4B2135">
            <w:pPr>
              <w:spacing w:line="360" w:lineRule="auto"/>
              <w:ind w:firstLine="504"/>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从接到竣工结算报告和完整的竣工结算资料之日起45天</w:t>
            </w:r>
          </w:p>
        </w:tc>
      </w:tr>
      <w:tr w14:paraId="574C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8D8D297">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466" w:type="dxa"/>
            <w:noWrap w:val="0"/>
            <w:vAlign w:val="center"/>
          </w:tcPr>
          <w:p w14:paraId="62598177">
            <w:pPr>
              <w:spacing w:line="360" w:lineRule="auto"/>
              <w:ind w:firstLine="31"/>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5000万元以上</w:t>
            </w:r>
          </w:p>
        </w:tc>
        <w:tc>
          <w:tcPr>
            <w:tcW w:w="5967" w:type="dxa"/>
            <w:noWrap w:val="0"/>
            <w:vAlign w:val="center"/>
          </w:tcPr>
          <w:p w14:paraId="7C5E2A45">
            <w:pPr>
              <w:spacing w:line="360" w:lineRule="auto"/>
              <w:ind w:firstLine="504"/>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从接到竣工结算报告和完整的竣工结算资料之日起60天</w:t>
            </w:r>
          </w:p>
        </w:tc>
      </w:tr>
      <w:tr w14:paraId="4A92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03388FF">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466" w:type="dxa"/>
            <w:noWrap w:val="0"/>
            <w:vAlign w:val="center"/>
          </w:tcPr>
          <w:p w14:paraId="4C10B849">
            <w:pPr>
              <w:spacing w:line="360" w:lineRule="auto"/>
              <w:ind w:firstLine="31"/>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5000万以上每增加0.5亿(不足0.5亿不增加)</w:t>
            </w:r>
          </w:p>
        </w:tc>
        <w:tc>
          <w:tcPr>
            <w:tcW w:w="5967" w:type="dxa"/>
            <w:noWrap w:val="0"/>
            <w:vAlign w:val="center"/>
          </w:tcPr>
          <w:p w14:paraId="221AD781">
            <w:pPr>
              <w:spacing w:line="360" w:lineRule="auto"/>
              <w:ind w:firstLine="504"/>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增加10天</w:t>
            </w:r>
          </w:p>
        </w:tc>
      </w:tr>
    </w:tbl>
    <w:p w14:paraId="125A5114">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因承包人提供的结算资料 不完整而需要补充或承包人不按时对账耽误时间时，审查时间应相应顺延。</w:t>
      </w:r>
    </w:p>
    <w:p w14:paraId="001119A5">
      <w:pPr>
        <w:spacing w:line="360" w:lineRule="auto"/>
        <w:ind w:firstLine="47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竣工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05FB1346">
      <w:pPr>
        <w:spacing w:line="360" w:lineRule="auto"/>
        <w:ind w:firstLine="47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2F767E27">
      <w:pPr>
        <w:spacing w:line="360" w:lineRule="auto"/>
        <w:ind w:firstLine="47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1、工程竣工验收报告经发包人认可后 14  天内，承包人向发包人递交竣工验收合格资料及完整的结算资料和报告，双方按照本工程合同约定的价格形式及价款调整办法进行工程竣工结算。2、发包人收到承包人递交的竣工结算报告及结算资料之日起 21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  7 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30天内，发包人按审定后的竣工结算价款，通知经办银行向承包人支付结算价款。</w:t>
      </w:r>
    </w:p>
    <w:p w14:paraId="3C96AE3E">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20" w:name="_Toc5097"/>
      <w:bookmarkStart w:id="421" w:name="_Toc13239"/>
      <w:r>
        <w:rPr>
          <w:rFonts w:hint="eastAsia" w:ascii="宋体" w:hAnsi="宋体" w:cs="宋体"/>
          <w:color w:val="000000" w:themeColor="text1"/>
          <w:sz w:val="24"/>
          <w:szCs w:val="24"/>
          <w:highlight w:val="none"/>
          <w14:textFill>
            <w14:solidFill>
              <w14:schemeClr w14:val="tx1"/>
            </w14:solidFill>
          </w14:textFill>
        </w:rPr>
        <w:t>14.4 最终结清</w:t>
      </w:r>
      <w:bookmarkEnd w:id="420"/>
      <w:bookmarkEnd w:id="421"/>
    </w:p>
    <w:p w14:paraId="5D29DAFB">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14.4.1 最终结清申请单</w:t>
      </w:r>
    </w:p>
    <w:p w14:paraId="7BAD9C76">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承包人提交最终结清申请单的份数：</w:t>
      </w:r>
      <w:r>
        <w:rPr>
          <w:rFonts w:hint="eastAsia" w:ascii="宋体" w:hAnsi="宋体" w:cs="宋体"/>
          <w:color w:val="000000" w:themeColor="text1"/>
          <w:sz w:val="24"/>
          <w:highlight w:val="none"/>
          <w:u w:val="single"/>
          <w14:textFill>
            <w14:solidFill>
              <w14:schemeClr w14:val="tx1"/>
            </w14:solidFill>
          </w14:textFill>
        </w:rPr>
        <w:t xml:space="preserve">最终结清申请单须符合工程所在地相关文件规定，提交份数按发包人工程款支付管理规定执行  </w:t>
      </w:r>
      <w:r>
        <w:rPr>
          <w:rFonts w:hint="eastAsia" w:ascii="宋体" w:hAnsi="宋体" w:cs="宋体"/>
          <w:color w:val="000000" w:themeColor="text1"/>
          <w:sz w:val="24"/>
          <w:highlight w:val="none"/>
          <w14:textFill>
            <w14:solidFill>
              <w14:schemeClr w14:val="tx1"/>
            </w14:solidFill>
          </w14:textFill>
        </w:rPr>
        <w:t>。</w:t>
      </w:r>
    </w:p>
    <w:p w14:paraId="452F165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承包人提交最终结算申请单的期限：</w:t>
      </w:r>
      <w:r>
        <w:rPr>
          <w:rFonts w:hint="eastAsia" w:ascii="宋体" w:hAnsi="宋体" w:cs="宋体"/>
          <w:color w:val="000000" w:themeColor="text1"/>
          <w:sz w:val="24"/>
          <w:highlight w:val="none"/>
          <w:u w:val="single"/>
          <w14:textFill>
            <w14:solidFill>
              <w14:schemeClr w14:val="tx1"/>
            </w14:solidFill>
          </w14:textFill>
        </w:rPr>
        <w:t xml:space="preserve">    缺陷责任期终止证书颁发后 7 天内   </w:t>
      </w:r>
      <w:r>
        <w:rPr>
          <w:rFonts w:hint="eastAsia" w:ascii="宋体" w:hAnsi="宋体" w:cs="宋体"/>
          <w:color w:val="000000" w:themeColor="text1"/>
          <w:sz w:val="24"/>
          <w:highlight w:val="none"/>
          <w14:textFill>
            <w14:solidFill>
              <w14:schemeClr w14:val="tx1"/>
            </w14:solidFill>
          </w14:textFill>
        </w:rPr>
        <w:t xml:space="preserve">。 </w:t>
      </w:r>
    </w:p>
    <w:p w14:paraId="2D3975B6">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最终结算款支付申请（核准）表见合同附件13。</w:t>
      </w:r>
    </w:p>
    <w:p w14:paraId="45AA795D">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14.4.2 最终结清证书和支付</w:t>
      </w:r>
    </w:p>
    <w:p w14:paraId="03E7BE00">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（1）发包人完成最终结清申请单的审批并颁发最终结清证书的期限：</w:t>
      </w:r>
      <w:r>
        <w:rPr>
          <w:rFonts w:hint="eastAsia" w:ascii="宋体" w:hAnsi="宋体" w:cs="宋体"/>
          <w:color w:val="000000" w:themeColor="text1"/>
          <w:sz w:val="24"/>
          <w:highlight w:val="none"/>
          <w:u w:val="single"/>
          <w14:textFill>
            <w14:solidFill>
              <w14:schemeClr w14:val="tx1"/>
            </w14:solidFill>
          </w14:textFill>
        </w:rPr>
        <w:t xml:space="preserve"> 收到承包人提交的最终结清申请单和完整的证明材料后 30 天内 </w:t>
      </w:r>
      <w:r>
        <w:rPr>
          <w:rFonts w:hint="eastAsia" w:ascii="宋体" w:hAnsi="宋体" w:cs="宋体"/>
          <w:color w:val="000000" w:themeColor="text1"/>
          <w:sz w:val="24"/>
          <w:highlight w:val="none"/>
          <w14:textFill>
            <w14:solidFill>
              <w14:schemeClr w14:val="tx1"/>
            </w14:solidFill>
          </w14:textFill>
        </w:rPr>
        <w:t>。</w:t>
      </w:r>
    </w:p>
    <w:p w14:paraId="50072847">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（2）发包人完成支付的期限：</w:t>
      </w:r>
      <w:r>
        <w:rPr>
          <w:rFonts w:hint="eastAsia" w:ascii="宋体" w:hAnsi="宋体" w:cs="宋体"/>
          <w:color w:val="000000" w:themeColor="text1"/>
          <w:sz w:val="24"/>
          <w:highlight w:val="none"/>
          <w:u w:val="single"/>
          <w14:textFill>
            <w14:solidFill>
              <w14:schemeClr w14:val="tx1"/>
            </w14:solidFill>
          </w14:textFill>
        </w:rPr>
        <w:t xml:space="preserve">    发包人签发颁发最终结清证书后 30 天内 </w:t>
      </w:r>
      <w:r>
        <w:rPr>
          <w:rFonts w:hint="eastAsia" w:ascii="宋体" w:hAnsi="宋体" w:cs="宋体"/>
          <w:color w:val="000000" w:themeColor="text1"/>
          <w:sz w:val="24"/>
          <w:highlight w:val="none"/>
          <w14:textFill>
            <w14:solidFill>
              <w14:schemeClr w14:val="tx1"/>
            </w14:solidFill>
          </w14:textFill>
        </w:rPr>
        <w:t>。</w:t>
      </w:r>
    </w:p>
    <w:p w14:paraId="33E6B65C">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422" w:name="_Toc11850"/>
      <w:bookmarkStart w:id="423" w:name="_Toc3142"/>
      <w:r>
        <w:rPr>
          <w:rFonts w:hint="eastAsia" w:ascii="宋体" w:hAnsi="宋体" w:cs="宋体"/>
          <w:color w:val="000000" w:themeColor="text1"/>
          <w:sz w:val="24"/>
          <w:szCs w:val="24"/>
          <w:highlight w:val="none"/>
          <w14:textFill>
            <w14:solidFill>
              <w14:schemeClr w14:val="tx1"/>
            </w14:solidFill>
          </w14:textFill>
        </w:rPr>
        <w:t>15. 缺陷责任期与保修</w:t>
      </w:r>
      <w:bookmarkEnd w:id="422"/>
      <w:bookmarkEnd w:id="423"/>
    </w:p>
    <w:p w14:paraId="773CA7D6">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24" w:name="_Toc21365"/>
      <w:bookmarkStart w:id="425" w:name="_Toc8494"/>
      <w:r>
        <w:rPr>
          <w:rFonts w:hint="eastAsia" w:ascii="宋体" w:hAnsi="宋体" w:cs="宋体"/>
          <w:color w:val="000000" w:themeColor="text1"/>
          <w:sz w:val="24"/>
          <w:szCs w:val="24"/>
          <w:highlight w:val="none"/>
          <w14:textFill>
            <w14:solidFill>
              <w14:schemeClr w14:val="tx1"/>
            </w14:solidFill>
          </w14:textFill>
        </w:rPr>
        <w:t>15.2 缺陷责任期</w:t>
      </w:r>
      <w:bookmarkEnd w:id="424"/>
      <w:bookmarkEnd w:id="425"/>
    </w:p>
    <w:p w14:paraId="70E272F6">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缺陷责任期的具体期限：</w:t>
      </w:r>
      <w:r>
        <w:rPr>
          <w:rFonts w:hint="eastAsia" w:ascii="宋体" w:hAnsi="宋体" w:cs="宋体"/>
          <w:color w:val="000000" w:themeColor="text1"/>
          <w:sz w:val="24"/>
          <w:highlight w:val="none"/>
          <w:u w:val="single"/>
          <w14:textFill>
            <w14:solidFill>
              <w14:schemeClr w14:val="tx1"/>
            </w14:solidFill>
          </w14:textFill>
        </w:rPr>
        <w:t xml:space="preserve"> 本工程缺陷责任期为24个月，以竣工验收合格之日起计算 </w:t>
      </w:r>
      <w:r>
        <w:rPr>
          <w:rFonts w:hint="eastAsia" w:ascii="宋体" w:hAnsi="宋体" w:cs="宋体"/>
          <w:color w:val="000000" w:themeColor="text1"/>
          <w:sz w:val="24"/>
          <w:highlight w:val="none"/>
          <w14:textFill>
            <w14:solidFill>
              <w14:schemeClr w14:val="tx1"/>
            </w14:solidFill>
          </w14:textFill>
        </w:rPr>
        <w:t>。</w:t>
      </w:r>
    </w:p>
    <w:p w14:paraId="2005FF52">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26" w:name="_Toc4673"/>
      <w:bookmarkStart w:id="427" w:name="_Toc9627"/>
      <w:r>
        <w:rPr>
          <w:rFonts w:hint="eastAsia" w:ascii="宋体" w:hAnsi="宋体" w:cs="宋体"/>
          <w:color w:val="000000" w:themeColor="text1"/>
          <w:sz w:val="24"/>
          <w:szCs w:val="24"/>
          <w:highlight w:val="none"/>
          <w14:textFill>
            <w14:solidFill>
              <w14:schemeClr w14:val="tx1"/>
            </w14:solidFill>
          </w14:textFill>
        </w:rPr>
        <w:t>15.3 质量保证金</w:t>
      </w:r>
      <w:bookmarkEnd w:id="426"/>
      <w:bookmarkEnd w:id="427"/>
    </w:p>
    <w:p w14:paraId="6B6FCFA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关于是否扣留质量保证金的约定：</w:t>
      </w:r>
      <w:r>
        <w:rPr>
          <w:rFonts w:hint="eastAsia" w:ascii="宋体" w:hAnsi="宋体" w:cs="宋体"/>
          <w:color w:val="000000" w:themeColor="text1"/>
          <w:sz w:val="24"/>
          <w:highlight w:val="none"/>
          <w:u w:val="none"/>
          <w14:textFill>
            <w14:solidFill>
              <w14:schemeClr w14:val="tx1"/>
            </w14:solidFill>
          </w14:textFill>
        </w:rPr>
        <w:t>金额为工程价款结算总额的3%，提交形式为</w:t>
      </w:r>
      <w:r>
        <w:rPr>
          <w:rFonts w:hint="eastAsia" w:ascii="宋体" w:hAnsi="宋体" w:cs="宋体"/>
          <w:color w:val="000000" w:themeColor="text1"/>
          <w:sz w:val="24"/>
          <w:highlight w:val="none"/>
          <w14:textFill>
            <w14:solidFill>
              <w14:schemeClr w14:val="tx1"/>
            </w14:solidFill>
          </w14:textFill>
        </w:rPr>
        <w:t>银行转账、电汇或网上支付、保函（银行保函、电子保函、保证保险保函、工程担保保函）</w:t>
      </w:r>
      <w:r>
        <w:rPr>
          <w:rFonts w:hint="eastAsia" w:ascii="宋体" w:hAnsi="宋体" w:cs="宋体"/>
          <w:color w:val="000000" w:themeColor="text1"/>
          <w:sz w:val="24"/>
          <w:highlight w:val="none"/>
          <w:u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结算审定后15日内向发包人提交担保，担保有效期必须与工程缺陷责任期一致。质量保证金待工程缺陷责任期满后中标人无违约行为发生的情况下，由承包人提出申请，发包人在 7 个工作日内无息返还  </w:t>
      </w:r>
      <w:r>
        <w:rPr>
          <w:rFonts w:hint="eastAsia" w:ascii="宋体" w:hAnsi="宋体" w:cs="宋体"/>
          <w:color w:val="000000" w:themeColor="text1"/>
          <w:sz w:val="24"/>
          <w:highlight w:val="none"/>
          <w14:textFill>
            <w14:solidFill>
              <w14:schemeClr w14:val="tx1"/>
            </w14:solidFill>
          </w14:textFill>
        </w:rPr>
        <w:t>。</w:t>
      </w:r>
    </w:p>
    <w:p w14:paraId="166B2FE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在工程项目竣工前，承包人按专用合同条款第3.7条提供履约担保的，发包人不得同时预留工程质量保证金。</w:t>
      </w:r>
    </w:p>
    <w:p w14:paraId="13DCE07F">
      <w:pPr>
        <w:spacing w:line="360" w:lineRule="auto"/>
        <w:ind w:firstLine="480"/>
        <w:jc w:val="left"/>
        <w:outlineLvl w:val="0"/>
        <w:rPr>
          <w:rFonts w:hint="eastAsia" w:ascii="宋体" w:hAnsi="宋体" w:cs="宋体"/>
          <w:color w:val="000000" w:themeColor="text1"/>
          <w:sz w:val="24"/>
          <w:highlight w:val="none"/>
          <w14:textFill>
            <w14:solidFill>
              <w14:schemeClr w14:val="tx1"/>
            </w14:solidFill>
          </w14:textFill>
        </w:rPr>
      </w:pPr>
      <w:bookmarkStart w:id="428" w:name="_Toc26946"/>
      <w:bookmarkStart w:id="429" w:name="_Toc12853"/>
      <w:r>
        <w:rPr>
          <w:rFonts w:hint="eastAsia" w:ascii="宋体" w:hAnsi="宋体" w:cs="宋体"/>
          <w:color w:val="000000" w:themeColor="text1"/>
          <w:sz w:val="24"/>
          <w:highlight w:val="none"/>
          <w14:textFill>
            <w14:solidFill>
              <w14:schemeClr w14:val="tx1"/>
            </w14:solidFill>
          </w14:textFill>
        </w:rPr>
        <w:t>15.3.1 承包人提供质量保证金的方式</w:t>
      </w:r>
      <w:bookmarkEnd w:id="428"/>
      <w:bookmarkEnd w:id="429"/>
    </w:p>
    <w:p w14:paraId="4C93EE1D">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质量保证金采用以下第</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1</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s="宋体"/>
          <w:color w:val="000000" w:themeColor="text1"/>
          <w:sz w:val="24"/>
          <w:highlight w:val="none"/>
          <w:u w:val="single"/>
          <w:lang w:eastAsia="zh-CN"/>
          <w14:textFill>
            <w14:solidFill>
              <w14:schemeClr w14:val="tx1"/>
            </w14:solidFill>
          </w14:textFill>
        </w:rPr>
        <w:t>和（</w:t>
      </w:r>
      <w:r>
        <w:rPr>
          <w:rFonts w:hint="eastAsia" w:ascii="宋体" w:hAnsi="宋体" w:cs="宋体"/>
          <w:color w:val="000000" w:themeColor="text1"/>
          <w:sz w:val="24"/>
          <w:highlight w:val="none"/>
          <w:u w:val="single"/>
          <w:lang w:val="en-US" w:eastAsia="zh-CN"/>
          <w14:textFill>
            <w14:solidFill>
              <w14:schemeClr w14:val="tx1"/>
            </w14:solidFill>
          </w14:textFill>
        </w:rPr>
        <w:t>3</w:t>
      </w:r>
      <w:r>
        <w:rPr>
          <w:rFonts w:hint="eastAsia" w:ascii="宋体" w:hAnsi="宋体" w:cs="宋体"/>
          <w:color w:val="000000" w:themeColor="text1"/>
          <w:sz w:val="24"/>
          <w:highlight w:val="none"/>
          <w:u w:val="single"/>
          <w:lang w:eastAsia="zh-CN"/>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种方式：</w:t>
      </w:r>
    </w:p>
    <w:p w14:paraId="65270849">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（1）质量保证金保函（银行保函、电子保函、保证保险保函、工程担保保函），保证金额为：</w:t>
      </w:r>
      <w:r>
        <w:rPr>
          <w:rFonts w:hint="eastAsia" w:ascii="宋体" w:hAnsi="宋体" w:cs="宋体"/>
          <w:color w:val="000000" w:themeColor="text1"/>
          <w:sz w:val="24"/>
          <w:highlight w:val="none"/>
          <w:u w:val="single"/>
          <w14:textFill>
            <w14:solidFill>
              <w14:schemeClr w14:val="tx1"/>
            </w14:solidFill>
          </w14:textFill>
        </w:rPr>
        <w:t>工程价款结算总额的3</w:t>
      </w:r>
      <w:r>
        <w:rPr>
          <w:rFonts w:hint="eastAsia" w:ascii="宋体" w:hAnsi="宋体" w:cs="宋体"/>
          <w:color w:val="000000" w:themeColor="text1"/>
          <w:sz w:val="24"/>
          <w:highlight w:val="none"/>
          <w:u w:val="single"/>
          <w:lang w:val="en-US"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t>
      </w:r>
    </w:p>
    <w:p w14:paraId="2CE0503F">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（2）发包人按工程价款结算总额的</w:t>
      </w:r>
      <w:r>
        <w:rPr>
          <w:rFonts w:hint="eastAsia" w:ascii="宋体" w:hAnsi="宋体" w:cs="宋体"/>
          <w:color w:val="000000" w:themeColor="text1"/>
          <w:sz w:val="24"/>
          <w:highlight w:val="none"/>
          <w:u w:val="single"/>
          <w14:textFill>
            <w14:solidFill>
              <w14:schemeClr w14:val="tx1"/>
            </w14:solidFill>
          </w14:textFill>
        </w:rPr>
        <w:t xml:space="preserve">  3 </w:t>
      </w:r>
      <w:r>
        <w:rPr>
          <w:rFonts w:hint="eastAsia" w:ascii="宋体" w:hAnsi="宋体" w:cs="宋体"/>
          <w:color w:val="000000" w:themeColor="text1"/>
          <w:sz w:val="24"/>
          <w:highlight w:val="none"/>
          <w14:textFill>
            <w14:solidFill>
              <w14:schemeClr w14:val="tx1"/>
            </w14:solidFill>
          </w14:textFill>
        </w:rPr>
        <w:t>%（不得超过3%）预留工程质量保证金，待缺陷责任期满后返还，是否付息及利息计算方式为：</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w:t>
      </w:r>
    </w:p>
    <w:p w14:paraId="0995A86D">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（3）其他方式：银行转账、电汇或网上支付等形式。</w:t>
      </w:r>
    </w:p>
    <w:p w14:paraId="33D527F7">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15.3.2 质量保证金的扣留</w:t>
      </w:r>
    </w:p>
    <w:p w14:paraId="62D4E45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质量保证金的扣留采取以下第</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3</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种方式：</w:t>
      </w:r>
    </w:p>
    <w:p w14:paraId="740F5EE4">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（1）在不缴纳</w:t>
      </w:r>
      <w:r>
        <w:rPr>
          <w:rFonts w:hint="eastAsia" w:ascii="宋体" w:hAnsi="宋体" w:cs="宋体"/>
          <w:color w:val="000000" w:themeColor="text1"/>
          <w:sz w:val="24"/>
          <w:highlight w:val="none"/>
          <w:lang w:eastAsia="zh-CN"/>
          <w14:textFill>
            <w14:solidFill>
              <w14:schemeClr w14:val="tx1"/>
            </w14:solidFill>
          </w14:textFill>
        </w:rPr>
        <w:t>履约</w:t>
      </w:r>
      <w:r>
        <w:rPr>
          <w:rFonts w:hint="eastAsia" w:ascii="宋体" w:hAnsi="宋体" w:cs="宋体"/>
          <w:color w:val="000000" w:themeColor="text1"/>
          <w:sz w:val="24"/>
          <w:highlight w:val="none"/>
          <w14:textFill>
            <w14:solidFill>
              <w14:schemeClr w14:val="tx1"/>
            </w14:solidFill>
          </w14:textFill>
        </w:rPr>
        <w:t>保证金情况下，按支付工程进度款时逐次扣留，质量保证金的计算基数不包括预付款的支付、扣回以及价格调整的金额；</w:t>
      </w:r>
    </w:p>
    <w:p w14:paraId="7FEFAFB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（2）工程竣工结算时，一次性扣留质量保证金，由承包人以银行保函、保证保险替代预留质量保证金，保函金额不得高于工程价款结算总额的3%；</w:t>
      </w:r>
    </w:p>
    <w:p w14:paraId="6C0BC912">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（3）其他扣留方式:银行转账、电汇或网上支付、保函（银行保函、电子保函、保证保险保函、工程担保保函）等形式。</w:t>
      </w:r>
    </w:p>
    <w:p w14:paraId="3C13A2B2">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关于质量保证金的补充约定：</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w:t>
      </w:r>
    </w:p>
    <w:p w14:paraId="329D27E8">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30" w:name="_Toc30916"/>
      <w:bookmarkStart w:id="431" w:name="_Toc27447"/>
      <w:r>
        <w:rPr>
          <w:rFonts w:hint="eastAsia" w:ascii="宋体" w:hAnsi="宋体" w:cs="宋体"/>
          <w:color w:val="000000" w:themeColor="text1"/>
          <w:sz w:val="24"/>
          <w:szCs w:val="24"/>
          <w:highlight w:val="none"/>
          <w14:textFill>
            <w14:solidFill>
              <w14:schemeClr w14:val="tx1"/>
            </w14:solidFill>
          </w14:textFill>
        </w:rPr>
        <w:t>15.4 保修</w:t>
      </w:r>
      <w:bookmarkEnd w:id="430"/>
      <w:bookmarkEnd w:id="431"/>
    </w:p>
    <w:p w14:paraId="6DF74119">
      <w:pPr>
        <w:spacing w:line="360" w:lineRule="auto"/>
        <w:ind w:firstLine="468"/>
        <w:jc w:val="left"/>
        <w:outlineLvl w:val="0"/>
        <w:rPr>
          <w:rFonts w:hint="eastAsia" w:ascii="宋体" w:hAnsi="宋体" w:cs="宋体"/>
          <w:color w:val="000000" w:themeColor="text1"/>
          <w:sz w:val="24"/>
          <w:highlight w:val="none"/>
          <w14:textFill>
            <w14:solidFill>
              <w14:schemeClr w14:val="tx1"/>
            </w14:solidFill>
          </w14:textFill>
        </w:rPr>
      </w:pPr>
      <w:bookmarkStart w:id="432" w:name="_Toc24735"/>
      <w:bookmarkStart w:id="433" w:name="_Toc24180"/>
      <w:r>
        <w:rPr>
          <w:rFonts w:hint="eastAsia" w:ascii="宋体" w:hAnsi="宋体" w:cs="宋体"/>
          <w:color w:val="000000" w:themeColor="text1"/>
          <w:sz w:val="24"/>
          <w:highlight w:val="none"/>
          <w14:textFill>
            <w14:solidFill>
              <w14:schemeClr w14:val="tx1"/>
            </w14:solidFill>
          </w14:textFill>
        </w:rPr>
        <w:t>15.4.1 保修责任</w:t>
      </w:r>
      <w:bookmarkEnd w:id="432"/>
      <w:bookmarkEnd w:id="433"/>
    </w:p>
    <w:p w14:paraId="3BC9B5E5">
      <w:pPr>
        <w:spacing w:line="360" w:lineRule="auto"/>
        <w:ind w:firstLine="468"/>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工程保修期为：</w:t>
      </w:r>
      <w:r>
        <w:rPr>
          <w:rFonts w:hint="eastAsia" w:ascii="宋体" w:hAnsi="宋体" w:cs="宋体"/>
          <w:color w:val="000000" w:themeColor="text1"/>
          <w:sz w:val="24"/>
          <w:highlight w:val="none"/>
          <w:u w:val="single"/>
          <w14:textFill>
            <w14:solidFill>
              <w14:schemeClr w14:val="tx1"/>
            </w14:solidFill>
          </w14:textFill>
        </w:rPr>
        <w:t>按工程质量保修书及现行规范、标准、规程及法律法规规定的期限执行</w:t>
      </w:r>
      <w:r>
        <w:rPr>
          <w:rFonts w:hint="eastAsia" w:ascii="宋体" w:hAnsi="宋体" w:cs="宋体"/>
          <w:color w:val="000000" w:themeColor="text1"/>
          <w:sz w:val="24"/>
          <w:highlight w:val="none"/>
          <w14:textFill>
            <w14:solidFill>
              <w14:schemeClr w14:val="tx1"/>
            </w14:solidFill>
          </w14:textFill>
        </w:rPr>
        <w:t>。</w:t>
      </w:r>
    </w:p>
    <w:p w14:paraId="0017019C">
      <w:pPr>
        <w:spacing w:line="360" w:lineRule="auto"/>
        <w:ind w:firstLine="468"/>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工程保修书具体内容见合同附件2。</w:t>
      </w:r>
    </w:p>
    <w:p w14:paraId="1BAC56A7">
      <w:pPr>
        <w:spacing w:line="360" w:lineRule="auto"/>
        <w:ind w:firstLine="468"/>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15.4.3 修复通知</w:t>
      </w:r>
    </w:p>
    <w:p w14:paraId="739E29B2">
      <w:pPr>
        <w:spacing w:line="360" w:lineRule="auto"/>
        <w:ind w:firstLine="468"/>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承包人收到保修通知并到达工程现场的合理时间：</w:t>
      </w:r>
      <w:r>
        <w:rPr>
          <w:rFonts w:hint="eastAsia" w:ascii="宋体" w:hAnsi="宋体" w:cs="宋体"/>
          <w:color w:val="000000" w:themeColor="text1"/>
          <w:sz w:val="24"/>
          <w:highlight w:val="none"/>
          <w:u w:val="single"/>
          <w:lang w:val="en-US" w:eastAsia="zh-CN"/>
          <w14:textFill>
            <w14:solidFill>
              <w14:schemeClr w14:val="tx1"/>
            </w14:solidFill>
          </w14:textFill>
        </w:rPr>
        <w:t>2天</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6DC59431">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434" w:name="_Toc14818"/>
      <w:bookmarkStart w:id="435" w:name="_Toc10773"/>
      <w:r>
        <w:rPr>
          <w:rFonts w:hint="eastAsia" w:ascii="宋体" w:hAnsi="宋体" w:cs="宋体"/>
          <w:color w:val="000000" w:themeColor="text1"/>
          <w:sz w:val="24"/>
          <w:szCs w:val="24"/>
          <w:highlight w:val="none"/>
          <w14:textFill>
            <w14:solidFill>
              <w14:schemeClr w14:val="tx1"/>
            </w14:solidFill>
          </w14:textFill>
        </w:rPr>
        <w:t>16. 违约</w:t>
      </w:r>
      <w:bookmarkEnd w:id="434"/>
      <w:bookmarkEnd w:id="435"/>
    </w:p>
    <w:p w14:paraId="39A3F8C0">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36" w:name="_Toc6230"/>
      <w:bookmarkStart w:id="437" w:name="_Toc15890"/>
      <w:r>
        <w:rPr>
          <w:rFonts w:hint="eastAsia" w:ascii="宋体" w:hAnsi="宋体" w:cs="宋体"/>
          <w:color w:val="000000" w:themeColor="text1"/>
          <w:sz w:val="24"/>
          <w:szCs w:val="24"/>
          <w:highlight w:val="none"/>
          <w14:textFill>
            <w14:solidFill>
              <w14:schemeClr w14:val="tx1"/>
            </w14:solidFill>
          </w14:textFill>
        </w:rPr>
        <w:t>16.1 发包人违约</w:t>
      </w:r>
      <w:bookmarkEnd w:id="436"/>
      <w:bookmarkEnd w:id="437"/>
    </w:p>
    <w:p w14:paraId="17E24D3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16.1.1发包人违约的情形</w:t>
      </w:r>
    </w:p>
    <w:p w14:paraId="1CFBE9D9">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发包人违约的其他情形：</w:t>
      </w:r>
      <w:r>
        <w:rPr>
          <w:rFonts w:hint="eastAsia" w:ascii="宋体" w:hAnsi="宋体" w:cs="宋体"/>
          <w:color w:val="000000" w:themeColor="text1"/>
          <w:sz w:val="24"/>
          <w:highlight w:val="none"/>
          <w:u w:val="single"/>
          <w14:textFill>
            <w14:solidFill>
              <w14:schemeClr w14:val="tx1"/>
            </w14:solidFill>
          </w14:textFill>
        </w:rPr>
        <w:t xml:space="preserve">     按《通用合同条款》执行   </w:t>
      </w:r>
      <w:r>
        <w:rPr>
          <w:rFonts w:hint="eastAsia" w:ascii="宋体" w:hAnsi="宋体" w:cs="宋体"/>
          <w:color w:val="000000" w:themeColor="text1"/>
          <w:sz w:val="24"/>
          <w:highlight w:val="none"/>
          <w14:textFill>
            <w14:solidFill>
              <w14:schemeClr w14:val="tx1"/>
            </w14:solidFill>
          </w14:textFill>
        </w:rPr>
        <w:t>。</w:t>
      </w:r>
    </w:p>
    <w:p w14:paraId="1BE3BB22">
      <w:pPr>
        <w:spacing w:line="360" w:lineRule="auto"/>
        <w:ind w:firstLine="480"/>
        <w:jc w:val="left"/>
        <w:outlineLvl w:val="0"/>
        <w:rPr>
          <w:rFonts w:hint="eastAsia" w:ascii="宋体" w:hAnsi="宋体" w:cs="宋体"/>
          <w:color w:val="000000" w:themeColor="text1"/>
          <w:sz w:val="24"/>
          <w:highlight w:val="none"/>
          <w14:textFill>
            <w14:solidFill>
              <w14:schemeClr w14:val="tx1"/>
            </w14:solidFill>
          </w14:textFill>
        </w:rPr>
      </w:pPr>
      <w:bookmarkStart w:id="438" w:name="_Toc5808"/>
      <w:bookmarkStart w:id="439" w:name="_Toc14897"/>
      <w:r>
        <w:rPr>
          <w:rFonts w:hint="eastAsia" w:ascii="宋体" w:hAnsi="宋体" w:cs="宋体"/>
          <w:color w:val="000000" w:themeColor="text1"/>
          <w:sz w:val="24"/>
          <w:highlight w:val="none"/>
          <w14:textFill>
            <w14:solidFill>
              <w14:schemeClr w14:val="tx1"/>
            </w14:solidFill>
          </w14:textFill>
        </w:rPr>
        <w:t>16.1.2 发包人违约的责任</w:t>
      </w:r>
      <w:bookmarkEnd w:id="438"/>
      <w:bookmarkEnd w:id="439"/>
    </w:p>
    <w:p w14:paraId="03A7CC00">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发包人违约责任的承担方式和计算方法：</w:t>
      </w:r>
    </w:p>
    <w:p w14:paraId="220A607C">
      <w:pPr>
        <w:pStyle w:val="374"/>
        <w:spacing w:line="360" w:lineRule="auto"/>
        <w:ind w:firstLine="480"/>
        <w:jc w:val="left"/>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（1）因发包人原因未能在计划开工日期前7天内下达开工通知的违约责任：</w:t>
      </w:r>
      <w:r>
        <w:rPr>
          <w:rFonts w:hint="eastAsia" w:ascii="宋体" w:hAnsi="宋体" w:cs="宋体"/>
          <w:color w:val="000000" w:themeColor="text1"/>
          <w:sz w:val="24"/>
          <w:szCs w:val="24"/>
          <w:highlight w:val="none"/>
          <w:u w:val="single"/>
          <w14:textFill>
            <w14:solidFill>
              <w14:schemeClr w14:val="tx1"/>
            </w14:solidFill>
          </w14:textFill>
        </w:rPr>
        <w:t xml:space="preserve"> 承包人可以要求顺延工程日期 </w:t>
      </w:r>
      <w:r>
        <w:rPr>
          <w:rFonts w:hint="eastAsia" w:ascii="宋体" w:hAnsi="宋体" w:cs="宋体"/>
          <w:color w:val="000000" w:themeColor="text1"/>
          <w:sz w:val="24"/>
          <w:szCs w:val="24"/>
          <w:highlight w:val="none"/>
          <w14:textFill>
            <w14:solidFill>
              <w14:schemeClr w14:val="tx1"/>
            </w14:solidFill>
          </w14:textFill>
        </w:rPr>
        <w:t>。</w:t>
      </w:r>
    </w:p>
    <w:p w14:paraId="61361D47">
      <w:pPr>
        <w:pStyle w:val="374"/>
        <w:spacing w:line="360" w:lineRule="auto"/>
        <w:ind w:firstLine="480"/>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（2）因发包人原因未能按合同约定支付合同价款的违约责任：</w:t>
      </w:r>
      <w:r>
        <w:rPr>
          <w:rFonts w:hint="eastAsia" w:ascii="宋体" w:hAnsi="宋体" w:cs="宋体"/>
          <w:color w:val="000000" w:themeColor="text1"/>
          <w:sz w:val="24"/>
          <w:szCs w:val="24"/>
          <w:highlight w:val="none"/>
          <w:u w:val="single"/>
          <w14:textFill>
            <w14:solidFill>
              <w14:schemeClr w14:val="tx1"/>
            </w14:solidFill>
          </w14:textFill>
        </w:rPr>
        <w:t xml:space="preserve"> 如发包人进度款支付延期，承包人应予以理解，承包人可以要求顺延工程日期    </w:t>
      </w:r>
      <w:r>
        <w:rPr>
          <w:rFonts w:hint="eastAsia" w:ascii="宋体" w:hAnsi="宋体" w:cs="宋体"/>
          <w:color w:val="000000" w:themeColor="text1"/>
          <w:sz w:val="24"/>
          <w:szCs w:val="24"/>
          <w:highlight w:val="none"/>
          <w14:textFill>
            <w14:solidFill>
              <w14:schemeClr w14:val="tx1"/>
            </w14:solidFill>
          </w14:textFill>
        </w:rPr>
        <w:t>。</w:t>
      </w:r>
    </w:p>
    <w:p w14:paraId="005E5B4A">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（3）发包人违反第10.1款〔变更的范围〕第（2）项约定，自行实施被取消的工作或转由他人实施的违约责任：</w:t>
      </w:r>
      <w:r>
        <w:rPr>
          <w:rFonts w:hint="eastAsia" w:ascii="宋体" w:hAnsi="宋体" w:cs="宋体"/>
          <w:color w:val="000000" w:themeColor="text1"/>
          <w:sz w:val="24"/>
          <w:highlight w:val="none"/>
          <w:u w:val="single"/>
          <w14:textFill>
            <w14:solidFill>
              <w14:schemeClr w14:val="tx1"/>
            </w14:solidFill>
          </w14:textFill>
        </w:rPr>
        <w:t xml:space="preserve"> 发包人自行实施的工作或转由他人实施的工作不符合国家合格质量标准的，由发包人承担因此造成的经济损失 </w:t>
      </w:r>
      <w:r>
        <w:rPr>
          <w:rFonts w:hint="eastAsia" w:ascii="宋体" w:hAnsi="宋体" w:cs="宋体"/>
          <w:color w:val="000000" w:themeColor="text1"/>
          <w:sz w:val="24"/>
          <w:highlight w:val="none"/>
          <w14:textFill>
            <w14:solidFill>
              <w14:schemeClr w14:val="tx1"/>
            </w14:solidFill>
          </w14:textFill>
        </w:rPr>
        <w:t>。</w:t>
      </w:r>
    </w:p>
    <w:p w14:paraId="3AFAC37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（4）发包人提供的材料、工程设备的规格、数量或质量不符合合同约定，或因发包人原因导致交货日期延误或交货地点变更等情况的违约责任：</w:t>
      </w:r>
      <w:r>
        <w:rPr>
          <w:rFonts w:hint="eastAsia" w:ascii="宋体" w:hAnsi="宋体" w:cs="宋体"/>
          <w:color w:val="000000" w:themeColor="text1"/>
          <w:sz w:val="24"/>
          <w:highlight w:val="none"/>
          <w:u w:val="single"/>
          <w14:textFill>
            <w14:solidFill>
              <w14:schemeClr w14:val="tx1"/>
            </w14:solidFill>
          </w14:textFill>
        </w:rPr>
        <w:t xml:space="preserve"> 承包人可以顺延工程日期 </w:t>
      </w:r>
      <w:r>
        <w:rPr>
          <w:rFonts w:hint="eastAsia" w:ascii="宋体" w:hAnsi="宋体" w:cs="宋体"/>
          <w:color w:val="000000" w:themeColor="text1"/>
          <w:sz w:val="24"/>
          <w:highlight w:val="none"/>
          <w14:textFill>
            <w14:solidFill>
              <w14:schemeClr w14:val="tx1"/>
            </w14:solidFill>
          </w14:textFill>
        </w:rPr>
        <w:t>。</w:t>
      </w:r>
    </w:p>
    <w:p w14:paraId="72F73A32">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（5）因发包人违反合同约定造成暂停施工的违约责任：</w:t>
      </w:r>
      <w:r>
        <w:rPr>
          <w:rFonts w:hint="eastAsia" w:ascii="宋体" w:hAnsi="宋体" w:cs="宋体"/>
          <w:color w:val="000000" w:themeColor="text1"/>
          <w:sz w:val="24"/>
          <w:highlight w:val="none"/>
          <w:u w:val="single"/>
          <w14:textFill>
            <w14:solidFill>
              <w14:schemeClr w14:val="tx1"/>
            </w14:solidFill>
          </w14:textFill>
        </w:rPr>
        <w:t xml:space="preserve"> 发包人应当采取措施弥补或者减少损失 </w:t>
      </w:r>
      <w:r>
        <w:rPr>
          <w:rFonts w:hint="eastAsia" w:ascii="宋体" w:hAnsi="宋体" w:cs="宋体"/>
          <w:color w:val="000000" w:themeColor="text1"/>
          <w:sz w:val="24"/>
          <w:highlight w:val="none"/>
          <w14:textFill>
            <w14:solidFill>
              <w14:schemeClr w14:val="tx1"/>
            </w14:solidFill>
          </w14:textFill>
        </w:rPr>
        <w:t>。</w:t>
      </w:r>
    </w:p>
    <w:p w14:paraId="1FDD034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（6）发包人无正当理由没有在约定期限内发出复工指示，导致承包人无法复工的违约责任：</w:t>
      </w:r>
      <w:r>
        <w:rPr>
          <w:rFonts w:hint="eastAsia" w:ascii="宋体" w:hAnsi="宋体" w:cs="宋体"/>
          <w:color w:val="000000" w:themeColor="text1"/>
          <w:sz w:val="24"/>
          <w:highlight w:val="none"/>
          <w:u w:val="single"/>
          <w14:textFill>
            <w14:solidFill>
              <w14:schemeClr w14:val="tx1"/>
            </w14:solidFill>
          </w14:textFill>
        </w:rPr>
        <w:t xml:space="preserve">     承包人可以顺延工程日期    </w:t>
      </w:r>
      <w:r>
        <w:rPr>
          <w:rFonts w:hint="eastAsia" w:ascii="宋体" w:hAnsi="宋体" w:cs="宋体"/>
          <w:color w:val="000000" w:themeColor="text1"/>
          <w:sz w:val="24"/>
          <w:highlight w:val="none"/>
          <w14:textFill>
            <w14:solidFill>
              <w14:schemeClr w14:val="tx1"/>
            </w14:solidFill>
          </w14:textFill>
        </w:rPr>
        <w:t>。</w:t>
      </w:r>
    </w:p>
    <w:p w14:paraId="0AD30CAF">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（7）其他：</w:t>
      </w:r>
      <w:r>
        <w:rPr>
          <w:rFonts w:hint="eastAsia" w:ascii="宋体" w:hAnsi="宋体" w:cs="宋体"/>
          <w:color w:val="000000" w:themeColor="text1"/>
          <w:sz w:val="24"/>
          <w:highlight w:val="none"/>
          <w:u w:val="single"/>
          <w14:textFill>
            <w14:solidFill>
              <w14:schemeClr w14:val="tx1"/>
            </w14:solidFill>
          </w14:textFill>
        </w:rPr>
        <w:t xml:space="preserve">     按《通用合同条款》执行      </w:t>
      </w:r>
      <w:r>
        <w:rPr>
          <w:rFonts w:hint="eastAsia" w:ascii="宋体" w:hAnsi="宋体" w:cs="宋体"/>
          <w:color w:val="000000" w:themeColor="text1"/>
          <w:sz w:val="24"/>
          <w:highlight w:val="none"/>
          <w14:textFill>
            <w14:solidFill>
              <w14:schemeClr w14:val="tx1"/>
            </w14:solidFill>
          </w14:textFill>
        </w:rPr>
        <w:t>。</w:t>
      </w:r>
    </w:p>
    <w:p w14:paraId="6117C0A0">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16.1.3 因发包人违约解除合同</w:t>
      </w:r>
    </w:p>
    <w:p w14:paraId="7BD837B7">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承包人按16.1.1项〔发包人违约的情形〕约定暂停施工满</w:t>
      </w:r>
      <w:r>
        <w:rPr>
          <w:rFonts w:hint="eastAsia" w:ascii="宋体" w:hAnsi="宋体" w:cs="宋体"/>
          <w:color w:val="000000" w:themeColor="text1"/>
          <w:sz w:val="24"/>
          <w:highlight w:val="none"/>
          <w:u w:val="single"/>
          <w14:textFill>
            <w14:solidFill>
              <w14:schemeClr w14:val="tx1"/>
            </w14:solidFill>
          </w14:textFill>
        </w:rPr>
        <w:t xml:space="preserve">  90  </w:t>
      </w:r>
      <w:r>
        <w:rPr>
          <w:rFonts w:hint="eastAsia" w:ascii="宋体" w:hAnsi="宋体" w:cs="宋体"/>
          <w:color w:val="000000" w:themeColor="text1"/>
          <w:sz w:val="24"/>
          <w:highlight w:val="none"/>
          <w14:textFill>
            <w14:solidFill>
              <w14:schemeClr w14:val="tx1"/>
            </w14:solidFill>
          </w14:textFill>
        </w:rPr>
        <w:t>天后发包人仍不纠正其违约行为并致使合同目的不能实现的，承包人有权解除合同。</w:t>
      </w:r>
    </w:p>
    <w:p w14:paraId="4AFC2194">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40" w:name="_Toc24067"/>
      <w:bookmarkStart w:id="441" w:name="_Toc11944"/>
      <w:r>
        <w:rPr>
          <w:rFonts w:hint="eastAsia" w:ascii="宋体" w:hAnsi="宋体" w:cs="宋体"/>
          <w:color w:val="000000" w:themeColor="text1"/>
          <w:sz w:val="24"/>
          <w:szCs w:val="24"/>
          <w:highlight w:val="none"/>
          <w14:textFill>
            <w14:solidFill>
              <w14:schemeClr w14:val="tx1"/>
            </w14:solidFill>
          </w14:textFill>
        </w:rPr>
        <w:t>16.2 承包人违约</w:t>
      </w:r>
      <w:bookmarkEnd w:id="440"/>
      <w:bookmarkEnd w:id="441"/>
    </w:p>
    <w:p w14:paraId="2DC5ED2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16.2.1 承包人违约的情形</w:t>
      </w:r>
    </w:p>
    <w:p w14:paraId="2E910D4A">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承包人违约的其他情形：</w:t>
      </w:r>
      <w:r>
        <w:rPr>
          <w:rFonts w:hint="eastAsia" w:ascii="宋体" w:hAnsi="宋体" w:cs="宋体"/>
          <w:color w:val="000000" w:themeColor="text1"/>
          <w:sz w:val="24"/>
          <w:highlight w:val="none"/>
          <w:u w:val="single"/>
          <w14:textFill>
            <w14:solidFill>
              <w14:schemeClr w14:val="tx1"/>
            </w14:solidFill>
          </w14:textFill>
        </w:rPr>
        <w:t xml:space="preserve">   按《通用合同条款》执行      </w:t>
      </w:r>
      <w:r>
        <w:rPr>
          <w:rFonts w:hint="eastAsia" w:ascii="宋体" w:hAnsi="宋体" w:cs="宋体"/>
          <w:color w:val="000000" w:themeColor="text1"/>
          <w:sz w:val="24"/>
          <w:highlight w:val="none"/>
          <w14:textFill>
            <w14:solidFill>
              <w14:schemeClr w14:val="tx1"/>
            </w14:solidFill>
          </w14:textFill>
        </w:rPr>
        <w:t>。</w:t>
      </w:r>
    </w:p>
    <w:p w14:paraId="7615AC76">
      <w:pPr>
        <w:spacing w:line="360" w:lineRule="auto"/>
        <w:ind w:firstLine="480"/>
        <w:jc w:val="left"/>
        <w:outlineLvl w:val="0"/>
        <w:rPr>
          <w:rFonts w:hint="eastAsia" w:ascii="宋体" w:hAnsi="宋体" w:cs="宋体"/>
          <w:color w:val="000000" w:themeColor="text1"/>
          <w:sz w:val="24"/>
          <w:highlight w:val="none"/>
          <w14:textFill>
            <w14:solidFill>
              <w14:schemeClr w14:val="tx1"/>
            </w14:solidFill>
          </w14:textFill>
        </w:rPr>
      </w:pPr>
      <w:bookmarkStart w:id="442" w:name="_Toc10169"/>
      <w:bookmarkStart w:id="443" w:name="_Toc20002"/>
      <w:r>
        <w:rPr>
          <w:rFonts w:hint="eastAsia" w:ascii="宋体" w:hAnsi="宋体" w:cs="宋体"/>
          <w:color w:val="000000" w:themeColor="text1"/>
          <w:sz w:val="24"/>
          <w:highlight w:val="none"/>
          <w14:textFill>
            <w14:solidFill>
              <w14:schemeClr w14:val="tx1"/>
            </w14:solidFill>
          </w14:textFill>
        </w:rPr>
        <w:t>16.2.2承包人违约的责任</w:t>
      </w:r>
      <w:bookmarkEnd w:id="442"/>
      <w:bookmarkEnd w:id="443"/>
    </w:p>
    <w:p w14:paraId="6AF7EC19">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承包人违约责任的承担方式和计算方法：</w:t>
      </w:r>
    </w:p>
    <w:p w14:paraId="23F9B30A">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承包人有本合同通用条款第16.2.1（2）、（3）条内容情形的，承包人无条件返工处理，修复至工程质量要求并承担相关费用，并在发包人规定的时间内完成返工，否则发包人有权扣罚该分项工程10%的工程款作为处罚。</w:t>
      </w:r>
    </w:p>
    <w:p w14:paraId="6864281A">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（2）承包人有本合同通用条款第16.2.1（6）条情形的，或经监理人检验认为修复质量不合格而承包人拒绝再进行修补的，发包人将扣除承包人全部质量保证金。</w:t>
      </w:r>
    </w:p>
    <w:p w14:paraId="517DC0C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2814220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16.2.3 因承包人违约解除合同</w:t>
      </w:r>
    </w:p>
    <w:p w14:paraId="53C560CB">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关于承包人违约解除合同的特别约定：</w:t>
      </w:r>
      <w:r>
        <w:rPr>
          <w:rFonts w:hint="eastAsia" w:ascii="宋体" w:hAnsi="宋体" w:cs="宋体"/>
          <w:color w:val="000000" w:themeColor="text1"/>
          <w:sz w:val="24"/>
          <w:highlight w:val="none"/>
          <w:u w:val="single"/>
          <w14:textFill>
            <w14:solidFill>
              <w14:schemeClr w14:val="tx1"/>
            </w14:solidFill>
          </w14:textFill>
        </w:rPr>
        <w:t>承包人有违反以下情况之一的，发包人有权解除合同，并没收其全部履约保证金</w:t>
      </w:r>
      <w:r>
        <w:rPr>
          <w:rFonts w:hint="eastAsia" w:ascii="宋体" w:hAnsi="宋体" w:cs="宋体"/>
          <w:color w:val="000000" w:themeColor="text1"/>
          <w:sz w:val="24"/>
          <w:highlight w:val="none"/>
          <w14:textFill>
            <w14:solidFill>
              <w14:schemeClr w14:val="tx1"/>
            </w14:solidFill>
          </w14:textFill>
        </w:rPr>
        <w:t>。</w:t>
      </w:r>
    </w:p>
    <w:p w14:paraId="77566F22">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(1)承包人无正当理由不按开工通知的要求及时进场组织施工和不按签订协议书时商定的进度计划有效地开展施工准备，造成工期延误的；</w:t>
      </w:r>
    </w:p>
    <w:p w14:paraId="1E44DEE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(2)承包人违反本合同通用条款第3.5条规定私自将合同或合同的任何部分或任何权利转让给其他人，或私自将工程或工程的一部分分包出去的；</w:t>
      </w:r>
    </w:p>
    <w:p w14:paraId="474CE73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(3)未经监理人批准，承包人私自将已按投标文件承诺进入工地的工程设备、施工设备、临时工程或材料撤离工地的；</w:t>
      </w:r>
    </w:p>
    <w:p w14:paraId="284AE83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(4)由于承包人原因拒绝按合同进度计划及时完成合同规定的工程，而又未采取有效措施赶上进度，造成工期严重延误的；</w:t>
      </w:r>
    </w:p>
    <w:p w14:paraId="7C2B205E">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(5)承包人否认合同有效或拒绝履行合同规定的承包人义务，或由于法律、财务等原因导致承包人无法继续履行或实质上已停止履行合同的义务的；</w:t>
      </w:r>
    </w:p>
    <w:p w14:paraId="52C81BA2">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宋体" w:hAnsi="宋体" w:cs="宋体"/>
          <w:color w:val="000000" w:themeColor="text1"/>
          <w:sz w:val="24"/>
          <w:highlight w:val="none"/>
          <w:u w:val="single"/>
          <w14:textFill>
            <w14:solidFill>
              <w14:schemeClr w14:val="tx1"/>
            </w14:solidFill>
          </w14:textFill>
        </w:rPr>
        <w:t xml:space="preserve">     由承包人承担相应费用    </w:t>
      </w:r>
      <w:r>
        <w:rPr>
          <w:rFonts w:hint="eastAsia" w:ascii="宋体" w:hAnsi="宋体" w:cs="宋体"/>
          <w:color w:val="000000" w:themeColor="text1"/>
          <w:sz w:val="24"/>
          <w:highlight w:val="none"/>
          <w14:textFill>
            <w14:solidFill>
              <w14:schemeClr w14:val="tx1"/>
            </w14:solidFill>
          </w14:textFill>
        </w:rPr>
        <w:t>。</w:t>
      </w:r>
    </w:p>
    <w:p w14:paraId="73673487">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444" w:name="_Toc6217"/>
      <w:bookmarkStart w:id="445" w:name="_Toc29179"/>
      <w:r>
        <w:rPr>
          <w:rFonts w:hint="eastAsia" w:ascii="宋体" w:hAnsi="宋体" w:cs="宋体"/>
          <w:color w:val="000000" w:themeColor="text1"/>
          <w:sz w:val="24"/>
          <w:szCs w:val="24"/>
          <w:highlight w:val="none"/>
          <w14:textFill>
            <w14:solidFill>
              <w14:schemeClr w14:val="tx1"/>
            </w14:solidFill>
          </w14:textFill>
        </w:rPr>
        <w:t>17. 不可抗力</w:t>
      </w:r>
      <w:bookmarkEnd w:id="444"/>
      <w:bookmarkEnd w:id="445"/>
      <w:r>
        <w:rPr>
          <w:rFonts w:hint="eastAsia" w:ascii="宋体" w:hAnsi="宋体" w:cs="宋体"/>
          <w:color w:val="000000" w:themeColor="text1"/>
          <w:sz w:val="24"/>
          <w:szCs w:val="24"/>
          <w:highlight w:val="none"/>
          <w14:textFill>
            <w14:solidFill>
              <w14:schemeClr w14:val="tx1"/>
            </w14:solidFill>
          </w14:textFill>
        </w:rPr>
        <w:t xml:space="preserve"> </w:t>
      </w:r>
    </w:p>
    <w:p w14:paraId="58E7201D">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46" w:name="_Toc8833"/>
      <w:bookmarkStart w:id="447" w:name="_Toc18874"/>
      <w:r>
        <w:rPr>
          <w:rFonts w:hint="eastAsia" w:ascii="宋体" w:hAnsi="宋体" w:cs="宋体"/>
          <w:color w:val="000000" w:themeColor="text1"/>
          <w:sz w:val="24"/>
          <w:szCs w:val="24"/>
          <w:highlight w:val="none"/>
          <w14:textFill>
            <w14:solidFill>
              <w14:schemeClr w14:val="tx1"/>
            </w14:solidFill>
          </w14:textFill>
        </w:rPr>
        <w:t>17.1 不可抗力的确认</w:t>
      </w:r>
      <w:bookmarkEnd w:id="446"/>
      <w:bookmarkEnd w:id="447"/>
    </w:p>
    <w:p w14:paraId="19BD2A17">
      <w:pPr>
        <w:pStyle w:val="374"/>
        <w:spacing w:line="360" w:lineRule="auto"/>
        <w:ind w:firstLine="480"/>
        <w:jc w:val="left"/>
        <w:rPr>
          <w:rFonts w:hint="eastAsia"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除通用合同条款约定的不可抗力事件之外，视为不可抗力的其他情形：</w:t>
      </w:r>
      <w:r>
        <w:rPr>
          <w:rFonts w:hint="eastAsia" w:ascii="宋体" w:hAnsi="宋体" w:cs="宋体"/>
          <w:color w:val="000000" w:themeColor="text1"/>
          <w:sz w:val="24"/>
          <w:szCs w:val="24"/>
          <w:highlight w:val="none"/>
          <w:u w:val="single"/>
          <w14:textFill>
            <w14:solidFill>
              <w14:schemeClr w14:val="tx1"/>
            </w14:solidFill>
          </w14:textFill>
        </w:rPr>
        <w:t xml:space="preserve">按《通用合同条款》执行 </w:t>
      </w:r>
      <w:r>
        <w:rPr>
          <w:rFonts w:hint="eastAsia" w:ascii="宋体" w:hAnsi="宋体" w:cs="宋体"/>
          <w:color w:val="000000" w:themeColor="text1"/>
          <w:sz w:val="24"/>
          <w:szCs w:val="24"/>
          <w:highlight w:val="none"/>
          <w14:textFill>
            <w14:solidFill>
              <w14:schemeClr w14:val="tx1"/>
            </w14:solidFill>
          </w14:textFill>
        </w:rPr>
        <w:t>。</w:t>
      </w:r>
    </w:p>
    <w:p w14:paraId="036D059B">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48" w:name="_Toc25215"/>
      <w:bookmarkStart w:id="449" w:name="_Toc22746"/>
      <w:r>
        <w:rPr>
          <w:rFonts w:hint="eastAsia" w:ascii="宋体" w:hAnsi="宋体" w:cs="宋体"/>
          <w:color w:val="000000" w:themeColor="text1"/>
          <w:sz w:val="24"/>
          <w:szCs w:val="24"/>
          <w:highlight w:val="none"/>
          <w14:textFill>
            <w14:solidFill>
              <w14:schemeClr w14:val="tx1"/>
            </w14:solidFill>
          </w14:textFill>
        </w:rPr>
        <w:t>17.4 因不可抗力解除合同</w:t>
      </w:r>
      <w:bookmarkEnd w:id="448"/>
      <w:bookmarkEnd w:id="449"/>
    </w:p>
    <w:p w14:paraId="09DFA52D">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合同解除后，发包人应在商定或确定发包人应支付款项后</w:t>
      </w:r>
      <w:r>
        <w:rPr>
          <w:rFonts w:hint="eastAsia" w:ascii="宋体" w:hAnsi="宋体" w:cs="宋体"/>
          <w:color w:val="000000" w:themeColor="text1"/>
          <w:sz w:val="24"/>
          <w:highlight w:val="none"/>
          <w:u w:val="single"/>
          <w14:textFill>
            <w14:solidFill>
              <w14:schemeClr w14:val="tx1"/>
            </w14:solidFill>
          </w14:textFill>
        </w:rPr>
        <w:t xml:space="preserve"> 28   </w:t>
      </w:r>
      <w:r>
        <w:rPr>
          <w:rFonts w:hint="eastAsia" w:ascii="宋体" w:hAnsi="宋体" w:cs="宋体"/>
          <w:color w:val="000000" w:themeColor="text1"/>
          <w:sz w:val="24"/>
          <w:highlight w:val="none"/>
          <w14:textFill>
            <w14:solidFill>
              <w14:schemeClr w14:val="tx1"/>
            </w14:solidFill>
          </w14:textFill>
        </w:rPr>
        <w:t>天内完成款项的支付。</w:t>
      </w:r>
    </w:p>
    <w:p w14:paraId="5D80950C">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450" w:name="_Toc31374"/>
      <w:bookmarkStart w:id="451" w:name="_Toc31878"/>
      <w:r>
        <w:rPr>
          <w:rFonts w:hint="eastAsia" w:ascii="宋体" w:hAnsi="宋体" w:cs="宋体"/>
          <w:color w:val="000000" w:themeColor="text1"/>
          <w:sz w:val="24"/>
          <w:szCs w:val="24"/>
          <w:highlight w:val="none"/>
          <w14:textFill>
            <w14:solidFill>
              <w14:schemeClr w14:val="tx1"/>
            </w14:solidFill>
          </w14:textFill>
        </w:rPr>
        <w:t>18. 保险</w:t>
      </w:r>
      <w:bookmarkEnd w:id="450"/>
      <w:bookmarkEnd w:id="451"/>
    </w:p>
    <w:p w14:paraId="1448EED1">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52" w:name="_Toc12713"/>
      <w:bookmarkStart w:id="453" w:name="_Toc32411"/>
      <w:r>
        <w:rPr>
          <w:rFonts w:hint="eastAsia" w:ascii="宋体" w:hAnsi="宋体" w:cs="宋体"/>
          <w:color w:val="000000" w:themeColor="text1"/>
          <w:sz w:val="24"/>
          <w:szCs w:val="24"/>
          <w:highlight w:val="none"/>
          <w14:textFill>
            <w14:solidFill>
              <w14:schemeClr w14:val="tx1"/>
            </w14:solidFill>
          </w14:textFill>
        </w:rPr>
        <w:t>18.1 工程保险</w:t>
      </w:r>
      <w:bookmarkEnd w:id="452"/>
      <w:bookmarkEnd w:id="453"/>
    </w:p>
    <w:p w14:paraId="51F80D79">
      <w:pPr>
        <w:pStyle w:val="374"/>
        <w:spacing w:line="360" w:lineRule="auto"/>
        <w:ind w:firstLine="480"/>
        <w:jc w:val="left"/>
        <w:rPr>
          <w:rFonts w:hint="default"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关于工程保险的特别约定：</w:t>
      </w:r>
      <w:r>
        <w:rPr>
          <w:rFonts w:hint="eastAsia" w:ascii="宋体" w:hAnsi="宋体" w:cs="宋体"/>
          <w:color w:val="000000" w:themeColor="text1"/>
          <w:sz w:val="24"/>
          <w:szCs w:val="24"/>
          <w:highlight w:val="none"/>
          <w:u w:val="single"/>
          <w14:textFill>
            <w14:solidFill>
              <w14:schemeClr w14:val="tx1"/>
            </w14:solidFill>
          </w14:textFill>
        </w:rPr>
        <w:t>由承包人投保建筑工程一切险及安装工程一切险并承担相应费用，保险金不足以补偿损失的，应由承包人负责补偿</w:t>
      </w:r>
      <w:r>
        <w:rPr>
          <w:rFonts w:hint="eastAsia" w:ascii="宋体" w:hAnsi="宋体" w:cs="宋体"/>
          <w:color w:val="000000" w:themeColor="text1"/>
          <w:sz w:val="24"/>
          <w:szCs w:val="24"/>
          <w:highlight w:val="none"/>
          <w14:textFill>
            <w14:solidFill>
              <w14:schemeClr w14:val="tx1"/>
            </w14:solidFill>
          </w14:textFill>
        </w:rPr>
        <w:t>。安全生产责任保险费按《自治区住房和城乡建设厅关于印发广西壮族自治区房屋建筑和市政基础设施工程安全生产责任保险计价规定的通知》(桂建发(2023)6号)计算，工程结算时，由发承包双方根据工程实际情况确认的安全生产责任保险费进行结算。</w:t>
      </w:r>
      <w:r>
        <w:rPr>
          <w:rFonts w:hint="eastAsia" w:ascii="宋体" w:hAnsi="宋体" w:cs="宋体"/>
          <w:color w:val="000000" w:themeColor="text1"/>
          <w:sz w:val="24"/>
          <w:szCs w:val="24"/>
          <w:highlight w:val="none"/>
          <w:lang w:eastAsia="zh-CN"/>
          <w14:textFill>
            <w14:solidFill>
              <w14:schemeClr w14:val="tx1"/>
            </w14:solidFill>
          </w14:textFill>
        </w:rPr>
        <w:t>按</w:t>
      </w:r>
      <w:r>
        <w:rPr>
          <w:rFonts w:hint="eastAsia" w:ascii="宋体" w:hAnsi="宋体" w:cs="宋体"/>
          <w:color w:val="000000" w:themeColor="text1"/>
          <w:sz w:val="24"/>
          <w:szCs w:val="24"/>
          <w:highlight w:val="none"/>
          <w14:textFill>
            <w14:solidFill>
              <w14:schemeClr w14:val="tx1"/>
            </w14:solidFill>
          </w14:textFill>
        </w:rPr>
        <w:t>桂建价〔2024〕2号</w:t>
      </w:r>
      <w:r>
        <w:rPr>
          <w:rFonts w:hint="eastAsia" w:ascii="宋体" w:hAnsi="宋体" w:cs="宋体"/>
          <w:color w:val="000000" w:themeColor="text1"/>
          <w:sz w:val="24"/>
          <w:szCs w:val="24"/>
          <w:highlight w:val="none"/>
          <w:lang w:eastAsia="zh-CN"/>
          <w14:textFill>
            <w14:solidFill>
              <w14:schemeClr w14:val="tx1"/>
            </w14:solidFill>
          </w14:textFill>
        </w:rPr>
        <w:t>计算</w:t>
      </w:r>
      <w:r>
        <w:rPr>
          <w:rFonts w:hint="eastAsia" w:ascii="宋体" w:hAnsi="宋体" w:cs="宋体"/>
          <w:color w:val="000000" w:themeColor="text1"/>
          <w:sz w:val="24"/>
          <w:szCs w:val="24"/>
          <w:highlight w:val="none"/>
          <w14:textFill>
            <w14:solidFill>
              <w14:schemeClr w14:val="tx1"/>
            </w14:solidFill>
          </w14:textFill>
        </w:rPr>
        <w:t>安全生产责任保险费</w:t>
      </w:r>
      <w:r>
        <w:rPr>
          <w:rFonts w:hint="default" w:ascii="宋体" w:hAnsi="宋体" w:cs="宋体"/>
          <w:color w:val="000000" w:themeColor="text1"/>
          <w:sz w:val="24"/>
          <w:highlight w:val="none"/>
          <w:lang w:val="en-US" w:eastAsia="zh-CN"/>
          <w14:textFill>
            <w14:solidFill>
              <w14:schemeClr w14:val="tx1"/>
            </w14:solidFill>
          </w14:textFill>
        </w:rPr>
        <w:t>暂估价的具体金额=[招标控制价的分部分项工程费+招标控制价的措施项目费（含单价及总价措施项目费）]×0.2%</w:t>
      </w:r>
      <w:r>
        <w:rPr>
          <w:rFonts w:hint="eastAsia" w:ascii="宋体" w:hAnsi="宋体" w:cs="宋体"/>
          <w:color w:val="000000" w:themeColor="text1"/>
          <w:sz w:val="24"/>
          <w:highlight w:val="none"/>
          <w:lang w:val="en-US" w:eastAsia="zh-CN"/>
          <w14:textFill>
            <w14:solidFill>
              <w14:schemeClr w14:val="tx1"/>
            </w14:solidFill>
          </w14:textFill>
        </w:rPr>
        <w:t>。</w:t>
      </w:r>
    </w:p>
    <w:p w14:paraId="5F0B993D">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54" w:name="_Toc11598"/>
      <w:bookmarkStart w:id="455" w:name="_Toc23400"/>
      <w:r>
        <w:rPr>
          <w:rFonts w:hint="eastAsia" w:ascii="宋体" w:hAnsi="宋体" w:cs="宋体"/>
          <w:color w:val="000000" w:themeColor="text1"/>
          <w:sz w:val="24"/>
          <w:szCs w:val="24"/>
          <w:highlight w:val="none"/>
          <w14:textFill>
            <w14:solidFill>
              <w14:schemeClr w14:val="tx1"/>
            </w14:solidFill>
          </w14:textFill>
        </w:rPr>
        <w:t>18.3 其他保险</w:t>
      </w:r>
      <w:bookmarkEnd w:id="454"/>
      <w:bookmarkEnd w:id="455"/>
    </w:p>
    <w:p w14:paraId="28D8AF04">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关于其他保险的约定：</w:t>
      </w:r>
      <w:r>
        <w:rPr>
          <w:rFonts w:hint="eastAsia" w:ascii="宋体" w:hAnsi="宋体" w:cs="宋体"/>
          <w:color w:val="000000" w:themeColor="text1"/>
          <w:sz w:val="24"/>
          <w:highlight w:val="none"/>
          <w:u w:val="single"/>
          <w14:textFill>
            <w14:solidFill>
              <w14:schemeClr w14:val="tx1"/>
            </w14:solidFill>
          </w14:textFill>
        </w:rPr>
        <w:t xml:space="preserve">发包人和承包人各自为其施工现场的全部人员办理意外伤害保险并支付保险费，包括其员工及为履行合同聘请的第三方的人员   </w:t>
      </w:r>
      <w:r>
        <w:rPr>
          <w:rFonts w:hint="eastAsia" w:ascii="宋体" w:hAnsi="宋体" w:cs="宋体"/>
          <w:color w:val="000000" w:themeColor="text1"/>
          <w:sz w:val="24"/>
          <w:highlight w:val="none"/>
          <w14:textFill>
            <w14:solidFill>
              <w14:schemeClr w14:val="tx1"/>
            </w14:solidFill>
          </w14:textFill>
        </w:rPr>
        <w:t>。</w:t>
      </w:r>
    </w:p>
    <w:p w14:paraId="48EB0390">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承包人是否应为其施工设备等办理财产保险：</w:t>
      </w:r>
      <w:r>
        <w:rPr>
          <w:rFonts w:hint="eastAsia" w:ascii="宋体" w:hAnsi="宋体" w:cs="宋体"/>
          <w:color w:val="000000" w:themeColor="text1"/>
          <w:sz w:val="24"/>
          <w:highlight w:val="none"/>
          <w:u w:val="single"/>
          <w14:textFill>
            <w14:solidFill>
              <w14:schemeClr w14:val="tx1"/>
            </w14:solidFill>
          </w14:textFill>
        </w:rPr>
        <w:t xml:space="preserve">根据需要自行办理，保险费由承包人自行承担 </w:t>
      </w:r>
      <w:r>
        <w:rPr>
          <w:rFonts w:hint="eastAsia" w:ascii="宋体" w:hAnsi="宋体" w:cs="宋体"/>
          <w:color w:val="000000" w:themeColor="text1"/>
          <w:sz w:val="24"/>
          <w:highlight w:val="none"/>
          <w14:textFill>
            <w14:solidFill>
              <w14:schemeClr w14:val="tx1"/>
            </w14:solidFill>
          </w14:textFill>
        </w:rPr>
        <w:t>。</w:t>
      </w:r>
    </w:p>
    <w:p w14:paraId="464F85D8">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56" w:name="_Toc17898"/>
      <w:bookmarkStart w:id="457" w:name="_Toc21011"/>
      <w:r>
        <w:rPr>
          <w:rFonts w:hint="eastAsia" w:ascii="宋体" w:hAnsi="宋体" w:cs="宋体"/>
          <w:color w:val="000000" w:themeColor="text1"/>
          <w:sz w:val="24"/>
          <w:szCs w:val="24"/>
          <w:highlight w:val="none"/>
          <w14:textFill>
            <w14:solidFill>
              <w14:schemeClr w14:val="tx1"/>
            </w14:solidFill>
          </w14:textFill>
        </w:rPr>
        <w:t>18.7 通知义务</w:t>
      </w:r>
      <w:bookmarkEnd w:id="456"/>
      <w:bookmarkEnd w:id="457"/>
    </w:p>
    <w:p w14:paraId="42DA0181">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关于变更保险合同时的通知义务的约定：</w:t>
      </w:r>
      <w:r>
        <w:rPr>
          <w:rFonts w:hint="eastAsia" w:ascii="宋体" w:hAnsi="宋体" w:cs="宋体"/>
          <w:color w:val="000000" w:themeColor="text1"/>
          <w:sz w:val="24"/>
          <w:highlight w:val="none"/>
          <w:u w:val="single"/>
          <w14:textFill>
            <w14:solidFill>
              <w14:schemeClr w14:val="tx1"/>
            </w14:solidFill>
          </w14:textFill>
        </w:rPr>
        <w:t xml:space="preserve">     由承包人通知发包人和监理人     </w:t>
      </w:r>
      <w:r>
        <w:rPr>
          <w:rFonts w:hint="eastAsia" w:ascii="宋体" w:hAnsi="宋体" w:cs="宋体"/>
          <w:color w:val="000000" w:themeColor="text1"/>
          <w:sz w:val="24"/>
          <w:highlight w:val="none"/>
          <w14:textFill>
            <w14:solidFill>
              <w14:schemeClr w14:val="tx1"/>
            </w14:solidFill>
          </w14:textFill>
        </w:rPr>
        <w:t>。</w:t>
      </w:r>
    </w:p>
    <w:p w14:paraId="32F96075">
      <w:pPr>
        <w:pStyle w:val="3"/>
        <w:spacing w:line="360" w:lineRule="auto"/>
        <w:rPr>
          <w:rFonts w:hint="eastAsia" w:ascii="宋体" w:hAnsi="宋体" w:cs="宋体"/>
          <w:color w:val="000000" w:themeColor="text1"/>
          <w:sz w:val="24"/>
          <w:szCs w:val="24"/>
          <w:highlight w:val="none"/>
          <w14:textFill>
            <w14:solidFill>
              <w14:schemeClr w14:val="tx1"/>
            </w14:solidFill>
          </w14:textFill>
        </w:rPr>
      </w:pPr>
      <w:bookmarkStart w:id="458" w:name="_Toc4184"/>
      <w:bookmarkStart w:id="459" w:name="_Toc8725"/>
      <w:r>
        <w:rPr>
          <w:rFonts w:hint="eastAsia" w:ascii="宋体" w:hAnsi="宋体" w:cs="宋体"/>
          <w:color w:val="000000" w:themeColor="text1"/>
          <w:sz w:val="24"/>
          <w:szCs w:val="24"/>
          <w:highlight w:val="none"/>
          <w14:textFill>
            <w14:solidFill>
              <w14:schemeClr w14:val="tx1"/>
            </w14:solidFill>
          </w14:textFill>
        </w:rPr>
        <w:t>20. 争议解决</w:t>
      </w:r>
      <w:bookmarkEnd w:id="458"/>
      <w:bookmarkEnd w:id="459"/>
    </w:p>
    <w:p w14:paraId="7F8EFB99">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60" w:name="_Toc3999"/>
      <w:bookmarkStart w:id="461" w:name="_Toc17484"/>
      <w:r>
        <w:rPr>
          <w:rFonts w:hint="eastAsia" w:ascii="宋体" w:hAnsi="宋体" w:cs="宋体"/>
          <w:color w:val="000000" w:themeColor="text1"/>
          <w:sz w:val="24"/>
          <w:szCs w:val="24"/>
          <w:highlight w:val="none"/>
          <w14:textFill>
            <w14:solidFill>
              <w14:schemeClr w14:val="tx1"/>
            </w14:solidFill>
          </w14:textFill>
        </w:rPr>
        <w:t>20.3 争议评审</w:t>
      </w:r>
      <w:bookmarkEnd w:id="460"/>
      <w:bookmarkEnd w:id="461"/>
    </w:p>
    <w:p w14:paraId="27B82F4E">
      <w:pPr>
        <w:spacing w:line="360" w:lineRule="auto"/>
        <w:ind w:left="149" w:firstLine="36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合同当事人是否同意将工程争议提交争议评审小组决定：</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w:t>
      </w:r>
    </w:p>
    <w:p w14:paraId="16DFE5FE">
      <w:pPr>
        <w:spacing w:line="360" w:lineRule="auto"/>
        <w:ind w:firstLine="480"/>
        <w:jc w:val="left"/>
        <w:outlineLvl w:val="0"/>
        <w:rPr>
          <w:rFonts w:hint="eastAsia" w:ascii="宋体" w:hAnsi="宋体" w:cs="宋体"/>
          <w:color w:val="000000" w:themeColor="text1"/>
          <w:sz w:val="24"/>
          <w:highlight w:val="none"/>
          <w14:textFill>
            <w14:solidFill>
              <w14:schemeClr w14:val="tx1"/>
            </w14:solidFill>
          </w14:textFill>
        </w:rPr>
      </w:pPr>
      <w:bookmarkStart w:id="462" w:name="_Toc16579"/>
      <w:bookmarkStart w:id="463" w:name="_Toc32611"/>
      <w:r>
        <w:rPr>
          <w:rFonts w:hint="eastAsia" w:ascii="宋体" w:hAnsi="宋体" w:cs="宋体"/>
          <w:color w:val="000000" w:themeColor="text1"/>
          <w:sz w:val="24"/>
          <w:highlight w:val="none"/>
          <w14:textFill>
            <w14:solidFill>
              <w14:schemeClr w14:val="tx1"/>
            </w14:solidFill>
          </w14:textFill>
        </w:rPr>
        <w:t>20.3.1 争议评审小组的确定</w:t>
      </w:r>
      <w:bookmarkEnd w:id="462"/>
      <w:bookmarkEnd w:id="463"/>
    </w:p>
    <w:p w14:paraId="411D88E9">
      <w:pPr>
        <w:spacing w:line="360" w:lineRule="auto"/>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争议评审小组成员的确定：</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w:t>
      </w:r>
    </w:p>
    <w:p w14:paraId="511CD75D">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选定争议评审员的期限：</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w:t>
      </w:r>
    </w:p>
    <w:p w14:paraId="6AD38EE7">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争议评审小组成员的报酬承担方式：</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w:t>
      </w:r>
    </w:p>
    <w:p w14:paraId="2BD95D5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其他事项的约定：</w:t>
      </w:r>
      <w:r>
        <w:rPr>
          <w:rFonts w:hint="eastAsia" w:ascii="宋体" w:hAnsi="宋体" w:cs="宋体"/>
          <w:color w:val="000000" w:themeColor="text1"/>
          <w:sz w:val="24"/>
          <w:highlight w:val="none"/>
          <w:u w:val="singl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w:t>
      </w:r>
    </w:p>
    <w:p w14:paraId="4E9D4372">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20.3.2 争议评审小组的决定</w:t>
      </w:r>
    </w:p>
    <w:p w14:paraId="5918702C">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合同当事人关于本项的约定：</w:t>
      </w:r>
      <w:r>
        <w:rPr>
          <w:rFonts w:hint="eastAsia" w:ascii="宋体" w:hAnsi="宋体" w:cs="宋体"/>
          <w:color w:val="000000" w:themeColor="text1"/>
          <w:sz w:val="24"/>
          <w:highlight w:val="none"/>
          <w:u w:val="single"/>
          <w14:textFill>
            <w14:solidFill>
              <w14:schemeClr w14:val="tx1"/>
            </w14:solidFill>
          </w14:textFill>
        </w:rPr>
        <w:t xml:space="preserve">  / 。</w:t>
      </w:r>
    </w:p>
    <w:p w14:paraId="03976756">
      <w:pPr>
        <w:pStyle w:val="4"/>
        <w:spacing w:line="360" w:lineRule="auto"/>
        <w:rPr>
          <w:rFonts w:hint="eastAsia" w:ascii="宋体" w:hAnsi="宋体" w:cs="宋体"/>
          <w:color w:val="000000" w:themeColor="text1"/>
          <w:sz w:val="24"/>
          <w:szCs w:val="24"/>
          <w:highlight w:val="none"/>
          <w14:textFill>
            <w14:solidFill>
              <w14:schemeClr w14:val="tx1"/>
            </w14:solidFill>
          </w14:textFill>
        </w:rPr>
      </w:pPr>
      <w:bookmarkStart w:id="464" w:name="_Toc8084"/>
      <w:bookmarkStart w:id="465" w:name="_Toc98"/>
      <w:r>
        <w:rPr>
          <w:rFonts w:hint="eastAsia" w:ascii="宋体" w:hAnsi="宋体" w:cs="宋体"/>
          <w:color w:val="000000" w:themeColor="text1"/>
          <w:sz w:val="24"/>
          <w:szCs w:val="24"/>
          <w:highlight w:val="none"/>
          <w14:textFill>
            <w14:solidFill>
              <w14:schemeClr w14:val="tx1"/>
            </w14:solidFill>
          </w14:textFill>
        </w:rPr>
        <w:t>20.4 仲裁或诉讼</w:t>
      </w:r>
      <w:bookmarkEnd w:id="464"/>
      <w:bookmarkEnd w:id="465"/>
    </w:p>
    <w:p w14:paraId="6E86EC62">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因合同及合同有关事项发生的争议，按下列第</w:t>
      </w:r>
      <w:r>
        <w:rPr>
          <w:rFonts w:hint="eastAsia" w:ascii="宋体" w:hAnsi="宋体" w:cs="宋体"/>
          <w:color w:val="000000" w:themeColor="text1"/>
          <w:sz w:val="24"/>
          <w:highlight w:val="none"/>
          <w:u w:val="single"/>
          <w14:textFill>
            <w14:solidFill>
              <w14:schemeClr w14:val="tx1"/>
            </w14:solidFill>
          </w14:textFill>
        </w:rPr>
        <w:t xml:space="preserve">  2   </w:t>
      </w:r>
      <w:r>
        <w:rPr>
          <w:rFonts w:hint="eastAsia" w:ascii="宋体" w:hAnsi="宋体" w:cs="宋体"/>
          <w:color w:val="000000" w:themeColor="text1"/>
          <w:sz w:val="24"/>
          <w:highlight w:val="none"/>
          <w14:textFill>
            <w14:solidFill>
              <w14:schemeClr w14:val="tx1"/>
            </w14:solidFill>
          </w14:textFill>
        </w:rPr>
        <w:t>种方式解决：</w:t>
      </w:r>
    </w:p>
    <w:p w14:paraId="7658C376">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（1）提请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仲裁委员会按照该会仲裁规则进行仲裁，仲裁裁决是终局的，对合同双方均有约束力。</w:t>
      </w:r>
    </w:p>
    <w:p w14:paraId="6A0796A7">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（2）向</w:t>
      </w:r>
      <w:r>
        <w:rPr>
          <w:rFonts w:hint="eastAsia" w:ascii="宋体" w:hAnsi="宋体" w:cs="宋体"/>
          <w:color w:val="000000" w:themeColor="text1"/>
          <w:sz w:val="24"/>
          <w:highlight w:val="none"/>
          <w:u w:val="single"/>
          <w14:textFill>
            <w14:solidFill>
              <w14:schemeClr w14:val="tx1"/>
            </w14:solidFill>
          </w14:textFill>
        </w:rPr>
        <w:t xml:space="preserve">   项目所在地    </w:t>
      </w:r>
      <w:r>
        <w:rPr>
          <w:rFonts w:hint="eastAsia" w:ascii="宋体" w:hAnsi="宋体" w:cs="宋体"/>
          <w:color w:val="000000" w:themeColor="text1"/>
          <w:sz w:val="24"/>
          <w:highlight w:val="none"/>
          <w14:textFill>
            <w14:solidFill>
              <w14:schemeClr w14:val="tx1"/>
            </w14:solidFill>
          </w14:textFill>
        </w:rPr>
        <w:t>人民法院起诉。</w:t>
      </w:r>
    </w:p>
    <w:p w14:paraId="1428694D">
      <w:pPr>
        <w:widowControl/>
        <w:ind w:firstLine="420"/>
        <w:jc w:val="left"/>
        <w:rPr>
          <w:rFonts w:hint="eastAsia" w:hAnsi="宋体" w:cs="宋体"/>
          <w:color w:val="000000" w:themeColor="text1"/>
          <w:highlight w:val="none"/>
          <w14:textFill>
            <w14:solidFill>
              <w14:schemeClr w14:val="tx1"/>
            </w14:solidFill>
          </w14:textFill>
        </w:rPr>
      </w:pPr>
    </w:p>
    <w:p w14:paraId="2917531A">
      <w:pPr>
        <w:spacing w:line="440" w:lineRule="exact"/>
        <w:rPr>
          <w:color w:val="000000" w:themeColor="text1"/>
          <w:sz w:val="30"/>
          <w:szCs w:val="30"/>
          <w:highlight w:val="none"/>
          <w14:textFill>
            <w14:solidFill>
              <w14:schemeClr w14:val="tx1"/>
            </w14:solidFill>
          </w14:textFill>
        </w:rPr>
      </w:pPr>
      <w:r>
        <w:rPr>
          <w:rFonts w:hAnsi="宋体" w:cs="宋体"/>
          <w:color w:val="000000" w:themeColor="text1"/>
          <w:highlight w:val="none"/>
          <w14:textFill>
            <w14:solidFill>
              <w14:schemeClr w14:val="tx1"/>
            </w14:solidFill>
          </w14:textFill>
        </w:rPr>
        <w:br w:type="page" w:clear="all"/>
      </w:r>
      <w:r>
        <w:rPr>
          <w:rFonts w:hint="eastAsia" w:hAnsi="宋体" w:cs="宋体"/>
          <w:color w:val="000000" w:themeColor="text1"/>
          <w:sz w:val="30"/>
          <w:szCs w:val="30"/>
          <w:highlight w:val="none"/>
          <w14:textFill>
            <w14:solidFill>
              <w14:schemeClr w14:val="tx1"/>
            </w14:solidFill>
          </w14:textFill>
        </w:rPr>
        <w:t>附件1：</w:t>
      </w:r>
    </w:p>
    <w:p w14:paraId="0D91F3B3">
      <w:pPr>
        <w:spacing w:before="156" w:after="156" w:line="44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工程质量保修书</w:t>
      </w:r>
    </w:p>
    <w:p w14:paraId="37BD7534">
      <w:pPr>
        <w:spacing w:line="440" w:lineRule="exact"/>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发包人（全称）：</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w:t>
      </w:r>
    </w:p>
    <w:p w14:paraId="69B2E7FC">
      <w:pPr>
        <w:spacing w:line="440" w:lineRule="exact"/>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承包人（全称）：</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w:t>
      </w:r>
    </w:p>
    <w:p w14:paraId="297D4668">
      <w:pPr>
        <w:spacing w:line="440" w:lineRule="exact"/>
        <w:rPr>
          <w:rFonts w:hint="eastAsia" w:ascii="宋体" w:hAnsi="宋体" w:cs="宋体"/>
          <w:color w:val="000000" w:themeColor="text1"/>
          <w:highlight w:val="none"/>
          <w14:textFill>
            <w14:solidFill>
              <w14:schemeClr w14:val="tx1"/>
            </w14:solidFill>
          </w14:textFill>
        </w:rPr>
      </w:pPr>
    </w:p>
    <w:p w14:paraId="4A6EFB6F">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发包人和承包人根据《中华人民共和国建筑法》和《建设工程质量管理条例》，经协商一致就</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（工程全称）签订工程质量保修书。</w:t>
      </w:r>
    </w:p>
    <w:p w14:paraId="7E7EB7A0">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一、工程质量保修范围和内容</w:t>
      </w:r>
    </w:p>
    <w:p w14:paraId="09C185F0">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承包人在质量保修期内，按照有关法律规定和合同约定，承担工程质量保修责任。</w:t>
      </w:r>
    </w:p>
    <w:p w14:paraId="25922812">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183E259B">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w:t>
      </w:r>
    </w:p>
    <w:p w14:paraId="1A26880B">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二、质量保修期</w:t>
      </w:r>
    </w:p>
    <w:p w14:paraId="0A51C3F0">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根据《建设工程质量管理条例》及有关规定，工程的质量保修期如下：</w:t>
      </w:r>
    </w:p>
    <w:p w14:paraId="57333D1C">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1．地基基础工程和主体结构工程为设计文件规定的工程合理使用年限；</w:t>
      </w:r>
    </w:p>
    <w:p w14:paraId="15273E56">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2．屋面防水工程、有防水要求的卫生间、房间和外墙面的防渗为</w:t>
      </w:r>
      <w:r>
        <w:rPr>
          <w:rFonts w:hint="eastAsia" w:ascii="宋体" w:hAnsi="宋体" w:cs="宋体"/>
          <w:color w:val="000000" w:themeColor="text1"/>
          <w:highlight w:val="none"/>
          <w:u w:val="single"/>
          <w14:textFill>
            <w14:solidFill>
              <w14:schemeClr w14:val="tx1"/>
            </w14:solidFill>
          </w14:textFill>
        </w:rPr>
        <w:t xml:space="preserve">  5 </w:t>
      </w:r>
      <w:r>
        <w:rPr>
          <w:rFonts w:hint="eastAsia" w:ascii="宋体" w:hAnsi="宋体" w:cs="宋体"/>
          <w:color w:val="000000" w:themeColor="text1"/>
          <w:highlight w:val="none"/>
          <w14:textFill>
            <w14:solidFill>
              <w14:schemeClr w14:val="tx1"/>
            </w14:solidFill>
          </w14:textFill>
        </w:rPr>
        <w:t>年；</w:t>
      </w:r>
    </w:p>
    <w:p w14:paraId="530F362D">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3．装修工程为</w:t>
      </w:r>
      <w:r>
        <w:rPr>
          <w:rFonts w:hint="eastAsia" w:ascii="宋体" w:hAnsi="宋体" w:cs="宋体"/>
          <w:color w:val="000000" w:themeColor="text1"/>
          <w:highlight w:val="none"/>
          <w:u w:val="single"/>
          <w14:textFill>
            <w14:solidFill>
              <w14:schemeClr w14:val="tx1"/>
            </w14:solidFill>
          </w14:textFill>
        </w:rPr>
        <w:t xml:space="preserve">  2  </w:t>
      </w:r>
      <w:r>
        <w:rPr>
          <w:rFonts w:hint="eastAsia" w:ascii="宋体" w:hAnsi="宋体" w:cs="宋体"/>
          <w:color w:val="000000" w:themeColor="text1"/>
          <w:highlight w:val="none"/>
          <w14:textFill>
            <w14:solidFill>
              <w14:schemeClr w14:val="tx1"/>
            </w14:solidFill>
          </w14:textFill>
        </w:rPr>
        <w:t>年；</w:t>
      </w:r>
    </w:p>
    <w:p w14:paraId="3506FD3C">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4．电气管线、给排水管道、设备安装工程为</w:t>
      </w:r>
      <w:r>
        <w:rPr>
          <w:rFonts w:hint="eastAsia" w:ascii="宋体" w:hAnsi="宋体" w:cs="宋体"/>
          <w:color w:val="000000" w:themeColor="text1"/>
          <w:highlight w:val="none"/>
          <w:u w:val="single"/>
          <w14:textFill>
            <w14:solidFill>
              <w14:schemeClr w14:val="tx1"/>
            </w14:solidFill>
          </w14:textFill>
        </w:rPr>
        <w:t xml:space="preserve">  2 </w:t>
      </w:r>
      <w:r>
        <w:rPr>
          <w:rFonts w:hint="eastAsia" w:ascii="宋体" w:hAnsi="宋体" w:cs="宋体"/>
          <w:color w:val="000000" w:themeColor="text1"/>
          <w:highlight w:val="none"/>
          <w14:textFill>
            <w14:solidFill>
              <w14:schemeClr w14:val="tx1"/>
            </w14:solidFill>
          </w14:textFill>
        </w:rPr>
        <w:t>年；</w:t>
      </w:r>
    </w:p>
    <w:p w14:paraId="3EE68277">
      <w:pPr>
        <w:spacing w:line="360" w:lineRule="auto"/>
        <w:ind w:firstLine="426"/>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t>排水（雨水）工程为</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3</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年（建议道路工程中的排水工程为</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年）；</w:t>
      </w:r>
    </w:p>
    <w:p w14:paraId="27D3A52F">
      <w:pPr>
        <w:spacing w:line="360" w:lineRule="auto"/>
        <w:ind w:firstLine="42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绿化工程为</w:t>
      </w:r>
      <w:r>
        <w:rPr>
          <w:color w:val="000000" w:themeColor="text1"/>
          <w:highlight w:val="none"/>
          <w14:textFill>
            <w14:solidFill>
              <w14:schemeClr w14:val="tx1"/>
            </w14:solidFill>
          </w14:textFill>
        </w:rPr>
        <w:t xml:space="preserve"> </w:t>
      </w:r>
      <w:r>
        <w:rPr>
          <w:rFonts w:hint="eastAsia" w:cs="宋体"/>
          <w:color w:val="000000" w:themeColor="text1"/>
          <w:highlight w:val="none"/>
          <w:u w:val="single"/>
          <w14:textFill>
            <w14:solidFill>
              <w14:schemeClr w14:val="tx1"/>
            </w14:solidFill>
          </w14:textFill>
        </w:rPr>
        <w:t>单位工程竣工验收合格后</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2</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u w:val="single"/>
          <w14:textFill>
            <w14:solidFill>
              <w14:schemeClr w14:val="tx1"/>
            </w14:solidFill>
          </w14:textFill>
        </w:rPr>
        <w:t>年</w:t>
      </w:r>
      <w:r>
        <w:rPr>
          <w:rFonts w:hint="eastAsia" w:cs="宋体"/>
          <w:color w:val="000000" w:themeColor="text1"/>
          <w:highlight w:val="none"/>
          <w14:textFill>
            <w14:solidFill>
              <w14:schemeClr w14:val="tx1"/>
            </w14:solidFill>
          </w14:textFill>
        </w:rPr>
        <w:t>；</w:t>
      </w:r>
    </w:p>
    <w:p w14:paraId="08F5FF24">
      <w:pPr>
        <w:spacing w:line="360" w:lineRule="auto"/>
        <w:ind w:firstLine="426"/>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7．其他项目保修期限约定如下：</w:t>
      </w:r>
    </w:p>
    <w:p w14:paraId="7B636A98">
      <w:pPr>
        <w:spacing w:line="360" w:lineRule="auto"/>
        <w:ind w:firstLine="420"/>
        <w:rPr>
          <w:rFonts w:ascii="宋体"/>
          <w:color w:val="000000" w:themeColor="text1"/>
          <w:highlight w:val="none"/>
          <w14:textFill>
            <w14:solidFill>
              <w14:schemeClr w14:val="tx1"/>
            </w14:solidFill>
          </w14:textFill>
        </w:rPr>
      </w:pPr>
      <w:r>
        <w:rPr>
          <w:rFonts w:hint="eastAsia" w:ascii="宋体" w:hAnsi="宋体" w:cs="宋体"/>
          <w:color w:val="000000" w:themeColor="text1"/>
          <w:highlight w:val="none"/>
          <w:u w:val="single"/>
          <w:lang w:bidi="ar"/>
          <w14:textFill>
            <w14:solidFill>
              <w14:schemeClr w14:val="tx1"/>
            </w14:solidFill>
          </w14:textFill>
        </w:rPr>
        <w:t>按现行国家规定及施工图纸设计要求</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w:t>
      </w:r>
    </w:p>
    <w:p w14:paraId="2B6C8E6A">
      <w:pPr>
        <w:spacing w:line="360" w:lineRule="auto"/>
        <w:ind w:firstLine="420"/>
        <w:rPr>
          <w:rFonts w:asci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质量保修期自工程竣工验收合格之日起计算。</w:t>
      </w:r>
    </w:p>
    <w:p w14:paraId="0803174F">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三、缺陷责任期</w:t>
      </w:r>
    </w:p>
    <w:p w14:paraId="29400925">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工程缺陷责任期为</w:t>
      </w:r>
      <w:r>
        <w:rPr>
          <w:rFonts w:hint="eastAsia" w:ascii="宋体" w:hAnsi="宋体" w:cs="宋体"/>
          <w:color w:val="000000" w:themeColor="text1"/>
          <w:highlight w:val="none"/>
          <w:u w:val="single"/>
          <w14:textFill>
            <w14:solidFill>
              <w14:schemeClr w14:val="tx1"/>
            </w14:solidFill>
          </w14:textFill>
        </w:rPr>
        <w:t xml:space="preserve">  24 </w:t>
      </w:r>
      <w:r>
        <w:rPr>
          <w:rFonts w:hint="eastAsia" w:ascii="宋体" w:hAnsi="宋体" w:cs="宋体"/>
          <w:color w:val="000000" w:themeColor="text1"/>
          <w:highlight w:val="none"/>
          <w14:textFill>
            <w14:solidFill>
              <w14:schemeClr w14:val="tx1"/>
            </w14:solidFill>
          </w14:textFill>
        </w:rPr>
        <w:t>个月（最长不超过24个月），缺陷责任期自工程竣工验收合格之日起计算。单位工程先于全部工程进行验收，单位工程缺陷责任期自单位工程验收合格之日起算。</w:t>
      </w:r>
    </w:p>
    <w:p w14:paraId="6A909E7B">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缺陷责任期</w:t>
      </w:r>
      <w:r>
        <w:rPr>
          <w:rFonts w:hint="eastAsia" w:ascii="宋体" w:hAnsi="宋体" w:cs="宋体"/>
          <w:color w:val="000000" w:themeColor="text1"/>
          <w:highlight w:val="none"/>
          <w:u w:val="single"/>
          <w14:textFill>
            <w14:solidFill>
              <w14:schemeClr w14:val="tx1"/>
            </w14:solidFill>
          </w14:textFill>
        </w:rPr>
        <w:t>满</w:t>
      </w:r>
      <w:r>
        <w:rPr>
          <w:rFonts w:hint="eastAsia" w:ascii="宋体" w:hAnsi="宋体" w:cs="宋体"/>
          <w:color w:val="000000" w:themeColor="text1"/>
          <w:highlight w:val="none"/>
          <w14:textFill>
            <w14:solidFill>
              <w14:schemeClr w14:val="tx1"/>
            </w14:solidFill>
          </w14:textFill>
        </w:rPr>
        <w:t>之日起</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天</w:t>
      </w:r>
      <w:r>
        <w:rPr>
          <w:rFonts w:hint="eastAsia" w:ascii="宋体" w:hAnsi="宋体" w:cs="宋体"/>
          <w:color w:val="000000" w:themeColor="text1"/>
          <w:highlight w:val="none"/>
          <w:u w:val="single"/>
          <w14:textFill>
            <w14:solidFill>
              <w14:schemeClr w14:val="tx1"/>
            </w14:solidFill>
          </w14:textFill>
        </w:rPr>
        <w:t>（按合同约定期限），</w:t>
      </w:r>
      <w:r>
        <w:rPr>
          <w:rFonts w:hint="eastAsia" w:ascii="宋体" w:hAnsi="宋体" w:cs="宋体"/>
          <w:color w:val="000000" w:themeColor="text1"/>
          <w:highlight w:val="none"/>
          <w14:textFill>
            <w14:solidFill>
              <w14:schemeClr w14:val="tx1"/>
            </w14:solidFill>
          </w14:textFill>
        </w:rPr>
        <w:t>发包人应退还剩余的质量保证金。</w:t>
      </w:r>
    </w:p>
    <w:p w14:paraId="65BAF981">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四、质量保修责任</w:t>
      </w:r>
    </w:p>
    <w:p w14:paraId="4B5F0833">
      <w:pPr>
        <w:spacing w:line="360" w:lineRule="auto"/>
        <w:ind w:left="105" w:firstLine="43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1．属于保修范围、内容的项目，承包人应当在接到保修通知之日起</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2 </w:t>
      </w:r>
      <w:r>
        <w:rPr>
          <w:rFonts w:ascii="宋体" w:hAnsi="宋体" w:cs="宋体"/>
          <w:color w:val="000000" w:themeColor="text1"/>
          <w:szCs w:val="21"/>
          <w:highlight w:val="none"/>
          <w14:textFill>
            <w14:solidFill>
              <w14:schemeClr w14:val="tx1"/>
            </w14:solidFill>
          </w14:textFill>
        </w:rPr>
        <w:t>天</w:t>
      </w:r>
      <w:r>
        <w:rPr>
          <w:rFonts w:hint="eastAsia" w:ascii="宋体" w:hAnsi="宋体" w:cs="宋体"/>
          <w:color w:val="000000" w:themeColor="text1"/>
          <w:highlight w:val="none"/>
          <w14:textFill>
            <w14:solidFill>
              <w14:schemeClr w14:val="tx1"/>
            </w14:solidFill>
          </w14:textFill>
        </w:rPr>
        <w:t>内派人保修。承包人不在约定期限内派人保修的，发包人可以委托他人修理，修理费用从质量保证金内扣除。</w:t>
      </w:r>
    </w:p>
    <w:p w14:paraId="6B32023F">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2．发生紧急事故需抢修的，承包人在接到事故通知后，应当立即到达事故现场抢修。</w:t>
      </w:r>
    </w:p>
    <w:p w14:paraId="52EAA3D1">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8F52CCD">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4．质量保修完成后，由发包人组织验收。</w:t>
      </w:r>
    </w:p>
    <w:p w14:paraId="2D99BB71">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五、保修费用</w:t>
      </w:r>
    </w:p>
    <w:p w14:paraId="13B35895">
      <w:pPr>
        <w:tabs>
          <w:tab w:val="left" w:pos="7380"/>
        </w:tabs>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保修费用由造成质量缺陷的责任方承担。</w:t>
      </w:r>
    </w:p>
    <w:p w14:paraId="1F87C25B">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六、双方约定的其他工程质量保修事项： </w:t>
      </w:r>
    </w:p>
    <w:p w14:paraId="7530B810">
      <w:pPr>
        <w:spacing w:line="360" w:lineRule="auto"/>
        <w:ind w:firstLine="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承包人不在约定期限内派人保修的，发包人可以委托他人修理，修理费用从质量保</w:t>
      </w:r>
      <w:r>
        <w:rPr>
          <w:rFonts w:hint="eastAsia" w:ascii="宋体" w:hAnsi="宋体" w:cs="宋体"/>
          <w:color w:val="000000" w:themeColor="text1"/>
          <w:szCs w:val="21"/>
          <w:highlight w:val="none"/>
          <w:u w:val="single"/>
          <w:lang w:eastAsia="zh-Hans"/>
          <w14:textFill>
            <w14:solidFill>
              <w14:schemeClr w14:val="tx1"/>
            </w14:solidFill>
          </w14:textFill>
        </w:rPr>
        <w:t>证</w:t>
      </w:r>
      <w:r>
        <w:rPr>
          <w:rFonts w:hint="eastAsia" w:ascii="宋体" w:hAnsi="宋体" w:cs="宋体"/>
          <w:color w:val="000000" w:themeColor="text1"/>
          <w:szCs w:val="21"/>
          <w:highlight w:val="none"/>
          <w:u w:val="single"/>
          <w14:textFill>
            <w14:solidFill>
              <w14:schemeClr w14:val="tx1"/>
            </w14:solidFill>
          </w14:textFill>
        </w:rPr>
        <w:t>金内扣除，超出保</w:t>
      </w:r>
      <w:r>
        <w:rPr>
          <w:rFonts w:hint="eastAsia" w:ascii="宋体" w:hAnsi="宋体" w:cs="宋体"/>
          <w:color w:val="000000" w:themeColor="text1"/>
          <w:szCs w:val="21"/>
          <w:highlight w:val="none"/>
          <w:u w:val="single"/>
          <w:lang w:eastAsia="zh-Hans"/>
          <w14:textFill>
            <w14:solidFill>
              <w14:schemeClr w14:val="tx1"/>
            </w14:solidFill>
          </w14:textFill>
        </w:rPr>
        <w:t>证</w:t>
      </w:r>
      <w:r>
        <w:rPr>
          <w:rFonts w:hint="eastAsia" w:ascii="宋体" w:hAnsi="宋体" w:cs="宋体"/>
          <w:color w:val="000000" w:themeColor="text1"/>
          <w:szCs w:val="21"/>
          <w:highlight w:val="none"/>
          <w:u w:val="single"/>
          <w14:textFill>
            <w14:solidFill>
              <w14:schemeClr w14:val="tx1"/>
            </w14:solidFill>
          </w14:textFill>
        </w:rPr>
        <w:t>金额部分，向承包人发出缴费通知书，承包人在收到缴费通知书之日起7天内付清，否则按应缴款额的3%计罚，在工程竣工保修期满后，发包人将剩余的</w:t>
      </w:r>
      <w:r>
        <w:rPr>
          <w:rFonts w:hint="eastAsia" w:ascii="宋体" w:hAnsi="宋体" w:cs="宋体"/>
          <w:color w:val="000000" w:themeColor="text1"/>
          <w:szCs w:val="21"/>
          <w:highlight w:val="none"/>
          <w:u w:val="single"/>
          <w:lang w:eastAsia="zh-Hans"/>
          <w14:textFill>
            <w14:solidFill>
              <w14:schemeClr w14:val="tx1"/>
            </w14:solidFill>
          </w14:textFill>
        </w:rPr>
        <w:t>质量</w:t>
      </w:r>
      <w:r>
        <w:rPr>
          <w:rFonts w:hint="eastAsia" w:ascii="宋体" w:hAnsi="宋体" w:cs="宋体"/>
          <w:color w:val="000000" w:themeColor="text1"/>
          <w:szCs w:val="21"/>
          <w:highlight w:val="none"/>
          <w:u w:val="single"/>
          <w14:textFill>
            <w14:solidFill>
              <w14:schemeClr w14:val="tx1"/>
            </w14:solidFill>
          </w14:textFill>
        </w:rPr>
        <w:t>保</w:t>
      </w:r>
      <w:r>
        <w:rPr>
          <w:rFonts w:hint="eastAsia" w:ascii="宋体" w:hAnsi="宋体" w:cs="宋体"/>
          <w:color w:val="000000" w:themeColor="text1"/>
          <w:szCs w:val="21"/>
          <w:highlight w:val="none"/>
          <w:u w:val="single"/>
          <w:lang w:eastAsia="zh-Hans"/>
          <w14:textFill>
            <w14:solidFill>
              <w14:schemeClr w14:val="tx1"/>
            </w14:solidFill>
          </w14:textFill>
        </w:rPr>
        <w:t>证</w:t>
      </w:r>
      <w:r>
        <w:rPr>
          <w:rFonts w:hint="eastAsia" w:ascii="宋体" w:hAnsi="宋体" w:cs="宋体"/>
          <w:color w:val="000000" w:themeColor="text1"/>
          <w:szCs w:val="21"/>
          <w:highlight w:val="none"/>
          <w:u w:val="single"/>
          <w14:textFill>
            <w14:solidFill>
              <w14:schemeClr w14:val="tx1"/>
            </w14:solidFill>
          </w14:textFill>
        </w:rPr>
        <w:t>金退还给承包人</w:t>
      </w:r>
      <w:r>
        <w:rPr>
          <w:rFonts w:hint="eastAsia" w:ascii="宋体" w:hAnsi="宋体" w:cs="宋体"/>
          <w:color w:val="000000" w:themeColor="text1"/>
          <w:szCs w:val="21"/>
          <w:highlight w:val="none"/>
          <w14:textFill>
            <w14:solidFill>
              <w14:schemeClr w14:val="tx1"/>
            </w14:solidFill>
          </w14:textFill>
        </w:rPr>
        <w:t>。</w:t>
      </w:r>
    </w:p>
    <w:p w14:paraId="3272B8AB">
      <w:pPr>
        <w:spacing w:line="360" w:lineRule="auto"/>
        <w:ind w:firstLine="39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工程质量保修书由发包人、承包人在工程竣工验收前共同签署，作为施工合同附件，其有效期限至保修期满。</w:t>
      </w:r>
    </w:p>
    <w:p w14:paraId="2BE6F4C3">
      <w:pPr>
        <w:spacing w:line="360" w:lineRule="auto"/>
        <w:ind w:firstLine="420"/>
        <w:rPr>
          <w:rFonts w:hint="eastAsia" w:ascii="宋体" w:hAnsi="宋体" w:cs="宋体"/>
          <w:color w:val="000000" w:themeColor="text1"/>
          <w:highlight w:val="none"/>
          <w14:textFill>
            <w14:solidFill>
              <w14:schemeClr w14:val="tx1"/>
            </w14:solidFill>
          </w14:textFill>
        </w:rPr>
      </w:pPr>
    </w:p>
    <w:p w14:paraId="393BA2C5">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发包人（公章）：</w:t>
      </w:r>
      <w:r>
        <w:rPr>
          <w:rFonts w:hint="eastAsia" w:ascii="宋体" w:hAnsi="宋体" w:cs="宋体"/>
          <w:color w:val="000000" w:themeColor="text1"/>
          <w:highlight w:val="none"/>
          <w:u w:val="single"/>
          <w14:textFill>
            <w14:solidFill>
              <w14:schemeClr w14:val="tx1"/>
            </w14:solidFill>
          </w14:textFill>
        </w:rPr>
        <w:t xml:space="preserve">         </w:t>
      </w:r>
      <w:r>
        <w:rPr>
          <w:rFonts w:hint="eastAsia" w:ascii="宋体" w:hAnsi="宋体" w:cs="宋体"/>
          <w:color w:val="000000" w:themeColor="text1"/>
          <w:highlight w:val="none"/>
          <w14:textFill>
            <w14:solidFill>
              <w14:schemeClr w14:val="tx1"/>
            </w14:solidFill>
          </w14:textFill>
        </w:rPr>
        <w:t xml:space="preserve">             承包人（公章）：</w:t>
      </w:r>
      <w:r>
        <w:rPr>
          <w:rFonts w:hint="eastAsia" w:ascii="宋体" w:hAnsi="宋体" w:cs="宋体"/>
          <w:color w:val="000000" w:themeColor="text1"/>
          <w:highlight w:val="none"/>
          <w:u w:val="single"/>
          <w14:textFill>
            <w14:solidFill>
              <w14:schemeClr w14:val="tx1"/>
            </w14:solidFill>
          </w14:textFill>
        </w:rPr>
        <w:t>          </w:t>
      </w:r>
    </w:p>
    <w:p w14:paraId="238C3CE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地  址：</w:t>
      </w:r>
      <w:r>
        <w:rPr>
          <w:rFonts w:hint="eastAsia" w:ascii="宋体" w:hAnsi="宋体" w:cs="宋体"/>
          <w:color w:val="000000" w:themeColor="text1"/>
          <w:highlight w:val="none"/>
          <w:u w:val="single"/>
          <w14:textFill>
            <w14:solidFill>
              <w14:schemeClr w14:val="tx1"/>
            </w14:solidFill>
          </w14:textFill>
        </w:rPr>
        <w:t xml:space="preserve">       </w:t>
      </w:r>
      <w:r>
        <w:rPr>
          <w:rFonts w:hint="eastAsia" w:ascii="宋体" w:hAnsi="宋体" w:cs="宋体"/>
          <w:color w:val="000000" w:themeColor="text1"/>
          <w:highlight w:val="none"/>
          <w14:textFill>
            <w14:solidFill>
              <w14:schemeClr w14:val="tx1"/>
            </w14:solidFill>
          </w14:textFill>
        </w:rPr>
        <w:t xml:space="preserve">              地  址：</w:t>
      </w:r>
      <w:r>
        <w:rPr>
          <w:rFonts w:hint="eastAsia" w:ascii="宋体" w:hAnsi="宋体" w:cs="宋体"/>
          <w:color w:val="000000" w:themeColor="text1"/>
          <w:highlight w:val="none"/>
          <w:u w:val="single"/>
          <w14:textFill>
            <w14:solidFill>
              <w14:schemeClr w14:val="tx1"/>
            </w14:solidFill>
          </w14:textFill>
        </w:rPr>
        <w:t>      </w:t>
      </w:r>
    </w:p>
    <w:p w14:paraId="5393E00C">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法定代表人（签字）：</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法定代表人（签字）：</w:t>
      </w:r>
      <w:r>
        <w:rPr>
          <w:rFonts w:hint="eastAsia" w:ascii="宋体" w:hAnsi="宋体" w:cs="宋体"/>
          <w:color w:val="000000" w:themeColor="text1"/>
          <w:highlight w:val="none"/>
          <w:u w:val="single"/>
          <w14:textFill>
            <w14:solidFill>
              <w14:schemeClr w14:val="tx1"/>
            </w14:solidFill>
          </w14:textFill>
        </w:rPr>
        <w:t>     </w:t>
      </w:r>
    </w:p>
    <w:p w14:paraId="768817B5">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委托代理人（签字）：</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委托代理人（签字）：</w:t>
      </w:r>
      <w:r>
        <w:rPr>
          <w:rFonts w:hint="eastAsia" w:ascii="宋体" w:hAnsi="宋体" w:cs="宋体"/>
          <w:color w:val="000000" w:themeColor="text1"/>
          <w:highlight w:val="none"/>
          <w:u w:val="single"/>
          <w14:textFill>
            <w14:solidFill>
              <w14:schemeClr w14:val="tx1"/>
            </w14:solidFill>
          </w14:textFill>
        </w:rPr>
        <w:t>     </w:t>
      </w:r>
    </w:p>
    <w:p w14:paraId="1CE5642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  话：</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电  话：</w:t>
      </w:r>
      <w:r>
        <w:rPr>
          <w:rFonts w:hint="eastAsia" w:ascii="宋体" w:hAnsi="宋体" w:cs="宋体"/>
          <w:color w:val="000000" w:themeColor="text1"/>
          <w:highlight w:val="none"/>
          <w:u w:val="single"/>
          <w14:textFill>
            <w14:solidFill>
              <w14:schemeClr w14:val="tx1"/>
            </w14:solidFill>
          </w14:textFill>
        </w:rPr>
        <w:t>      </w:t>
      </w:r>
    </w:p>
    <w:p w14:paraId="48B9D03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传  真：</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传  真：</w:t>
      </w:r>
      <w:r>
        <w:rPr>
          <w:rFonts w:hint="eastAsia" w:ascii="宋体" w:hAnsi="宋体" w:cs="宋体"/>
          <w:color w:val="000000" w:themeColor="text1"/>
          <w:highlight w:val="none"/>
          <w:u w:val="single"/>
          <w14:textFill>
            <w14:solidFill>
              <w14:schemeClr w14:val="tx1"/>
            </w14:solidFill>
          </w14:textFill>
        </w:rPr>
        <w:t>    </w:t>
      </w:r>
    </w:p>
    <w:p w14:paraId="0E8CF261">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开户银行：</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开户银行：</w:t>
      </w:r>
      <w:r>
        <w:rPr>
          <w:rFonts w:hint="eastAsia" w:ascii="宋体" w:hAnsi="宋体" w:cs="宋体"/>
          <w:color w:val="000000" w:themeColor="text1"/>
          <w:highlight w:val="none"/>
          <w:u w:val="single"/>
          <w14:textFill>
            <w14:solidFill>
              <w14:schemeClr w14:val="tx1"/>
            </w14:solidFill>
          </w14:textFill>
        </w:rPr>
        <w:t>  </w:t>
      </w:r>
    </w:p>
    <w:p w14:paraId="3E9C3EBB">
      <w:pPr>
        <w:tabs>
          <w:tab w:val="left" w:pos="2880"/>
          <w:tab w:val="left" w:pos="3060"/>
          <w:tab w:val="left" w:pos="4500"/>
        </w:tabs>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账  号：</w:t>
      </w:r>
      <w:r>
        <w:rPr>
          <w:rFonts w:hint="eastAsia" w:ascii="宋体" w:hAnsi="宋体" w:cs="宋体"/>
          <w:color w:val="000000" w:themeColor="text1"/>
          <w:highlight w:val="none"/>
          <w:u w:val="single"/>
          <w14:textFill>
            <w14:solidFill>
              <w14:schemeClr w14:val="tx1"/>
            </w14:solidFill>
          </w14:textFill>
        </w:rPr>
        <w:t xml:space="preserve">          </w:t>
      </w:r>
      <w:r>
        <w:rPr>
          <w:rFonts w:hint="eastAsia" w:ascii="宋体" w:hAnsi="宋体" w:cs="宋体"/>
          <w:color w:val="000000" w:themeColor="text1"/>
          <w:highlight w:val="none"/>
          <w14:textFill>
            <w14:solidFill>
              <w14:schemeClr w14:val="tx1"/>
            </w14:solidFill>
          </w14:textFill>
        </w:rPr>
        <w:t xml:space="preserve">              账  号：</w:t>
      </w:r>
      <w:r>
        <w:rPr>
          <w:rFonts w:hint="eastAsia" w:ascii="宋体" w:hAnsi="宋体" w:cs="宋体"/>
          <w:color w:val="000000" w:themeColor="text1"/>
          <w:highlight w:val="none"/>
          <w:u w:val="single"/>
          <w14:textFill>
            <w14:solidFill>
              <w14:schemeClr w14:val="tx1"/>
            </w14:solidFill>
          </w14:textFill>
        </w:rPr>
        <w:t>    </w:t>
      </w:r>
    </w:p>
    <w:p w14:paraId="00BDD7A1">
      <w:pPr>
        <w:tabs>
          <w:tab w:val="left" w:pos="7200"/>
          <w:tab w:val="left" w:pos="7380"/>
          <w:tab w:val="left" w:pos="7560"/>
        </w:tabs>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邮政编码：</w:t>
      </w:r>
      <w:r>
        <w:rPr>
          <w:rFonts w:hint="eastAsia" w:ascii="宋体" w:hAnsi="宋体" w:cs="宋体"/>
          <w:color w:val="000000" w:themeColor="text1"/>
          <w:highlight w:val="none"/>
          <w:u w:val="single"/>
          <w14:textFill>
            <w14:solidFill>
              <w14:schemeClr w14:val="tx1"/>
            </w14:solidFill>
          </w14:textFill>
        </w:rPr>
        <w:t xml:space="preserve">       </w:t>
      </w:r>
      <w:r>
        <w:rPr>
          <w:rFonts w:hint="eastAsia" w:ascii="宋体" w:hAnsi="宋体" w:cs="宋体"/>
          <w:color w:val="000000" w:themeColor="text1"/>
          <w:highlight w:val="none"/>
          <w14:textFill>
            <w14:solidFill>
              <w14:schemeClr w14:val="tx1"/>
            </w14:solidFill>
          </w14:textFill>
        </w:rPr>
        <w:t xml:space="preserve">              邮政编码：</w:t>
      </w:r>
      <w:r>
        <w:rPr>
          <w:rFonts w:hint="eastAsia" w:ascii="宋体" w:hAnsi="宋体" w:cs="宋体"/>
          <w:color w:val="000000" w:themeColor="text1"/>
          <w:highlight w:val="none"/>
          <w:u w:val="single"/>
          <w14:textFill>
            <w14:solidFill>
              <w14:schemeClr w14:val="tx1"/>
            </w14:solidFill>
          </w14:textFill>
        </w:rPr>
        <w:t>   </w:t>
      </w:r>
    </w:p>
    <w:p w14:paraId="51E35ECE">
      <w:pPr>
        <w:tabs>
          <w:tab w:val="left" w:pos="7200"/>
          <w:tab w:val="left" w:pos="7380"/>
          <w:tab w:val="left" w:pos="7560"/>
        </w:tabs>
        <w:spacing w:line="360" w:lineRule="auto"/>
        <w:rPr>
          <w:rFonts w:hint="eastAsia" w:hAnsi="宋体" w:cs="宋体"/>
          <w:color w:val="000000" w:themeColor="text1"/>
          <w:sz w:val="30"/>
          <w:szCs w:val="30"/>
          <w:highlight w:val="none"/>
          <w14:textFill>
            <w14:solidFill>
              <w14:schemeClr w14:val="tx1"/>
            </w14:solidFill>
          </w14:textFill>
        </w:rPr>
      </w:pPr>
      <w:r>
        <w:rPr>
          <w:rFonts w:ascii="宋体" w:hAnsi="宋体"/>
          <w:color w:val="000000" w:themeColor="text1"/>
          <w:highlight w:val="none"/>
          <w:u w:val="single"/>
          <w14:textFill>
            <w14:solidFill>
              <w14:schemeClr w14:val="tx1"/>
            </w14:solidFill>
          </w14:textFill>
        </w:rPr>
        <w:br w:type="page" w:clear="all"/>
      </w:r>
      <w:r>
        <w:rPr>
          <w:rFonts w:hint="eastAsia" w:hAnsi="宋体" w:cs="宋体"/>
          <w:color w:val="000000" w:themeColor="text1"/>
          <w:sz w:val="30"/>
          <w:szCs w:val="30"/>
          <w:highlight w:val="none"/>
          <w14:textFill>
            <w14:solidFill>
              <w14:schemeClr w14:val="tx1"/>
            </w14:solidFill>
          </w14:textFill>
        </w:rPr>
        <w:t>附件2：</w:t>
      </w:r>
    </w:p>
    <w:p w14:paraId="58BCEFFF">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履约保函示范文本</w:t>
      </w:r>
    </w:p>
    <w:p w14:paraId="6283FEDF">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（独立保函）</w:t>
      </w:r>
    </w:p>
    <w:p w14:paraId="79A34336">
      <w:pPr>
        <w:spacing w:line="360" w:lineRule="auto"/>
        <w:jc w:val="righ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编号：           </w:t>
      </w:r>
    </w:p>
    <w:p w14:paraId="35E6D284">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申请人：</w:t>
      </w:r>
    </w:p>
    <w:p w14:paraId="17D209BF">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18643309">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w:t>
      </w:r>
    </w:p>
    <w:p w14:paraId="3EA79220">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64952832">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开立人：</w:t>
      </w:r>
    </w:p>
    <w:p w14:paraId="330625D8">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3DCDC948">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7A45F237">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（受益人名称）： </w:t>
      </w:r>
    </w:p>
    <w:p w14:paraId="3D65FB18">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（以下简称“受益人”）与</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（以下简称“申请人”）于</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日就</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368BF693">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一、本保函担保范围：承包人未按照基础合同的约定履行义务，应当向贵方承担的违约责任和赔偿因此造成的损失、利息、律师费、诉讼费用等实现债权的费用。</w:t>
      </w:r>
    </w:p>
    <w:p w14:paraId="42FA32AD">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二、本保函担保金额最高不超过人民币（大写）</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元（¥</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588A2A9C">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三、本保函有效期自开立之日起至基础合同约定的缺陷责任期后</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日止，最迟不超过</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日。 </w:t>
      </w:r>
    </w:p>
    <w:p w14:paraId="49D08ADC">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四、我方承诺，在收到受益人发来的书面付款通知后的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日内无条件支付，前述书面付款通知即为付款要求之单据，且应满足以下要求：</w:t>
      </w:r>
    </w:p>
    <w:p w14:paraId="7823E0BA">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（1）付款通知到达的日期在本保函的有效期内；</w:t>
      </w:r>
    </w:p>
    <w:p w14:paraId="4790262E">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（2）载明要求支付的金额；</w:t>
      </w:r>
    </w:p>
    <w:p w14:paraId="63D52BD4">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（3）载明申请人违反合同义务的条款和内容；</w:t>
      </w:r>
    </w:p>
    <w:p w14:paraId="52801F60">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（4）声明不存在合同文件约定或我国法律规定免除申请人或开立人支付责任的情形；</w:t>
      </w:r>
    </w:p>
    <w:p w14:paraId="68DC4616">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（5）付款通知应在本保函有效期内到达的地址是：</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2933CE6D">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受益人发出的书面付款通知应由其为鉴明受益人法定代表人（负责人）或授权代理人签字并加盖公章。</w:t>
      </w:r>
    </w:p>
    <w:p w14:paraId="1F396000">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五、本保函项下的权利不得转让，不得设定担保。贵方未经我方书面同意转 让本保函或其项下任何权利，对我方不发生法律效力。 </w:t>
      </w:r>
    </w:p>
    <w:p w14:paraId="13DCA1CE">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六、与本保函有关的基础合同不成立、不生效、无效、被撤销、被解除，不影响本保函的独立有效。 </w:t>
      </w:r>
    </w:p>
    <w:p w14:paraId="68C52CB7">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七、贵方应在本保函到期后的七日内将本保函正本退回我方注销，但是不论贵方是否按此要求将本保函正本退回我方，我方在本保函项下的义务和责任均在保函有效期到期后自动消灭。 </w:t>
      </w:r>
    </w:p>
    <w:p w14:paraId="5425006A">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八、本保函适用的法律为中华人民共和国法律，争议裁判管辖地为中华人民共和国</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22D8BCC8">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九、本保函自我方法定代表人或授权代表签字并加盖公章之日起生效。 </w:t>
      </w:r>
    </w:p>
    <w:p w14:paraId="269447C7">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开 立 人：                              （公章） </w:t>
      </w:r>
    </w:p>
    <w:p w14:paraId="4F9D83FE">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法定代表人（或授权代表）：               （签字） </w:t>
      </w:r>
    </w:p>
    <w:p w14:paraId="11E67061">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p>
    <w:p w14:paraId="387403D6">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p>
    <w:p w14:paraId="6FEA0AFC">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电    话：                 </w:t>
      </w:r>
    </w:p>
    <w:p w14:paraId="74423AA2">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传    真：                 </w:t>
      </w:r>
    </w:p>
    <w:p w14:paraId="26B7C8AD">
      <w:pPr>
        <w:spacing w:line="360" w:lineRule="auto"/>
        <w:ind w:firstLine="480"/>
        <w:rPr>
          <w:rFonts w:hint="eastAsia"/>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开立时间：      年      月    </w:t>
      </w:r>
    </w:p>
    <w:p w14:paraId="68764582">
      <w:pPr>
        <w:spacing w:line="360" w:lineRule="auto"/>
        <w:jc w:val="left"/>
        <w:rPr>
          <w:rFonts w:eastAsia="仿宋_GB2312"/>
          <w:color w:val="000000" w:themeColor="text1"/>
          <w:sz w:val="30"/>
          <w:szCs w:val="30"/>
          <w:highlight w:val="none"/>
          <w14:textFill>
            <w14:solidFill>
              <w14:schemeClr w14:val="tx1"/>
            </w14:solidFill>
          </w14:textFill>
        </w:rPr>
      </w:pPr>
    </w:p>
    <w:p w14:paraId="7E5D1A25">
      <w:pPr>
        <w:spacing w:line="360" w:lineRule="auto"/>
        <w:rPr>
          <w:rFonts w:hint="eastAsia" w:ascii="宋体" w:hAnsi="宋体"/>
          <w:b/>
          <w:bCs/>
          <w:color w:val="000000" w:themeColor="text1"/>
          <w:sz w:val="32"/>
          <w:szCs w:val="32"/>
          <w:highlight w:val="none"/>
          <w14:textFill>
            <w14:solidFill>
              <w14:schemeClr w14:val="tx1"/>
            </w14:solidFill>
          </w14:textFill>
        </w:rPr>
      </w:pPr>
    </w:p>
    <w:p w14:paraId="097911A6">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履约保函示范文本</w:t>
      </w:r>
    </w:p>
    <w:p w14:paraId="40D3514A">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（非独立保函）</w:t>
      </w:r>
    </w:p>
    <w:p w14:paraId="221294E4">
      <w:pPr>
        <w:spacing w:line="360" w:lineRule="auto"/>
        <w:jc w:val="center"/>
        <w:rPr>
          <w:rFonts w:hint="eastAsia" w:ascii="宋体" w:hAnsi="宋体"/>
          <w:b/>
          <w:bCs/>
          <w:color w:val="000000" w:themeColor="text1"/>
          <w:sz w:val="32"/>
          <w:szCs w:val="32"/>
          <w:highlight w:val="none"/>
          <w14:textFill>
            <w14:solidFill>
              <w14:schemeClr w14:val="tx1"/>
            </w14:solidFill>
          </w14:textFill>
        </w:rPr>
      </w:pPr>
    </w:p>
    <w:p w14:paraId="6F7805A2">
      <w:pPr>
        <w:spacing w:line="360" w:lineRule="auto"/>
        <w:jc w:val="righ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编号：           </w:t>
      </w:r>
    </w:p>
    <w:p w14:paraId="6A4F4344">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p w14:paraId="3079119A">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3EB5A141">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担保权人/发包人： </w:t>
      </w:r>
    </w:p>
    <w:p w14:paraId="3E786CE8">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0D3C7B3D">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保证人：</w:t>
      </w:r>
    </w:p>
    <w:p w14:paraId="458095F4">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72801D6E">
      <w:pPr>
        <w:spacing w:line="360" w:lineRule="auto"/>
        <w:rPr>
          <w:rFonts w:hint="eastAsia" w:ascii="宋体" w:hAnsi="宋体"/>
          <w:color w:val="000000" w:themeColor="text1"/>
          <w:sz w:val="24"/>
          <w:highlight w:val="none"/>
          <w14:textFill>
            <w14:solidFill>
              <w14:schemeClr w14:val="tx1"/>
            </w14:solidFill>
          </w14:textFill>
        </w:rPr>
      </w:pPr>
    </w:p>
    <w:p w14:paraId="40CA48D2">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（发包人名称）： </w:t>
      </w:r>
    </w:p>
    <w:p w14:paraId="7674F683">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（以下简称“发包人”）与</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（以下简称“承包人”）于</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日就</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xml:space="preserve">（以下简称“主合同”），我方即保证人基于承包人的请求，同意就承包人履行与贵方签订的主合同项下的义务，向贵方提供如下保证担保（以下简称“本保证担保”）。 </w:t>
      </w:r>
    </w:p>
    <w:p w14:paraId="38382B0A">
      <w:pPr>
        <w:spacing w:line="360" w:lineRule="auto"/>
        <w:rPr>
          <w:rFonts w:hint="eastAsia"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一、保证担保的范围及保证担保金额</w:t>
      </w:r>
    </w:p>
    <w:p w14:paraId="57228089">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1.保证担保范围：承包人未按照主合同的约定履行义务，应当向贵方承担的违约责任和赔偿因此造成的损失、利息、律师费、诉讼费用等实现债权的费用。</w:t>
      </w:r>
    </w:p>
    <w:p w14:paraId="6FAD543D">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2.保证担保金额最高不超过人民币（大写）</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元（¥</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5E6BD31A">
      <w:pPr>
        <w:spacing w:line="360" w:lineRule="auto"/>
        <w:ind w:firstLine="482"/>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二、保证担保的方式及保证期间 </w:t>
      </w:r>
    </w:p>
    <w:p w14:paraId="4DD13775">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1.保证担保方式：连带责任保证。</w:t>
      </w:r>
    </w:p>
    <w:p w14:paraId="2F1F3AE0">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2.保证期间：自出具之日起至主合同约定的缺陷责任期后</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日止，最迟不超过</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日。 </w:t>
      </w:r>
    </w:p>
    <w:p w14:paraId="60C1EC23">
      <w:pPr>
        <w:spacing w:line="360" w:lineRule="auto"/>
        <w:ind w:firstLine="482"/>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三、承担保证担保责任的形式</w:t>
      </w:r>
    </w:p>
    <w:p w14:paraId="11FC5BBC">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我方按照贵方的要求以下列方式之一承担保证担保责任： </w:t>
      </w:r>
    </w:p>
    <w:p w14:paraId="6420C017">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1.向承包人资金、设备或者技术援助，使其能继续履行合同义务；</w:t>
      </w:r>
    </w:p>
    <w:p w14:paraId="1686FED7">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2.直接接管该项工程或者委托经贵方同意的其他承包商，继续履行合同义务；</w:t>
      </w:r>
    </w:p>
    <w:p w14:paraId="7A5A47E5">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3.在保证担保金额最高限额内，按照合同约定，向贵方承担违约责任和赔偿因此造成的损失，以及利息和律师费、诉讼费用等实现债权的费用。</w:t>
      </w:r>
    </w:p>
    <w:p w14:paraId="6F3CDE58">
      <w:pPr>
        <w:spacing w:line="360" w:lineRule="auto"/>
        <w:ind w:firstLine="482"/>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四、代偿的安排 </w:t>
      </w:r>
    </w:p>
    <w:p w14:paraId="76586732">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1.贵方要求我方承担保证责任的，应向我方发出书面索赔通知及承包人未履行主合同约定义务的证明材料。索赔通知应写明要求索赔的金额，支付款项应到达的</w:t>
      </w:r>
      <w:r>
        <w:rPr>
          <w:rFonts w:hint="eastAsia" w:ascii="宋体" w:hAnsi="宋体"/>
          <w:color w:val="000000" w:themeColor="text1"/>
          <w:sz w:val="24"/>
          <w:highlight w:val="none"/>
          <w:lang w:eastAsia="zh-CN"/>
          <w14:textFill>
            <w14:solidFill>
              <w14:schemeClr w14:val="tx1"/>
            </w14:solidFill>
          </w14:textFill>
        </w:rPr>
        <w:t>账</w:t>
      </w:r>
      <w:r>
        <w:rPr>
          <w:rFonts w:hint="eastAsia" w:ascii="宋体" w:hAnsi="宋体"/>
          <w:color w:val="000000" w:themeColor="text1"/>
          <w:sz w:val="24"/>
          <w:highlight w:val="none"/>
          <w14:textFill>
            <w14:solidFill>
              <w14:schemeClr w14:val="tx1"/>
            </w14:solidFill>
          </w14:textFill>
        </w:rPr>
        <w:t>号，并附有说明承包人违反主合同造成贵方损失情况的证明材料。</w:t>
      </w:r>
    </w:p>
    <w:p w14:paraId="7D3886CF">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2.贵方以工程质量不符合主合同约定标准为由，向我方提出违约索赔的，还需同时提供符合相应条件要求的工程质量检测部门出具的质量说明材料。</w:t>
      </w:r>
    </w:p>
    <w:p w14:paraId="7645BA03">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3.我方收到贵方的书面索赔通知及相应证明材料后，在</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工作日内进行核定后按照本保函的承诺承担保证责任。</w:t>
      </w:r>
    </w:p>
    <w:p w14:paraId="40394468">
      <w:pPr>
        <w:spacing w:line="360" w:lineRule="auto"/>
        <w:ind w:firstLine="482"/>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五、保证担保责任的解除 </w:t>
      </w:r>
    </w:p>
    <w:p w14:paraId="5CFFB2A9">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1.保证期间届满贵方未向我方书面主张保证责任的，自保证期间届满次日起，我方解除保证责任。 </w:t>
      </w:r>
    </w:p>
    <w:p w14:paraId="0B073E6E">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2.我方按照本保证担保向贵方履行了保证担保责任后，自我方向贵方支付的金额达到最高保证担保金额之日起，保证担保责任解除。 </w:t>
      </w:r>
    </w:p>
    <w:p w14:paraId="42604044">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3.按照法律法规的规定应解除我方保证担保责任的其它情形的，我方在本保证担保项下的保证担保责任亦解除。 </w:t>
      </w:r>
    </w:p>
    <w:p w14:paraId="65FF2297">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436711BA">
      <w:pPr>
        <w:spacing w:line="360" w:lineRule="auto"/>
        <w:ind w:firstLine="482"/>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六、免责条款 </w:t>
      </w:r>
    </w:p>
    <w:p w14:paraId="1EE6F116">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1.因贵方原因致使承包人未按照主合同约定履行义务的，我方不承担保证担保责任。 </w:t>
      </w:r>
    </w:p>
    <w:p w14:paraId="5642358F">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2.依照法律规定或贵方与发包人的另行约定，免除承包人部分或全部义务的，我方亦免除其相应的保证担保责任。 </w:t>
      </w:r>
    </w:p>
    <w:p w14:paraId="3C5005E8">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3.因不可抗力造成承包人未按照主合同约定履行义务的，我方不承担保证担保责任。</w:t>
      </w:r>
    </w:p>
    <w:p w14:paraId="60F31DF0">
      <w:pPr>
        <w:spacing w:line="360" w:lineRule="auto"/>
        <w:ind w:firstLine="482"/>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七、其他</w:t>
      </w:r>
    </w:p>
    <w:p w14:paraId="2CF409FB">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1.本保证担保项下的权利不得转让，不得设定担保。贵方未经我方书面同意转让本保证担保或其项下任何权利，对我方不发生法律效力。 </w:t>
      </w:r>
    </w:p>
    <w:p w14:paraId="24DBB23D">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2.本保证担保适用的法律为中华人民共和国法律，争议裁判管辖地为中华人民共和国</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1045D285">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3.本保证担保自我方法定代表人或授权代表签字并加盖公章之日起生效。 </w:t>
      </w:r>
    </w:p>
    <w:p w14:paraId="7D655C12">
      <w:pPr>
        <w:spacing w:line="360" w:lineRule="auto"/>
        <w:ind w:firstLine="480"/>
        <w:rPr>
          <w:rFonts w:hint="eastAsia" w:ascii="宋体" w:hAnsi="宋体"/>
          <w:color w:val="000000" w:themeColor="text1"/>
          <w:sz w:val="24"/>
          <w:highlight w:val="none"/>
          <w14:textFill>
            <w14:solidFill>
              <w14:schemeClr w14:val="tx1"/>
            </w14:solidFill>
          </w14:textFill>
        </w:rPr>
      </w:pPr>
    </w:p>
    <w:p w14:paraId="6A1E8ACD">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保 证 人：                              （公章） </w:t>
      </w:r>
    </w:p>
    <w:p w14:paraId="1A676561">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法定代表人（或授权代表）：               （签字） </w:t>
      </w:r>
    </w:p>
    <w:p w14:paraId="72326C53">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p>
    <w:p w14:paraId="3D19FA5E">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p>
    <w:p w14:paraId="4C83C150">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电    话：                 </w:t>
      </w:r>
    </w:p>
    <w:p w14:paraId="61A83524">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传    真：                 </w:t>
      </w:r>
    </w:p>
    <w:p w14:paraId="1CB70967">
      <w:pPr>
        <w:spacing w:before="156" w:after="156" w:line="440" w:lineRule="exact"/>
        <w:jc w:val="center"/>
        <w:rPr>
          <w:rFonts w:ascii="黑体" w:hAnsi="宋体" w:eastAsia="黑体"/>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时    间：      年      月        日</w:t>
      </w:r>
    </w:p>
    <w:p w14:paraId="14131E79">
      <w:pPr>
        <w:widowControl/>
        <w:rPr>
          <w:color w:val="000000" w:themeColor="text1"/>
          <w:highlight w:val="none"/>
          <w14:textFill>
            <w14:solidFill>
              <w14:schemeClr w14:val="tx1"/>
            </w14:solidFill>
          </w14:textFill>
        </w:rPr>
      </w:pPr>
    </w:p>
    <w:sectPr>
      <w:footerReference r:id="rId26" w:type="first"/>
      <w:footerReference r:id="rId25" w:type="default"/>
      <w:pgSz w:w="11907" w:h="16840"/>
      <w:pgMar w:top="1440" w:right="1440" w:bottom="1440" w:left="1797" w:header="851" w:footer="85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New Roman)">
    <w:altName w:val="Times New Roman"/>
    <w:panose1 w:val="02020603050405020304"/>
    <w:charset w:val="00"/>
    <w:family w:val="auto"/>
    <w:pitch w:val="default"/>
    <w:sig w:usb0="00000000" w:usb1="00000000" w:usb2="00000000" w:usb3="00000000" w:csb0="00000000" w:csb1="00000000"/>
  </w:font>
  <w:font w:name="宋体正文">
    <w:altName w:val="宋体"/>
    <w:panose1 w:val="02010600030101010101"/>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方正小标宋简体">
    <w:altName w:val="黑体"/>
    <w:panose1 w:val="02000000000000000000"/>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ˎ̥">
    <w:altName w:val="Segoe Print"/>
    <w:panose1 w:val="020B0603030804020204"/>
    <w:charset w:val="00"/>
    <w:family w:val="auto"/>
    <w:pitch w:val="default"/>
    <w:sig w:usb0="00000000" w:usb1="00000000" w:usb2="00000000" w:usb3="00000000" w:csb0="00000000" w:csb1="00000000"/>
  </w:font>
  <w:font w:name="楷体_GB2312">
    <w:altName w:val="楷体"/>
    <w:panose1 w:val="0201060903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DE9A0">
    <w:pPr>
      <w:pStyle w:val="30"/>
      <w:tabs>
        <w:tab w:val="center" w:pos="4439"/>
        <w:tab w:val="clear" w:pos="4153"/>
      </w:tabs>
      <w:jc w:val="both"/>
    </w:pPr>
  </w:p>
  <w:p w14:paraId="43086E66">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ECA0D">
    <w:pPr>
      <w:spacing w:line="1" w:lineRule="exac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ge">
                <wp:posOffset>9999345</wp:posOffset>
              </wp:positionV>
              <wp:extent cx="304800" cy="79375"/>
              <wp:effectExtent l="0" t="0" r="0" b="0"/>
              <wp:wrapNone/>
              <wp:docPr id="8" name="文本框 14"/>
              <wp:cNvGraphicFramePr/>
              <a:graphic xmlns:a="http://schemas.openxmlformats.org/drawingml/2006/main">
                <a:graphicData uri="http://schemas.microsoft.com/office/word/2010/wordprocessingShape">
                  <wps:wsp>
                    <wps:cNvSpPr txBox="1"/>
                    <wps:spPr bwMode="auto">
                      <a:xfrm>
                        <a:off x="0" y="0"/>
                        <a:ext cx="304800" cy="79375"/>
                      </a:xfrm>
                      <a:prstGeom prst="rect">
                        <a:avLst/>
                      </a:prstGeom>
                      <a:noFill/>
                      <a:ln>
                        <a:noFill/>
                      </a:ln>
                      <a:effectLst/>
                    </wps:spPr>
                    <wps:txbx>
                      <w:txbxContent>
                        <w:p w14:paraId="433508A8">
                          <w:pPr>
                            <w:pStyle w:val="332"/>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文本框 14" o:spid="_x0000_s1026" o:spt="202" type="#_x0000_t202" style="position:absolute;left:0pt;margin-top:787.35pt;height:6.25pt;width:24pt;mso-position-horizontal:center;mso-position-horizontal-relative:margin;mso-position-vertical-relative:page;mso-wrap-style:none;z-index:251664384;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a/Q3UAAAACQEAAA8AAAAAAAAAAQAgAAAA&#10;IgAAAGRycy9kb3ducmV2LnhtbFBLAQIUABQAAAAIAIdO4kA0GoW11gEAAKcDAAAOAAAAAAAAAAEA&#10;IAAAACMBAABkcnMvZTJvRG9jLnhtbFBLBQYAAAAABgAGAFkBAABrBQAAAAA=&#10;">
              <v:fill on="f" focussize="0,0"/>
              <v:stroke on="f"/>
              <v:imagedata o:title=""/>
              <o:lock v:ext="edit" aspectratio="f"/>
              <v:textbox inset="0mm,0mm,0mm,0mm" style="mso-fit-shape-to-text:t;">
                <w:txbxContent>
                  <w:p w14:paraId="433508A8">
                    <w:pPr>
                      <w:pStyle w:val="332"/>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8FB17">
    <w:pPr>
      <w:spacing w:line="1" w:lineRule="exact"/>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CC317">
                          <w:pPr>
                            <w:pStyle w:val="30"/>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BDQg/GPQIAAHAEAAAOAAAAAAAAAAEAIAAAAB8BAABkcnMvZTJv&#10;RG9jLnhtbFBLBQYAAAAABgAGAFkBAADOBQAAAAA=&#10;">
              <v:fill on="f" focussize="0,0"/>
              <v:stroke on="f" weight="0.5pt"/>
              <v:imagedata o:title=""/>
              <o:lock v:ext="edit" aspectratio="f"/>
              <v:textbox inset="0mm,0mm,0mm,0mm" style="mso-fit-shape-to-text:t;">
                <w:txbxContent>
                  <w:p w14:paraId="7A4CC317">
                    <w:pPr>
                      <w:pStyle w:val="30"/>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12DF7">
    <w:pPr>
      <w:spacing w:line="1" w:lineRule="exac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ge">
                <wp:posOffset>9999345</wp:posOffset>
              </wp:positionV>
              <wp:extent cx="304800" cy="79375"/>
              <wp:effectExtent l="0" t="0" r="0" b="0"/>
              <wp:wrapNone/>
              <wp:docPr id="10" name="文本框 381"/>
              <wp:cNvGraphicFramePr/>
              <a:graphic xmlns:a="http://schemas.openxmlformats.org/drawingml/2006/main">
                <a:graphicData uri="http://schemas.microsoft.com/office/word/2010/wordprocessingShape">
                  <wps:wsp>
                    <wps:cNvSpPr txBox="1"/>
                    <wps:spPr bwMode="auto">
                      <a:xfrm>
                        <a:off x="0" y="0"/>
                        <a:ext cx="304800" cy="79375"/>
                      </a:xfrm>
                      <a:prstGeom prst="rect">
                        <a:avLst/>
                      </a:prstGeom>
                      <a:noFill/>
                      <a:ln>
                        <a:noFill/>
                      </a:ln>
                      <a:effectLst/>
                    </wps:spPr>
                    <wps:txbx>
                      <w:txbxContent>
                        <w:p w14:paraId="3BBAD19A">
                          <w:pPr>
                            <w:pStyle w:val="332"/>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wps:txbx>
                    <wps:bodyPr wrap="none" lIns="0" tIns="0" rIns="0" bIns="0">
                      <a:spAutoFit/>
                    </wps:bodyPr>
                  </wps:wsp>
                </a:graphicData>
              </a:graphic>
            </wp:anchor>
          </w:drawing>
        </mc:Choice>
        <mc:Fallback>
          <w:pict>
            <v:shape id="文本框 381" o:spid="_x0000_s1026" o:spt="202" type="#_x0000_t202" style="position:absolute;left:0pt;margin-top:787.35pt;height:6.25pt;width:24pt;mso-position-horizontal:center;mso-position-horizontal-relative:margin;mso-position-vertical-relative:page;mso-wrap-style:none;z-index:251663360;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9r9DdQAAAAJAQAADwAAAAAAAAABACAA&#10;AAAiAAAAZHJzL2Rvd25yZXYueG1sUEsBAhQAFAAAAAgAh07iQGP0+5/YAQAAqQMAAA4AAAAAAAAA&#10;AQAgAAAAIwEAAGRycy9lMm9Eb2MueG1sUEsFBgAAAAAGAAYAWQEAAG0FAAAAAA==&#10;">
              <v:fill on="f" focussize="0,0"/>
              <v:stroke on="f"/>
              <v:imagedata o:title=""/>
              <o:lock v:ext="edit" aspectratio="f"/>
              <v:textbox inset="0mm,0mm,0mm,0mm" style="mso-fit-shape-to-text:t;">
                <w:txbxContent>
                  <w:p w14:paraId="3BBAD19A">
                    <w:pPr>
                      <w:pStyle w:val="332"/>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07A85">
    <w:pPr>
      <w:pStyle w:val="30"/>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D79E6">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BGLA3pPQIAAHEEAAAOAAAAAAAAAAEAIAAAAB8BAABkcnMvZTJv&#10;RG9jLnhtbFBLBQYAAAAABgAGAFkBAADOBQAAAAA=&#10;">
              <v:fill on="f" focussize="0,0"/>
              <v:stroke on="f" weight="0.5pt"/>
              <v:imagedata o:title=""/>
              <o:lock v:ext="edit" aspectratio="f"/>
              <v:textbox inset="0mm,0mm,0mm,0mm" style="mso-fit-shape-to-text:t;">
                <w:txbxContent>
                  <w:p w14:paraId="4C5D79E6">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7509095E">
    <w:pPr>
      <w:pStyle w:val="3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F6EC">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307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F3DF00E">
                          <w:pPr>
                            <w:pStyle w:val="30"/>
                          </w:pPr>
                          <w:r>
                            <w:fldChar w:fldCharType="begin"/>
                          </w:r>
                          <w:r>
                            <w:instrText xml:space="preserve"> PAGE  \* MERGEFORMAT </w:instrText>
                          </w:r>
                          <w:r>
                            <w:fldChar w:fldCharType="separate"/>
                          </w:r>
                          <w:r>
                            <w:t>117</w:t>
                          </w:r>
                          <w:r>
                            <w:fldChar w:fldCharType="end"/>
                          </w:r>
                        </w:p>
                      </w:txbxContent>
                    </wps:txbx>
                    <wps:bodyPr wrap="none" lIns="0" tIns="0" rIns="0" bIns="0" upright="1">
                      <a:spAutoFit/>
                    </wps:bodyPr>
                  </wps:wsp>
                </a:graphicData>
              </a:graphic>
            </wp:anchor>
          </w:drawing>
        </mc:Choice>
        <mc:Fallback>
          <w:pict>
            <v:shape id="文本框 307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9ZcPqNYBAACrAwAADgAAAAAAAAABACAAAAAe&#10;AQAAZHJzL2Uyb0RvYy54bWxQSwUGAAAAAAYABgBZAQAAZgUAAAAA&#10;">
              <v:fill on="f" focussize="0,0"/>
              <v:stroke on="f"/>
              <v:imagedata o:title=""/>
              <o:lock v:ext="edit" aspectratio="f"/>
              <v:textbox inset="0mm,0mm,0mm,0mm" style="mso-fit-shape-to-text:t;">
                <w:txbxContent>
                  <w:p w14:paraId="4F3DF00E">
                    <w:pPr>
                      <w:pStyle w:val="30"/>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3D252">
    <w:pPr>
      <w:pStyle w:val="30"/>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07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B6665A6"/>
                      </w:txbxContent>
                    </wps:txbx>
                    <wps:bodyPr wrap="none" lIns="0" tIns="0" rIns="0" bIns="0" upright="1">
                      <a:spAutoFit/>
                    </wps:bodyPr>
                  </wps:wsp>
                </a:graphicData>
              </a:graphic>
            </wp:anchor>
          </w:drawing>
        </mc:Choice>
        <mc:Fallback>
          <w:pict>
            <v:shape id="文本框 307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dJhPB9YBAACqAwAADgAAAAAAAAABACAAAAAe&#10;AQAAZHJzL2Uyb0RvYy54bWxQSwUGAAAAAAYABgBZAQAAZgUAAAAA&#10;">
              <v:fill on="f" focussize="0,0"/>
              <v:stroke on="f"/>
              <v:imagedata o:title=""/>
              <o:lock v:ext="edit" aspectratio="f"/>
              <v:textbox inset="0mm,0mm,0mm,0mm" style="mso-fit-shape-to-text:t;">
                <w:txbxContent>
                  <w:p w14:paraId="7B6665A6"/>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4B296">
    <w:pPr>
      <w:pStyle w:val="30"/>
      <w:tabs>
        <w:tab w:val="center" w:pos="4439"/>
        <w:tab w:val="clear" w:pos="4153"/>
      </w:tabs>
      <w:jc w:val="both"/>
    </w:pPr>
  </w:p>
  <w:p w14:paraId="29D41483">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44E1F">
    <w:pPr>
      <w:pStyle w:val="30"/>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07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00763BA"/>
                      </w:txbxContent>
                    </wps:txbx>
                    <wps:bodyPr wrap="none" lIns="0" tIns="0" rIns="0" bIns="0" upright="1">
                      <a:spAutoFit/>
                    </wps:bodyPr>
                  </wps:wsp>
                </a:graphicData>
              </a:graphic>
            </wp:anchor>
          </w:drawing>
        </mc:Choice>
        <mc:Fallback>
          <w:pict>
            <v:shape id="文本框 3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frTlyNYBAACqAwAADgAAAAAAAAABACAAAAAe&#10;AQAAZHJzL2Uyb0RvYy54bWxQSwUGAAAAAAYABgBZAQAAZgUAAAAA&#10;">
              <v:fill on="f" focussize="0,0"/>
              <v:stroke on="f"/>
              <v:imagedata o:title=""/>
              <o:lock v:ext="edit" aspectratio="f"/>
              <v:textbox inset="0mm,0mm,0mm,0mm" style="mso-fit-shape-to-text:t;">
                <w:txbxContent>
                  <w:p w14:paraId="700763BA"/>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7DB42">
    <w:pPr>
      <w:spacing w:line="1" w:lineRule="exact"/>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C9583">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w7gDEPQIAAHAEAAAOAAAAAAAAAAEAIAAAAB8BAABkcnMvZTJv&#10;RG9jLnhtbFBLBQYAAAAABgAGAFkBAADOBQAAAAA=&#10;">
              <v:fill on="f" focussize="0,0"/>
              <v:stroke on="f" weight="0.5pt"/>
              <v:imagedata o:title=""/>
              <o:lock v:ext="edit" aspectratio="f"/>
              <v:textbox inset="0mm,0mm,0mm,0mm" style="mso-fit-shape-to-text:t;">
                <w:txbxContent>
                  <w:p w14:paraId="7F4C9583">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699E8">
    <w:pPr>
      <w:spacing w:line="1" w:lineRule="exact"/>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ge">
                <wp:posOffset>9999345</wp:posOffset>
              </wp:positionV>
              <wp:extent cx="304800" cy="79375"/>
              <wp:effectExtent l="0" t="0" r="0" b="0"/>
              <wp:wrapNone/>
              <wp:docPr id="4" name="文本框 9"/>
              <wp:cNvGraphicFramePr/>
              <a:graphic xmlns:a="http://schemas.openxmlformats.org/drawingml/2006/main">
                <a:graphicData uri="http://schemas.microsoft.com/office/word/2010/wordprocessingShape">
                  <wps:wsp>
                    <wps:cNvSpPr txBox="1"/>
                    <wps:spPr bwMode="auto">
                      <a:xfrm>
                        <a:off x="0" y="0"/>
                        <a:ext cx="304800" cy="79375"/>
                      </a:xfrm>
                      <a:prstGeom prst="rect">
                        <a:avLst/>
                      </a:prstGeom>
                      <a:noFill/>
                      <a:ln>
                        <a:noFill/>
                      </a:ln>
                      <a:effectLst/>
                    </wps:spPr>
                    <wps:txbx>
                      <w:txbxContent>
                        <w:p w14:paraId="6E59FC37">
                          <w:pPr>
                            <w:pStyle w:val="332"/>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文本框 9" o:spid="_x0000_s1026" o:spt="202" type="#_x0000_t202" style="position:absolute;left:0pt;margin-top:787.35pt;height:6.25pt;width:24pt;mso-position-horizontal:center;mso-position-horizontal-relative:margin;mso-position-vertical-relative:page;mso-wrap-style:none;z-index:25166643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a/Q3UAAAACQEAAA8AAAAAAAAAAQAgAAAA&#10;IgAAAGRycy9kb3ducmV2LnhtbFBLAQIUABQAAAAIAIdO4kD9snN11gEAAKYDAAAOAAAAAAAAAAEA&#10;IAAAACMBAABkcnMvZTJvRG9jLnhtbFBLBQYAAAAABgAGAFkBAABrBQAAAAA=&#10;">
              <v:fill on="f" focussize="0,0"/>
              <v:stroke on="f"/>
              <v:imagedata o:title=""/>
              <o:lock v:ext="edit" aspectratio="f"/>
              <v:textbox inset="0mm,0mm,0mm,0mm" style="mso-fit-shape-to-text:t;">
                <w:txbxContent>
                  <w:p w14:paraId="6E59FC37">
                    <w:pPr>
                      <w:pStyle w:val="332"/>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FA1C2">
    <w:pPr>
      <w:spacing w:line="1" w:lineRule="exact"/>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F4ACD">
                          <w:pPr>
                            <w:pStyle w:val="30"/>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A3RM6APQIAAHAEAAAOAAAAAAAAAAEAIAAAAB8BAABkcnMvZTJv&#10;RG9jLnhtbFBLBQYAAAAABgAGAFkBAADOBQAAAAA=&#10;">
              <v:fill on="f" focussize="0,0"/>
              <v:stroke on="f" weight="0.5pt"/>
              <v:imagedata o:title=""/>
              <o:lock v:ext="edit" aspectratio="f"/>
              <v:textbox inset="0mm,0mm,0mm,0mm" style="mso-fit-shape-to-text:t;">
                <w:txbxContent>
                  <w:p w14:paraId="573F4ACD">
                    <w:pPr>
                      <w:pStyle w:val="3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8BB02">
    <w:pPr>
      <w:spacing w:line="1" w:lineRule="exac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ge">
                <wp:posOffset>9999345</wp:posOffset>
              </wp:positionV>
              <wp:extent cx="304800" cy="79375"/>
              <wp:effectExtent l="0" t="0" r="0" b="0"/>
              <wp:wrapNone/>
              <wp:docPr id="6" name="文本框 10"/>
              <wp:cNvGraphicFramePr/>
              <a:graphic xmlns:a="http://schemas.openxmlformats.org/drawingml/2006/main">
                <a:graphicData uri="http://schemas.microsoft.com/office/word/2010/wordprocessingShape">
                  <wps:wsp>
                    <wps:cNvSpPr txBox="1"/>
                    <wps:spPr bwMode="auto">
                      <a:xfrm>
                        <a:off x="0" y="0"/>
                        <a:ext cx="304800" cy="79375"/>
                      </a:xfrm>
                      <a:prstGeom prst="rect">
                        <a:avLst/>
                      </a:prstGeom>
                      <a:noFill/>
                      <a:ln>
                        <a:noFill/>
                      </a:ln>
                      <a:effectLst/>
                    </wps:spPr>
                    <wps:txbx>
                      <w:txbxContent>
                        <w:p w14:paraId="2E14BB54">
                          <w:pPr>
                            <w:pStyle w:val="332"/>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文本框 10" o:spid="_x0000_s1026" o:spt="202" type="#_x0000_t202" style="position:absolute;left:0pt;margin-top:787.35pt;height:6.25pt;width:24pt;mso-position-horizontal:center;mso-position-horizontal-relative:margin;mso-position-vertical-relative:page;mso-wrap-style:none;z-index:251665408;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a/Q3UAAAACQEAAA8AAAAAAAAAAQAgAAAA&#10;IgAAAGRycy9kb3ducmV2LnhtbFBLAQIUABQAAAAIAIdO4kBOA6z41gEAAKcDAAAOAAAAAAAAAAEA&#10;IAAAACMBAABkcnMvZTJvRG9jLnhtbFBLBQYAAAAABgAGAFkBAABrBQAAAAA=&#10;">
              <v:fill on="f" focussize="0,0"/>
              <v:stroke on="f"/>
              <v:imagedata o:title=""/>
              <o:lock v:ext="edit" aspectratio="f"/>
              <v:textbox inset="0mm,0mm,0mm,0mm" style="mso-fit-shape-to-text:t;">
                <w:txbxContent>
                  <w:p w14:paraId="2E14BB54">
                    <w:pPr>
                      <w:pStyle w:val="332"/>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66C72">
    <w:pPr>
      <w:spacing w:line="1" w:lineRule="exact"/>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FA813">
                          <w:pPr>
                            <w:pStyle w:val="30"/>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B895mXPQIAAHAEAAAOAAAAAAAAAAEAIAAAAB8BAABkcnMvZTJv&#10;RG9jLnhtbFBLBQYAAAAABgAGAFkBAADOBQAAAAA=&#10;">
              <v:fill on="f" focussize="0,0"/>
              <v:stroke on="f" weight="0.5pt"/>
              <v:imagedata o:title=""/>
              <o:lock v:ext="edit" aspectratio="f"/>
              <v:textbox inset="0mm,0mm,0mm,0mm" style="mso-fit-shape-to-text:t;">
                <w:txbxContent>
                  <w:p w14:paraId="4DCFA813">
                    <w:pPr>
                      <w:pStyle w:val="30"/>
                    </w:pPr>
                    <w:r>
                      <w:fldChar w:fldCharType="begin"/>
                    </w:r>
                    <w:r>
                      <w:instrText xml:space="preserve"> PAGE  \* MERGEFORMAT </w:instrText>
                    </w:r>
                    <w:r>
                      <w:fldChar w:fldCharType="separate"/>
                    </w:r>
                    <w: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3A4A1">
    <w:pPr>
      <w:pStyle w:val="31"/>
      <w:pBdr>
        <w:bottom w:val="none" w:color="000000"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B1E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A8F3A">
    <w:pPr>
      <w:pStyle w:val="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4F31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7741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D347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70C38"/>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C70E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7CFAD"/>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821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4499CC"/>
    <w:multiLevelType w:val="multilevel"/>
    <w:tmpl w:val="324499CC"/>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3C3F6902"/>
    <w:multiLevelType w:val="multilevel"/>
    <w:tmpl w:val="3C3F6902"/>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408860E8"/>
    <w:multiLevelType w:val="multi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position w:val="0"/>
        <w:sz w:val="20"/>
        <w:szCs w:val="20"/>
        <w:u w:val="none"/>
        <w:shd w:val="clear" w:color="auto" w:fill="auto"/>
        <w:lang w:val="en-US" w:eastAsia="en-US" w:bidi="en-US"/>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5498E193"/>
    <w:multiLevelType w:val="multilevel"/>
    <w:tmpl w:val="5498E193"/>
    <w:lvl w:ilvl="0" w:tentative="0">
      <w:start w:val="1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B4D68"/>
    <w:rsid w:val="037241F0"/>
    <w:rsid w:val="05421C02"/>
    <w:rsid w:val="05D26AAD"/>
    <w:rsid w:val="0CF2027F"/>
    <w:rsid w:val="0DBB7DCF"/>
    <w:rsid w:val="124D74C7"/>
    <w:rsid w:val="127F631B"/>
    <w:rsid w:val="16513DF6"/>
    <w:rsid w:val="16F22EBF"/>
    <w:rsid w:val="17451C21"/>
    <w:rsid w:val="1BC91A20"/>
    <w:rsid w:val="1F1F71FB"/>
    <w:rsid w:val="204D1B46"/>
    <w:rsid w:val="26EF26D0"/>
    <w:rsid w:val="2B006E62"/>
    <w:rsid w:val="2BD61589"/>
    <w:rsid w:val="2C700569"/>
    <w:rsid w:val="2E750BE6"/>
    <w:rsid w:val="302169BE"/>
    <w:rsid w:val="34E61A2F"/>
    <w:rsid w:val="39FC665F"/>
    <w:rsid w:val="3B747ED6"/>
    <w:rsid w:val="3C6B7ACC"/>
    <w:rsid w:val="3D0A6885"/>
    <w:rsid w:val="3D7B3D3F"/>
    <w:rsid w:val="3DFA2EB5"/>
    <w:rsid w:val="3E1A6B7A"/>
    <w:rsid w:val="3FC855C5"/>
    <w:rsid w:val="434F15AD"/>
    <w:rsid w:val="44444376"/>
    <w:rsid w:val="46EB7095"/>
    <w:rsid w:val="47022DDB"/>
    <w:rsid w:val="49540DD2"/>
    <w:rsid w:val="4D2E3414"/>
    <w:rsid w:val="4D501094"/>
    <w:rsid w:val="50144B57"/>
    <w:rsid w:val="51C12844"/>
    <w:rsid w:val="54CF6505"/>
    <w:rsid w:val="54DD1E07"/>
    <w:rsid w:val="54E104D3"/>
    <w:rsid w:val="558D5A50"/>
    <w:rsid w:val="57C5330E"/>
    <w:rsid w:val="589D4FA0"/>
    <w:rsid w:val="59D247BA"/>
    <w:rsid w:val="5D3D6D62"/>
    <w:rsid w:val="614A3FDE"/>
    <w:rsid w:val="61EB0BE3"/>
    <w:rsid w:val="625875CA"/>
    <w:rsid w:val="630B4E5D"/>
    <w:rsid w:val="65172464"/>
    <w:rsid w:val="687C332B"/>
    <w:rsid w:val="6887523D"/>
    <w:rsid w:val="6895357A"/>
    <w:rsid w:val="69BC729E"/>
    <w:rsid w:val="6ABC3157"/>
    <w:rsid w:val="6CF41172"/>
    <w:rsid w:val="6D0F57C7"/>
    <w:rsid w:val="6FC50CC6"/>
    <w:rsid w:val="72B063A9"/>
    <w:rsid w:val="773A78A3"/>
    <w:rsid w:val="7A353F9D"/>
    <w:rsid w:val="7DAA2748"/>
    <w:rsid w:val="7EB76B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qFormat="1" w:uiPriority="99" w:semiHidden="0"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iPriority="99" w:name="E-mail Signature"/>
    <w:lsdException w:qFormat="1"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99"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206"/>
    <w:qFormat/>
    <w:uiPriority w:val="99"/>
    <w:pPr>
      <w:keepNext/>
      <w:keepLines/>
      <w:spacing w:before="340" w:after="330" w:line="578" w:lineRule="auto"/>
      <w:outlineLvl w:val="0"/>
    </w:pPr>
    <w:rPr>
      <w:b/>
      <w:bCs/>
      <w:sz w:val="44"/>
      <w:szCs w:val="44"/>
    </w:rPr>
  </w:style>
  <w:style w:type="paragraph" w:styleId="3">
    <w:name w:val="heading 2"/>
    <w:basedOn w:val="1"/>
    <w:next w:val="1"/>
    <w:link w:val="20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08"/>
    <w:qFormat/>
    <w:uiPriority w:val="99"/>
    <w:pPr>
      <w:keepNext/>
      <w:keepLines/>
      <w:spacing w:before="260" w:after="260" w:line="416" w:lineRule="auto"/>
      <w:outlineLvl w:val="2"/>
    </w:pPr>
    <w:rPr>
      <w:b/>
      <w:bCs/>
      <w:sz w:val="32"/>
      <w:szCs w:val="32"/>
    </w:rPr>
  </w:style>
  <w:style w:type="paragraph" w:styleId="5">
    <w:name w:val="heading 4"/>
    <w:basedOn w:val="1"/>
    <w:next w:val="1"/>
    <w:link w:val="209"/>
    <w:qFormat/>
    <w:uiPriority w:val="99"/>
    <w:pPr>
      <w:keepNext/>
      <w:keepLines/>
      <w:spacing w:line="360" w:lineRule="auto"/>
      <w:outlineLvl w:val="3"/>
    </w:pPr>
    <w:rPr>
      <w:rFonts w:ascii="Arial" w:hAnsi="Arial"/>
      <w:b/>
      <w:bCs/>
      <w:sz w:val="28"/>
      <w:szCs w:val="28"/>
    </w:rPr>
  </w:style>
  <w:style w:type="paragraph" w:styleId="6">
    <w:name w:val="heading 5"/>
    <w:basedOn w:val="1"/>
    <w:next w:val="7"/>
    <w:link w:val="210"/>
    <w:qFormat/>
    <w:uiPriority w:val="99"/>
    <w:pPr>
      <w:keepNext/>
      <w:keepLines/>
      <w:spacing w:before="280" w:after="290" w:line="376" w:lineRule="auto"/>
      <w:outlineLvl w:val="4"/>
    </w:pPr>
    <w:rPr>
      <w:b/>
      <w:bCs/>
      <w:sz w:val="28"/>
      <w:szCs w:val="28"/>
    </w:rPr>
  </w:style>
  <w:style w:type="paragraph" w:styleId="8">
    <w:name w:val="heading 6"/>
    <w:basedOn w:val="1"/>
    <w:next w:val="1"/>
    <w:link w:val="212"/>
    <w:qFormat/>
    <w:uiPriority w:val="9"/>
    <w:pPr>
      <w:keepNext/>
      <w:keepLines/>
      <w:spacing w:before="240" w:after="64" w:line="317" w:lineRule="auto"/>
      <w:outlineLvl w:val="5"/>
    </w:pPr>
    <w:rPr>
      <w:rFonts w:ascii="Cambria" w:hAnsi="Cambria"/>
      <w:b/>
      <w:bCs/>
      <w:sz w:val="24"/>
    </w:rPr>
  </w:style>
  <w:style w:type="paragraph" w:styleId="9">
    <w:name w:val="heading 7"/>
    <w:basedOn w:val="1"/>
    <w:next w:val="1"/>
    <w:link w:val="213"/>
    <w:qFormat/>
    <w:uiPriority w:val="9"/>
    <w:pPr>
      <w:keepNext/>
      <w:keepLines/>
      <w:spacing w:before="240" w:after="64" w:line="317" w:lineRule="auto"/>
      <w:outlineLvl w:val="6"/>
    </w:pPr>
    <w:rPr>
      <w:b/>
      <w:bCs/>
      <w:sz w:val="24"/>
    </w:rPr>
  </w:style>
  <w:style w:type="paragraph" w:styleId="10">
    <w:name w:val="heading 8"/>
    <w:basedOn w:val="1"/>
    <w:next w:val="1"/>
    <w:link w:val="214"/>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215"/>
    <w:qFormat/>
    <w:uiPriority w:val="9"/>
    <w:pPr>
      <w:keepNext/>
      <w:keepLines/>
      <w:spacing w:before="240" w:after="64" w:line="317" w:lineRule="auto"/>
      <w:outlineLvl w:val="8"/>
    </w:pPr>
    <w:rPr>
      <w:rFonts w:ascii="Cambria" w:hAnsi="Cambria"/>
      <w:sz w:val="2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7">
    <w:name w:val="Normal Indent"/>
    <w:basedOn w:val="1"/>
    <w:link w:val="211"/>
    <w:qFormat/>
    <w:uiPriority w:val="99"/>
    <w:pPr>
      <w:ind w:firstLine="420"/>
    </w:pPr>
    <w:rPr>
      <w:szCs w:val="20"/>
    </w:rPr>
  </w:style>
  <w:style w:type="paragraph" w:styleId="12">
    <w:name w:val="toc 7"/>
    <w:basedOn w:val="1"/>
    <w:next w:val="1"/>
    <w:qFormat/>
    <w:uiPriority w:val="39"/>
    <w:pPr>
      <w:ind w:left="2520"/>
    </w:pPr>
    <w:rPr>
      <w:rFonts w:ascii="Calibri" w:hAnsi="Calibri" w:cs="Calibri"/>
      <w:szCs w:val="21"/>
    </w:rPr>
  </w:style>
  <w:style w:type="paragraph" w:styleId="13">
    <w:name w:val="List Number"/>
    <w:basedOn w:val="1"/>
    <w:qFormat/>
    <w:uiPriority w:val="0"/>
    <w:pPr>
      <w:widowControl/>
      <w:tabs>
        <w:tab w:val="left" w:pos="454"/>
        <w:tab w:val="left" w:pos="720"/>
        <w:tab w:val="left" w:pos="840"/>
      </w:tabs>
      <w:ind w:left="454" w:hanging="284"/>
      <w:jc w:val="left"/>
    </w:pPr>
    <w:rPr>
      <w:sz w:val="24"/>
      <w:szCs w:val="20"/>
    </w:rPr>
  </w:style>
  <w:style w:type="paragraph" w:styleId="14">
    <w:name w:val="caption"/>
    <w:basedOn w:val="1"/>
    <w:next w:val="1"/>
    <w:qFormat/>
    <w:uiPriority w:val="99"/>
    <w:rPr>
      <w:rFonts w:ascii="Cambria" w:hAnsi="Cambria" w:eastAsia="黑体" w:cs="Cambria"/>
      <w:sz w:val="20"/>
      <w:szCs w:val="20"/>
    </w:rPr>
  </w:style>
  <w:style w:type="paragraph" w:styleId="15">
    <w:name w:val="Document Map"/>
    <w:basedOn w:val="1"/>
    <w:link w:val="216"/>
    <w:qFormat/>
    <w:uiPriority w:val="99"/>
    <w:pPr>
      <w:shd w:val="clear" w:color="auto" w:fill="000080"/>
    </w:pPr>
    <w:rPr>
      <w:sz w:val="24"/>
      <w:shd w:val="clear" w:color="auto" w:fill="000080"/>
    </w:rPr>
  </w:style>
  <w:style w:type="paragraph" w:styleId="16">
    <w:name w:val="annotation text"/>
    <w:basedOn w:val="1"/>
    <w:link w:val="217"/>
    <w:qFormat/>
    <w:uiPriority w:val="0"/>
    <w:pPr>
      <w:jc w:val="left"/>
    </w:pPr>
  </w:style>
  <w:style w:type="paragraph" w:styleId="17">
    <w:name w:val="Body Text 3"/>
    <w:basedOn w:val="1"/>
    <w:link w:val="218"/>
    <w:unhideWhenUsed/>
    <w:qFormat/>
    <w:uiPriority w:val="99"/>
    <w:pPr>
      <w:spacing w:after="120"/>
    </w:pPr>
    <w:rPr>
      <w:sz w:val="16"/>
      <w:szCs w:val="16"/>
    </w:rPr>
  </w:style>
  <w:style w:type="paragraph" w:styleId="18">
    <w:name w:val="Body Text"/>
    <w:basedOn w:val="1"/>
    <w:link w:val="219"/>
    <w:unhideWhenUsed/>
    <w:qFormat/>
    <w:uiPriority w:val="99"/>
    <w:pPr>
      <w:spacing w:after="120"/>
    </w:pPr>
  </w:style>
  <w:style w:type="paragraph" w:styleId="19">
    <w:name w:val="Body Text Indent"/>
    <w:basedOn w:val="1"/>
    <w:link w:val="220"/>
    <w:qFormat/>
    <w:uiPriority w:val="99"/>
    <w:pPr>
      <w:ind w:firstLine="830"/>
    </w:pPr>
    <w:rPr>
      <w:rFonts w:ascii="仿宋_GB2312" w:eastAsia="仿宋_GB2312"/>
      <w:sz w:val="32"/>
      <w:szCs w:val="20"/>
    </w:rPr>
  </w:style>
  <w:style w:type="paragraph" w:styleId="20">
    <w:name w:val="List 2"/>
    <w:basedOn w:val="1"/>
    <w:unhideWhenUsed/>
    <w:qFormat/>
    <w:uiPriority w:val="99"/>
    <w:pPr>
      <w:ind w:left="100" w:hanging="200"/>
      <w:contextualSpacing/>
    </w:pPr>
  </w:style>
  <w:style w:type="paragraph" w:styleId="21">
    <w:name w:val="index 4"/>
    <w:basedOn w:val="1"/>
    <w:next w:val="1"/>
    <w:semiHidden/>
    <w:qFormat/>
    <w:uiPriority w:val="99"/>
    <w:pPr>
      <w:ind w:left="600"/>
    </w:pPr>
    <w:rPr>
      <w:szCs w:val="21"/>
    </w:rPr>
  </w:style>
  <w:style w:type="paragraph" w:styleId="22">
    <w:name w:val="toc 5"/>
    <w:basedOn w:val="1"/>
    <w:next w:val="1"/>
    <w:qFormat/>
    <w:uiPriority w:val="39"/>
    <w:pPr>
      <w:ind w:left="1680"/>
    </w:pPr>
    <w:rPr>
      <w:rFonts w:ascii="Calibri" w:hAnsi="Calibri" w:cs="Calibri"/>
      <w:szCs w:val="21"/>
    </w:rPr>
  </w:style>
  <w:style w:type="paragraph" w:styleId="23">
    <w:name w:val="toc 3"/>
    <w:basedOn w:val="1"/>
    <w:next w:val="1"/>
    <w:qFormat/>
    <w:uiPriority w:val="39"/>
    <w:pPr>
      <w:ind w:left="840"/>
    </w:pPr>
    <w:rPr>
      <w:szCs w:val="21"/>
    </w:rPr>
  </w:style>
  <w:style w:type="paragraph" w:styleId="24">
    <w:name w:val="Plain Text"/>
    <w:basedOn w:val="1"/>
    <w:link w:val="221"/>
    <w:qFormat/>
    <w:uiPriority w:val="0"/>
    <w:rPr>
      <w:rFonts w:ascii="宋体" w:hAnsi="Courier New"/>
      <w:sz w:val="20"/>
      <w:szCs w:val="21"/>
    </w:rPr>
  </w:style>
  <w:style w:type="paragraph" w:styleId="25">
    <w:name w:val="toc 8"/>
    <w:basedOn w:val="1"/>
    <w:next w:val="1"/>
    <w:qFormat/>
    <w:uiPriority w:val="39"/>
    <w:pPr>
      <w:ind w:left="2940"/>
    </w:pPr>
    <w:rPr>
      <w:rFonts w:ascii="Calibri" w:hAnsi="Calibri" w:cs="Calibri"/>
      <w:szCs w:val="21"/>
    </w:rPr>
  </w:style>
  <w:style w:type="paragraph" w:styleId="26">
    <w:name w:val="Date"/>
    <w:basedOn w:val="1"/>
    <w:next w:val="1"/>
    <w:link w:val="222"/>
    <w:unhideWhenUsed/>
    <w:qFormat/>
    <w:uiPriority w:val="99"/>
    <w:pPr>
      <w:ind w:left="100"/>
    </w:pPr>
  </w:style>
  <w:style w:type="paragraph" w:styleId="27">
    <w:name w:val="Body Text Indent 2"/>
    <w:basedOn w:val="1"/>
    <w:link w:val="223"/>
    <w:qFormat/>
    <w:uiPriority w:val="99"/>
    <w:pPr>
      <w:spacing w:after="120" w:line="480" w:lineRule="auto"/>
      <w:ind w:left="420"/>
    </w:pPr>
    <w:rPr>
      <w:sz w:val="24"/>
    </w:rPr>
  </w:style>
  <w:style w:type="paragraph" w:styleId="28">
    <w:name w:val="endnote text"/>
    <w:basedOn w:val="1"/>
    <w:link w:val="203"/>
    <w:semiHidden/>
    <w:unhideWhenUsed/>
    <w:qFormat/>
    <w:uiPriority w:val="99"/>
    <w:pPr>
      <w:spacing w:after="0" w:line="240" w:lineRule="auto"/>
    </w:pPr>
    <w:rPr>
      <w:sz w:val="20"/>
      <w:szCs w:val="20"/>
    </w:rPr>
  </w:style>
  <w:style w:type="paragraph" w:styleId="29">
    <w:name w:val="Balloon Text"/>
    <w:basedOn w:val="1"/>
    <w:link w:val="224"/>
    <w:qFormat/>
    <w:uiPriority w:val="99"/>
    <w:rPr>
      <w:sz w:val="18"/>
      <w:szCs w:val="18"/>
    </w:rPr>
  </w:style>
  <w:style w:type="paragraph" w:styleId="30">
    <w:name w:val="footer"/>
    <w:basedOn w:val="1"/>
    <w:link w:val="225"/>
    <w:unhideWhenUsed/>
    <w:qFormat/>
    <w:uiPriority w:val="99"/>
    <w:pPr>
      <w:tabs>
        <w:tab w:val="center" w:pos="4153"/>
        <w:tab w:val="right" w:pos="8306"/>
      </w:tabs>
      <w:jc w:val="left"/>
    </w:pPr>
    <w:rPr>
      <w:sz w:val="18"/>
      <w:szCs w:val="18"/>
    </w:rPr>
  </w:style>
  <w:style w:type="paragraph" w:styleId="31">
    <w:name w:val="header"/>
    <w:basedOn w:val="1"/>
    <w:link w:val="226"/>
    <w:unhideWhenUsed/>
    <w:qFormat/>
    <w:uiPriority w:val="99"/>
    <w:pPr>
      <w:pBdr>
        <w:bottom w:val="single" w:color="000000" w:sz="6" w:space="1"/>
      </w:pBdr>
      <w:tabs>
        <w:tab w:val="center" w:pos="4153"/>
        <w:tab w:val="right" w:pos="8306"/>
      </w:tabs>
      <w:jc w:val="center"/>
    </w:pPr>
    <w:rPr>
      <w:sz w:val="18"/>
      <w:szCs w:val="18"/>
    </w:rPr>
  </w:style>
  <w:style w:type="paragraph" w:styleId="32">
    <w:name w:val="toc 1"/>
    <w:basedOn w:val="1"/>
    <w:next w:val="1"/>
    <w:unhideWhenUsed/>
    <w:qFormat/>
    <w:uiPriority w:val="39"/>
  </w:style>
  <w:style w:type="paragraph" w:styleId="33">
    <w:name w:val="toc 4"/>
    <w:basedOn w:val="1"/>
    <w:next w:val="1"/>
    <w:qFormat/>
    <w:uiPriority w:val="39"/>
    <w:pPr>
      <w:ind w:left="1260"/>
    </w:pPr>
    <w:rPr>
      <w:rFonts w:ascii="Calibri" w:hAnsi="Calibri" w:cs="Calibri"/>
      <w:szCs w:val="21"/>
    </w:rPr>
  </w:style>
  <w:style w:type="paragraph" w:styleId="34">
    <w:name w:val="Subtitle"/>
    <w:basedOn w:val="1"/>
    <w:next w:val="1"/>
    <w:link w:val="227"/>
    <w:qFormat/>
    <w:uiPriority w:val="11"/>
    <w:pPr>
      <w:spacing w:before="240" w:after="60" w:line="312" w:lineRule="auto"/>
      <w:jc w:val="center"/>
      <w:outlineLvl w:val="1"/>
    </w:pPr>
    <w:rPr>
      <w:rFonts w:ascii="Cambria" w:hAnsi="Cambria"/>
      <w:b/>
      <w:bCs/>
      <w:sz w:val="32"/>
      <w:szCs w:val="32"/>
    </w:rPr>
  </w:style>
  <w:style w:type="paragraph" w:styleId="35">
    <w:name w:val="footnote text"/>
    <w:basedOn w:val="1"/>
    <w:link w:val="228"/>
    <w:qFormat/>
    <w:uiPriority w:val="99"/>
    <w:pPr>
      <w:spacing w:line="312" w:lineRule="atLeast"/>
      <w:jc w:val="left"/>
    </w:pPr>
    <w:rPr>
      <w:sz w:val="18"/>
      <w:szCs w:val="18"/>
    </w:rPr>
  </w:style>
  <w:style w:type="paragraph" w:styleId="36">
    <w:name w:val="toc 6"/>
    <w:basedOn w:val="1"/>
    <w:next w:val="1"/>
    <w:qFormat/>
    <w:uiPriority w:val="39"/>
    <w:pPr>
      <w:ind w:left="2100"/>
    </w:pPr>
    <w:rPr>
      <w:rFonts w:ascii="Calibri" w:hAnsi="Calibri" w:cs="Calibri"/>
      <w:szCs w:val="21"/>
    </w:rPr>
  </w:style>
  <w:style w:type="paragraph" w:styleId="37">
    <w:name w:val="table of figures"/>
    <w:basedOn w:val="1"/>
    <w:next w:val="1"/>
    <w:unhideWhenUsed/>
    <w:qFormat/>
    <w:uiPriority w:val="99"/>
    <w:pPr>
      <w:spacing w:after="0" w:afterAutospacing="0"/>
    </w:pPr>
  </w:style>
  <w:style w:type="paragraph" w:styleId="38">
    <w:name w:val="toc 2"/>
    <w:basedOn w:val="1"/>
    <w:next w:val="1"/>
    <w:unhideWhenUsed/>
    <w:qFormat/>
    <w:uiPriority w:val="39"/>
    <w:pPr>
      <w:tabs>
        <w:tab w:val="right" w:leader="dot" w:pos="8296"/>
      </w:tabs>
      <w:ind w:left="420"/>
    </w:pPr>
  </w:style>
  <w:style w:type="paragraph" w:styleId="39">
    <w:name w:val="toc 9"/>
    <w:basedOn w:val="1"/>
    <w:next w:val="1"/>
    <w:qFormat/>
    <w:uiPriority w:val="39"/>
    <w:pPr>
      <w:ind w:left="3360"/>
    </w:pPr>
    <w:rPr>
      <w:rFonts w:ascii="Calibri" w:hAnsi="Calibri" w:cs="Calibri"/>
      <w:szCs w:val="21"/>
    </w:rPr>
  </w:style>
  <w:style w:type="paragraph" w:styleId="40">
    <w:name w:val="Body Text 2"/>
    <w:basedOn w:val="1"/>
    <w:qFormat/>
    <w:uiPriority w:val="0"/>
    <w:pPr>
      <w:spacing w:after="120" w:line="480" w:lineRule="auto"/>
    </w:pPr>
    <w:rPr>
      <w:sz w:val="20"/>
    </w:rPr>
  </w:style>
  <w:style w:type="paragraph" w:styleId="41">
    <w:name w:val="HTML Preformatted"/>
    <w:basedOn w:val="1"/>
    <w:link w:val="22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42">
    <w:name w:val="Normal (Web)"/>
    <w:basedOn w:val="1"/>
    <w:unhideWhenUsed/>
    <w:qFormat/>
    <w:uiPriority w:val="0"/>
    <w:rPr>
      <w:rFonts w:ascii="Calibri" w:hAnsi="Calibri"/>
      <w:sz w:val="24"/>
    </w:rPr>
  </w:style>
  <w:style w:type="paragraph" w:styleId="43">
    <w:name w:val="Title"/>
    <w:basedOn w:val="1"/>
    <w:next w:val="1"/>
    <w:link w:val="230"/>
    <w:qFormat/>
    <w:uiPriority w:val="99"/>
    <w:pPr>
      <w:spacing w:before="240" w:after="60"/>
      <w:jc w:val="center"/>
      <w:outlineLvl w:val="0"/>
    </w:pPr>
    <w:rPr>
      <w:rFonts w:ascii="Cambria" w:hAnsi="Cambria"/>
      <w:b/>
      <w:bCs/>
      <w:sz w:val="32"/>
      <w:szCs w:val="32"/>
    </w:rPr>
  </w:style>
  <w:style w:type="paragraph" w:styleId="44">
    <w:name w:val="annotation subject"/>
    <w:basedOn w:val="16"/>
    <w:next w:val="16"/>
    <w:link w:val="231"/>
    <w:qFormat/>
    <w:uiPriority w:val="99"/>
    <w:rPr>
      <w:b/>
      <w:bCs/>
    </w:rPr>
  </w:style>
  <w:style w:type="table" w:styleId="46">
    <w:name w:val="Table Grid"/>
    <w:basedOn w:val="4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8">
    <w:name w:val="Strong"/>
    <w:qFormat/>
    <w:uiPriority w:val="22"/>
    <w:rPr>
      <w:b/>
      <w:bCs/>
    </w:rPr>
  </w:style>
  <w:style w:type="character" w:styleId="49">
    <w:name w:val="endnote reference"/>
    <w:unhideWhenUsed/>
    <w:qFormat/>
    <w:uiPriority w:val="99"/>
    <w:rPr>
      <w:vertAlign w:val="superscript"/>
    </w:rPr>
  </w:style>
  <w:style w:type="character" w:styleId="50">
    <w:name w:val="page number"/>
    <w:qFormat/>
    <w:uiPriority w:val="99"/>
  </w:style>
  <w:style w:type="character" w:styleId="51">
    <w:name w:val="FollowedHyperlink"/>
    <w:basedOn w:val="47"/>
    <w:semiHidden/>
    <w:unhideWhenUsed/>
    <w:qFormat/>
    <w:uiPriority w:val="99"/>
    <w:rPr>
      <w:color w:val="800080" w:themeColor="followedHyperlink"/>
      <w:u w:val="single"/>
      <w14:textFill>
        <w14:solidFill>
          <w14:schemeClr w14:val="folHlink"/>
        </w14:solidFill>
      </w14:textFill>
    </w:rPr>
  </w:style>
  <w:style w:type="character" w:styleId="52">
    <w:name w:val="Emphasis"/>
    <w:qFormat/>
    <w:uiPriority w:val="99"/>
    <w:rPr>
      <w:i/>
      <w:iCs/>
    </w:rPr>
  </w:style>
  <w:style w:type="character" w:styleId="53">
    <w:name w:val="HTML Definition"/>
    <w:basedOn w:val="47"/>
    <w:unhideWhenUsed/>
    <w:qFormat/>
    <w:uiPriority w:val="99"/>
  </w:style>
  <w:style w:type="character" w:styleId="54">
    <w:name w:val="HTML Typewriter"/>
    <w:basedOn w:val="47"/>
    <w:unhideWhenUsed/>
    <w:qFormat/>
    <w:uiPriority w:val="99"/>
    <w:rPr>
      <w:rFonts w:hint="default" w:ascii="monospace" w:hAnsi="monospace" w:eastAsia="monospace" w:cs="monospace"/>
      <w:sz w:val="20"/>
    </w:rPr>
  </w:style>
  <w:style w:type="character" w:styleId="55">
    <w:name w:val="HTML Acronym"/>
    <w:basedOn w:val="47"/>
    <w:unhideWhenUsed/>
    <w:qFormat/>
    <w:uiPriority w:val="99"/>
  </w:style>
  <w:style w:type="character" w:styleId="56">
    <w:name w:val="HTML Variable"/>
    <w:basedOn w:val="47"/>
    <w:unhideWhenUsed/>
    <w:qFormat/>
    <w:uiPriority w:val="99"/>
  </w:style>
  <w:style w:type="character" w:styleId="57">
    <w:name w:val="Hyperlink"/>
    <w:unhideWhenUsed/>
    <w:qFormat/>
    <w:uiPriority w:val="99"/>
    <w:rPr>
      <w:color w:val="0000FF"/>
      <w:u w:val="single"/>
    </w:rPr>
  </w:style>
  <w:style w:type="character" w:styleId="58">
    <w:name w:val="HTML Code"/>
    <w:basedOn w:val="47"/>
    <w:unhideWhenUsed/>
    <w:qFormat/>
    <w:uiPriority w:val="99"/>
    <w:rPr>
      <w:rFonts w:hint="default" w:ascii="monospace" w:hAnsi="monospace" w:eastAsia="monospace" w:cs="monospace"/>
      <w:sz w:val="20"/>
    </w:rPr>
  </w:style>
  <w:style w:type="character" w:styleId="59">
    <w:name w:val="annotation reference"/>
    <w:qFormat/>
    <w:uiPriority w:val="0"/>
    <w:rPr>
      <w:sz w:val="21"/>
      <w:szCs w:val="21"/>
    </w:rPr>
  </w:style>
  <w:style w:type="character" w:styleId="60">
    <w:name w:val="HTML Cite"/>
    <w:basedOn w:val="47"/>
    <w:unhideWhenUsed/>
    <w:qFormat/>
    <w:uiPriority w:val="99"/>
  </w:style>
  <w:style w:type="character" w:styleId="61">
    <w:name w:val="footnote reference"/>
    <w:unhideWhenUsed/>
    <w:qFormat/>
    <w:uiPriority w:val="0"/>
    <w:rPr>
      <w:vertAlign w:val="superscript"/>
    </w:rPr>
  </w:style>
  <w:style w:type="character" w:styleId="62">
    <w:name w:val="HTML Keyboard"/>
    <w:basedOn w:val="47"/>
    <w:unhideWhenUsed/>
    <w:qFormat/>
    <w:uiPriority w:val="99"/>
    <w:rPr>
      <w:rFonts w:hint="default" w:ascii="monospace" w:hAnsi="monospace" w:eastAsia="monospace" w:cs="monospace"/>
      <w:sz w:val="20"/>
    </w:rPr>
  </w:style>
  <w:style w:type="character" w:styleId="63">
    <w:name w:val="HTML Sample"/>
    <w:basedOn w:val="47"/>
    <w:unhideWhenUsed/>
    <w:qFormat/>
    <w:uiPriority w:val="99"/>
    <w:rPr>
      <w:rFonts w:ascii="monospace" w:hAnsi="monospace" w:eastAsia="monospace" w:cs="monospace"/>
    </w:rPr>
  </w:style>
  <w:style w:type="table" w:customStyle="1" w:styleId="64">
    <w:name w:val="Table Grid Light"/>
    <w:basedOn w:val="4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5">
    <w:name w:val="Plain Table 1"/>
    <w:basedOn w:val="4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6">
    <w:name w:val="Plain Table 2"/>
    <w:basedOn w:val="45"/>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7">
    <w:name w:val="Plain Table 3"/>
    <w:basedOn w:val="45"/>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8">
    <w:name w:val="Plain Table 4"/>
    <w:basedOn w:val="45"/>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9">
    <w:name w:val="Plain Table 5"/>
    <w:basedOn w:val="4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0">
    <w:name w:val="Grid Table 1 Light"/>
    <w:basedOn w:val="45"/>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1">
    <w:name w:val="Grid Table 1 Light - Accent 1"/>
    <w:basedOn w:val="45"/>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72">
    <w:name w:val="Grid Table 1 Light - Accent 2"/>
    <w:basedOn w:val="45"/>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73">
    <w:name w:val="Grid Table 1 Light - Accent 3"/>
    <w:basedOn w:val="45"/>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74">
    <w:name w:val="Grid Table 1 Light - Accent 4"/>
    <w:basedOn w:val="45"/>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75">
    <w:name w:val="Grid Table 1 Light - Accent 5"/>
    <w:basedOn w:val="4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76">
    <w:name w:val="Grid Table 1 Light - Accent 6"/>
    <w:basedOn w:val="45"/>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77">
    <w:name w:val="Grid Table 2"/>
    <w:basedOn w:val="4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8">
    <w:name w:val="Grid Table 2 - Accent 1"/>
    <w:basedOn w:val="45"/>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9">
    <w:name w:val="Grid Table 2 - Accent 2"/>
    <w:basedOn w:val="45"/>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0">
    <w:name w:val="Grid Table 2 - Accent 3"/>
    <w:basedOn w:val="45"/>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1">
    <w:name w:val="Grid Table 2 - Accent 4"/>
    <w:basedOn w:val="45"/>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2">
    <w:name w:val="Grid Table 2 - Accent 5"/>
    <w:basedOn w:val="4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3">
    <w:name w:val="Grid Table 2 - Accent 6"/>
    <w:basedOn w:val="45"/>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4">
    <w:name w:val="Grid Table 3"/>
    <w:basedOn w:val="4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5">
    <w:name w:val="Grid Table 3 - Accent 1"/>
    <w:basedOn w:val="45"/>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6">
    <w:name w:val="Grid Table 3 - Accent 2"/>
    <w:basedOn w:val="45"/>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7">
    <w:name w:val="Grid Table 3 - Accent 3"/>
    <w:basedOn w:val="45"/>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8">
    <w:name w:val="Grid Table 3 - Accent 4"/>
    <w:basedOn w:val="45"/>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9">
    <w:name w:val="Grid Table 3 - Accent 5"/>
    <w:basedOn w:val="4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0">
    <w:name w:val="Grid Table 3 - Accent 6"/>
    <w:basedOn w:val="45"/>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1">
    <w:name w:val="Grid Table 4"/>
    <w:basedOn w:val="45"/>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2">
    <w:name w:val="Grid Table 4 - Accent 1"/>
    <w:basedOn w:val="45"/>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93">
    <w:name w:val="Grid Table 4 - Accent 2"/>
    <w:basedOn w:val="45"/>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4">
    <w:name w:val="Grid Table 4 - Accent 3"/>
    <w:basedOn w:val="45"/>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5">
    <w:name w:val="Grid Table 4 - Accent 4"/>
    <w:basedOn w:val="45"/>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6">
    <w:name w:val="Grid Table 4 - Accent 5"/>
    <w:basedOn w:val="4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7">
    <w:name w:val="Grid Table 4 - Accent 6"/>
    <w:basedOn w:val="45"/>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8">
    <w:name w:val="Grid Table 5 Dark"/>
    <w:basedOn w:val="4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9">
    <w:name w:val="Grid Table 5 Dark- Accent 1"/>
    <w:basedOn w:val="4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00">
    <w:name w:val="Grid Table 5 Dark - Accent 2"/>
    <w:basedOn w:val="4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01">
    <w:name w:val="Grid Table 5 Dark - Accent 3"/>
    <w:basedOn w:val="4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02">
    <w:name w:val="Grid Table 5 Dark- Accent 4"/>
    <w:basedOn w:val="4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03">
    <w:name w:val="Grid Table 5 Dark - Accent 5"/>
    <w:basedOn w:val="4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04">
    <w:name w:val="Grid Table 5 Dark - Accent 6"/>
    <w:basedOn w:val="4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05">
    <w:name w:val="Grid Table 6 Colorful"/>
    <w:basedOn w:val="45"/>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6">
    <w:name w:val="Grid Table 6 Colorful - Accent 1"/>
    <w:basedOn w:val="45"/>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7">
    <w:name w:val="Grid Table 6 Colorful - Accent 2"/>
    <w:basedOn w:val="45"/>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8">
    <w:name w:val="Grid Table 6 Colorful - Accent 3"/>
    <w:basedOn w:val="45"/>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9">
    <w:name w:val="Grid Table 6 Colorful - Accent 4"/>
    <w:basedOn w:val="45"/>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0">
    <w:name w:val="Grid Table 6 Colorful - Accent 5"/>
    <w:basedOn w:val="4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1">
    <w:name w:val="Grid Table 6 Colorful - Accent 6"/>
    <w:basedOn w:val="45"/>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2">
    <w:name w:val="Grid Table 7 Colorful"/>
    <w:basedOn w:val="45"/>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3">
    <w:name w:val="Grid Table 7 Colorful - Accent 1"/>
    <w:basedOn w:val="45"/>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4">
    <w:name w:val="Grid Table 7 Colorful - Accent 2"/>
    <w:basedOn w:val="45"/>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5">
    <w:name w:val="Grid Table 7 Colorful - Accent 3"/>
    <w:basedOn w:val="45"/>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6">
    <w:name w:val="Grid Table 7 Colorful - Accent 4"/>
    <w:basedOn w:val="45"/>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7">
    <w:name w:val="Grid Table 7 Colorful - Accent 5"/>
    <w:basedOn w:val="4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8">
    <w:name w:val="Grid Table 7 Colorful - Accent 6"/>
    <w:basedOn w:val="45"/>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9">
    <w:name w:val="List Table 1 Light"/>
    <w:basedOn w:val="45"/>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1 Light - Accent 1"/>
    <w:basedOn w:val="45"/>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1">
    <w:name w:val="List Table 1 Light - Accent 2"/>
    <w:basedOn w:val="45"/>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2">
    <w:name w:val="List Table 1 Light - Accent 3"/>
    <w:basedOn w:val="45"/>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3">
    <w:name w:val="List Table 1 Light - Accent 4"/>
    <w:basedOn w:val="45"/>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4">
    <w:name w:val="List Table 1 Light - Accent 5"/>
    <w:basedOn w:val="4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5">
    <w:name w:val="List Table 1 Light - Accent 6"/>
    <w:basedOn w:val="45"/>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6">
    <w:name w:val="List Table 2"/>
    <w:basedOn w:val="45"/>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7">
    <w:name w:val="List Table 2 - Accent 1"/>
    <w:basedOn w:val="45"/>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8">
    <w:name w:val="List Table 2 - Accent 2"/>
    <w:basedOn w:val="45"/>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9">
    <w:name w:val="List Table 2 - Accent 3"/>
    <w:basedOn w:val="45"/>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0">
    <w:name w:val="List Table 2 - Accent 4"/>
    <w:basedOn w:val="45"/>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1">
    <w:name w:val="List Table 2 - Accent 5"/>
    <w:basedOn w:val="4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2">
    <w:name w:val="List Table 2 - Accent 6"/>
    <w:basedOn w:val="45"/>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3">
    <w:name w:val="List Table 3"/>
    <w:basedOn w:val="4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34">
    <w:name w:val="List Table 3 - Accent 1"/>
    <w:basedOn w:val="45"/>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35">
    <w:name w:val="List Table 3 - Accent 2"/>
    <w:basedOn w:val="45"/>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36">
    <w:name w:val="List Table 3 - Accent 3"/>
    <w:basedOn w:val="45"/>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37">
    <w:name w:val="List Table 3 - Accent 4"/>
    <w:basedOn w:val="45"/>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8">
    <w:name w:val="List Table 3 - Accent 5"/>
    <w:basedOn w:val="4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9">
    <w:name w:val="List Table 3 - Accent 6"/>
    <w:basedOn w:val="45"/>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40">
    <w:name w:val="List Table 4"/>
    <w:basedOn w:val="4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41">
    <w:name w:val="List Table 4 - Accent 1"/>
    <w:basedOn w:val="45"/>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42">
    <w:name w:val="List Table 4 - Accent 2"/>
    <w:basedOn w:val="45"/>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43">
    <w:name w:val="List Table 4 - Accent 3"/>
    <w:basedOn w:val="45"/>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44">
    <w:name w:val="List Table 4 - Accent 4"/>
    <w:basedOn w:val="45"/>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5">
    <w:name w:val="List Table 4 - Accent 5"/>
    <w:basedOn w:val="4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6">
    <w:name w:val="List Table 4 - Accent 6"/>
    <w:basedOn w:val="45"/>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7">
    <w:name w:val="List Table 5 Dark"/>
    <w:basedOn w:val="45"/>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8">
    <w:name w:val="List Table 5 Dark - Accent 1"/>
    <w:basedOn w:val="45"/>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49">
    <w:name w:val="List Table 5 Dark - Accent 2"/>
    <w:basedOn w:val="45"/>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50">
    <w:name w:val="List Table 5 Dark - Accent 3"/>
    <w:basedOn w:val="45"/>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51">
    <w:name w:val="List Table 5 Dark - Accent 4"/>
    <w:basedOn w:val="45"/>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52">
    <w:name w:val="List Table 5 Dark - Accent 5"/>
    <w:basedOn w:val="4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53">
    <w:name w:val="List Table 5 Dark - Accent 6"/>
    <w:basedOn w:val="45"/>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54">
    <w:name w:val="List Table 6 Colorful"/>
    <w:basedOn w:val="45"/>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5">
    <w:name w:val="List Table 6 Colorful - Accent 1"/>
    <w:basedOn w:val="45"/>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6">
    <w:name w:val="List Table 6 Colorful - Accent 2"/>
    <w:basedOn w:val="45"/>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7">
    <w:name w:val="List Table 6 Colorful - Accent 3"/>
    <w:basedOn w:val="45"/>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8">
    <w:name w:val="List Table 6 Colorful - Accent 4"/>
    <w:basedOn w:val="45"/>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9">
    <w:name w:val="List Table 6 Colorful - Accent 5"/>
    <w:basedOn w:val="4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0">
    <w:name w:val="List Table 6 Colorful - Accent 6"/>
    <w:basedOn w:val="45"/>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1">
    <w:name w:val="List Table 7 Colorful"/>
    <w:basedOn w:val="45"/>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62">
    <w:name w:val="List Table 7 Colorful - Accent 1"/>
    <w:basedOn w:val="45"/>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3">
    <w:name w:val="List Table 7 Colorful - Accent 2"/>
    <w:basedOn w:val="45"/>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4">
    <w:name w:val="List Table 7 Colorful - Accent 3"/>
    <w:basedOn w:val="45"/>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5">
    <w:name w:val="List Table 7 Colorful - Accent 4"/>
    <w:basedOn w:val="45"/>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6">
    <w:name w:val="List Table 7 Colorful - Accent 5"/>
    <w:basedOn w:val="4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7">
    <w:name w:val="List Table 7 Colorful - Accent 6"/>
    <w:basedOn w:val="45"/>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8">
    <w:name w:val="Lined - Accent"/>
    <w:basedOn w:val="45"/>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9">
    <w:name w:val="Lined - Accent 1"/>
    <w:basedOn w:val="45"/>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0">
    <w:name w:val="Lined - Accent 2"/>
    <w:basedOn w:val="45"/>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1">
    <w:name w:val="Lined - Accent 3"/>
    <w:basedOn w:val="45"/>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2">
    <w:name w:val="Lined - Accent 4"/>
    <w:basedOn w:val="45"/>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3">
    <w:name w:val="Lined - Accent 5"/>
    <w:basedOn w:val="4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4">
    <w:name w:val="Lined - Accent 6"/>
    <w:basedOn w:val="45"/>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5">
    <w:name w:val="Bordered &amp; Lined - Accent"/>
    <w:basedOn w:val="45"/>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6">
    <w:name w:val="Bordered &amp; Lined - Accent 1"/>
    <w:basedOn w:val="45"/>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7">
    <w:name w:val="Bordered &amp; Lined - Accent 2"/>
    <w:basedOn w:val="45"/>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8">
    <w:name w:val="Bordered &amp; Lined - Accent 3"/>
    <w:basedOn w:val="45"/>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9">
    <w:name w:val="Bordered &amp; Lined - Accent 4"/>
    <w:basedOn w:val="45"/>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0">
    <w:name w:val="Bordered &amp; Lined - Accent 5"/>
    <w:basedOn w:val="4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1">
    <w:name w:val="Bordered &amp; Lined - Accent 6"/>
    <w:basedOn w:val="45"/>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2">
    <w:name w:val="Bordered"/>
    <w:basedOn w:val="45"/>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83">
    <w:name w:val="Bordered - Accent 1"/>
    <w:basedOn w:val="45"/>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84">
    <w:name w:val="Bordered - Accent 2"/>
    <w:basedOn w:val="45"/>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85">
    <w:name w:val="Bordered - Accent 3"/>
    <w:basedOn w:val="45"/>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86">
    <w:name w:val="Bordered - Accent 4"/>
    <w:basedOn w:val="45"/>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87">
    <w:name w:val="Bordered - Accent 5"/>
    <w:basedOn w:val="4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8">
    <w:name w:val="Bordered - Accent 6"/>
    <w:basedOn w:val="45"/>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9">
    <w:name w:val="Heading 6 Char"/>
    <w:basedOn w:val="4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90">
    <w:name w:val="Heading 7 Char"/>
    <w:basedOn w:val="47"/>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91">
    <w:name w:val="Heading 8 Char"/>
    <w:basedOn w:val="47"/>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2">
    <w:name w:val="Heading 9 Char"/>
    <w:basedOn w:val="47"/>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3">
    <w:name w:val="Subtitle Char"/>
    <w:basedOn w:val="4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4">
    <w:name w:val="Quote"/>
    <w:basedOn w:val="1"/>
    <w:next w:val="1"/>
    <w:link w:val="19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5">
    <w:name w:val="Quote Char"/>
    <w:basedOn w:val="47"/>
    <w:link w:val="194"/>
    <w:qFormat/>
    <w:uiPriority w:val="29"/>
    <w:rPr>
      <w:i/>
      <w:iCs/>
      <w:color w:val="404040" w:themeColor="text1" w:themeTint="BF"/>
      <w14:textFill>
        <w14:solidFill>
          <w14:schemeClr w14:val="tx1">
            <w14:lumMod w14:val="75000"/>
            <w14:lumOff w14:val="25000"/>
          </w14:schemeClr>
        </w14:solidFill>
      </w14:textFill>
    </w:rPr>
  </w:style>
  <w:style w:type="character" w:customStyle="1" w:styleId="196">
    <w:name w:val="Intense Emphasis"/>
    <w:basedOn w:val="47"/>
    <w:qFormat/>
    <w:uiPriority w:val="21"/>
    <w:rPr>
      <w:i/>
      <w:iCs/>
      <w:color w:val="376092" w:themeColor="accent1" w:themeShade="BF"/>
    </w:rPr>
  </w:style>
  <w:style w:type="paragraph" w:styleId="197">
    <w:name w:val="Intense Quote"/>
    <w:basedOn w:val="1"/>
    <w:next w:val="1"/>
    <w:link w:val="19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98">
    <w:name w:val="Intense Quote Char"/>
    <w:basedOn w:val="47"/>
    <w:link w:val="197"/>
    <w:qFormat/>
    <w:uiPriority w:val="30"/>
    <w:rPr>
      <w:i/>
      <w:iCs/>
      <w:color w:val="376092" w:themeColor="accent1" w:themeShade="BF"/>
    </w:rPr>
  </w:style>
  <w:style w:type="character" w:customStyle="1" w:styleId="199">
    <w:name w:val="Intense Reference"/>
    <w:basedOn w:val="47"/>
    <w:qFormat/>
    <w:uiPriority w:val="32"/>
    <w:rPr>
      <w:b/>
      <w:bCs/>
      <w:smallCaps/>
      <w:color w:val="376092" w:themeColor="accent1" w:themeShade="BF"/>
      <w:spacing w:val="5"/>
    </w:rPr>
  </w:style>
  <w:style w:type="character" w:customStyle="1" w:styleId="200">
    <w:name w:val="Subtle Emphasis"/>
    <w:basedOn w:val="47"/>
    <w:qFormat/>
    <w:uiPriority w:val="19"/>
    <w:rPr>
      <w:i/>
      <w:iCs/>
      <w:color w:val="404040" w:themeColor="text1" w:themeTint="BF"/>
      <w14:textFill>
        <w14:solidFill>
          <w14:schemeClr w14:val="tx1">
            <w14:lumMod w14:val="75000"/>
            <w14:lumOff w14:val="25000"/>
          </w14:schemeClr>
        </w14:solidFill>
      </w14:textFill>
    </w:rPr>
  </w:style>
  <w:style w:type="character" w:customStyle="1" w:styleId="201">
    <w:name w:val="Subtle Reference"/>
    <w:basedOn w:val="47"/>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2">
    <w:name w:val="Book Title"/>
    <w:basedOn w:val="47"/>
    <w:qFormat/>
    <w:uiPriority w:val="33"/>
    <w:rPr>
      <w:b/>
      <w:bCs/>
      <w:i/>
      <w:iCs/>
      <w:spacing w:val="5"/>
    </w:rPr>
  </w:style>
  <w:style w:type="character" w:customStyle="1" w:styleId="203">
    <w:name w:val="Endnote Text Char"/>
    <w:basedOn w:val="47"/>
    <w:link w:val="28"/>
    <w:semiHidden/>
    <w:qFormat/>
    <w:uiPriority w:val="99"/>
    <w:rPr>
      <w:sz w:val="20"/>
      <w:szCs w:val="20"/>
    </w:rPr>
  </w:style>
  <w:style w:type="paragraph" w:customStyle="1" w:styleId="204">
    <w:name w:val="TOC Heading"/>
    <w:unhideWhenUsed/>
    <w:qFormat/>
    <w:uiPriority w:val="39"/>
    <w:rPr>
      <w:rFonts w:hint="default" w:ascii="Times New Roman" w:hAnsi="Times New Roman" w:eastAsia="宋体" w:cs="Times New Roman"/>
    </w:rPr>
  </w:style>
  <w:style w:type="paragraph" w:customStyle="1" w:styleId="205">
    <w:name w:val="正文1"/>
    <w:basedOn w:val="1"/>
    <w:qFormat/>
    <w:uiPriority w:val="0"/>
    <w:pPr>
      <w:spacing w:line="360" w:lineRule="auto"/>
      <w:ind w:firstLine="200"/>
      <w:jc w:val="left"/>
    </w:pPr>
    <w:rPr>
      <w:rFonts w:ascii="Times New Roman)" w:hAnsi="Times New Roman)" w:eastAsia="宋体正文"/>
      <w:color w:val="000000"/>
      <w:sz w:val="24"/>
      <w:lang w:eastAsia="en-US" w:bidi="en-US"/>
    </w:rPr>
  </w:style>
  <w:style w:type="character" w:customStyle="1" w:styleId="206">
    <w:name w:val="标题 1 字符"/>
    <w:link w:val="2"/>
    <w:qFormat/>
    <w:uiPriority w:val="99"/>
    <w:rPr>
      <w:b/>
      <w:bCs/>
      <w:sz w:val="44"/>
      <w:szCs w:val="44"/>
    </w:rPr>
  </w:style>
  <w:style w:type="character" w:customStyle="1" w:styleId="207">
    <w:name w:val="标题 2 字符"/>
    <w:link w:val="3"/>
    <w:qFormat/>
    <w:uiPriority w:val="9"/>
    <w:rPr>
      <w:rFonts w:ascii="Cambria" w:hAnsi="Cambria" w:eastAsia="宋体" w:cs="Times New Roman"/>
      <w:b/>
      <w:bCs/>
      <w:sz w:val="32"/>
      <w:szCs w:val="32"/>
    </w:rPr>
  </w:style>
  <w:style w:type="character" w:customStyle="1" w:styleId="208">
    <w:name w:val="标题 3 字符"/>
    <w:link w:val="4"/>
    <w:qFormat/>
    <w:uiPriority w:val="99"/>
    <w:rPr>
      <w:b/>
      <w:bCs/>
      <w:sz w:val="32"/>
      <w:szCs w:val="32"/>
    </w:rPr>
  </w:style>
  <w:style w:type="character" w:customStyle="1" w:styleId="209">
    <w:name w:val="标题 4 字符"/>
    <w:link w:val="5"/>
    <w:qFormat/>
    <w:uiPriority w:val="99"/>
    <w:rPr>
      <w:rFonts w:ascii="Arial" w:hAnsi="Arial"/>
      <w:b/>
      <w:bCs/>
      <w:sz w:val="28"/>
      <w:szCs w:val="28"/>
    </w:rPr>
  </w:style>
  <w:style w:type="character" w:customStyle="1" w:styleId="210">
    <w:name w:val="标题 5 字符"/>
    <w:link w:val="6"/>
    <w:qFormat/>
    <w:uiPriority w:val="99"/>
    <w:rPr>
      <w:rFonts w:ascii="Times New Roman" w:hAnsi="Times New Roman"/>
      <w:b/>
      <w:bCs/>
      <w:sz w:val="28"/>
      <w:szCs w:val="28"/>
    </w:rPr>
  </w:style>
  <w:style w:type="character" w:customStyle="1" w:styleId="211">
    <w:name w:val="正文缩进 字符"/>
    <w:link w:val="7"/>
    <w:qFormat/>
    <w:uiPriority w:val="99"/>
    <w:rPr>
      <w:sz w:val="21"/>
    </w:rPr>
  </w:style>
  <w:style w:type="character" w:customStyle="1" w:styleId="212">
    <w:name w:val="标题 6 字符"/>
    <w:link w:val="8"/>
    <w:qFormat/>
    <w:uiPriority w:val="9"/>
    <w:rPr>
      <w:rFonts w:ascii="Cambria" w:hAnsi="Cambria"/>
      <w:b/>
      <w:bCs/>
      <w:sz w:val="24"/>
      <w:szCs w:val="24"/>
    </w:rPr>
  </w:style>
  <w:style w:type="character" w:customStyle="1" w:styleId="213">
    <w:name w:val="标题 7 字符"/>
    <w:link w:val="9"/>
    <w:qFormat/>
    <w:uiPriority w:val="9"/>
    <w:rPr>
      <w:b/>
      <w:bCs/>
      <w:sz w:val="24"/>
      <w:szCs w:val="24"/>
    </w:rPr>
  </w:style>
  <w:style w:type="character" w:customStyle="1" w:styleId="214">
    <w:name w:val="标题 8 字符"/>
    <w:link w:val="10"/>
    <w:semiHidden/>
    <w:qFormat/>
    <w:uiPriority w:val="9"/>
    <w:rPr>
      <w:rFonts w:ascii="等线 Light" w:hAnsi="等线 Light" w:eastAsia="等线 Light" w:cs="Times New Roman"/>
      <w:sz w:val="24"/>
      <w:szCs w:val="24"/>
    </w:rPr>
  </w:style>
  <w:style w:type="character" w:customStyle="1" w:styleId="215">
    <w:name w:val="标题 9 字符"/>
    <w:link w:val="11"/>
    <w:qFormat/>
    <w:uiPriority w:val="9"/>
    <w:rPr>
      <w:rFonts w:ascii="Cambria" w:hAnsi="Cambria"/>
      <w:szCs w:val="21"/>
    </w:rPr>
  </w:style>
  <w:style w:type="character" w:customStyle="1" w:styleId="216">
    <w:name w:val="文档结构图 字符"/>
    <w:link w:val="15"/>
    <w:qFormat/>
    <w:uiPriority w:val="99"/>
    <w:rPr>
      <w:sz w:val="24"/>
      <w:szCs w:val="24"/>
      <w:shd w:val="clear" w:color="auto" w:fill="000080"/>
    </w:rPr>
  </w:style>
  <w:style w:type="character" w:customStyle="1" w:styleId="217">
    <w:name w:val="批注文字 字符2"/>
    <w:link w:val="16"/>
    <w:qFormat/>
    <w:uiPriority w:val="99"/>
    <w:rPr>
      <w:rFonts w:ascii="Times New Roman" w:hAnsi="Times New Roman"/>
      <w:sz w:val="21"/>
      <w:szCs w:val="24"/>
    </w:rPr>
  </w:style>
  <w:style w:type="character" w:customStyle="1" w:styleId="218">
    <w:name w:val="正文文本 3 字符"/>
    <w:link w:val="17"/>
    <w:semiHidden/>
    <w:qFormat/>
    <w:uiPriority w:val="99"/>
    <w:rPr>
      <w:sz w:val="16"/>
      <w:szCs w:val="16"/>
    </w:rPr>
  </w:style>
  <w:style w:type="character" w:customStyle="1" w:styleId="219">
    <w:name w:val="正文文本 字符1"/>
    <w:link w:val="18"/>
    <w:qFormat/>
    <w:uiPriority w:val="99"/>
    <w:rPr>
      <w:rFonts w:ascii="Times New Roman" w:hAnsi="Times New Roman"/>
      <w:sz w:val="21"/>
      <w:szCs w:val="24"/>
    </w:rPr>
  </w:style>
  <w:style w:type="character" w:customStyle="1" w:styleId="220">
    <w:name w:val="正文文本缩进 字符"/>
    <w:link w:val="19"/>
    <w:qFormat/>
    <w:uiPriority w:val="99"/>
    <w:rPr>
      <w:rFonts w:ascii="仿宋_GB2312" w:hAnsi="Times New Roman" w:eastAsia="仿宋_GB2312" w:cs="Times New Roman"/>
      <w:sz w:val="32"/>
      <w:szCs w:val="20"/>
    </w:rPr>
  </w:style>
  <w:style w:type="character" w:customStyle="1" w:styleId="221">
    <w:name w:val="纯文本 字符3"/>
    <w:link w:val="24"/>
    <w:qFormat/>
    <w:uiPriority w:val="99"/>
    <w:rPr>
      <w:rFonts w:ascii="宋体" w:hAnsi="Courier New" w:eastAsia="宋体" w:cs="Courier New"/>
      <w:szCs w:val="21"/>
    </w:rPr>
  </w:style>
  <w:style w:type="character" w:customStyle="1" w:styleId="222">
    <w:name w:val="日期 字符"/>
    <w:link w:val="26"/>
    <w:qFormat/>
    <w:uiPriority w:val="99"/>
    <w:rPr>
      <w:rFonts w:ascii="Times New Roman" w:hAnsi="Times New Roman"/>
      <w:sz w:val="21"/>
      <w:szCs w:val="24"/>
    </w:rPr>
  </w:style>
  <w:style w:type="character" w:customStyle="1" w:styleId="223">
    <w:name w:val="正文文本缩进 2 字符"/>
    <w:link w:val="27"/>
    <w:qFormat/>
    <w:uiPriority w:val="99"/>
    <w:rPr>
      <w:sz w:val="24"/>
      <w:szCs w:val="24"/>
    </w:rPr>
  </w:style>
  <w:style w:type="character" w:customStyle="1" w:styleId="224">
    <w:name w:val="批注框文本 字符"/>
    <w:link w:val="29"/>
    <w:qFormat/>
    <w:uiPriority w:val="99"/>
    <w:rPr>
      <w:sz w:val="18"/>
      <w:szCs w:val="18"/>
    </w:rPr>
  </w:style>
  <w:style w:type="character" w:customStyle="1" w:styleId="225">
    <w:name w:val="页脚 字符"/>
    <w:link w:val="30"/>
    <w:qFormat/>
    <w:uiPriority w:val="99"/>
    <w:rPr>
      <w:sz w:val="18"/>
      <w:szCs w:val="18"/>
    </w:rPr>
  </w:style>
  <w:style w:type="character" w:customStyle="1" w:styleId="226">
    <w:name w:val="页眉 字符"/>
    <w:link w:val="31"/>
    <w:qFormat/>
    <w:uiPriority w:val="99"/>
    <w:rPr>
      <w:sz w:val="18"/>
      <w:szCs w:val="18"/>
    </w:rPr>
  </w:style>
  <w:style w:type="character" w:customStyle="1" w:styleId="227">
    <w:name w:val="副标题 字符"/>
    <w:link w:val="34"/>
    <w:qFormat/>
    <w:uiPriority w:val="11"/>
    <w:rPr>
      <w:rFonts w:ascii="Cambria" w:hAnsi="Cambria"/>
      <w:b/>
      <w:bCs/>
      <w:sz w:val="32"/>
      <w:szCs w:val="32"/>
    </w:rPr>
  </w:style>
  <w:style w:type="character" w:customStyle="1" w:styleId="228">
    <w:name w:val="脚注文本 字符"/>
    <w:link w:val="35"/>
    <w:qFormat/>
    <w:uiPriority w:val="99"/>
    <w:rPr>
      <w:sz w:val="18"/>
      <w:szCs w:val="18"/>
    </w:rPr>
  </w:style>
  <w:style w:type="character" w:customStyle="1" w:styleId="229">
    <w:name w:val="HTML 预设格式 字符"/>
    <w:link w:val="41"/>
    <w:qFormat/>
    <w:uiPriority w:val="99"/>
    <w:rPr>
      <w:rFonts w:ascii="宋体" w:hAnsi="宋体"/>
      <w:sz w:val="24"/>
      <w:szCs w:val="24"/>
    </w:rPr>
  </w:style>
  <w:style w:type="character" w:customStyle="1" w:styleId="230">
    <w:name w:val="标题 字符"/>
    <w:link w:val="43"/>
    <w:qFormat/>
    <w:uiPriority w:val="99"/>
    <w:rPr>
      <w:rFonts w:ascii="Cambria" w:hAnsi="Cambria"/>
      <w:b/>
      <w:bCs/>
      <w:sz w:val="32"/>
      <w:szCs w:val="32"/>
    </w:rPr>
  </w:style>
  <w:style w:type="character" w:customStyle="1" w:styleId="231">
    <w:name w:val="批注主题 字符"/>
    <w:link w:val="44"/>
    <w:qFormat/>
    <w:uiPriority w:val="99"/>
    <w:rPr>
      <w:rFonts w:ascii="Times New Roman" w:hAnsi="Times New Roman"/>
      <w:b/>
      <w:bCs/>
      <w:sz w:val="21"/>
      <w:szCs w:val="24"/>
    </w:rPr>
  </w:style>
  <w:style w:type="character" w:customStyle="1" w:styleId="232">
    <w:name w:val="访问过的超链接1"/>
    <w:qFormat/>
    <w:uiPriority w:val="99"/>
    <w:rPr>
      <w:color w:val="800080"/>
      <w:u w:val="single"/>
    </w:rPr>
  </w:style>
  <w:style w:type="character" w:customStyle="1" w:styleId="233">
    <w:name w:val="书籍标题1"/>
    <w:qFormat/>
    <w:uiPriority w:val="99"/>
    <w:rPr>
      <w:b/>
      <w:bCs/>
      <w:smallCaps/>
      <w:spacing w:val="5"/>
    </w:rPr>
  </w:style>
  <w:style w:type="character" w:customStyle="1" w:styleId="234">
    <w:name w:val="Body text|5_"/>
    <w:link w:val="235"/>
    <w:qFormat/>
    <w:uiPriority w:val="0"/>
    <w:rPr>
      <w:rFonts w:ascii="宋体" w:hAnsi="宋体" w:cs="宋体"/>
      <w:sz w:val="52"/>
      <w:szCs w:val="52"/>
      <w:lang w:val="zh-CN" w:bidi="zh-CN"/>
    </w:rPr>
  </w:style>
  <w:style w:type="paragraph" w:customStyle="1" w:styleId="235">
    <w:name w:val="Body text|5"/>
    <w:basedOn w:val="1"/>
    <w:link w:val="234"/>
    <w:qFormat/>
    <w:uiPriority w:val="0"/>
    <w:pPr>
      <w:jc w:val="center"/>
    </w:pPr>
    <w:rPr>
      <w:rFonts w:ascii="宋体" w:hAnsi="宋体" w:cs="宋体"/>
      <w:sz w:val="52"/>
      <w:szCs w:val="52"/>
      <w:lang w:val="zh-CN" w:bidi="zh-CN"/>
    </w:rPr>
  </w:style>
  <w:style w:type="character" w:customStyle="1" w:styleId="236">
    <w:name w:val="Body text|1_"/>
    <w:link w:val="237"/>
    <w:qFormat/>
    <w:uiPriority w:val="0"/>
    <w:rPr>
      <w:rFonts w:ascii="宋体" w:hAnsi="宋体" w:cs="宋体"/>
      <w:sz w:val="21"/>
      <w:lang w:val="zh-CN" w:bidi="zh-CN"/>
    </w:rPr>
  </w:style>
  <w:style w:type="paragraph" w:customStyle="1" w:styleId="237">
    <w:name w:val="Body text|1"/>
    <w:basedOn w:val="1"/>
    <w:link w:val="236"/>
    <w:qFormat/>
    <w:uiPriority w:val="0"/>
    <w:pPr>
      <w:spacing w:line="360" w:lineRule="auto"/>
      <w:ind w:firstLine="400"/>
    </w:pPr>
    <w:rPr>
      <w:rFonts w:ascii="宋体" w:hAnsi="宋体" w:cs="宋体"/>
      <w:szCs w:val="20"/>
      <w:lang w:val="zh-CN" w:bidi="zh-CN"/>
    </w:rPr>
  </w:style>
  <w:style w:type="character" w:customStyle="1" w:styleId="238">
    <w:name w:val="Table caption|1_"/>
    <w:link w:val="239"/>
    <w:qFormat/>
    <w:uiPriority w:val="0"/>
    <w:rPr>
      <w:rFonts w:ascii="宋体" w:hAnsi="宋体" w:cs="宋体"/>
      <w:lang w:val="zh-CN" w:bidi="zh-CN"/>
    </w:rPr>
  </w:style>
  <w:style w:type="paragraph" w:customStyle="1" w:styleId="239">
    <w:name w:val="Table caption|1"/>
    <w:basedOn w:val="1"/>
    <w:link w:val="238"/>
    <w:qFormat/>
    <w:uiPriority w:val="0"/>
    <w:pPr>
      <w:jc w:val="left"/>
    </w:pPr>
    <w:rPr>
      <w:rFonts w:ascii="宋体" w:hAnsi="宋体" w:cs="宋体"/>
      <w:sz w:val="20"/>
      <w:szCs w:val="20"/>
      <w:lang w:val="zh-CN" w:bidi="zh-CN"/>
    </w:rPr>
  </w:style>
  <w:style w:type="character" w:customStyle="1" w:styleId="240">
    <w:name w:val="Heading #4|1_"/>
    <w:link w:val="241"/>
    <w:qFormat/>
    <w:uiPriority w:val="0"/>
    <w:rPr>
      <w:rFonts w:ascii="宋体" w:hAnsi="宋体" w:cs="宋体"/>
      <w:lang w:val="zh-CN" w:bidi="zh-CN"/>
    </w:rPr>
  </w:style>
  <w:style w:type="paragraph" w:customStyle="1" w:styleId="241">
    <w:name w:val="Heading #4|1"/>
    <w:basedOn w:val="1"/>
    <w:link w:val="240"/>
    <w:qFormat/>
    <w:uiPriority w:val="0"/>
    <w:pPr>
      <w:spacing w:after="120"/>
      <w:jc w:val="left"/>
      <w:outlineLvl w:val="3"/>
    </w:pPr>
    <w:rPr>
      <w:rFonts w:ascii="宋体" w:hAnsi="宋体" w:cs="宋体"/>
      <w:sz w:val="20"/>
      <w:szCs w:val="20"/>
      <w:lang w:val="zh-CN" w:bidi="zh-CN"/>
    </w:rPr>
  </w:style>
  <w:style w:type="character" w:customStyle="1" w:styleId="242">
    <w:name w:val="Body text|2_"/>
    <w:link w:val="243"/>
    <w:qFormat/>
    <w:uiPriority w:val="0"/>
    <w:rPr>
      <w:sz w:val="21"/>
    </w:rPr>
  </w:style>
  <w:style w:type="paragraph" w:customStyle="1" w:styleId="243">
    <w:name w:val="Body text|2"/>
    <w:basedOn w:val="1"/>
    <w:link w:val="242"/>
    <w:qFormat/>
    <w:uiPriority w:val="0"/>
    <w:pPr>
      <w:spacing w:after="30"/>
      <w:ind w:firstLine="420"/>
      <w:jc w:val="left"/>
    </w:pPr>
    <w:rPr>
      <w:szCs w:val="20"/>
    </w:rPr>
  </w:style>
  <w:style w:type="character" w:customStyle="1" w:styleId="244">
    <w:name w:val="Heading #1|1_"/>
    <w:link w:val="245"/>
    <w:qFormat/>
    <w:uiPriority w:val="0"/>
    <w:rPr>
      <w:rFonts w:ascii="宋体" w:hAnsi="宋体" w:cs="宋体"/>
      <w:sz w:val="38"/>
      <w:szCs w:val="38"/>
      <w:lang w:val="zh-CN" w:bidi="zh-CN"/>
    </w:rPr>
  </w:style>
  <w:style w:type="paragraph" w:customStyle="1" w:styleId="245">
    <w:name w:val="Heading #1|1"/>
    <w:basedOn w:val="1"/>
    <w:link w:val="244"/>
    <w:qFormat/>
    <w:uiPriority w:val="0"/>
    <w:pPr>
      <w:spacing w:after="440" w:line="564" w:lineRule="exact"/>
      <w:jc w:val="center"/>
      <w:outlineLvl w:val="0"/>
    </w:pPr>
    <w:rPr>
      <w:rFonts w:ascii="宋体" w:hAnsi="宋体" w:cs="宋体"/>
      <w:sz w:val="38"/>
      <w:szCs w:val="38"/>
      <w:lang w:val="zh-CN" w:bidi="zh-CN"/>
    </w:rPr>
  </w:style>
  <w:style w:type="character" w:customStyle="1" w:styleId="246">
    <w:name w:val="Header or footer|2_"/>
    <w:link w:val="247"/>
    <w:qFormat/>
    <w:uiPriority w:val="0"/>
    <w:rPr>
      <w:lang w:val="zh-CN" w:bidi="zh-CN"/>
    </w:rPr>
  </w:style>
  <w:style w:type="paragraph" w:customStyle="1" w:styleId="247">
    <w:name w:val="Header or footer|2"/>
    <w:basedOn w:val="1"/>
    <w:link w:val="246"/>
    <w:qFormat/>
    <w:uiPriority w:val="0"/>
    <w:pPr>
      <w:jc w:val="left"/>
    </w:pPr>
    <w:rPr>
      <w:sz w:val="20"/>
      <w:szCs w:val="20"/>
      <w:lang w:val="zh-CN" w:bidi="zh-CN"/>
    </w:rPr>
  </w:style>
  <w:style w:type="character" w:customStyle="1" w:styleId="248">
    <w:name w:val="Title Char"/>
    <w:qFormat/>
    <w:uiPriority w:val="99"/>
    <w:rPr>
      <w:rFonts w:ascii="Cambria" w:hAnsi="Cambria" w:cs="Cambria"/>
      <w:b/>
      <w:bCs/>
      <w:sz w:val="32"/>
      <w:szCs w:val="32"/>
    </w:rPr>
  </w:style>
  <w:style w:type="character" w:customStyle="1" w:styleId="249">
    <w:name w:val="Body text|3_"/>
    <w:link w:val="250"/>
    <w:qFormat/>
    <w:uiPriority w:val="0"/>
    <w:rPr>
      <w:rFonts w:ascii="宋体" w:hAnsi="宋体" w:cs="宋体"/>
      <w:lang w:val="zh-CN" w:bidi="zh-CN"/>
    </w:rPr>
  </w:style>
  <w:style w:type="paragraph" w:customStyle="1" w:styleId="250">
    <w:name w:val="Body text|3"/>
    <w:basedOn w:val="1"/>
    <w:link w:val="249"/>
    <w:qFormat/>
    <w:uiPriority w:val="0"/>
    <w:pPr>
      <w:spacing w:after="340"/>
      <w:jc w:val="left"/>
    </w:pPr>
    <w:rPr>
      <w:rFonts w:ascii="宋体" w:hAnsi="宋体" w:cs="宋体"/>
      <w:sz w:val="20"/>
      <w:szCs w:val="20"/>
      <w:lang w:val="zh-CN" w:bidi="zh-CN"/>
    </w:rPr>
  </w:style>
  <w:style w:type="character" w:customStyle="1" w:styleId="251">
    <w:name w:val="Table of contents|1_"/>
    <w:link w:val="252"/>
    <w:qFormat/>
    <w:uiPriority w:val="0"/>
    <w:rPr>
      <w:rFonts w:ascii="宋体" w:hAnsi="宋体" w:cs="宋体"/>
      <w:lang w:val="zh-CN" w:bidi="zh-CN"/>
    </w:rPr>
  </w:style>
  <w:style w:type="paragraph" w:customStyle="1" w:styleId="252">
    <w:name w:val="Table of contents|1"/>
    <w:basedOn w:val="1"/>
    <w:link w:val="251"/>
    <w:qFormat/>
    <w:uiPriority w:val="0"/>
    <w:pPr>
      <w:spacing w:after="100"/>
      <w:ind w:firstLine="600"/>
      <w:jc w:val="left"/>
    </w:pPr>
    <w:rPr>
      <w:rFonts w:ascii="宋体" w:hAnsi="宋体" w:cs="宋体"/>
      <w:sz w:val="20"/>
      <w:szCs w:val="20"/>
      <w:lang w:val="zh-CN" w:bidi="zh-CN"/>
    </w:rPr>
  </w:style>
  <w:style w:type="character" w:customStyle="1" w:styleId="253">
    <w:name w:val="Date Char"/>
    <w:qFormat/>
    <w:uiPriority w:val="99"/>
    <w:rPr>
      <w:rFonts w:eastAsia="宋体"/>
      <w:sz w:val="24"/>
      <w:szCs w:val="24"/>
      <w:lang w:val="en-US" w:eastAsia="zh-CN"/>
    </w:rPr>
  </w:style>
  <w:style w:type="character" w:customStyle="1" w:styleId="254">
    <w:name w:val="Char Char9"/>
    <w:qFormat/>
    <w:uiPriority w:val="99"/>
    <w:rPr>
      <w:rFonts w:eastAsia="宋体"/>
      <w:b/>
      <w:bCs/>
      <w:sz w:val="44"/>
      <w:szCs w:val="44"/>
      <w:lang w:val="en-US" w:eastAsia="zh-CN"/>
    </w:rPr>
  </w:style>
  <w:style w:type="character" w:customStyle="1" w:styleId="255">
    <w:name w:val="Document Map Char"/>
    <w:qFormat/>
    <w:uiPriority w:val="99"/>
    <w:rPr>
      <w:rFonts w:eastAsia="宋体"/>
      <w:sz w:val="24"/>
      <w:szCs w:val="24"/>
      <w:lang w:val="en-US" w:eastAsia="zh-CN"/>
    </w:rPr>
  </w:style>
  <w:style w:type="character" w:customStyle="1" w:styleId="256">
    <w:name w:val="Header Char"/>
    <w:qFormat/>
    <w:uiPriority w:val="99"/>
    <w:rPr>
      <w:rFonts w:eastAsia="宋体"/>
      <w:sz w:val="18"/>
      <w:szCs w:val="18"/>
      <w:lang w:val="en-US" w:eastAsia="zh-CN"/>
    </w:rPr>
  </w:style>
  <w:style w:type="character" w:customStyle="1" w:styleId="257">
    <w:name w:val="明显参考1"/>
    <w:qFormat/>
    <w:uiPriority w:val="99"/>
    <w:rPr>
      <w:b/>
      <w:bCs/>
      <w:smallCaps/>
      <w:color w:val="auto"/>
      <w:spacing w:val="5"/>
      <w:u w:val="single"/>
    </w:rPr>
  </w:style>
  <w:style w:type="character" w:customStyle="1" w:styleId="258">
    <w:name w:val="Heading 1 Char"/>
    <w:qFormat/>
    <w:uiPriority w:val="99"/>
    <w:rPr>
      <w:rFonts w:eastAsia="宋体"/>
      <w:b/>
      <w:bCs/>
      <w:sz w:val="44"/>
      <w:szCs w:val="44"/>
      <w:lang w:val="en-US" w:eastAsia="zh-CN"/>
    </w:rPr>
  </w:style>
  <w:style w:type="character" w:customStyle="1" w:styleId="259">
    <w:name w:val="Comment Text Char"/>
    <w:qFormat/>
    <w:uiPriority w:val="99"/>
    <w:rPr>
      <w:sz w:val="24"/>
      <w:szCs w:val="24"/>
    </w:rPr>
  </w:style>
  <w:style w:type="character" w:customStyle="1" w:styleId="260">
    <w:name w:val="Char Char23"/>
    <w:qFormat/>
    <w:uiPriority w:val="99"/>
    <w:rPr>
      <w:rFonts w:eastAsia="宋体"/>
      <w:b/>
      <w:bCs/>
      <w:sz w:val="44"/>
      <w:szCs w:val="44"/>
      <w:lang w:val="en-US" w:eastAsia="zh-CN"/>
    </w:rPr>
  </w:style>
  <w:style w:type="character" w:customStyle="1" w:styleId="261">
    <w:name w:val="Char Char181"/>
    <w:qFormat/>
    <w:uiPriority w:val="99"/>
    <w:rPr>
      <w:b/>
      <w:bCs/>
      <w:sz w:val="44"/>
      <w:szCs w:val="44"/>
    </w:rPr>
  </w:style>
  <w:style w:type="character" w:customStyle="1" w:styleId="262">
    <w:name w:val="Char Char22"/>
    <w:qFormat/>
    <w:uiPriority w:val="99"/>
    <w:rPr>
      <w:rFonts w:ascii="Times New Roman" w:hAnsi="Times New Roman" w:eastAsia="宋体" w:cs="Times New Roman"/>
      <w:b/>
      <w:bCs/>
      <w:sz w:val="44"/>
      <w:szCs w:val="44"/>
    </w:rPr>
  </w:style>
  <w:style w:type="character" w:customStyle="1" w:styleId="263">
    <w:name w:val="引用 Char1"/>
    <w:qFormat/>
    <w:uiPriority w:val="99"/>
    <w:rPr>
      <w:rFonts w:ascii="Times New Roman" w:hAnsi="Times New Roman" w:eastAsia="宋体" w:cs="Times New Roman"/>
      <w:i/>
      <w:iCs/>
      <w:color w:val="000000"/>
      <w:sz w:val="24"/>
      <w:szCs w:val="24"/>
    </w:rPr>
  </w:style>
  <w:style w:type="character" w:customStyle="1" w:styleId="264">
    <w:name w:val="Heading 3 Char1"/>
    <w:qFormat/>
    <w:uiPriority w:val="99"/>
    <w:rPr>
      <w:rFonts w:eastAsia="宋体"/>
      <w:b/>
      <w:bCs/>
      <w:sz w:val="32"/>
      <w:szCs w:val="32"/>
      <w:lang w:val="en-US" w:eastAsia="zh-CN"/>
    </w:rPr>
  </w:style>
  <w:style w:type="character" w:customStyle="1" w:styleId="265">
    <w:name w:val="明显强调1"/>
    <w:qFormat/>
    <w:uiPriority w:val="99"/>
    <w:rPr>
      <w:b/>
      <w:bCs/>
      <w:i/>
      <w:iCs/>
      <w:color w:val="4F81BD"/>
    </w:rPr>
  </w:style>
  <w:style w:type="character" w:customStyle="1" w:styleId="266">
    <w:name w:val="明显引用 Char1"/>
    <w:qFormat/>
    <w:uiPriority w:val="99"/>
    <w:rPr>
      <w:rFonts w:ascii="Times New Roman" w:hAnsi="Times New Roman" w:eastAsia="宋体" w:cs="Times New Roman"/>
      <w:b/>
      <w:bCs/>
      <w:i/>
      <w:iCs/>
      <w:color w:val="4F81BD"/>
      <w:sz w:val="24"/>
      <w:szCs w:val="24"/>
    </w:rPr>
  </w:style>
  <w:style w:type="character" w:customStyle="1" w:styleId="267">
    <w:name w:val="标题 Char2"/>
    <w:qFormat/>
    <w:uiPriority w:val="99"/>
    <w:rPr>
      <w:rFonts w:ascii="Cambria" w:hAnsi="Cambria" w:eastAsia="宋体" w:cs="Cambria"/>
      <w:b/>
      <w:bCs/>
      <w:sz w:val="32"/>
      <w:szCs w:val="32"/>
    </w:rPr>
  </w:style>
  <w:style w:type="character" w:customStyle="1" w:styleId="268">
    <w:name w:val="标题 Char1"/>
    <w:qFormat/>
    <w:uiPriority w:val="99"/>
    <w:rPr>
      <w:rFonts w:ascii="Cambria" w:hAnsi="Cambria" w:eastAsia="宋体" w:cs="Cambria"/>
      <w:b/>
      <w:bCs/>
      <w:sz w:val="32"/>
      <w:szCs w:val="32"/>
    </w:rPr>
  </w:style>
  <w:style w:type="character" w:customStyle="1" w:styleId="269">
    <w:name w:val="Heading 5 Char"/>
    <w:qFormat/>
    <w:uiPriority w:val="99"/>
    <w:rPr>
      <w:rFonts w:eastAsia="宋体"/>
      <w:b/>
      <w:bCs/>
      <w:sz w:val="28"/>
      <w:szCs w:val="28"/>
      <w:lang w:val="en-US" w:eastAsia="zh-CN"/>
    </w:rPr>
  </w:style>
  <w:style w:type="character" w:customStyle="1" w:styleId="270">
    <w:name w:val="标题 1 字符1"/>
    <w:qFormat/>
    <w:uiPriority w:val="0"/>
    <w:rPr>
      <w:b/>
      <w:bCs/>
      <w:sz w:val="44"/>
      <w:szCs w:val="44"/>
    </w:rPr>
  </w:style>
  <w:style w:type="character" w:customStyle="1" w:styleId="271">
    <w:name w:val="明显引用 Char"/>
    <w:link w:val="272"/>
    <w:qFormat/>
    <w:uiPriority w:val="99"/>
    <w:rPr>
      <w:b/>
      <w:bCs/>
      <w:i/>
      <w:iCs/>
      <w:color w:val="4F81BD"/>
    </w:rPr>
  </w:style>
  <w:style w:type="paragraph" w:customStyle="1" w:styleId="272">
    <w:name w:val="明显引用1"/>
    <w:basedOn w:val="1"/>
    <w:next w:val="1"/>
    <w:link w:val="271"/>
    <w:qFormat/>
    <w:uiPriority w:val="99"/>
    <w:pPr>
      <w:pBdr>
        <w:bottom w:val="single" w:color="4F81BD" w:sz="4" w:space="4"/>
      </w:pBdr>
      <w:spacing w:before="200" w:after="280"/>
      <w:ind w:left="936" w:right="936"/>
    </w:pPr>
    <w:rPr>
      <w:b/>
      <w:bCs/>
      <w:i/>
      <w:iCs/>
      <w:color w:val="4F81BD"/>
      <w:sz w:val="20"/>
      <w:szCs w:val="20"/>
    </w:rPr>
  </w:style>
  <w:style w:type="character" w:customStyle="1" w:styleId="273">
    <w:name w:val="textcontents"/>
    <w:qFormat/>
    <w:uiPriority w:val="99"/>
  </w:style>
  <w:style w:type="character" w:customStyle="1" w:styleId="274">
    <w:name w:val="Char Char19"/>
    <w:qFormat/>
    <w:uiPriority w:val="99"/>
    <w:rPr>
      <w:rFonts w:ascii="Arial" w:hAnsi="Arial" w:eastAsia="宋体" w:cs="Arial"/>
      <w:b/>
      <w:bCs/>
      <w:sz w:val="28"/>
      <w:szCs w:val="28"/>
    </w:rPr>
  </w:style>
  <w:style w:type="character" w:customStyle="1" w:styleId="275">
    <w:name w:val="批注文字 Char"/>
    <w:qFormat/>
    <w:uiPriority w:val="99"/>
    <w:rPr>
      <w:rFonts w:ascii="Times New Roman" w:hAnsi="Times New Roman"/>
      <w:sz w:val="21"/>
      <w:szCs w:val="24"/>
    </w:rPr>
  </w:style>
  <w:style w:type="character" w:customStyle="1" w:styleId="276">
    <w:name w:val="标题5 Char Char"/>
    <w:link w:val="277"/>
    <w:qFormat/>
    <w:uiPriority w:val="99"/>
    <w:rPr>
      <w:rFonts w:ascii="Arial" w:hAnsi="Arial" w:cs="Arial"/>
      <w:b/>
      <w:bCs/>
      <w:sz w:val="32"/>
      <w:szCs w:val="32"/>
    </w:rPr>
  </w:style>
  <w:style w:type="paragraph" w:customStyle="1" w:styleId="277">
    <w:name w:val="标题5"/>
    <w:basedOn w:val="4"/>
    <w:link w:val="276"/>
    <w:qFormat/>
    <w:uiPriority w:val="99"/>
    <w:pPr>
      <w:spacing w:line="413" w:lineRule="auto"/>
    </w:pPr>
    <w:rPr>
      <w:rFonts w:ascii="Arial" w:hAnsi="Arial"/>
    </w:rPr>
  </w:style>
  <w:style w:type="character" w:customStyle="1" w:styleId="278">
    <w:name w:val="纯文本 字符"/>
    <w:qFormat/>
    <w:uiPriority w:val="0"/>
    <w:rPr>
      <w:rFonts w:ascii="宋体" w:hAnsi="Courier New" w:eastAsia="宋体" w:cs="Courier New"/>
      <w:szCs w:val="21"/>
    </w:rPr>
  </w:style>
  <w:style w:type="character" w:customStyle="1" w:styleId="279">
    <w:name w:val="引用 Char"/>
    <w:link w:val="280"/>
    <w:qFormat/>
    <w:uiPriority w:val="99"/>
    <w:rPr>
      <w:i/>
      <w:iCs/>
      <w:color w:val="000000"/>
    </w:rPr>
  </w:style>
  <w:style w:type="paragraph" w:customStyle="1" w:styleId="280">
    <w:name w:val="引用1"/>
    <w:basedOn w:val="1"/>
    <w:next w:val="1"/>
    <w:link w:val="279"/>
    <w:qFormat/>
    <w:uiPriority w:val="99"/>
    <w:rPr>
      <w:i/>
      <w:iCs/>
      <w:color w:val="000000"/>
      <w:sz w:val="20"/>
      <w:szCs w:val="20"/>
    </w:rPr>
  </w:style>
  <w:style w:type="character" w:customStyle="1" w:styleId="281">
    <w:name w:val="纯文本 Char"/>
    <w:qFormat/>
    <w:uiPriority w:val="0"/>
    <w:rPr>
      <w:rFonts w:ascii="宋体" w:hAnsi="Courier New" w:eastAsia="宋体" w:cs="Courier New"/>
      <w:szCs w:val="21"/>
    </w:rPr>
  </w:style>
  <w:style w:type="character" w:customStyle="1" w:styleId="282">
    <w:name w:val="日期 Char1"/>
    <w:qFormat/>
    <w:uiPriority w:val="99"/>
    <w:rPr>
      <w:rFonts w:ascii="Times New Roman" w:hAnsi="Times New Roman" w:eastAsia="宋体" w:cs="Times New Roman"/>
      <w:sz w:val="24"/>
      <w:szCs w:val="24"/>
    </w:rPr>
  </w:style>
  <w:style w:type="character" w:customStyle="1" w:styleId="283">
    <w:name w:val="纯文本 字符2"/>
    <w:qFormat/>
    <w:uiPriority w:val="0"/>
    <w:rPr>
      <w:rFonts w:ascii="宋体" w:hAnsi="Courier New" w:eastAsia="宋体" w:cs="Courier New"/>
      <w:szCs w:val="21"/>
    </w:rPr>
  </w:style>
  <w:style w:type="character" w:customStyle="1" w:styleId="284">
    <w:name w:val="Char Char91"/>
    <w:qFormat/>
    <w:uiPriority w:val="99"/>
    <w:rPr>
      <w:rFonts w:eastAsia="宋体"/>
      <w:b/>
      <w:bCs/>
      <w:sz w:val="44"/>
      <w:szCs w:val="44"/>
      <w:lang w:val="en-US" w:eastAsia="zh-CN"/>
    </w:rPr>
  </w:style>
  <w:style w:type="character" w:customStyle="1" w:styleId="285">
    <w:name w:val="批注文字 字符1"/>
    <w:qFormat/>
    <w:uiPriority w:val="0"/>
    <w:rPr>
      <w:rFonts w:ascii="Times New Roman" w:hAnsi="Times New Roman"/>
      <w:sz w:val="21"/>
      <w:szCs w:val="24"/>
    </w:rPr>
  </w:style>
  <w:style w:type="character" w:customStyle="1" w:styleId="286">
    <w:name w:val="Char Char6"/>
    <w:qFormat/>
    <w:uiPriority w:val="99"/>
    <w:rPr>
      <w:rFonts w:eastAsia="宋体"/>
      <w:b/>
      <w:bCs/>
      <w:sz w:val="44"/>
      <w:szCs w:val="44"/>
      <w:lang w:val="en-US" w:eastAsia="zh-CN"/>
    </w:rPr>
  </w:style>
  <w:style w:type="character" w:customStyle="1" w:styleId="287">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88">
    <w:name w:val="Comment Text Char1"/>
    <w:qFormat/>
    <w:uiPriority w:val="99"/>
    <w:rPr>
      <w:sz w:val="24"/>
      <w:szCs w:val="24"/>
    </w:rPr>
  </w:style>
  <w:style w:type="character" w:customStyle="1" w:styleId="289">
    <w:name w:val="纯文本 字符1"/>
    <w:qFormat/>
    <w:uiPriority w:val="0"/>
    <w:rPr>
      <w:rFonts w:ascii="宋体" w:hAnsi="Courier New"/>
    </w:rPr>
  </w:style>
  <w:style w:type="character" w:customStyle="1" w:styleId="290">
    <w:name w:val="Footer Char"/>
    <w:qFormat/>
    <w:uiPriority w:val="99"/>
    <w:rPr>
      <w:rFonts w:eastAsia="宋体"/>
      <w:sz w:val="18"/>
      <w:szCs w:val="18"/>
      <w:lang w:val="en-US" w:eastAsia="zh-CN"/>
    </w:rPr>
  </w:style>
  <w:style w:type="character" w:customStyle="1" w:styleId="291">
    <w:name w:val="正文文本 Char"/>
    <w:qFormat/>
    <w:uiPriority w:val="99"/>
    <w:rPr>
      <w:rFonts w:ascii="Times New Roman" w:hAnsi="Times New Roman"/>
      <w:sz w:val="21"/>
      <w:szCs w:val="24"/>
    </w:rPr>
  </w:style>
  <w:style w:type="character" w:customStyle="1" w:styleId="292">
    <w:name w:val="Body Text Indent 2 Char"/>
    <w:qFormat/>
    <w:uiPriority w:val="99"/>
    <w:rPr>
      <w:rFonts w:eastAsia="宋体"/>
      <w:sz w:val="24"/>
      <w:szCs w:val="24"/>
      <w:lang w:val="en-US" w:eastAsia="zh-CN"/>
    </w:rPr>
  </w:style>
  <w:style w:type="character" w:customStyle="1" w:styleId="293">
    <w:name w:val="批注文字 字符"/>
    <w:qFormat/>
    <w:uiPriority w:val="0"/>
    <w:rPr>
      <w:rFonts w:ascii="Times New Roman" w:hAnsi="Times New Roman"/>
      <w:sz w:val="21"/>
      <w:szCs w:val="24"/>
    </w:rPr>
  </w:style>
  <w:style w:type="character" w:customStyle="1" w:styleId="294">
    <w:name w:val="标题 2 Char"/>
    <w:qFormat/>
    <w:uiPriority w:val="99"/>
    <w:rPr>
      <w:rFonts w:ascii="Cambria" w:hAnsi="Cambria" w:eastAsia="宋体" w:cs="Times New Roman"/>
      <w:b/>
      <w:bCs/>
      <w:sz w:val="32"/>
      <w:szCs w:val="32"/>
    </w:rPr>
  </w:style>
  <w:style w:type="character" w:customStyle="1" w:styleId="295">
    <w:name w:val="标题 8 Char"/>
    <w:qFormat/>
    <w:uiPriority w:val="9"/>
    <w:rPr>
      <w:rFonts w:ascii="Arial" w:hAnsi="Arial" w:eastAsia="黑体"/>
      <w:sz w:val="24"/>
      <w:szCs w:val="24"/>
    </w:rPr>
  </w:style>
  <w:style w:type="character" w:customStyle="1" w:styleId="296">
    <w:name w:val="apple-style-span"/>
    <w:qFormat/>
    <w:uiPriority w:val="0"/>
  </w:style>
  <w:style w:type="character" w:customStyle="1" w:styleId="297">
    <w:name w:val="正文文本 字符"/>
    <w:qFormat/>
    <w:uiPriority w:val="0"/>
    <w:rPr>
      <w:rFonts w:ascii="Times New Roman" w:hAnsi="Times New Roman"/>
      <w:sz w:val="21"/>
      <w:szCs w:val="24"/>
    </w:rPr>
  </w:style>
  <w:style w:type="character" w:customStyle="1" w:styleId="298">
    <w:name w:val="批注文字 Char2"/>
    <w:qFormat/>
    <w:uiPriority w:val="0"/>
    <w:rPr>
      <w:rFonts w:ascii="Times New Roman" w:hAnsi="Times New Roman"/>
      <w:sz w:val="21"/>
      <w:szCs w:val="24"/>
    </w:rPr>
  </w:style>
  <w:style w:type="character" w:customStyle="1" w:styleId="299">
    <w:name w:val="正文2 Char Char"/>
    <w:link w:val="300"/>
    <w:qFormat/>
    <w:uiPriority w:val="0"/>
    <w:rPr>
      <w:sz w:val="24"/>
    </w:rPr>
  </w:style>
  <w:style w:type="paragraph" w:customStyle="1" w:styleId="300">
    <w:name w:val="正文2"/>
    <w:basedOn w:val="1"/>
    <w:link w:val="299"/>
    <w:qFormat/>
    <w:uiPriority w:val="0"/>
    <w:pPr>
      <w:spacing w:before="156" w:line="360" w:lineRule="auto"/>
      <w:ind w:firstLine="510"/>
    </w:pPr>
    <w:rPr>
      <w:sz w:val="24"/>
      <w:szCs w:val="20"/>
    </w:rPr>
  </w:style>
  <w:style w:type="character" w:customStyle="1" w:styleId="301">
    <w:name w:val="不明显强调1"/>
    <w:qFormat/>
    <w:uiPriority w:val="99"/>
    <w:rPr>
      <w:i/>
      <w:iCs/>
      <w:color w:val="808080"/>
    </w:rPr>
  </w:style>
  <w:style w:type="character" w:customStyle="1" w:styleId="302">
    <w:name w:val="Body text|6_"/>
    <w:link w:val="303"/>
    <w:qFormat/>
    <w:uiPriority w:val="0"/>
    <w:rPr>
      <w:rFonts w:ascii="Arial" w:hAnsi="Arial" w:eastAsia="Arial" w:cs="Arial"/>
      <w:lang w:val="zh-CN"/>
    </w:rPr>
  </w:style>
  <w:style w:type="paragraph" w:customStyle="1" w:styleId="303">
    <w:name w:val="Body text|6"/>
    <w:basedOn w:val="1"/>
    <w:link w:val="302"/>
    <w:qFormat/>
    <w:uiPriority w:val="0"/>
    <w:pPr>
      <w:ind w:hanging="2220"/>
      <w:jc w:val="left"/>
    </w:pPr>
    <w:rPr>
      <w:rFonts w:ascii="Arial" w:hAnsi="Arial" w:eastAsia="Arial"/>
      <w:sz w:val="20"/>
      <w:szCs w:val="20"/>
      <w:lang w:val="zh-CN"/>
    </w:rPr>
  </w:style>
  <w:style w:type="character" w:customStyle="1" w:styleId="304">
    <w:name w:val="批注文字 Char Char"/>
    <w:qFormat/>
    <w:uiPriority w:val="99"/>
    <w:rPr>
      <w:rFonts w:ascii="宋体" w:hAnsi="Times New Roman" w:eastAsia="宋体" w:cs="宋体"/>
      <w:sz w:val="20"/>
      <w:szCs w:val="20"/>
    </w:rPr>
  </w:style>
  <w:style w:type="character" w:customStyle="1" w:styleId="305">
    <w:name w:val="Heading 3 Char"/>
    <w:qFormat/>
    <w:uiPriority w:val="99"/>
    <w:rPr>
      <w:b/>
      <w:bCs/>
      <w:sz w:val="32"/>
      <w:szCs w:val="32"/>
    </w:rPr>
  </w:style>
  <w:style w:type="character" w:customStyle="1" w:styleId="306">
    <w:name w:val="Heading 2 Char"/>
    <w:qFormat/>
    <w:uiPriority w:val="99"/>
    <w:rPr>
      <w:rFonts w:ascii="Arial" w:hAnsi="Arial" w:eastAsia="黑体" w:cs="Arial"/>
      <w:b/>
      <w:bCs/>
      <w:sz w:val="32"/>
      <w:szCs w:val="32"/>
      <w:lang w:val="en-US" w:eastAsia="zh-CN"/>
    </w:rPr>
  </w:style>
  <w:style w:type="character" w:customStyle="1" w:styleId="307">
    <w:name w:val="Balloon Text Char"/>
    <w:qFormat/>
    <w:uiPriority w:val="99"/>
    <w:rPr>
      <w:sz w:val="18"/>
      <w:szCs w:val="18"/>
    </w:rPr>
  </w:style>
  <w:style w:type="character" w:customStyle="1" w:styleId="308">
    <w:name w:val="文档结构图 Char1"/>
    <w:qFormat/>
    <w:uiPriority w:val="99"/>
    <w:rPr>
      <w:rFonts w:ascii="宋体" w:hAnsi="Times New Roman" w:eastAsia="宋体" w:cs="宋体"/>
      <w:sz w:val="18"/>
      <w:szCs w:val="18"/>
    </w:rPr>
  </w:style>
  <w:style w:type="character" w:customStyle="1" w:styleId="309">
    <w:name w:val="Footnote Text Char"/>
    <w:qFormat/>
    <w:uiPriority w:val="99"/>
    <w:rPr>
      <w:rFonts w:eastAsia="宋体"/>
      <w:sz w:val="18"/>
      <w:szCs w:val="18"/>
      <w:lang w:val="en-US" w:eastAsia="zh-CN"/>
    </w:rPr>
  </w:style>
  <w:style w:type="character" w:customStyle="1" w:styleId="310">
    <w:name w:val="Char Char21"/>
    <w:qFormat/>
    <w:uiPriority w:val="99"/>
    <w:rPr>
      <w:rFonts w:ascii="Arial" w:hAnsi="Arial" w:eastAsia="黑体" w:cs="Arial"/>
      <w:b/>
      <w:bCs/>
      <w:sz w:val="32"/>
      <w:szCs w:val="32"/>
    </w:rPr>
  </w:style>
  <w:style w:type="character" w:customStyle="1" w:styleId="311">
    <w:name w:val="Other|1_"/>
    <w:link w:val="312"/>
    <w:qFormat/>
    <w:uiPriority w:val="0"/>
    <w:rPr>
      <w:rFonts w:ascii="宋体" w:hAnsi="宋体" w:cs="宋体"/>
      <w:lang w:val="zh-CN" w:bidi="zh-CN"/>
    </w:rPr>
  </w:style>
  <w:style w:type="paragraph" w:customStyle="1" w:styleId="312">
    <w:name w:val="Other|1"/>
    <w:basedOn w:val="1"/>
    <w:link w:val="311"/>
    <w:qFormat/>
    <w:uiPriority w:val="0"/>
    <w:pPr>
      <w:spacing w:line="360" w:lineRule="auto"/>
      <w:ind w:firstLine="400"/>
      <w:jc w:val="left"/>
    </w:pPr>
    <w:rPr>
      <w:rFonts w:ascii="宋体" w:hAnsi="宋体" w:cs="宋体"/>
      <w:sz w:val="20"/>
      <w:szCs w:val="20"/>
      <w:lang w:val="zh-CN" w:bidi="zh-CN"/>
    </w:rPr>
  </w:style>
  <w:style w:type="character" w:customStyle="1" w:styleId="313">
    <w:name w:val="Body Text Indent Char"/>
    <w:qFormat/>
    <w:uiPriority w:val="99"/>
    <w:rPr>
      <w:rFonts w:ascii="宋体" w:hAnsi="宋体" w:eastAsia="宋体" w:cs="宋体"/>
      <w:sz w:val="21"/>
      <w:szCs w:val="21"/>
      <w:lang w:val="en-US" w:eastAsia="zh-CN"/>
    </w:rPr>
  </w:style>
  <w:style w:type="character" w:customStyle="1" w:styleId="314">
    <w:name w:val="不明显参考1"/>
    <w:qFormat/>
    <w:uiPriority w:val="99"/>
    <w:rPr>
      <w:smallCaps/>
      <w:color w:val="auto"/>
      <w:u w:val="single"/>
    </w:rPr>
  </w:style>
  <w:style w:type="character" w:customStyle="1" w:styleId="315">
    <w:name w:val="Heading 4 Char"/>
    <w:qFormat/>
    <w:uiPriority w:val="99"/>
    <w:rPr>
      <w:rFonts w:ascii="Arial" w:hAnsi="Arial" w:eastAsia="宋体" w:cs="Arial"/>
      <w:b/>
      <w:bCs/>
      <w:sz w:val="28"/>
      <w:szCs w:val="28"/>
      <w:lang w:val="en-US" w:eastAsia="zh-CN"/>
    </w:rPr>
  </w:style>
  <w:style w:type="character" w:customStyle="1" w:styleId="316">
    <w:name w:val="Body text|7_"/>
    <w:link w:val="317"/>
    <w:qFormat/>
    <w:uiPriority w:val="0"/>
    <w:rPr>
      <w:rFonts w:ascii="Courier New" w:hAnsi="Courier New" w:eastAsia="Courier New" w:cs="Courier New"/>
      <w:b/>
      <w:bCs/>
      <w:sz w:val="8"/>
      <w:szCs w:val="8"/>
      <w:lang w:val="zh-CN"/>
    </w:rPr>
  </w:style>
  <w:style w:type="paragraph" w:customStyle="1" w:styleId="317">
    <w:name w:val="Body text|7"/>
    <w:basedOn w:val="1"/>
    <w:link w:val="316"/>
    <w:qFormat/>
    <w:uiPriority w:val="0"/>
    <w:pPr>
      <w:ind w:hanging="1760"/>
      <w:jc w:val="left"/>
    </w:pPr>
    <w:rPr>
      <w:rFonts w:ascii="Courier New" w:hAnsi="Courier New" w:eastAsia="Courier New"/>
      <w:b/>
      <w:bCs/>
      <w:sz w:val="8"/>
      <w:szCs w:val="8"/>
      <w:lang w:val="zh-CN"/>
    </w:rPr>
  </w:style>
  <w:style w:type="character" w:customStyle="1" w:styleId="318">
    <w:name w:val="Char Char20"/>
    <w:qFormat/>
    <w:uiPriority w:val="99"/>
    <w:rPr>
      <w:rFonts w:ascii="Times New Roman" w:hAnsi="Times New Roman" w:eastAsia="宋体" w:cs="Times New Roman"/>
      <w:b/>
      <w:bCs/>
      <w:sz w:val="32"/>
      <w:szCs w:val="32"/>
    </w:rPr>
  </w:style>
  <w:style w:type="character" w:customStyle="1" w:styleId="319">
    <w:name w:val="Body text|4_"/>
    <w:link w:val="320"/>
    <w:qFormat/>
    <w:uiPriority w:val="0"/>
    <w:rPr>
      <w:rFonts w:ascii="宋体" w:hAnsi="宋体" w:cs="宋体"/>
      <w:b/>
      <w:bCs/>
      <w:sz w:val="17"/>
      <w:szCs w:val="17"/>
      <w:lang w:val="zh-CN" w:bidi="zh-CN"/>
    </w:rPr>
  </w:style>
  <w:style w:type="paragraph" w:customStyle="1" w:styleId="320">
    <w:name w:val="Body text|4"/>
    <w:basedOn w:val="1"/>
    <w:link w:val="319"/>
    <w:qFormat/>
    <w:uiPriority w:val="0"/>
    <w:pPr>
      <w:spacing w:line="281" w:lineRule="exact"/>
      <w:jc w:val="center"/>
    </w:pPr>
    <w:rPr>
      <w:rFonts w:ascii="宋体" w:hAnsi="宋体" w:cs="宋体"/>
      <w:b/>
      <w:bCs/>
      <w:sz w:val="17"/>
      <w:szCs w:val="17"/>
      <w:lang w:val="zh-CN" w:bidi="zh-CN"/>
    </w:rPr>
  </w:style>
  <w:style w:type="character" w:customStyle="1" w:styleId="321">
    <w:name w:val="Comment Subject Char"/>
    <w:qFormat/>
    <w:uiPriority w:val="99"/>
    <w:rPr>
      <w:b/>
      <w:bCs/>
      <w:sz w:val="24"/>
      <w:szCs w:val="24"/>
    </w:rPr>
  </w:style>
  <w:style w:type="character" w:customStyle="1" w:styleId="322">
    <w:name w:val="Heading #2|1_"/>
    <w:link w:val="323"/>
    <w:qFormat/>
    <w:uiPriority w:val="0"/>
    <w:rPr>
      <w:rFonts w:ascii="宋体" w:hAnsi="宋体" w:cs="宋体"/>
      <w:sz w:val="34"/>
      <w:szCs w:val="34"/>
      <w:lang w:val="zh-CN" w:bidi="zh-CN"/>
    </w:rPr>
  </w:style>
  <w:style w:type="paragraph" w:customStyle="1" w:styleId="323">
    <w:name w:val="Heading #2|1"/>
    <w:basedOn w:val="1"/>
    <w:link w:val="322"/>
    <w:qFormat/>
    <w:uiPriority w:val="0"/>
    <w:pPr>
      <w:spacing w:after="900"/>
      <w:jc w:val="center"/>
      <w:outlineLvl w:val="1"/>
    </w:pPr>
    <w:rPr>
      <w:rFonts w:ascii="宋体" w:hAnsi="宋体" w:cs="宋体"/>
      <w:sz w:val="34"/>
      <w:szCs w:val="34"/>
      <w:lang w:val="zh-CN" w:bidi="zh-CN"/>
    </w:rPr>
  </w:style>
  <w:style w:type="character" w:customStyle="1" w:styleId="324">
    <w:name w:val="批注框文本 Char1"/>
    <w:qFormat/>
    <w:uiPriority w:val="99"/>
    <w:rPr>
      <w:rFonts w:ascii="Times New Roman" w:hAnsi="Times New Roman" w:eastAsia="宋体" w:cs="Times New Roman"/>
      <w:sz w:val="18"/>
      <w:szCs w:val="18"/>
    </w:rPr>
  </w:style>
  <w:style w:type="character" w:customStyle="1" w:styleId="325">
    <w:name w:val="Char Char18"/>
    <w:qFormat/>
    <w:uiPriority w:val="99"/>
    <w:rPr>
      <w:rFonts w:ascii="Times New Roman" w:hAnsi="Times New Roman" w:eastAsia="宋体" w:cs="Times New Roman"/>
      <w:b/>
      <w:bCs/>
      <w:sz w:val="28"/>
      <w:szCs w:val="28"/>
    </w:rPr>
  </w:style>
  <w:style w:type="character" w:customStyle="1" w:styleId="326">
    <w:name w:val="批注主题 Char1"/>
    <w:qFormat/>
    <w:uiPriority w:val="99"/>
    <w:rPr>
      <w:rFonts w:ascii="Times New Roman" w:hAnsi="Times New Roman" w:eastAsia="宋体" w:cs="Times New Roman"/>
      <w:b/>
      <w:bCs/>
      <w:sz w:val="24"/>
      <w:szCs w:val="24"/>
    </w:rPr>
  </w:style>
  <w:style w:type="character" w:customStyle="1" w:styleId="327">
    <w:name w:val="Char Char24"/>
    <w:qFormat/>
    <w:uiPriority w:val="99"/>
    <w:rPr>
      <w:rFonts w:eastAsia="宋体"/>
      <w:b/>
      <w:bCs/>
      <w:sz w:val="44"/>
      <w:szCs w:val="44"/>
      <w:lang w:val="en-US" w:eastAsia="zh-CN"/>
    </w:rPr>
  </w:style>
  <w:style w:type="character" w:customStyle="1" w:styleId="328">
    <w:name w:val="标题4 Char Char"/>
    <w:link w:val="329"/>
    <w:qFormat/>
    <w:uiPriority w:val="99"/>
    <w:rPr>
      <w:rFonts w:ascii="Arial" w:hAnsi="Arial" w:cs="Arial"/>
      <w:b/>
      <w:bCs/>
      <w:sz w:val="32"/>
      <w:szCs w:val="32"/>
    </w:rPr>
  </w:style>
  <w:style w:type="paragraph" w:customStyle="1" w:styleId="329">
    <w:name w:val="标题4"/>
    <w:basedOn w:val="3"/>
    <w:next w:val="21"/>
    <w:link w:val="328"/>
    <w:qFormat/>
    <w:uiPriority w:val="99"/>
    <w:pPr>
      <w:spacing w:before="60" w:after="60" w:line="413" w:lineRule="auto"/>
    </w:pPr>
    <w:rPr>
      <w:rFonts w:ascii="Arial" w:hAnsi="Arial"/>
    </w:rPr>
  </w:style>
  <w:style w:type="character" w:customStyle="1" w:styleId="330">
    <w:name w:val="Plain Text Char"/>
    <w:qFormat/>
    <w:uiPriority w:val="99"/>
    <w:rPr>
      <w:rFonts w:ascii="宋体" w:hAnsi="Courier New" w:eastAsia="宋体" w:cs="宋体"/>
      <w:sz w:val="24"/>
      <w:szCs w:val="24"/>
    </w:rPr>
  </w:style>
  <w:style w:type="character" w:customStyle="1" w:styleId="331">
    <w:name w:val="Header or footer|1_"/>
    <w:link w:val="332"/>
    <w:qFormat/>
    <w:uiPriority w:val="0"/>
    <w:rPr>
      <w:sz w:val="17"/>
      <w:szCs w:val="17"/>
      <w:lang w:val="zh-CN" w:bidi="zh-CN"/>
    </w:rPr>
  </w:style>
  <w:style w:type="paragraph" w:customStyle="1" w:styleId="332">
    <w:name w:val="Header or footer|1"/>
    <w:basedOn w:val="1"/>
    <w:link w:val="331"/>
    <w:qFormat/>
    <w:uiPriority w:val="0"/>
    <w:pPr>
      <w:jc w:val="center"/>
    </w:pPr>
    <w:rPr>
      <w:sz w:val="17"/>
      <w:szCs w:val="17"/>
      <w:lang w:val="zh-CN" w:bidi="zh-CN"/>
    </w:rPr>
  </w:style>
  <w:style w:type="character" w:customStyle="1" w:styleId="333">
    <w:name w:val="Heading #3|1_"/>
    <w:link w:val="334"/>
    <w:qFormat/>
    <w:uiPriority w:val="0"/>
    <w:rPr>
      <w:rFonts w:ascii="宋体" w:hAnsi="宋体" w:cs="宋体"/>
      <w:sz w:val="28"/>
      <w:szCs w:val="28"/>
      <w:lang w:val="zh-CN" w:bidi="zh-CN"/>
    </w:rPr>
  </w:style>
  <w:style w:type="paragraph" w:customStyle="1" w:styleId="334">
    <w:name w:val="Heading #3|1"/>
    <w:basedOn w:val="1"/>
    <w:link w:val="333"/>
    <w:qFormat/>
    <w:uiPriority w:val="0"/>
    <w:pPr>
      <w:spacing w:after="570"/>
      <w:jc w:val="center"/>
      <w:outlineLvl w:val="2"/>
    </w:pPr>
    <w:rPr>
      <w:rFonts w:ascii="宋体" w:hAnsi="宋体" w:cs="宋体"/>
      <w:sz w:val="28"/>
      <w:szCs w:val="28"/>
      <w:lang w:val="zh-CN" w:bidi="zh-CN"/>
    </w:rPr>
  </w:style>
  <w:style w:type="character" w:styleId="335">
    <w:name w:val="Placeholder Text"/>
    <w:unhideWhenUsed/>
    <w:qFormat/>
    <w:uiPriority w:val="99"/>
    <w:rPr>
      <w:color w:val="808080"/>
    </w:rPr>
  </w:style>
  <w:style w:type="paragraph" w:customStyle="1" w:styleId="336">
    <w:name w:val="flNote"/>
    <w:basedOn w:val="1"/>
    <w:qFormat/>
    <w:uiPriority w:val="99"/>
    <w:pPr>
      <w:spacing w:before="320" w:after="160" w:line="360" w:lineRule="atLeast"/>
      <w:jc w:val="center"/>
    </w:pPr>
    <w:rPr>
      <w:rFonts w:ascii="Arial" w:eastAsia="黑体" w:cs="Arial"/>
      <w:sz w:val="30"/>
      <w:szCs w:val="30"/>
    </w:rPr>
  </w:style>
  <w:style w:type="paragraph" w:styleId="337">
    <w:name w:val="List Paragraph"/>
    <w:basedOn w:val="1"/>
    <w:qFormat/>
    <w:uiPriority w:val="34"/>
    <w:pPr>
      <w:ind w:firstLine="420"/>
    </w:pPr>
  </w:style>
  <w:style w:type="paragraph" w:customStyle="1" w:styleId="338">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b w:val="0"/>
      <w:bCs w:val="0"/>
      <w:sz w:val="28"/>
      <w:szCs w:val="28"/>
      <w:lang w:val="zh-CN"/>
    </w:rPr>
  </w:style>
  <w:style w:type="paragraph" w:customStyle="1" w:styleId="339">
    <w:name w:val="无间隔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40">
    <w:name w:val="Char Char Char Char Char Char Char"/>
    <w:basedOn w:val="1"/>
    <w:qFormat/>
    <w:uiPriority w:val="99"/>
    <w:pPr>
      <w:widowControl/>
      <w:spacing w:after="160" w:line="240" w:lineRule="exact"/>
      <w:jc w:val="left"/>
    </w:pPr>
    <w:rPr>
      <w:szCs w:val="21"/>
    </w:rPr>
  </w:style>
  <w:style w:type="paragraph" w:customStyle="1" w:styleId="341">
    <w:name w:val="Char"/>
    <w:basedOn w:val="1"/>
    <w:qFormat/>
    <w:uiPriority w:val="99"/>
    <w:pPr>
      <w:widowControl/>
      <w:spacing w:after="160" w:line="240" w:lineRule="exact"/>
      <w:jc w:val="left"/>
    </w:pPr>
    <w:rPr>
      <w:szCs w:val="21"/>
    </w:rPr>
  </w:style>
  <w:style w:type="paragraph" w:customStyle="1" w:styleId="342">
    <w:name w:val="默认段落字体 Para Char Char Char Char Char Char Char Char Char1 Char Char Char Char"/>
    <w:basedOn w:val="1"/>
    <w:qFormat/>
    <w:uiPriority w:val="0"/>
    <w:rPr>
      <w:rFonts w:ascii="Tahoma" w:hAnsi="Tahoma"/>
      <w:sz w:val="24"/>
      <w:szCs w:val="20"/>
    </w:rPr>
  </w:style>
  <w:style w:type="paragraph" w:customStyle="1" w:styleId="343">
    <w:name w:val="Table Paragraph"/>
    <w:basedOn w:val="1"/>
    <w:qFormat/>
    <w:uiPriority w:val="1"/>
    <w:pPr>
      <w:jc w:val="left"/>
    </w:pPr>
    <w:rPr>
      <w:rFonts w:ascii="Calibri" w:hAnsi="Calibri"/>
      <w:sz w:val="22"/>
      <w:szCs w:val="22"/>
      <w:lang w:eastAsia="en-US"/>
    </w:rPr>
  </w:style>
  <w:style w:type="paragraph" w:customStyle="1" w:styleId="34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45">
    <w:name w:val="样式1"/>
    <w:basedOn w:val="1"/>
    <w:next w:val="5"/>
    <w:qFormat/>
    <w:uiPriority w:val="99"/>
    <w:pPr>
      <w:spacing w:line="360" w:lineRule="auto"/>
      <w:ind w:firstLine="420"/>
    </w:pPr>
    <w:rPr>
      <w:rFonts w:ascii="宋体" w:hAnsi="宋体" w:cs="宋体"/>
      <w:szCs w:val="21"/>
    </w:rPr>
  </w:style>
  <w:style w:type="paragraph" w:customStyle="1" w:styleId="346">
    <w:name w:val="列出段落1"/>
    <w:basedOn w:val="1"/>
    <w:qFormat/>
    <w:uiPriority w:val="99"/>
    <w:pPr>
      <w:ind w:firstLine="420"/>
    </w:pPr>
    <w:rPr>
      <w:rFonts w:ascii="Calibri" w:hAnsi="Calibri" w:cs="Calibri"/>
      <w:szCs w:val="21"/>
    </w:rPr>
  </w:style>
  <w:style w:type="paragraph" w:customStyle="1" w:styleId="347">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348">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49">
    <w:name w:val="TOC 标题1"/>
    <w:basedOn w:val="2"/>
    <w:next w:val="1"/>
    <w:qFormat/>
    <w:uiPriority w:val="99"/>
    <w:pPr>
      <w:spacing w:line="576" w:lineRule="auto"/>
      <w:outlineLvl w:val="9"/>
    </w:pPr>
    <w:rPr>
      <w:rFonts w:ascii="Calibri" w:hAnsi="Calibri" w:eastAsia="黑体" w:cs="Calibri"/>
      <w:lang w:val="zh-CN"/>
    </w:rPr>
  </w:style>
  <w:style w:type="paragraph" w:customStyle="1" w:styleId="350">
    <w:name w:val="空半行"/>
    <w:basedOn w:val="1"/>
    <w:qFormat/>
    <w:uiPriority w:val="99"/>
    <w:pPr>
      <w:spacing w:line="120" w:lineRule="exact"/>
    </w:pPr>
    <w:rPr>
      <w:rFonts w:eastAsia="仿宋_GB2312"/>
      <w:color w:val="FFFFFF"/>
      <w:sz w:val="30"/>
      <w:szCs w:val="30"/>
    </w:rPr>
  </w:style>
  <w:style w:type="paragraph" w:customStyle="1" w:styleId="351">
    <w:name w:val="p0"/>
    <w:basedOn w:val="1"/>
    <w:qFormat/>
    <w:uiPriority w:val="99"/>
    <w:pPr>
      <w:widowControl/>
    </w:pPr>
    <w:rPr>
      <w:rFonts w:ascii="Calibri" w:hAnsi="Calibri" w:cs="Calibri"/>
      <w:szCs w:val="21"/>
    </w:rPr>
  </w:style>
  <w:style w:type="paragraph" w:customStyle="1" w:styleId="352">
    <w:name w:val="1"/>
    <w:basedOn w:val="1"/>
    <w:next w:val="1"/>
    <w:qFormat/>
    <w:uiPriority w:val="99"/>
    <w:rPr>
      <w:szCs w:val="21"/>
    </w:rPr>
  </w:style>
  <w:style w:type="paragraph" w:customStyle="1" w:styleId="353">
    <w:name w:val="列出段落2"/>
    <w:basedOn w:val="1"/>
    <w:qFormat/>
    <w:uiPriority w:val="99"/>
    <w:pPr>
      <w:ind w:firstLine="420"/>
    </w:pPr>
    <w:rPr>
      <w:rFonts w:ascii="Calibri" w:hAnsi="Calibri" w:cs="Calibri"/>
      <w:szCs w:val="21"/>
    </w:rPr>
  </w:style>
  <w:style w:type="paragraph" w:customStyle="1" w:styleId="354">
    <w:name w:val="修订1"/>
    <w:qFormat/>
    <w:uiPriority w:val="99"/>
    <w:rPr>
      <w:rFonts w:hint="default" w:ascii="Times New Roman" w:hAnsi="Times New Roman" w:eastAsia="宋体" w:cs="Times New Roman"/>
      <w:sz w:val="21"/>
      <w:szCs w:val="21"/>
      <w:lang w:val="en-US" w:eastAsia="zh-CN" w:bidi="ar-SA"/>
    </w:rPr>
  </w:style>
  <w:style w:type="paragraph" w:customStyle="1" w:styleId="355">
    <w:name w:val="无间隔1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56">
    <w:name w:val="修订11"/>
    <w:qFormat/>
    <w:uiPriority w:val="99"/>
    <w:rPr>
      <w:rFonts w:hint="default" w:ascii="Times New Roman" w:hAnsi="Times New Roman" w:eastAsia="宋体" w:cs="Times New Roman"/>
      <w:sz w:val="21"/>
      <w:szCs w:val="21"/>
      <w:lang w:val="en-US" w:eastAsia="zh-CN" w:bidi="ar-SA"/>
    </w:rPr>
  </w:style>
  <w:style w:type="paragraph" w:customStyle="1" w:styleId="357">
    <w:name w:val="2-2ji"/>
    <w:basedOn w:val="3"/>
    <w:qFormat/>
    <w:uiPriority w:val="99"/>
    <w:pPr>
      <w:spacing w:before="0" w:after="0" w:line="360" w:lineRule="auto"/>
      <w:jc w:val="center"/>
    </w:pPr>
    <w:rPr>
      <w:rFonts w:ascii="宋体" w:hAnsi="宋体" w:cs="宋体"/>
      <w:sz w:val="36"/>
      <w:szCs w:val="36"/>
      <w:lang w:val="zh-CN"/>
    </w:rPr>
  </w:style>
  <w:style w:type="paragraph" w:customStyle="1" w:styleId="358">
    <w:name w:val="reader-word-layer"/>
    <w:basedOn w:val="1"/>
    <w:qFormat/>
    <w:uiPriority w:val="99"/>
    <w:pPr>
      <w:widowControl/>
      <w:spacing w:before="100" w:beforeAutospacing="1" w:after="100" w:afterAutospacing="1"/>
      <w:jc w:val="left"/>
    </w:pPr>
    <w:rPr>
      <w:rFonts w:ascii="宋体" w:hAnsi="宋体" w:cs="宋体"/>
      <w:sz w:val="24"/>
    </w:rPr>
  </w:style>
  <w:style w:type="paragraph" w:customStyle="1" w:styleId="359">
    <w:name w:val="Char Char Char Char"/>
    <w:basedOn w:val="1"/>
    <w:qFormat/>
    <w:uiPriority w:val="99"/>
    <w:pPr>
      <w:widowControl/>
      <w:spacing w:line="500" w:lineRule="exact"/>
      <w:outlineLvl w:val="2"/>
    </w:pPr>
    <w:rPr>
      <w:rFonts w:ascii="黑体" w:hAnsi="Verdana" w:eastAsia="黑体" w:cs="黑体"/>
      <w:sz w:val="28"/>
      <w:szCs w:val="28"/>
      <w:lang w:eastAsia="en-US"/>
    </w:rPr>
  </w:style>
  <w:style w:type="paragraph" w:customStyle="1" w:styleId="360">
    <w:name w:val="Char1"/>
    <w:basedOn w:val="1"/>
    <w:qFormat/>
    <w:uiPriority w:val="99"/>
    <w:pPr>
      <w:widowControl/>
      <w:spacing w:after="160" w:line="240" w:lineRule="exact"/>
      <w:jc w:val="left"/>
    </w:pPr>
    <w:rPr>
      <w:szCs w:val="21"/>
    </w:rPr>
  </w:style>
  <w:style w:type="paragraph" w:customStyle="1" w:styleId="361">
    <w:name w:val="_Style 37"/>
    <w:basedOn w:val="1"/>
    <w:next w:val="1"/>
    <w:qFormat/>
    <w:uiPriority w:val="99"/>
    <w:rPr>
      <w:szCs w:val="21"/>
    </w:rPr>
  </w:style>
  <w:style w:type="paragraph" w:customStyle="1" w:styleId="362">
    <w:name w:val="样式 标题 3 + (中文) 黑体 小四 非加粗 段前: 7.8 磅 段后: 0 磅 行距: 固定值 20 磅"/>
    <w:basedOn w:val="4"/>
    <w:qFormat/>
    <w:uiPriority w:val="99"/>
    <w:pPr>
      <w:spacing w:before="0" w:after="0" w:line="400" w:lineRule="exact"/>
    </w:pPr>
    <w:rPr>
      <w:rFonts w:eastAsia="黑体"/>
      <w:b w:val="0"/>
      <w:bCs w:val="0"/>
      <w:lang w:val="zh-CN"/>
    </w:rPr>
  </w:style>
  <w:style w:type="paragraph" w:styleId="363">
    <w:name w:val="No Spacing"/>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64">
    <w:name w:val="正正正正"/>
    <w:basedOn w:val="18"/>
    <w:qFormat/>
    <w:uiPriority w:val="1"/>
    <w:pPr>
      <w:tabs>
        <w:tab w:val="left" w:pos="2812"/>
        <w:tab w:val="left" w:pos="3986"/>
      </w:tabs>
      <w:spacing w:after="0" w:line="360" w:lineRule="exact"/>
      <w:ind w:firstLine="200"/>
    </w:pPr>
    <w:rPr>
      <w:rFonts w:ascii="Calibri" w:hAnsi="Calibri"/>
      <w:sz w:val="20"/>
      <w:szCs w:val="21"/>
      <w:lang w:eastAsia="en-US"/>
    </w:rPr>
  </w:style>
  <w:style w:type="paragraph" w:customStyle="1" w:styleId="365">
    <w:name w:val="_Style 1"/>
    <w:basedOn w:val="1"/>
    <w:qFormat/>
    <w:uiPriority w:val="99"/>
    <w:pPr>
      <w:ind w:firstLine="420"/>
      <w:jc w:val="left"/>
    </w:pPr>
    <w:rPr>
      <w:rFonts w:ascii="Times New Roman)" w:hAnsi="Times New Roman)" w:eastAsia="宋体正文"/>
      <w:color w:val="000000"/>
      <w:lang w:eastAsia="en-US" w:bidi="en-US"/>
    </w:rPr>
  </w:style>
  <w:style w:type="character" w:customStyle="1" w:styleId="366">
    <w:name w:val="bookmark-item"/>
    <w:qFormat/>
    <w:uiPriority w:val="0"/>
  </w:style>
  <w:style w:type="character" w:customStyle="1" w:styleId="367">
    <w:name w:val="纯文本 Char2"/>
    <w:qFormat/>
    <w:uiPriority w:val="0"/>
    <w:rPr>
      <w:rFonts w:ascii="宋体" w:hAnsi="Courier New" w:eastAsia="宋体" w:cs="Courier New"/>
      <w:szCs w:val="21"/>
    </w:rPr>
  </w:style>
  <w:style w:type="character" w:customStyle="1" w:styleId="368">
    <w:name w:val="页脚 Char1"/>
    <w:qFormat/>
    <w:uiPriority w:val="99"/>
    <w:rPr>
      <w:rFonts w:ascii="Times New Roman" w:hAnsi="Times New Roman" w:eastAsia="宋体" w:cs="Times New Roman"/>
      <w:sz w:val="18"/>
      <w:szCs w:val="18"/>
    </w:rPr>
  </w:style>
  <w:style w:type="paragraph" w:customStyle="1" w:styleId="369">
    <w:name w:val="正文_3_0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70">
    <w:name w:val="正文_3_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71">
    <w:name w:val="正文_4"/>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72">
    <w:name w:val="正文_3"/>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73">
    <w:name w:val="标题 4_1"/>
    <w:basedOn w:val="372"/>
    <w:next w:val="374"/>
    <w:qFormat/>
    <w:uiPriority w:val="0"/>
    <w:pPr>
      <w:keepNext/>
      <w:keepLines/>
      <w:spacing w:before="280" w:after="290" w:line="372" w:lineRule="auto"/>
      <w:outlineLvl w:val="3"/>
    </w:pPr>
    <w:rPr>
      <w:rFonts w:ascii="Cambria" w:hAnsi="Cambria"/>
      <w:b/>
      <w:bCs/>
      <w:sz w:val="28"/>
      <w:szCs w:val="28"/>
    </w:rPr>
  </w:style>
  <w:style w:type="paragraph" w:customStyle="1" w:styleId="374">
    <w:name w:val="正文_2"/>
    <w:next w:val="373"/>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75">
    <w:name w:val="正文_3_0"/>
    <w:qFormat/>
    <w:uiPriority w:val="0"/>
    <w:pPr>
      <w:widowControl w:val="0"/>
      <w:jc w:val="both"/>
    </w:pPr>
    <w:rPr>
      <w:rFonts w:hint="default" w:ascii="Calibri" w:hAnsi="Calibri" w:eastAsia="宋体" w:cs="Times New Roman"/>
      <w:sz w:val="21"/>
      <w:szCs w:val="22"/>
      <w:lang w:val="en-US" w:eastAsia="zh-CN" w:bidi="ar-SA"/>
    </w:rPr>
  </w:style>
  <w:style w:type="character" w:customStyle="1" w:styleId="376">
    <w:name w:val="first-child"/>
    <w:basedOn w:val="47"/>
    <w:qFormat/>
    <w:uiPriority w:val="0"/>
  </w:style>
  <w:style w:type="character" w:customStyle="1" w:styleId="377">
    <w:name w:val="NormalCharacter"/>
    <w:qFormat/>
    <w:uiPriority w:val="0"/>
  </w:style>
  <w:style w:type="character" w:customStyle="1" w:styleId="378">
    <w:name w:val="layui-layer-tabnow"/>
    <w:basedOn w:val="47"/>
    <w:qFormat/>
    <w:uiPriority w:val="0"/>
    <w:rPr>
      <w:shd w:val="clear" w:color="auto" w:fill="FFFFFF"/>
    </w:rPr>
  </w:style>
  <w:style w:type="paragraph" w:customStyle="1" w:styleId="379">
    <w:name w:val="Normal_0"/>
    <w:qFormat/>
    <w:uiPriority w:val="0"/>
    <w:rPr>
      <w:rFonts w:hint="default" w:ascii="Times New Roman" w:hAnsi="Times New Roman" w:eastAsia="Times New Roman" w:cs="Times New Roman"/>
      <w:sz w:val="24"/>
      <w:szCs w:val="24"/>
      <w:lang w:val="en-US" w:eastAsia="zh-CN" w:bidi="ar-SA"/>
    </w:rPr>
  </w:style>
  <w:style w:type="paragraph" w:customStyle="1" w:styleId="380">
    <w:name w:val="正文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81">
    <w:name w:val="正文3"/>
    <w:qFormat/>
    <w:uiPriority w:val="0"/>
    <w:rPr>
      <w:rFonts w:hint="default" w:ascii="Times New Roman" w:hAnsi="Times New Roman" w:eastAsia="Times New Roman" w:cs="Times New Roman"/>
      <w:sz w:val="24"/>
      <w:szCs w:val="24"/>
      <w:lang w:val="en-US" w:eastAsia="zh-CN" w:bidi="ar-SA"/>
    </w:rPr>
  </w:style>
  <w:style w:type="paragraph" w:customStyle="1" w:styleId="382">
    <w:name w:val="正文_6"/>
    <w:qFormat/>
    <w:uiPriority w:val="0"/>
    <w:pPr>
      <w:widowControl w:val="0"/>
      <w:jc w:val="both"/>
    </w:pPr>
    <w:rPr>
      <w:rFonts w:hint="default" w:ascii="Calibri" w:hAnsi="Calibri" w:eastAsia="宋体" w:cs="Times New Roman"/>
      <w:sz w:val="21"/>
      <w:szCs w:val="22"/>
      <w:lang w:val="en-US" w:eastAsia="zh-CN" w:bidi="ar-SA"/>
    </w:rPr>
  </w:style>
  <w:style w:type="character" w:customStyle="1" w:styleId="383">
    <w:name w:val="纯文本 Char3"/>
    <w:qFormat/>
    <w:uiPriority w:val="99"/>
    <w:rPr>
      <w:rFonts w:ascii="宋体" w:hAnsi="Courier New" w:eastAsia="宋体" w:cs="Courier New"/>
      <w:szCs w:val="21"/>
    </w:rPr>
  </w:style>
  <w:style w:type="paragraph" w:customStyle="1" w:styleId="384">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85">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86">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87">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88">
    <w:name w:val="正文_2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89">
    <w:name w:val="普通(Web)2"/>
    <w:basedOn w:val="370"/>
    <w:qFormat/>
    <w:uiPriority w:val="0"/>
    <w:pPr>
      <w:widowControl/>
      <w:spacing w:before="150" w:after="150"/>
      <w:jc w:val="left"/>
    </w:pPr>
    <w:rPr>
      <w:rFonts w:ascii="宋体" w:cs="宋体"/>
      <w:sz w:val="24"/>
      <w:szCs w:val="24"/>
      <w:lang w:bidi="ar-SA"/>
    </w:rPr>
  </w:style>
  <w:style w:type="paragraph" w:customStyle="1" w:styleId="390">
    <w:name w:val="正文_4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91">
    <w:name w:val="标题 3_0"/>
    <w:basedOn w:val="388"/>
    <w:next w:val="372"/>
    <w:unhideWhenUsed/>
    <w:qFormat/>
    <w:uiPriority w:val="0"/>
    <w:pPr>
      <w:keepNext/>
      <w:keepLines/>
      <w:spacing w:before="260" w:after="260" w:line="415" w:lineRule="auto"/>
      <w:outlineLvl w:val="2"/>
    </w:pPr>
    <w:rPr>
      <w:b/>
      <w:bCs/>
      <w:sz w:val="32"/>
      <w:szCs w:val="32"/>
    </w:rPr>
  </w:style>
  <w:style w:type="paragraph" w:customStyle="1" w:styleId="392">
    <w:name w:val="纯文本1"/>
    <w:basedOn w:val="1"/>
    <w:qFormat/>
    <w:uiPriority w:val="0"/>
    <w:rPr>
      <w:rFonts w:ascii="宋体" w:hAnsi="Courier New"/>
      <w:sz w:val="20"/>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a90c2ade-8cc2-4161-bd24-c57db1e7ef71</errorID>
      <errorWord>GG</errorWord>
      <group>L1_Official</group>
      <groupName>公文问题</groupName>
      <ability>L2_Official</ability>
      <abilityName>公文问题</abilityName>
      <candidateList/>
      <explain>公文中禁止出现该词语</explain>
      <paraID>32855014</paraID>
      <start>5</start>
      <end>7</end>
      <status>unmodified</status>
      <modifiedWord/>
      <trackRevisions>false</trackRevisions>
    </reviewItem>
    <reviewItem>
      <errorID>aa3b6d98-02c5-4892-8f9e-8f71f5fe4877</errorID>
      <errorWord>GG</errorWord>
      <group>L1_Official</group>
      <groupName>公文问题</groupName>
      <ability>L2_Official</ability>
      <abilityName>公文问题</abilityName>
      <candidateList/>
      <explain>公文中禁止出现该词语</explain>
      <paraID>3091B99C</paraID>
      <start>5</start>
      <end>7</end>
      <status>unmodified</status>
      <modifiedWord/>
      <trackRevisions>false</trackRevisions>
    </reviewItem>
    <reviewItem>
      <errorID>caf47fd4-ea97-415c-80f6-a3cfe3f9bb7f</errorID>
      <errorWord>财政部</errorWord>
      <group>L1_Knowledge</group>
      <groupName>知识性问题</groupName>
      <ability>L2_Organization</ability>
      <abilityName>机构检查</abilityName>
      <candidateList/>
      <explain>[财政部]应在[民政部]之后</explain>
      <paraID>7D162E21</paraID>
      <start>140</start>
      <end>143</end>
      <status>unmodified</status>
      <modifiedWord/>
      <trackRevisions>false</trackRevisions>
    </reviewItem>
    <reviewItem>
      <errorID>da18bdfc-1310-45c3-9502-93f402e7567d</errorID>
      <errorWord>(</errorWord>
      <group>L1_Format</group>
      <groupName>格式问题</groupName>
      <ability>L2_HalfPunc_CN</ability>
      <abilityName/>
      <candidateList>
        <item>（</item>
      </candidateList>
      <explain>文本全半角错误。</explain>
      <paraID>4B6327CD</paraID>
      <start>24</start>
      <end>25</end>
      <status>unmodified</status>
      <modifiedWord/>
      <trackRevisions>false</trackRevisions>
    </reviewItem>
    <reviewItem>
      <errorID>dd167d6a-6dec-429d-8683-730239831255</errorID>
      <errorWord>)</errorWord>
      <group>L1_Format</group>
      <groupName>格式问题</groupName>
      <ability>L2_HalfPunc_CN</ability>
      <abilityName/>
      <candidateList>
        <item>）</item>
      </candidateList>
      <explain>文本全半角错误。</explain>
      <paraID>4B6327CD</paraID>
      <start>26</start>
      <end>27</end>
      <status>unmodified</status>
      <modifiedWord/>
      <trackRevisions>false</trackRevisions>
    </reviewItem>
    <reviewItem>
      <errorID>79753eb1-893d-4240-9c5b-b69952d2ae7c</errorID>
      <errorWord>日至2026年</errorWord>
      <group>L1_Word</group>
      <groupName>字词问题</groupName>
      <ability>L2_Typo</ability>
      <abilityName>字词错误</abilityName>
      <candidateList>
        <item>日起至2026年</item>
      </candidateList>
      <explain/>
      <paraID>16E37772</paraID>
      <start>11</start>
      <end>18</end>
      <status>unmodified</status>
      <modifiedWord/>
      <trackRevisions>false</trackRevisions>
    </reviewItem>
    <reviewItem>
      <errorID>5dc56927-aa71-41c3-a7da-ef1c3cd72b0b</errorID>
      <errorWord>上午00：00</errorWord>
      <group>L1_Knowledge</group>
      <groupName>知识性问题</groupName>
      <ability>L2_Time</ability>
      <abilityName>日期时间</abilityName>
      <candidateList/>
      <explain>时间与前缀不匹配，可能的时间前缀有“下午、晚上、凌晨、午夜”。</explain>
      <paraID>16E37772</paraID>
      <start>25</start>
      <end>32</end>
      <status>unmodified</status>
      <modifiedWord/>
      <trackRevisions>false</trackRevisions>
    </reviewItem>
    <reviewItem>
      <errorID>3e401d42-89e9-4ffe-afd0-ae54bb81c21c</errorID>
      <errorWord>：</errorWord>
      <group>L1_Format</group>
      <groupName>格式问题</groupName>
      <ability>L2_HalfPunc_CN</ability>
      <abilityName/>
      <candidateList>
        <item>:</item>
      </candidateList>
      <explain>文本全半角错误。</explain>
      <paraID>16E37772</paraID>
      <start>35</start>
      <end>36</end>
      <status>unmodified</status>
      <modifiedWord/>
      <trackRevisions>false</trackRevisions>
    </reviewItem>
    <reviewItem>
      <errorID>d04a91d1-c321-4917-afe7-800dae7f493e</errorID>
      <errorWord>：</errorWord>
      <group>L1_Format</group>
      <groupName>格式问题</groupName>
      <ability>L2_HalfPunc_CN</ability>
      <abilityName/>
      <candidateList>
        <item>:</item>
      </candidateList>
      <explain>文本全半角错误。</explain>
      <paraID>16E37772</paraID>
      <start>43</start>
      <end>44</end>
      <status>unmodified</status>
      <modifiedWord/>
      <trackRevisions>false</trackRevisions>
    </reviewItem>
    <reviewItem>
      <errorID>187ce608-cec4-4f57-92c0-ebe85495684c</errorID>
      <errorWord>：</errorWord>
      <group>L1_Format</group>
      <groupName>格式问题</groupName>
      <ability>L2_HalfPunc_CN</ability>
      <abilityName/>
      <candidateList>
        <item>:</item>
      </candidateList>
      <explain>文本全半角错误。</explain>
      <paraID>16E37772</paraID>
      <start>49</start>
      <end>50</end>
      <status>unmodified</status>
      <modifiedWord/>
      <trackRevisions>false</trackRevisions>
    </reviewItem>
    <reviewItem>
      <errorID>8796fcbc-01ec-4192-a585-4a32d2bff378</errorID>
      <errorWord>-</errorWord>
      <group>L1_Format</group>
      <groupName>格式问题</groupName>
      <ability>L2_HalfPunc_CN</ability>
      <abilityName/>
      <candidateList>
        <item>－</item>
      </candidateList>
      <explain>文本全半角错误。</explain>
      <paraID>111B73E4</paraID>
      <start>82</start>
      <end>83</end>
      <status>unmodified</status>
      <modifiedWord/>
      <trackRevisions>false</trackRevisions>
    </reviewItem>
    <reviewItem>
      <errorID>ebaca0b5-4cc6-4f5b-b99b-fbf6642d0dea</errorID>
      <errorWord>：</errorWord>
      <group>L1_Format</group>
      <groupName>格式问题</groupName>
      <ability>L2_HalfPunc_CN</ability>
      <abilityName/>
      <candidateList>
        <item>:</item>
      </candidateList>
      <explain>文本全半角错误。</explain>
      <paraID>22EE9D15</paraID>
      <start>35</start>
      <end>36</end>
      <status>unmodified</status>
      <modifiedWord/>
      <trackRevisions>false</trackRevisions>
    </reviewItem>
    <reviewItem>
      <errorID>d637d514-27f1-4159-8890-c6bc0702e4f2</errorID>
      <errorWord>/）</errorWord>
      <group>L1_Punc</group>
      <groupName>标点问题</groupName>
      <ability>L2_Punc_CN</ability>
      <abilityName/>
      <candidateList>
        <item>）</item>
      </candidateList>
      <explain/>
      <paraID>22EE9D15</paraID>
      <start>62</start>
      <end>64</end>
      <status>unmodified</status>
      <modifiedWord/>
      <trackRevisions>false</trackRevisions>
    </reviewItem>
    <reviewItem>
      <errorID>04a13367-fa9c-41a1-af19-a7ef79bab268</errorID>
      <errorWord>操作合</errorWord>
      <group>L1_Word</group>
      <groupName>字词问题</groupName>
      <ability>L2_Typo</ability>
      <abilityName>字词错误</abilityName>
      <candidateList>
        <item>操作台</item>
      </candidateList>
      <explain/>
      <paraID>742CDB7B</paraID>
      <start>9</start>
      <end>12</end>
      <status>unmodified</status>
      <modifiedWord/>
      <trackRevisions>false</trackRevisions>
    </reviewItem>
    <reviewItem>
      <errorID>2707b397-e441-4388-8b06-df143e1ef6a5</errorID>
      <errorWord>，</errorWord>
      <group>L1_Word</group>
      <groupName>字词问题</groupName>
      <ability>L2_Typo</ability>
      <abilityName>字词错误</abilityName>
      <candidateList>
        <item>，在</item>
      </candidateList>
      <explain/>
      <paraID>742CDB7B</paraID>
      <start>120</start>
      <end>121</end>
      <status>unmodified</status>
      <modifiedWord/>
      <trackRevisions>false</trackRevisions>
    </reviewItem>
    <reviewItem>
      <errorID>43639317-cfbf-4921-95cd-cfb50ab69462</errorID>
      <errorWord>具备有</errorWord>
      <group>L1_Word</group>
      <groupName>字词问题</groupName>
      <ability>L2_Typo</ability>
      <abilityName>字词错误</abilityName>
      <candidateList>
        <item>具备</item>
      </candidateList>
      <explain/>
      <paraID>77ECF39E</paraID>
      <start>9</start>
      <end>12</end>
      <status>unmodified</status>
      <modifiedWord/>
      <trackRevisions>false</trackRevisions>
    </reviewItem>
    <reviewItem>
      <errorID>10b4e993-de0a-4656-9e91-2c8a5e427af8</errorID>
      <errorWord>:</errorWord>
      <group>L1_Format</group>
      <groupName>格式问题</groupName>
      <ability>L2_HalfPunc_CN</ability>
      <abilityName/>
      <candidateList>
        <item>：</item>
      </candidateList>
      <explain>文本全半角错误。</explain>
      <paraID>7E97483E</paraID>
      <start>9</start>
      <end>10</end>
      <status>unmodified</status>
      <modifiedWord/>
      <trackRevisions>false</trackRevisions>
    </reviewItem>
    <reviewItem>
      <errorID>462de86f-96f9-413a-bdb7-0124990df85a</errorID>
      <errorWord>（</errorWord>
      <group>L1_Punc</group>
      <groupName>标点问题</groupName>
      <ability>L2_Punc_CN</ability>
      <abilityName/>
      <candidateList/>
      <explain>同一形式括号套用。</explain>
      <paraID> 24EA54C</paraID>
      <start>52</start>
      <end>53</end>
      <status>unmodified</status>
      <modifiedWord/>
      <trackRevisions>false</trackRevisions>
    </reviewItem>
    <reviewItem>
      <errorID>93e4cad8-3d46-4e58-842a-7bb6f268b178</errorID>
      <errorWord>）</errorWord>
      <group>L1_Punc</group>
      <groupName>标点问题</groupName>
      <ability>L2_Punc_CN</ability>
      <abilityName/>
      <candidateList/>
      <explain>同一形式括号套用。</explain>
      <paraID> 24EA54C</paraID>
      <start>62</start>
      <end>63</end>
      <status>unmodified</status>
      <modifiedWord/>
      <trackRevisions>false</trackRevisions>
    </reviewItem>
    <reviewItem>
      <errorID>186c5d57-a020-4fee-bff4-ca9e0b1382a8</errorID>
      <errorWord>(</errorWord>
      <group>L1_Format</group>
      <groupName>格式问题</groupName>
      <ability>L2_HalfPunc_CN</ability>
      <abilityName/>
      <candidateList>
        <item>（</item>
      </candidateList>
      <explain>文本全半角错误。</explain>
      <paraID>2ADA2D28</paraID>
      <start>24</start>
      <end>25</end>
      <status>unmodified</status>
      <modifiedWord/>
      <trackRevisions>false</trackRevisions>
    </reviewItem>
    <reviewItem>
      <errorID>c765b6c9-4c20-4f75-8634-a6fd6b493a3e</errorID>
      <errorWord>)</errorWord>
      <group>L1_Format</group>
      <groupName>格式问题</groupName>
      <ability>L2_HalfPunc_CN</ability>
      <abilityName/>
      <candidateList>
        <item>）</item>
      </candidateList>
      <explain>文本全半角错误。</explain>
      <paraID>2ADA2D28</paraID>
      <start>26</start>
      <end>27</end>
      <status>unmodified</status>
      <modifiedWord/>
      <trackRevisions>false</trackRevisions>
    </reviewItem>
    <reviewItem>
      <errorID>a42a3eb2-3635-4925-bad1-6f14336f3909</errorID>
      <errorWord>包括了</errorWord>
      <group>L1_Word</group>
      <groupName>字词问题</groupName>
      <ability>L2_Typo</ability>
      <abilityName>字词错误</abilityName>
      <candidateList>
        <item>包括</item>
      </candidateList>
      <explain/>
      <paraID>7732E727</paraID>
      <start>28</start>
      <end>31</end>
      <status>unmodified</status>
      <modifiedWord/>
      <trackRevisions>false</trackRevisions>
    </reviewItem>
    <reviewItem>
      <errorID>db9f3284-033f-4a8e-92f5-e084e26eea94</errorID>
      <errorWord>(</errorWord>
      <group>L1_Format</group>
      <groupName>格式问题</groupName>
      <ability>L2_HalfPunc_CN</ability>
      <abilityName/>
      <candidateList>
        <item>（</item>
      </candidateList>
      <explain>文本全半角错误。</explain>
      <paraID>409F6E3E</paraID>
      <start>43</start>
      <end>44</end>
      <status>unmodified</status>
      <modifiedWord/>
      <trackRevisions>false</trackRevisions>
    </reviewItem>
    <reviewItem>
      <errorID>3d540633-19fe-42c3-bd0f-70cc24a65a5d</errorID>
      <errorWord>)</errorWord>
      <group>L1_Format</group>
      <groupName>格式问题</groupName>
      <ability>L2_HalfPunc_CN</ability>
      <abilityName/>
      <candidateList>
        <item>）</item>
      </candidateList>
      <explain>文本全半角错误。</explain>
      <paraID>409F6E3E</paraID>
      <start>52</start>
      <end>53</end>
      <status>unmodified</status>
      <modifiedWord/>
      <trackRevisions>false</trackRevisions>
    </reviewItem>
    <reviewItem>
      <errorID>19ca716b-063f-4063-b1a4-047fa825daaa</errorID>
      <errorWord>，</errorWord>
      <group>L1_Word</group>
      <groupName>字词问题</groupName>
      <ability>L2_Typo</ability>
      <abilityName>字词错误</abilityName>
      <candidateList>
        <item>，使</item>
      </candidateList>
      <explain/>
      <paraID>749CF56A</paraID>
      <start>32</start>
      <end>33</end>
      <status>unmodified</status>
      <modifiedWord/>
      <trackRevisions>false</trackRevisions>
    </reviewItem>
    <reviewItem>
      <errorID>c108bb70-a60a-4da0-8dbc-2ad0b2a388cf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447FE728</paraID>
      <start>15</start>
      <end>18</end>
      <status>unmodified</status>
      <modifiedWord/>
      <trackRevisions>false</trackRevisions>
    </reviewItem>
    <reviewItem>
      <errorID>5a1a211f-aa01-4c11-b7f6-fdaca11d3d5a</errorID>
      <errorWord>法律、法规</errorWord>
      <group>L1_Word</group>
      <groupName>字词问题</groupName>
      <ability>L2_Typo</ability>
      <abilityName>字词错误</abilityName>
      <candidateList>
        <item>法律法规</item>
      </candidateList>
      <explain/>
      <paraID>7D469D86</paraID>
      <start>38</start>
      <end>43</end>
      <status>unmodified</status>
      <modifiedWord/>
      <trackRevisions>false</trackRevisions>
    </reviewItem>
    <reviewItem>
      <errorID>56a101fd-7163-4997-83c0-9a1554fa4f65</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2CDB18BC</paraID>
      <start>208</start>
      <end>213</end>
      <status>unmodified</status>
      <modifiedWord/>
      <trackRevisions>false</trackRevisions>
    </reviewItem>
    <reviewItem>
      <errorID>618b6583-7158-45ad-8d4a-f4b933ca8c57</errorID>
      <errorWord>(</errorWord>
      <group>L1_Format</group>
      <groupName>格式问题</groupName>
      <ability>L2_HalfPunc_CN</ability>
      <abilityName/>
      <candidateList>
        <item>（</item>
      </candidateList>
      <explain>文本全半角错误。</explain>
      <paraID>198806D5</paraID>
      <start>53</start>
      <end>54</end>
      <status>unmodified</status>
      <modifiedWord/>
      <trackRevisions>false</trackRevisions>
    </reviewItem>
    <reviewItem>
      <errorID>f9eef350-40af-45d7-9a34-7f13aa5147bd</errorID>
      <errorWord>)</errorWord>
      <group>L1_Format</group>
      <groupName>格式问题</groupName>
      <ability>L2_HalfPunc_CN</ability>
      <abilityName/>
      <candidateList>
        <item>）</item>
      </candidateList>
      <explain>文本全半角错误。</explain>
      <paraID>198806D5</paraID>
      <start>56</start>
      <end>57</end>
      <status>unmodified</status>
      <modifiedWord/>
      <trackRevisions>false</trackRevisions>
    </reviewItem>
    <reviewItem>
      <errorID>63f0de43-a6f9-4b90-b864-8463893f4d5c</errorID>
      <errorWord>操作合</errorWord>
      <group>L1_Word</group>
      <groupName>字词问题</groupName>
      <ability>L2_Typo</ability>
      <abilityName>字词错误</abilityName>
      <candidateList>
        <item>操作台</item>
      </candidateList>
      <explain/>
      <paraID>3F8C4BA6</paraID>
      <start>9</start>
      <end>12</end>
      <status>unmodified</status>
      <modifiedWord/>
      <trackRevisions>false</trackRevisions>
    </reviewItem>
    <reviewItem>
      <errorID>5d8a9097-f8d1-45b9-8720-f6cfa86c4c38</errorID>
      <errorWord>接受</errorWord>
      <group>L1_Word</group>
      <groupName>字词问题</groupName>
      <ability>L2_Typo</ability>
      <abilityName>字词错误</abilityName>
      <candidateList>
        <item>接收</item>
      </candidateList>
      <explain>存在发音相同字词的误用。</explain>
      <paraID>7848278E</paraID>
      <start>51</start>
      <end>53</end>
      <status>unmodified</status>
      <modifiedWord/>
      <trackRevisions>false</trackRevisions>
    </reviewItem>
    <reviewItem>
      <errorID>94f1f242-acc7-4605-929c-9dfa5a62ad19</errorID>
      <errorWord>，</errorWord>
      <group>L1_Word</group>
      <groupName>字词问题</groupName>
      <ability>L2_Typo</ability>
      <abilityName>字词错误</abilityName>
      <candidateList>
        <item>，在</item>
      </candidateList>
      <explain/>
      <paraID> 3B5FE9E</paraID>
      <start>36</start>
      <end>37</end>
      <status>unmodified</status>
      <modifiedWord/>
      <trackRevisions>false</trackRevisions>
    </reviewItem>
    <reviewItem>
      <errorID>6a88888d-cbf0-46bb-98f8-b07af1a01364</errorID>
      <errorWord>间</errorWord>
      <group>L1_Word</group>
      <groupName>字词问题</groupName>
      <ability>L2_Typo</ability>
      <abilityName>字词错误</abilityName>
      <candidateList>
        <item>间之</item>
      </candidateList>
      <explain/>
      <paraID>77F5A8E5</paraID>
      <start>14</start>
      <end>15</end>
      <status>unmodified</status>
      <modifiedWord/>
      <trackRevisions>false</trackRevisions>
    </reviewItem>
    <reviewItem>
      <errorID>fa19d982-0c68-4f6c-879d-2dcfe8ce6434</errorID>
      <errorWord>原则做出结论</errorWord>
      <group>L1_Word</group>
      <groupName>字词问题</groupName>
      <ability>L2_Typo</ability>
      <abilityName>字词错误</abilityName>
      <candidateList>
        <item>原则作出结论</item>
      </candidateList>
      <explain/>
      <paraID>295EF943</paraID>
      <start>62</start>
      <end>68</end>
      <status>unmodified</status>
      <modifiedWord/>
      <trackRevisions>false</trackRevisions>
    </reviewItem>
    <reviewItem>
      <errorID>e0f7d029-c57a-4d39-8157-d0d34cd778b6</errorID>
      <errorWord>:</errorWord>
      <group>L1_Format</group>
      <groupName>格式问题</groupName>
      <ability>L2_HalfPunc_CN</ability>
      <abilityName/>
      <candidateList>
        <item>：</item>
      </candidateList>
      <explain>文本全半角错误。</explain>
      <paraID>1EFDBD81</paraID>
      <start>6</start>
      <end>7</end>
      <status>unmodified</status>
      <modifiedWord/>
      <trackRevisions>false</trackRevisions>
    </reviewItem>
    <reviewItem>
      <errorID>493f7370-e6eb-4954-9330-33be2155eb23</errorID>
      <errorWord>法律、法规</errorWord>
      <group>L1_Word</group>
      <groupName>字词问题</groupName>
      <ability>L2_Typo</ability>
      <abilityName>字词错误</abilityName>
      <candidateList>
        <item>法律法规</item>
      </candidateList>
      <explain/>
      <paraID>1EFDBD81</paraID>
      <start>17</start>
      <end>22</end>
      <status>unmodified</status>
      <modifiedWord/>
      <trackRevisions>false</trackRevisions>
    </reviewItem>
    <reviewItem>
      <errorID>8c02a755-9e82-4b46-9a62-bfe054e2d8c8</errorID>
      <errorWord>包括了</errorWord>
      <group>L1_Word</group>
      <groupName>字词问题</groupName>
      <ability>L2_Typo</ability>
      <abilityName>字词错误</abilityName>
      <candidateList>
        <item>包括</item>
      </candidateList>
      <explain/>
      <paraID>45E09556</paraID>
      <start>28</start>
      <end>31</end>
      <status>unmodified</status>
      <modifiedWord/>
      <trackRevisions>false</trackRevisions>
    </reviewItem>
    <reviewItem>
      <errorID>64e0c2f1-f118-401a-bab1-fc33de4d05c8</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1EB81183</paraID>
      <start>19</start>
      <end>21</end>
      <status>unmodified</status>
      <modifiedWord/>
      <trackRevisions>false</trackRevisions>
    </reviewItem>
    <reviewItem>
      <errorID>14f68842-9b8e-4b48-bca6-80568dd5bedb</errorID>
      <errorWord>-</errorWord>
      <group>L1_Format</group>
      <groupName>格式问题</groupName>
      <ability>L2_HalfPunc_CN</ability>
      <abilityName/>
      <candidateList>
        <item>－</item>
      </candidateList>
      <explain>文本全半角错误。</explain>
      <paraID>7BD0E0A9</paraID>
      <start>20</start>
      <end>21</end>
      <status>unmodified</status>
      <modifiedWord/>
      <trackRevisions>false</trackRevisions>
    </reviewItem>
    <reviewItem>
      <errorID>642734aa-1109-49d6-b515-daf7d64999c5</errorID>
      <errorWord>法律、法规</errorWord>
      <group>L1_Word</group>
      <groupName>字词问题</groupName>
      <ability>L2_Typo</ability>
      <abilityName>字词错误</abilityName>
      <candidateList>
        <item>法律法规</item>
      </candidateList>
      <explain/>
      <paraID>368FF149</paraID>
      <start>3</start>
      <end>8</end>
      <status>unmodified</status>
      <modifiedWord/>
      <trackRevisions>false</trackRevisions>
    </reviewItem>
    <reviewItem>
      <errorID>ed1c1872-3cea-41c3-90c6-2310fc9225cb</errorID>
      <errorWord>，</errorWord>
      <group>L1_Word</group>
      <groupName>字词问题</groupName>
      <ability>L2_Typo</ability>
      <abilityName>字词错误</abilityName>
      <candidateList>
        <item>，并</item>
      </candidateList>
      <explain/>
      <paraID>1DBF7B95</paraID>
      <start>63</start>
      <end>64</end>
      <status>unmodified</status>
      <modifiedWord/>
      <trackRevisions>false</trackRevisions>
    </reviewItem>
    <reviewItem>
      <errorID>bd78bd59-5cd8-46ad-b9fc-060617f5c87c</errorID>
      <errorWord>自控</errorWord>
      <group>L1_Word</group>
      <groupName>字词问题</groupName>
      <ability>L2_Typo</ability>
      <abilityName>字词错误</abilityName>
      <candidateList>
        <item>质控</item>
      </candidateList>
      <explain/>
      <paraID>2BBBE372</paraID>
      <start>50</start>
      <end>52</end>
      <status>unmodified</status>
      <modifiedWord/>
      <trackRevisions>false</trackRevisions>
    </reviewItem>
    <reviewItem>
      <errorID>89f17e72-3310-46ef-a746-fa80ce869930</errorID>
      <errorWord>其它</errorWord>
      <group>L1_Word</group>
      <groupName>字词问题</groupName>
      <ability>L2_Alias</ability>
      <abilityName>也作/曾用词</abilityName>
      <candidateList>
        <item>其他</item>
      </candidateList>
      <explain>词汇[其它]为不规范表述或旧称，其规范书面表述为[其他]。</explain>
      <paraID>790BA11C</paraID>
      <start>5</start>
      <end>7</end>
      <status>unmodified</status>
      <modifiedWord/>
      <trackRevisions>false</trackRevisions>
    </reviewItem>
    <reviewItem>
      <errorID>a4e60d1c-aa69-4d9e-955f-d2b07b994186</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492351A</paraID>
      <start>15</start>
      <end>18</end>
      <status>unmodified</status>
      <modifiedWord/>
      <trackRevisions>false</trackRevisions>
    </reviewItem>
    <reviewItem>
      <errorID>de462c58-6193-4cbb-a0f8-77818d624207</errorID>
      <errorWord>&lt;</errorWord>
      <group>L1_Format</group>
      <groupName>格式问题</groupName>
      <ability>L2_HalfPunc_CN</ability>
      <abilityName/>
      <candidateList>
        <item>〈</item>
      </candidateList>
      <explain>文本全半角错误。</explain>
      <paraID>5F62BB4E</paraID>
      <start>32</start>
      <end>33</end>
      <status>unmodified</status>
      <modifiedWord/>
      <trackRevisions>false</trackRevisions>
    </reviewItem>
    <reviewItem>
      <errorID>be7ecec6-b1b8-4a98-be06-da8be7249de5</errorID>
      <errorWord>&gt;</errorWord>
      <group>L1_Format</group>
      <groupName>格式问题</groupName>
      <ability>L2_HalfPunc_CN</ability>
      <abilityName/>
      <candidateList>
        <item>〉</item>
      </candidateList>
      <explain>文本全半角错误。</explain>
      <paraID>5F62BB4E</paraID>
      <start>46</start>
      <end>47</end>
      <status>unmodified</status>
      <modifiedWord/>
      <trackRevisions>false</trackRevisions>
    </reviewItem>
    <reviewItem>
      <errorID>54aa66b0-5ffc-462c-991f-b2518092c6ad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5F62BB4E</paraID>
      <start>58</start>
      <end>61</end>
      <status>unmodified</status>
      <modifiedWord/>
      <trackRevisions>false</trackRevisions>
    </reviewItem>
    <reviewItem>
      <errorID>81cc18a6-4d47-4d64-aaa7-f78b835061f4</errorID>
      <errorWord>房</errorWord>
      <group>L1_Word</group>
      <groupName>字词问题</groupName>
      <ability>L2_Typo</ability>
      <abilityName>字词错误</abilityName>
      <candidateList>
        <item>房和</item>
      </candidateList>
      <explain/>
      <paraID>5F62BB4E</paraID>
      <start>267</start>
      <end>268</end>
      <status>unmodified</status>
      <modifiedWord/>
      <trackRevisions>false</trackRevisions>
    </reviewItem>
    <reviewItem>
      <errorID>df21a774-ff1b-46d2-a947-d92e20a868c0</errorID>
      <errorWord>其它</errorWord>
      <group>L1_Word</group>
      <groupName>字词问题</groupName>
      <ability>L2_Alias</ability>
      <abilityName>也作/曾用词</abilityName>
      <candidateList>
        <item>其他</item>
      </candidateList>
      <explain>词汇[其它]为不规范表述或旧称，其规范书面表述为[其他]。</explain>
      <paraID> D124E45</paraID>
      <start>4</start>
      <end>6</end>
      <status>unmodified</status>
      <modifiedWord/>
      <trackRevisions>false</trackRevisions>
    </reviewItem>
    <reviewItem>
      <errorID>0b73521a-71f6-486a-9bb6-9baa95140c88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17AF4AE7</paraID>
      <start>27</start>
      <end>30</end>
      <status>unmodified</status>
      <modifiedWord/>
      <trackRevisions>false</trackRevisions>
    </reviewItem>
    <reviewItem>
      <errorID>134d795f-3a3c-4784-ae2d-7168e9b738dd</errorID>
      <errorWord>股东大会</errorWord>
      <group>L1_Word</group>
      <groupName>字词问题</groupName>
      <ability>L2_Typo</ability>
      <abilityName>字词错误</abilityName>
      <candidateList>
        <item>股东会</item>
      </candidateList>
      <explain/>
      <paraID>5DB4435A</paraID>
      <start>113</start>
      <end>117</end>
      <status>unmodified</status>
      <modifiedWord/>
      <trackRevisions>false</trackRevisions>
    </reviewItem>
    <reviewItem>
      <errorID>745ecf60-704a-4ac2-b072-275281b3710a</errorID>
      <errorWord>:</errorWord>
      <group>L1_Format</group>
      <groupName>格式问题</groupName>
      <ability>L2_HalfPunc_CN</ability>
      <abilityName/>
      <candidateList>
        <item>：</item>
      </candidateList>
      <explain>文本全半角错误。</explain>
      <paraID>72E0CE10</paraID>
      <start>1</start>
      <end>2</end>
      <status>unmodified</status>
      <modifiedWord/>
      <trackRevisions>false</trackRevisions>
    </reviewItem>
    <reviewItem>
      <errorID>b6f78595-3101-4838-9538-44479e2a8189</errorID>
      <errorWord>&lt;</errorWord>
      <group>L1_Format</group>
      <groupName>格式问题</groupName>
      <ability>L2_HalfPunc_CN</ability>
      <abilityName/>
      <candidateList>
        <item>〈</item>
      </candidateList>
      <explain>文本全半角错误。</explain>
      <paraID>1BF44ECA</paraID>
      <start>107</start>
      <end>108</end>
      <status>unmodified</status>
      <modifiedWord/>
      <trackRevisions>false</trackRevisions>
    </reviewItem>
    <reviewItem>
      <errorID>0de33b56-82fb-431c-8743-76c623ca51c1</errorID>
      <errorWord>&gt;</errorWord>
      <group>L1_Format</group>
      <groupName>格式问题</groupName>
      <ability>L2_HalfPunc_CN</ability>
      <abilityName/>
      <candidateList>
        <item>〉</item>
      </candidateList>
      <explain>文本全半角错误。</explain>
      <paraID>1BF44ECA</paraID>
      <start>121</start>
      <end>122</end>
      <status>unmodified</status>
      <modifiedWord/>
      <trackRevisions>false</trackRevisions>
    </reviewItem>
    <reviewItem>
      <errorID>e51eeb28-906a-4f4e-addb-1935472bcf36</errorID>
      <errorWord>KW</errorWord>
      <group>L1_Word</group>
      <groupName>字词问题</groupName>
      <ability>L2_Typo</ability>
      <abilityName>字词错误</abilityName>
      <candidateList>
        <item>kW</item>
      </candidateList>
      <explain/>
      <paraID>52DC1DAE</paraID>
      <start>6</start>
      <end>8</end>
      <status>unmodified</status>
      <modifiedWord/>
      <trackRevisions>false</trackRevisions>
    </reviewItem>
    <reviewItem>
      <errorID>f3dd44ee-7cc5-4e4a-8fc7-d1d115192ba0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59E98F7A</paraID>
      <start>53</start>
      <end>57</end>
      <status>unmodified</status>
      <modifiedWord/>
      <trackRevisions>false</trackRevisions>
    </reviewItem>
    <reviewItem>
      <errorID>e8551178-631b-4b6b-bc6c-fe1d8dd16d40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1908CD0C</paraID>
      <start>13</start>
      <end>16</end>
      <status>unmodified</status>
      <modifiedWord/>
      <trackRevisions>false</trackRevisions>
    </reviewItem>
    <reviewItem>
      <errorID>023f46a3-7f2a-4c6a-82f1-baff2ffc890b</errorID>
      <errorWord>。</errorWord>
      <group>L1_Punc</group>
      <groupName>标点问题</groupName>
      <ability>L2_Punc_CN</ability>
      <abilityName/>
      <candidateList/>
      <explain/>
      <paraID>425AD299</paraID>
      <start>56</start>
      <end>57</end>
      <status>unmodified</status>
      <modifiedWord/>
      <trackRevisions>false</trackRevisions>
    </reviewItem>
    <reviewItem>
      <errorID>21cb9ec1-fc95-4311-b9c8-9beac26e9896</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7B1D346C</paraID>
      <start>27</start>
      <end>30</end>
      <status>unmodified</status>
      <modifiedWord/>
      <trackRevisions>false</trackRevisions>
    </reviewItem>
    <reviewItem>
      <errorID>9da1766f-ef4a-4785-9a03-9f7c2ec6fbc7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7B1D346C</paraID>
      <start>40</start>
      <end>43</end>
      <status>unmodified</status>
      <modifiedWord/>
      <trackRevisions>false</trackRevisions>
    </reviewItem>
    <reviewItem>
      <errorID>cd2f0e49-1668-4efe-b9ea-db456e70f550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7B1D346C</paraID>
      <start>55</start>
      <end>58</end>
      <status>unmodified</status>
      <modifiedWord/>
      <trackRevisions>false</trackRevisions>
    </reviewItem>
    <reviewItem>
      <errorID>8aacf7c6-6636-4a96-811e-f94052142333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7B1D346C</paraID>
      <start>68</start>
      <end>71</end>
      <status>unmodified</status>
      <modifiedWord/>
      <trackRevisions>false</trackRevisions>
    </reviewItem>
    <reviewItem>
      <errorID>4480d53f-98a6-49b6-bda1-550d4dec4ac2</errorID>
      <errorWord>法律、法规</errorWord>
      <group>L1_Word</group>
      <groupName>字词问题</groupName>
      <ability>L2_Typo</ability>
      <abilityName>字词错误</abilityName>
      <candidateList>
        <item>法律法规</item>
      </candidateList>
      <explain/>
      <paraID>7B1D346C</paraID>
      <start>106</start>
      <end>111</end>
      <status>unmodified</status>
      <modifiedWord/>
      <trackRevisions>false</trackRevisions>
    </reviewItem>
    <reviewItem>
      <errorID>0a1602ab-117e-4fd0-aa5c-63d78b649091</errorID>
      <errorWord>》</errorWord>
      <group>L1_Word</group>
      <groupName>字词问题</groupName>
      <ability>L2_Typo</ability>
      <abilityName>字词错误</abilityName>
      <candidateList>
        <item>》第</item>
      </candidateList>
      <explain/>
      <paraID>71D24505</paraID>
      <start>30</start>
      <end>31</end>
      <status>unmodified</status>
      <modifiedWord/>
      <trackRevisions>false</trackRevisions>
    </reviewItem>
    <reviewItem>
      <errorID>530ea4c2-23bc-4349-addf-729e14b3614b</errorID>
      <errorWord>,</errorWord>
      <group>L1_Format</group>
      <groupName>格式问题</groupName>
      <ability>L2_HalfPunc_CN</ability>
      <abilityName/>
      <candidateList>
        <item>，</item>
      </candidateList>
      <explain>文本全半角错误。</explain>
      <paraID> 2C0CB9D</paraID>
      <start>367</start>
      <end>368</end>
      <status>unmodified</status>
      <modifiedWord/>
      <trackRevisions>false</trackRevisions>
    </reviewItem>
    <reviewItem>
      <errorID>16a0e074-fdd8-484c-9227-53a7d4b7a47f</errorID>
      <errorWord>交纳</errorWord>
      <group>L1_Word</group>
      <groupName>字词问题</groupName>
      <ability>L2_Typo</ability>
      <abilityName>字词错误</abilityName>
      <candidateList>
        <item>缴纳</item>
      </candidateList>
      <explain>〈动〉交纳：～税款。</explain>
      <paraID>7C2AF6D4</paraID>
      <start>87</start>
      <end>89</end>
      <status>unmodified</status>
      <modifiedWord/>
      <trackRevisions>false</trackRevisions>
    </reviewItem>
    <reviewItem>
      <errorID>dafe76a6-027e-46a8-845e-edfbd78673aa</errorID>
      <errorWord>其它</errorWord>
      <group>L1_Word</group>
      <groupName>字词问题</groupName>
      <ability>L2_Alias</ability>
      <abilityName>也作/曾用词</abilityName>
      <candidateList>
        <item>其他</item>
      </candidateList>
      <explain>词汇[其它]为不规范表述或旧称，其规范书面表述为[其他]。</explain>
      <paraID>1C5C97BD</paraID>
      <start>50</start>
      <end>52</end>
      <status>unmodified</status>
      <modifiedWord/>
      <trackRevisions>false</trackRevisions>
    </reviewItem>
    <reviewItem>
      <errorID>0ed8a79b-da89-45d0-9a70-8e72d10ca924</errorID>
      <errorWord>其它</errorWord>
      <group>L1_Word</group>
      <groupName>字词问题</groupName>
      <ability>L2_Alias</ability>
      <abilityName>也作/曾用词</abilityName>
      <candidateList>
        <item>其他</item>
      </candidateList>
      <explain>词汇[其它]为不规范表述或旧称，其规范书面表述为[其他]。</explain>
      <paraID>1C5C97BD</paraID>
      <start>145</start>
      <end>147</end>
      <status>unmodified</status>
      <modifiedWord/>
      <trackRevisions>false</trackRevisions>
    </reviewItem>
    <reviewItem>
      <errorID>8be811e4-fad1-4685-9bdb-d2164ac980d6</errorID>
      <errorWord>其它</errorWord>
      <group>L1_Word</group>
      <groupName>字词问题</groupName>
      <ability>L2_Alias</ability>
      <abilityName>也作/曾用词</abilityName>
      <candidateList>
        <item>其他</item>
      </candidateList>
      <explain>词汇[其它]为不规范表述或旧称，其规范书面表述为[其他]。</explain>
      <paraID>5D98E015</paraID>
      <start>133</start>
      <end>135</end>
      <status>unmodified</status>
      <modifiedWord/>
      <trackRevisions>false</trackRevisions>
    </reviewItem>
    <reviewItem>
      <errorID>0e10eb24-30e3-4c33-8993-b50f506cd890</errorID>
      <errorWord>：/。</errorWord>
      <group>L1_Punc</group>
      <groupName>标点问题</groupName>
      <ability>L2_Punc_CN</ability>
      <abilityName/>
      <candidateList>
        <item>：</item>
      </candidateList>
      <explain/>
      <paraID>73D3C987</paraID>
      <start>39</start>
      <end>42</end>
      <status>unmodified</status>
      <modifiedWord/>
      <trackRevisions>false</trackRevisions>
    </reviewItem>
    <reviewItem>
      <errorID>cdfa1c0c-e576-483b-99c2-d4e9dfb4bb8a</errorID>
      <errorWord>,</errorWord>
      <group>L1_Word</group>
      <groupName>字词问题</groupName>
      <ability>L2_Typo</ability>
      <abilityName>字词错误</abilityName>
      <candidateList>
        <item>,在</item>
      </candidateList>
      <explain/>
      <paraID> 8B2F9A0</paraID>
      <start>121</start>
      <end>122</end>
      <status>unmodified</status>
      <modifiedWord/>
      <trackRevisions>false</trackRevisions>
    </reviewItem>
    <reviewItem>
      <errorID>d905d98d-7ff6-4496-a4ec-686c87bd34a2</errorID>
      <errorWord>商订</errorWord>
      <group>L1_Word</group>
      <groupName>字词问题</groupName>
      <ability>L2_Typo</ability>
      <abilityName>字词错误</abilityName>
      <candidateList>
        <item>商定</item>
      </candidateList>
      <explain/>
      <paraID> 8B2F9A0</paraID>
      <start>124</start>
      <end>126</end>
      <status>unmodified</status>
      <modifiedWord/>
      <trackRevisions>false</trackRevisions>
    </reviewItem>
    <reviewItem>
      <errorID>74a8ba24-9115-4df3-89e0-867ffa6f307c</errorID>
      <errorWord>,</errorWord>
      <group>L1_Format</group>
      <groupName>格式问题</groupName>
      <ability>L2_HalfPunc_CN</ability>
      <abilityName/>
      <candidateList>
        <item>，</item>
      </candidateList>
      <explain>文本全半角错误。</explain>
      <paraID> 8B2F9A0</paraID>
      <start>141</start>
      <end>142</end>
      <status>unmodified</status>
      <modifiedWord/>
      <trackRevisions>false</trackRevisions>
    </reviewItem>
    <reviewItem>
      <errorID>a3be7862-5da6-4434-a28c-ee325755bdb1</errorID>
      <errorWord>法律、法规</errorWord>
      <group>L1_Word</group>
      <groupName>字词问题</groupName>
      <ability>L2_Typo</ability>
      <abilityName>字词错误</abilityName>
      <candidateList>
        <item>法律法规</item>
      </candidateList>
      <explain/>
      <paraID>614A3FAC</paraID>
      <start>38</start>
      <end>43</end>
      <status>unmodified</status>
      <modifiedWord/>
      <trackRevisions>false</trackRevisions>
    </reviewItem>
    <reviewItem>
      <errorID>b944e8f2-6404-4a0a-9260-3fe3267efc06</errorID>
      <errorWord>经含</errorWord>
      <group>L1_Word</group>
      <groupName>字词问题</groupName>
      <ability>L2_Typo</ability>
      <abilityName>字词错误</abilityName>
      <candidateList>
        <item>包含</item>
      </candidateList>
      <explain>〈动〉里边含有：这句话～好几层意思。</explain>
      <paraID>614A3FAC</paraID>
      <start>147</start>
      <end>149</end>
      <status>unmodified</status>
      <modifiedWord/>
      <trackRevisions>false</trackRevisions>
    </reviewItem>
    <reviewItem>
      <errorID>62f97ffa-4163-4595-ab89-0d95568f6117</errorID>
      <errorWord>》</errorWord>
      <group>L1_Word</group>
      <groupName>字词问题</groupName>
      <ability>L2_Typo</ability>
      <abilityName>字词错误</abilityName>
      <candidateList>
        <item>》第</item>
      </candidateList>
      <explain/>
      <paraID>614A3FAC</paraID>
      <start>491</start>
      <end>492</end>
      <status>unmodified</status>
      <modifiedWord/>
      <trackRevisions>false</trackRevisions>
    </reviewItem>
    <reviewItem>
      <errorID>8ca75646-9bad-4afb-8ab3-6af8efd1138b</errorID>
      <errorWord>:</errorWord>
      <group>L1_Format</group>
      <groupName>格式问题</groupName>
      <ability>L2_HalfPunc_CN</ability>
      <abilityName/>
      <candidateList>
        <item>：</item>
      </candidateList>
      <explain>文本全半角错误。</explain>
      <paraID> 1B3C3B5</paraID>
      <start>2</start>
      <end>3</end>
      <status>unmodified</status>
      <modifiedWord/>
      <trackRevisions>false</trackRevisions>
    </reviewItem>
    <reviewItem>
      <errorID>65d59218-b4b6-4d94-8835-ee4466e3c72e</errorID>
      <errorWord>》</errorWord>
      <group>L1_Word</group>
      <groupName>字词问题</groupName>
      <ability>L2_Typo</ability>
      <abilityName>字词错误</abilityName>
      <candidateList>
        <item>》第</item>
      </candidateList>
      <explain/>
      <paraID>3111AC7D</paraID>
      <start>37</start>
      <end>38</end>
      <status>unmodified</status>
      <modifiedWord/>
      <trackRevisions>false</trackRevisions>
    </reviewItem>
    <reviewItem>
      <errorID>7c9d0dba-0ecb-44e9-a8fa-85c38d939757</errorID>
      <errorWord>,</errorWord>
      <group>L1_Format</group>
      <groupName>格式问题</groupName>
      <ability>L2_HalfPunc_CN</ability>
      <abilityName/>
      <candidateList>
        <item>，</item>
      </candidateList>
      <explain>文本全半角错误。</explain>
      <paraID>614971FE</paraID>
      <start>45</start>
      <end>46</end>
      <status>unmodified</status>
      <modifiedWord/>
      <trackRevisions>false</trackRevisions>
    </reviewItem>
    <reviewItem>
      <errorID>ced0bca6-904e-449d-b658-94a02fe9edfc</errorID>
      <errorWord>,</errorWord>
      <group>L1_Format</group>
      <groupName>格式问题</groupName>
      <ability>L2_HalfPunc_CN</ability>
      <abilityName/>
      <candidateList>
        <item>，</item>
      </candidateList>
      <explain>文本全半角错误。</explain>
      <paraID>614971FE</paraID>
      <start>70</start>
      <end>71</end>
      <status>unmodified</status>
      <modifiedWord/>
      <trackRevisions>false</trackRevisions>
    </reviewItem>
    <reviewItem>
      <errorID>0b698110-b1b2-4de2-83e6-e83dadeaa9da</errorID>
      <errorWord>充抵</errorWord>
      <group>L1_Word</group>
      <groupName>字词问题</groupName>
      <ability>L2_Typo</ability>
      <abilityName>字词错误</abilityName>
      <candidateList>
        <item>冲抵</item>
      </candidateList>
      <explain/>
      <paraID>5E37A618</paraID>
      <start>44</start>
      <end>46</end>
      <status>unmodified</status>
      <modifiedWord/>
      <trackRevisions>false</trackRevisions>
    </reviewItem>
    <reviewItem>
      <errorID>18da2918-80ee-4ccd-90d4-a1db9da9c351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5E37A618</paraID>
      <start>61</start>
      <end>63</end>
      <status>unmodified</status>
      <modifiedWord/>
      <trackRevisions>false</trackRevisions>
    </reviewItem>
    <reviewItem>
      <errorID>358fe705-57b3-4ab0-ad5a-f07e42c10190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35DDEF56</paraID>
      <start>16</start>
      <end>18</end>
      <status>unmodified</status>
      <modifiedWord/>
      <trackRevisions>false</trackRevisions>
    </reviewItem>
    <reviewItem>
      <errorID>8470ea8f-efea-4933-9e2e-cfb0eff5bd22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69D95E05</paraID>
      <start>29</start>
      <end>31</end>
      <status>unmodified</status>
      <modifiedWord/>
      <trackRevisions>false</trackRevisions>
    </reviewItem>
    <reviewItem>
      <errorID>37e0cc9e-5c3c-456b-9440-67269375ce2e</errorID>
      <errorWord>作整改</errorWord>
      <group>L1_Word</group>
      <groupName>字词问题</groupName>
      <ability>L2_Alias</ability>
      <abilityName>也作/曾用词</abilityName>
      <candidateList>
        <item>做整改</item>
      </candidateList>
      <explain>词汇[作整改]为不规范表述或旧称，其规范书面表述为[做整改]。</explain>
      <paraID>69D95E05</paraID>
      <start>36</start>
      <end>39</end>
      <status>unmodified</status>
      <modifiedWord/>
      <trackRevisions>false</trackRevisions>
    </reviewItem>
    <reviewItem>
      <errorID>b8dc6655-76e2-4b8c-8973-c76832ae320a</errorID>
      <errorWord>运入</errorWord>
      <group>L1_Word</group>
      <groupName>字词问题</groupName>
      <ability>L2_Typo</ability>
      <abilityName>字词错误</abilityName>
      <candidateList>
        <item>进入</item>
      </candidateList>
      <explain>〈动〉支进到某个范围或某个时期里：～学校｜～新阶段◇～角色。</explain>
      <paraID>3DBB3C9E</paraID>
      <start>37</start>
      <end>39</end>
      <status>unmodified</status>
      <modifiedWord/>
      <trackRevisions>false</trackRevisions>
    </reviewItem>
    <reviewItem>
      <errorID>55562018-335f-4d66-b392-5a41c1e70914</errorID>
      <errorWord>》</errorWord>
      <group>L1_Word</group>
      <groupName>字词问题</groupName>
      <ability>L2_Typo</ability>
      <abilityName>字词错误</abilityName>
      <candidateList>
        <item>》第</item>
      </candidateList>
      <explain/>
      <paraID>23346643</paraID>
      <start>24</start>
      <end>25</end>
      <status>unmodified</status>
      <modifiedWord/>
      <trackRevisions>false</trackRevisions>
    </reviewItem>
    <reviewItem>
      <errorID>38d046c1-474e-4c94-a93e-369c09f73a44</errorID>
      <errorWord>:</errorWord>
      <group>L1_Format</group>
      <groupName>格式问题</groupName>
      <ability>L2_HalfPunc_CN</ability>
      <abilityName/>
      <candidateList>
        <item>：</item>
      </candidateList>
      <explain>文本全半角错误。</explain>
      <paraID>5F527B6E</paraID>
      <start>13</start>
      <end>14</end>
      <status>unmodified</status>
      <modifiedWord/>
      <trackRevisions>false</trackRevisions>
    </reviewItem>
    <reviewItem>
      <errorID>a4e150f5-132b-4289-9ccb-6a0fe774bef8</errorID>
      <errorWord>:</errorWord>
      <group>L1_Format</group>
      <groupName>格式问题</groupName>
      <ability>L2_HalfPunc_CN</ability>
      <abilityName/>
      <candidateList>
        <item>：</item>
      </candidateList>
      <explain>文本全半角错误。</explain>
      <paraID>21BB4C75</paraID>
      <start>9</start>
      <end>10</end>
      <status>unmodified</status>
      <modifiedWord/>
      <trackRevisions>false</trackRevisions>
    </reviewItem>
    <reviewItem>
      <errorID>9265a27a-6569-48b3-bd01-f87cbcb0bdfd</errorID>
      <errorWord>：/。</errorWord>
      <group>L1_Punc</group>
      <groupName>标点问题</groupName>
      <ability>L2_Punc_CN</ability>
      <abilityName/>
      <candidateList>
        <item>：</item>
      </candidateList>
      <explain/>
      <paraID>4CC582CE</paraID>
      <start>9</start>
      <end>12</end>
      <status>unmodified</status>
      <modifiedWord/>
      <trackRevisions>false</trackRevisions>
    </reviewItem>
    <reviewItem>
      <errorID>a8b07f60-b47f-41a9-95eb-93fd07edd91d</errorID>
      <errorWord>,</errorWord>
      <group>L1_Format</group>
      <groupName>格式问题</groupName>
      <ability>L2_HalfPunc_CN</ability>
      <abilityName/>
      <candidateList>
        <item>，</item>
      </candidateList>
      <explain>文本全半角错误。</explain>
      <paraID>1EE10847</paraID>
      <start>57</start>
      <end>58</end>
      <status>unmodified</status>
      <modifiedWord/>
      <trackRevisions>false</trackRevisions>
    </reviewItem>
    <reviewItem>
      <errorID>fd4aa662-9f32-4b37-8381-12e509c997b5</errorID>
      <errorWord>）</errorWord>
      <group>L1_Punc</group>
      <groupName>标点问题</groupName>
      <ability>L2_Punc_CN</ability>
      <abilityName/>
      <candidateList/>
      <explain>此处标点可能未正确匹配，请检查句子中是否存在标点冗余、缺失或使用错误的情况。</explain>
      <paraID>3BE4D216</paraID>
      <start>122</start>
      <end>123</end>
      <status>unmodified</status>
      <modifiedWord/>
      <trackRevisions>false</trackRevisions>
    </reviewItem>
    <reviewItem>
      <errorID>fe6457c3-e800-46eb-a715-a1a7331d0b74</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48D40FB5</paraID>
      <start>18</start>
      <end>25</end>
      <status>unmodified</status>
      <modifiedWord/>
      <trackRevisions>false</trackRevisions>
    </reviewItem>
    <reviewItem>
      <errorID>345d2bab-9097-4b10-88b1-2c08b8d77a00</errorID>
      <errorWord>其它</errorWord>
      <group>L1_Word</group>
      <groupName>字词问题</groupName>
      <ability>L2_Alias</ability>
      <abilityName>也作/曾用词</abilityName>
      <candidateList>
        <item>其他</item>
      </candidateList>
      <explain>词汇[其它]为不规范表述或旧称，其规范书面表述为[其他]。</explain>
      <paraID>2B7F8866</paraID>
      <start>15</start>
      <end>18</end>
      <status>unmodified</status>
      <modifiedWord/>
      <trackRevisions>false</trackRevisions>
    </reviewItem>
    <reviewItem>
      <errorID>12660ec6-eb75-4591-9e20-38e80b0024d4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622C1904</paraID>
      <start>0</start>
      <end>3</end>
      <status>unmodified</status>
      <modifiedWord/>
      <trackRevisions>false</trackRevisions>
    </reviewItem>
    <reviewItem>
      <errorID>ec9c88cb-0444-49a1-aeaf-765f19508b8d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622FB310</paraID>
      <start>0</start>
      <end>3</end>
      <status>unmodified</status>
      <modifiedWord/>
      <trackRevisions>false</trackRevisions>
    </reviewItem>
    <reviewItem>
      <errorID>79fa95a9-b1d1-4828-b174-8239f93471b0</errorID>
      <errorWord>签</errorWord>
      <group>L1_Word</group>
      <groupName>字词问题</groupName>
      <ability>L2_Typo</ability>
      <abilityName>字词错误</abilityName>
      <candidateList>
        <item>签订</item>
      </candidateList>
      <explain>〈动〉订立条约或合同并签字：两国～了贸易议定书和支付协定。</explain>
      <paraID>258CF7EE</paraID>
      <start>35</start>
      <end>36</end>
      <status>unmodified</status>
      <modifiedWord/>
      <trackRevisions>false</trackRevisions>
    </reviewItem>
    <reviewItem>
      <errorID>c8582e3c-204c-47c5-9aa0-9f8c3cf20c10</errorID>
      <errorWord>完</errorWord>
      <group>L1_Word</group>
      <groupName>字词问题</groupName>
      <ability>L2_Typo</ability>
      <abilityName>字词错误</abilityName>
      <candidateList>
        <item>完成</item>
      </candidateList>
      <explain>〈动〉按照预期的目的结束；做成：～任务｜～作业｜计划完得成。</explain>
      <paraID>217FA80D</paraID>
      <start>43</start>
      <end>44</end>
      <status>unmodified</status>
      <modifiedWord/>
      <trackRevisions>false</trackRevisions>
    </reviewItem>
    <reviewItem>
      <errorID>1e253822-5696-4cb0-93a4-7abfd6b9f36c</errorID>
      <errorWord>，</errorWord>
      <group>L1_Word</group>
      <groupName>字词问题</groupName>
      <ability>L2_Typo</ability>
      <abilityName>字词错误</abilityName>
      <candidateList>
        <item>，由</item>
      </candidateList>
      <explain/>
      <paraID>459C2A6F</paraID>
      <start>59</start>
      <end>60</end>
      <status>unmodified</status>
      <modifiedWord/>
      <trackRevisions>false</trackRevisions>
    </reviewItem>
    <reviewItem>
      <errorID>1f4f602a-1164-4b8a-a214-a43ee1b544f8</errorID>
      <errorWord>施行</errorWord>
      <group>L1_Word</group>
      <groupName>字词问题</groupName>
      <ability>L2_Typo</ability>
      <abilityName>字词错误</abilityName>
      <candidateList>
        <item>实行</item>
      </candidateList>
      <explain>〈动〉用行动来实现（纲领、政策、计划等）：～改革｜～承包责任制。</explain>
      <paraID>4A5D682D</paraID>
      <start>64</start>
      <end>66</end>
      <status>unmodified</status>
      <modifiedWord/>
      <trackRevisions>false</trackRevisions>
    </reviewItem>
    <reviewItem>
      <errorID>7b646def-b340-4dc3-9e2e-d6741c9138b9</errorID>
      <errorWord>:</errorWord>
      <group>L1_Format</group>
      <groupName>格式问题</groupName>
      <ability>L2_HalfPunc_CN</ability>
      <abilityName/>
      <candidateList>
        <item>：</item>
      </candidateList>
      <explain>文本全半角错误。</explain>
      <paraID>6CA87CDF</paraID>
      <start>17</start>
      <end>18</end>
      <status>unmodified</status>
      <modifiedWord/>
      <trackRevisions>false</trackRevisions>
    </reviewItem>
    <reviewItem>
      <errorID>dbf78b85-38da-4ffc-99fd-ec99cf7af951</errorID>
      <errorWord>(</errorWord>
      <group>L1_Format</group>
      <groupName>格式问题</groupName>
      <ability>L2_HalfPunc_CN</ability>
      <abilityName/>
      <candidateList>
        <item>（</item>
      </candidateList>
      <explain>文本全半角错误。</explain>
      <paraID>606E282A</paraID>
      <start>38</start>
      <end>39</end>
      <status>unmodified</status>
      <modifiedWord/>
      <trackRevisions>false</trackRevisions>
    </reviewItem>
    <reviewItem>
      <errorID>8f9e126b-b51f-4beb-ba12-8068a8b9d053</errorID>
      <errorWord>)</errorWord>
      <group>L1_Format</group>
      <groupName>格式问题</groupName>
      <ability>L2_HalfPunc_CN</ability>
      <abilityName/>
      <candidateList>
        <item>）</item>
      </candidateList>
      <explain>文本全半角错误。</explain>
      <paraID>606E282A</paraID>
      <start>40</start>
      <end>41</end>
      <status>unmodified</status>
      <modifiedWord/>
      <trackRevisions>false</trackRevisions>
    </reviewItem>
    <reviewItem>
      <errorID>edc188df-5c15-45f8-b014-dae02e3ec9ed</errorID>
      <errorWord>按</errorWord>
      <group>L1_Word</group>
      <groupName>字词问题</groupName>
      <ability>L2_Typo</ability>
      <abilityName>字词错误</abilityName>
      <candidateList>
        <item/>
      </candidateList>
      <explain/>
      <paraID>27F1CF96</paraID>
      <start>16</start>
      <end>17</end>
      <status>unmodified</status>
      <modifiedWord/>
      <trackRevisions>false</trackRevisions>
    </reviewItem>
    <reviewItem>
      <errorID>ccf7b152-e5da-4e72-8f54-172f226e8e11</errorID>
      <errorWord>其它按</errorWord>
      <group>L1_Word</group>
      <groupName>字词问题</groupName>
      <ability>L2_Alias</ability>
      <abilityName>也作/曾用词</abilityName>
      <candidateList>
        <item>其他按</item>
      </candidateList>
      <explain>词汇[其它按]为不规范表述或旧称，其规范书面表述为[其他按]。</explain>
      <paraID>366C896D</paraID>
      <start>66</start>
      <end>69</end>
      <status>unmodified</status>
      <modifiedWord/>
      <trackRevisions>false</trackRevisions>
    </reviewItem>
    <reviewItem>
      <errorID>53799cda-4022-46ac-af7a-2208db94ff91</errorID>
      <errorWord>》</errorWord>
      <group>L1_Word</group>
      <groupName>字词问题</groupName>
      <ability>L2_Typo</ability>
      <abilityName>字词错误</abilityName>
      <candidateList>
        <item>》第</item>
      </candidateList>
      <explain/>
      <paraID>366C896D</paraID>
      <start>76</start>
      <end>77</end>
      <status>unmodified</status>
      <modifiedWord/>
      <trackRevisions>false</trackRevisions>
    </reviewItem>
    <reviewItem>
      <errorID>02679bd7-8a56-490b-810c-fbda48970dff</errorID>
      <errorWord>(</errorWord>
      <group>L1_Format</group>
      <groupName>格式问题</groupName>
      <ability>L2_HalfPunc_CN</ability>
      <abilityName/>
      <candidateList>
        <item>（</item>
      </candidateList>
      <explain>文本全半角错误。</explain>
      <paraID>4C10B849</paraID>
      <start>14</start>
      <end>15</end>
      <status>unmodified</status>
      <modifiedWord/>
      <trackRevisions>false</trackRevisions>
    </reviewItem>
    <reviewItem>
      <errorID>20c0ee11-a945-47e2-906b-722108d184a1</errorID>
      <errorWord>)</errorWord>
      <group>L1_Format</group>
      <groupName>格式问题</groupName>
      <ability>L2_HalfPunc_CN</ability>
      <abilityName/>
      <candidateList>
        <item>）</item>
      </candidateList>
      <explain>文本全半角错误。</explain>
      <paraID>4C10B849</paraID>
      <start>24</start>
      <end>25</end>
      <status>unmodified</status>
      <modifiedWord/>
      <trackRevisions>false</trackRevisions>
    </reviewItem>
    <reviewItem>
      <errorID>cf2631e6-e958-4760-8292-7f21e8d65748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2F767E27</paraID>
      <start>0</start>
      <end>2</end>
      <status>unmodified</status>
      <modifiedWord/>
      <trackRevisions>false</trackRevisions>
    </reviewItem>
    <reviewItem>
      <errorID>16c0502a-c4f6-4cca-aeb8-314646a91dbf</errorID>
      <errorWord>:</errorWord>
      <group>L1_Format</group>
      <groupName>格式问题</groupName>
      <ability>L2_HalfPunc_CN</ability>
      <abilityName/>
      <candidateList>
        <item>：</item>
      </candidateList>
      <explain>文本全半角错误。</explain>
      <paraID>6C0BC912</paraID>
      <start>9</start>
      <end>10</end>
      <status>unmodified</status>
      <modifiedWord/>
      <trackRevisions>false</trackRevisions>
    </reviewItem>
    <reviewItem>
      <errorID>e040cab5-6199-4e15-8d1d-fb4a87e7d50b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77566F22</paraID>
      <start>0</start>
      <end>3</end>
      <status>unmodified</status>
      <modifiedWord/>
      <trackRevisions>false</trackRevisions>
    </reviewItem>
    <reviewItem>
      <errorID>a4629f45-48c1-4f1a-9cd3-987b01829e1c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1E44DEE1</paraID>
      <start>0</start>
      <end>3</end>
      <status>unmodified</status>
      <modifiedWord/>
      <trackRevisions>false</trackRevisions>
    </reviewItem>
    <reviewItem>
      <errorID>cdc7d036-3b63-43ef-a830-4e32bd532831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474CE735</paraID>
      <start>0</start>
      <end>3</end>
      <status>unmodified</status>
      <modifiedWord/>
      <trackRevisions>false</trackRevisions>
    </reviewItem>
    <reviewItem>
      <errorID>0dbdc769-4607-4b28-8f42-34e0ad4696ca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284AE83E</paraID>
      <start>0</start>
      <end>3</end>
      <status>unmodified</status>
      <modifiedWord/>
      <trackRevisions>false</trackRevisions>
    </reviewItem>
    <reviewItem>
      <errorID>c7ee0f9b-1978-44e0-bdd4-723be868140b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7C2B205E</paraID>
      <start>0</start>
      <end>3</end>
      <status>unmodified</status>
      <modifiedWord/>
      <trackRevisions>false</trackRevisions>
    </reviewItem>
    <reviewItem>
      <errorID>62be6bb5-d27c-47a5-a9c5-7e3b9986ef6c</errorID>
      <errorWord>(</errorWord>
      <group>L1_Format</group>
      <groupName>格式问题</groupName>
      <ability>L2_HalfPunc_CN</ability>
      <abilityName/>
      <candidateList>
        <item>（</item>
      </candidateList>
      <explain>文本全半角错误。</explain>
      <paraID>51F80D79</paraID>
      <start>125</start>
      <end>126</end>
      <status>unmodified</status>
      <modifiedWord/>
      <trackRevisions>false</trackRevisions>
    </reviewItem>
    <reviewItem>
      <errorID>56d937a0-b243-4945-aba7-17e6ec32ffce</errorID>
      <errorWord>(2023)6号</errorWord>
      <group>L1_Knowledge</group>
      <groupName>知识性问题</groupName>
      <ability>L2_Knowledge</ability>
      <abilityName>其他知识</abilityName>
      <candidateList>
        <item>〔2023〕6号</item>
      </candidateList>
      <explain>发文字号格式错误。</explain>
      <paraID>51F80D79</paraID>
      <start>129</start>
      <end>137</end>
      <status>unmodified</status>
      <modifiedWord/>
      <trackRevisions>false</trackRevisions>
    </reviewItem>
    <reviewItem>
      <errorID>7bea318e-ebd4-42c5-847c-a62163ee27eb</errorID>
      <errorWord>)</errorWord>
      <group>L1_Format</group>
      <groupName>格式问题</groupName>
      <ability>L2_HalfPunc_CN</ability>
      <abilityName/>
      <candidateList>
        <item>）</item>
      </candidateList>
      <explain>文本全半角错误。</explain>
      <paraID>51F80D79</paraID>
      <start>137</start>
      <end>138</end>
      <status>unmodified</status>
      <modifiedWord/>
      <trackRevisions>false</trackRevisions>
    </reviewItem>
    <reviewItem>
      <errorID>76a40d14-0dec-4ddf-85e5-56aaac159c4b</errorID>
      <errorWord>。</errorWord>
      <group>L1_Punc</group>
      <groupName>标点问题</groupName>
      <ability>L2_Punc_CN</ability>
      <abilityName/>
      <candidateList/>
      <explain/>
      <paraID>183E259B</paraID>
      <start>156</start>
      <end>157</end>
      <status>unmodified</status>
      <modifiedWord/>
      <trackRevisions>false</trackRevisions>
    </reviewItem>
    <reviewItem>
      <errorID>7ad1c9fe-c2ff-4063-a363-403c10c18123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57333D1C</paraID>
      <start>0</start>
      <end>2</end>
      <status>unmodified</status>
      <modifiedWord/>
      <trackRevisions>false</trackRevisions>
    </reviewItem>
    <reviewItem>
      <errorID>10c2c222-37ac-4922-9d4b-d65f42c28851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15273E56</paraID>
      <start>0</start>
      <end>2</end>
      <status>unmodified</status>
      <modifiedWord/>
      <trackRevisions>false</trackRevisions>
    </reviewItem>
    <reviewItem>
      <errorID>730bfc95-9f57-4513-8771-7e9dda96320b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530F362D</paraID>
      <start>0</start>
      <end>2</end>
      <status>unmodified</status>
      <modifiedWord/>
      <trackRevisions>false</trackRevisions>
    </reviewItem>
    <reviewItem>
      <errorID>1affc744-0fa6-44e3-b5c5-5ef286ef6bcf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3506FD3C</paraID>
      <start>0</start>
      <end>2</end>
      <status>unmodified</status>
      <modifiedWord/>
      <trackRevisions>false</trackRevisions>
    </reviewItem>
    <reviewItem>
      <errorID>86359717-40c5-47f1-9b7e-57e3d3241536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3EE68277</paraID>
      <start>0</start>
      <end>2</end>
      <status>unmodified</status>
      <modifiedWord/>
      <trackRevisions>false</trackRevisions>
    </reviewItem>
    <reviewItem>
      <errorID>39050226-ebc8-4b4f-8ac8-6248a876b6b0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27D3A52F</paraID>
      <start>0</start>
      <end>2</end>
      <status>unmodified</status>
      <modifiedWord/>
      <trackRevisions>false</trackRevisions>
    </reviewItem>
    <reviewItem>
      <errorID>3ed9a710-9351-45a2-9114-afecb8c775c5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8F5FF24</paraID>
      <start>0</start>
      <end>2</end>
      <status>unmodified</status>
      <modifiedWord/>
      <trackRevisions>false</trackRevisions>
    </reviewItem>
    <reviewItem>
      <errorID>052da164-e464-4c5c-8f23-2e38086b49a1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4B5F0833</paraID>
      <start>0</start>
      <end>2</end>
      <status>unmodified</status>
      <modifiedWord/>
      <trackRevisions>false</trackRevisions>
    </reviewItem>
    <reviewItem>
      <errorID>f6f08739-c4b7-42eb-85d0-46060f96b1f9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6B32023F</paraID>
      <start>0</start>
      <end>2</end>
      <status>unmodified</status>
      <modifiedWord/>
      <trackRevisions>false</trackRevisions>
    </reviewItem>
    <reviewItem>
      <errorID>87a69fb4-f02b-49cf-8c56-3b6792a9cd16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52EAA3D1</paraID>
      <start>0</start>
      <end>2</end>
      <status>unmodified</status>
      <modifiedWord/>
      <trackRevisions>false</trackRevisions>
    </reviewItem>
    <reviewItem>
      <errorID>1ed0ac16-e850-47e9-b1ec-2919325c074c</errorID>
      <errorWord>，</errorWord>
      <group>L1_Word</group>
      <groupName>字词问题</groupName>
      <ability>L2_Typo</ability>
      <abilityName>字词错误</abilityName>
      <candidateList>
        <item>，由</item>
      </candidateList>
      <explain/>
      <paraID>52EAA3D1</paraID>
      <start>92</start>
      <end>93</end>
      <status>unmodified</status>
      <modifiedWord/>
      <trackRevisions>false</trackRevisions>
    </reviewItem>
    <reviewItem>
      <errorID>2d924b7e-4d71-4a22-8d1b-87c00ebcee97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28F52CCD</paraID>
      <start>0</start>
      <end>2</end>
      <status>unmodified</status>
      <modifiedWord/>
      <trackRevisions>false</trackRevisions>
    </reviewItem>
    <reviewItem>
      <errorID>08e2a4bf-350c-4755-84ee-eb6b659aafc1</errorID>
      <errorWord>承担的</errorWord>
      <group>L1_Word</group>
      <groupName>字词问题</groupName>
      <ability>L2_Typo</ability>
      <abilityName>字词错误</abilityName>
      <candidateList>
        <item>承担</item>
      </candidateList>
      <explain>〈动〉担负；担当：～义务｜～责任。</explain>
      <paraID>368BF693</paraID>
      <start>33</start>
      <end>36</end>
      <status>unmodified</status>
      <modifiedWord/>
      <trackRevisions>false</trackRevisions>
    </reviewItem>
    <reviewItem>
      <errorID>47bda677-b6fd-4b64-a15e-f92f77b1d2fd</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42604044</paraID>
      <start>23</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4d1767-8c32-46ea-9db3-6113ab6f543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124</Pages>
  <Words>12677</Words>
  <Characters>13668</Characters>
  <TotalTime>21</TotalTime>
  <ScaleCrop>false</ScaleCrop>
  <LinksUpToDate>false</LinksUpToDate>
  <CharactersWithSpaces>13770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2024-03-04T09:03:00Z</dcterms:created>
  <dc:creator>唐冰</dc:creator>
  <cp:lastModifiedBy>甘建程</cp:lastModifiedBy>
  <dcterms:modified xsi:type="dcterms:W3CDTF">2026-06-29T07:18:27Z</dcterms:modified>
  <dc:title>竞争性谈判文件规范</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E112F0ADBB2D4E24902D8E18DC350EE3_13</vt:lpwstr>
  </property>
  <property fmtid="{D5CDD505-2E9C-101B-9397-08002B2CF9AE}" pid="4" name="KSOTemplateDocerSaveRecord">
    <vt:lpwstr>eyJoZGlkIjoiOGI4NTEzMTgwNmEyMDRmNDFlOTA4MTRkNTI5NTQ4OTgiLCJ1c2VySWQiOiI1Mzk1MzQ5MTMifQ==</vt:lpwstr>
  </property>
</Properties>
</file>