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19B3E8">
      <w:pPr>
        <w:spacing w:line="360" w:lineRule="auto"/>
        <w:jc w:val="center"/>
        <w:rPr>
          <w:rFonts w:hint="eastAsia" w:ascii="方正小标宋简体" w:hAnsi="宋体" w:eastAsia="方正小标宋简体"/>
          <w:color w:val="000000" w:themeColor="text1"/>
          <w:sz w:val="52"/>
          <w:szCs w:val="52"/>
          <w:highlight w:val="none"/>
          <w14:textFill>
            <w14:solidFill>
              <w14:schemeClr w14:val="tx1"/>
            </w14:solidFill>
          </w14:textFill>
        </w:rPr>
      </w:pPr>
      <w:bookmarkStart w:id="238" w:name="_GoBack"/>
    </w:p>
    <w:p w14:paraId="5317BEBF">
      <w:pPr>
        <w:spacing w:line="360" w:lineRule="auto"/>
        <w:jc w:val="center"/>
        <w:rPr>
          <w:rFonts w:hint="eastAsia" w:ascii="方正小标宋简体" w:hAnsi="方正小标宋简体" w:eastAsia="方正小标宋简体" w:cs="方正小标宋简体"/>
          <w:color w:val="000000" w:themeColor="text1"/>
          <w:sz w:val="52"/>
          <w:szCs w:val="52"/>
          <w:highlight w:val="none"/>
          <w14:textFill>
            <w14:solidFill>
              <w14:schemeClr w14:val="tx1"/>
            </w14:solidFill>
          </w14:textFill>
        </w:rPr>
      </w:pPr>
      <w:r>
        <w:rPr>
          <w:rFonts w:hint="eastAsia" w:ascii="方正小标宋简体" w:hAnsi="宋体" w:eastAsia="方正小标宋简体"/>
          <w:color w:val="000000" w:themeColor="text1"/>
          <w:sz w:val="52"/>
          <w:szCs w:val="52"/>
          <w:highlight w:val="none"/>
          <w14:textFill>
            <w14:solidFill>
              <w14:schemeClr w14:val="tx1"/>
            </w14:solidFill>
          </w14:textFill>
        </w:rPr>
        <w:t>云之龙咨询集团有限公司</w:t>
      </w:r>
    </w:p>
    <w:p w14:paraId="50FD7BC7">
      <w:pPr>
        <w:spacing w:line="360" w:lineRule="auto"/>
        <w:jc w:val="center"/>
        <w:rPr>
          <w:rFonts w:hint="eastAsia" w:ascii="方正小标宋简体" w:hAnsi="方正小标宋简体" w:eastAsia="方正小标宋简体" w:cs="方正小标宋简体"/>
          <w:b/>
          <w:color w:val="000000" w:themeColor="text1"/>
          <w:sz w:val="44"/>
          <w:szCs w:val="44"/>
          <w:highlight w:val="none"/>
          <w14:textFill>
            <w14:solidFill>
              <w14:schemeClr w14:val="tx1"/>
            </w14:solidFill>
          </w14:textFill>
        </w:rPr>
      </w:pPr>
    </w:p>
    <w:p w14:paraId="27826BB1">
      <w:pPr>
        <w:spacing w:before="156" w:line="360" w:lineRule="auto"/>
        <w:jc w:val="center"/>
        <w:rPr>
          <w:rFonts w:hint="eastAsia" w:ascii="华文新魏" w:hAnsi="宋体" w:eastAsia="华文新魏"/>
          <w:color w:val="000000" w:themeColor="text1"/>
          <w:sz w:val="120"/>
          <w:szCs w:val="120"/>
          <w:highlight w:val="none"/>
          <w14:textFill>
            <w14:solidFill>
              <w14:schemeClr w14:val="tx1"/>
            </w14:solidFill>
          </w14:textFill>
        </w:rPr>
      </w:pPr>
      <w:r>
        <w:rPr>
          <w:rFonts w:hint="eastAsia" w:ascii="华文新魏" w:hAnsi="宋体" w:eastAsia="华文新魏"/>
          <w:color w:val="000000" w:themeColor="text1"/>
          <w:sz w:val="120"/>
          <w:szCs w:val="120"/>
          <w:highlight w:val="none"/>
          <w14:textFill>
            <w14:solidFill>
              <w14:schemeClr w14:val="tx1"/>
            </w14:solidFill>
          </w14:textFill>
        </w:rPr>
        <w:t>竞争性磋商文件</w:t>
      </w:r>
    </w:p>
    <w:p w14:paraId="516A3C71">
      <w:pPr>
        <w:spacing w:before="156" w:line="360" w:lineRule="auto"/>
        <w:jc w:val="center"/>
        <w:rPr>
          <w:rFonts w:hint="eastAsia" w:ascii="仿宋_GB2312" w:hAnsi="宋体" w:eastAsia="仿宋_GB2312"/>
          <w:b/>
          <w:color w:val="000000" w:themeColor="text1"/>
          <w:sz w:val="30"/>
          <w:szCs w:val="72"/>
          <w:highlight w:val="none"/>
          <w14:textFill>
            <w14:solidFill>
              <w14:schemeClr w14:val="tx1"/>
            </w14:solidFill>
          </w14:textFill>
        </w:rPr>
      </w:pPr>
      <w:r>
        <w:rPr>
          <w:rFonts w:hint="eastAsia" w:ascii="仿宋_GB2312" w:hAnsi="宋体" w:eastAsia="仿宋_GB2312"/>
          <w:b/>
          <w:color w:val="000000" w:themeColor="text1"/>
          <w:sz w:val="48"/>
          <w:szCs w:val="48"/>
          <w:highlight w:val="none"/>
          <w14:textFill>
            <w14:solidFill>
              <w14:schemeClr w14:val="tx1"/>
            </w14:solidFill>
          </w14:textFill>
        </w:rPr>
        <w:t>（全流程电子化采购）</w:t>
      </w:r>
    </w:p>
    <w:p w14:paraId="739D9E67">
      <w:pPr>
        <w:spacing w:line="360" w:lineRule="auto"/>
        <w:rPr>
          <w:rFonts w:hint="eastAsia" w:ascii="仿宋_GB2312" w:hAnsi="宋体" w:eastAsia="仿宋_GB2312"/>
          <w:color w:val="000000" w:themeColor="text1"/>
          <w:sz w:val="30"/>
          <w:szCs w:val="72"/>
          <w:highlight w:val="none"/>
          <w14:textFill>
            <w14:solidFill>
              <w14:schemeClr w14:val="tx1"/>
            </w14:solidFill>
          </w14:textFill>
        </w:rPr>
      </w:pPr>
    </w:p>
    <w:p w14:paraId="00D2D014">
      <w:pPr>
        <w:pStyle w:val="24"/>
        <w:spacing w:line="360" w:lineRule="auto"/>
        <w:ind w:firstLine="904"/>
        <w:rPr>
          <w:rFonts w:hint="eastAsia" w:ascii="仿宋_GB2312" w:hAnsi="宋体" w:eastAsia="仿宋_GB2312"/>
          <w:b/>
          <w:bCs/>
          <w:color w:val="000000" w:themeColor="text1"/>
          <w:sz w:val="30"/>
          <w:szCs w:val="30"/>
          <w:highlight w:val="none"/>
          <w:lang w:eastAsia="zh-CN"/>
          <w14:textFill>
            <w14:solidFill>
              <w14:schemeClr w14:val="tx1"/>
            </w14:solidFill>
          </w14:textFill>
        </w:rPr>
      </w:pPr>
      <w:r>
        <w:rPr>
          <w:rFonts w:hint="eastAsia" w:ascii="仿宋_GB2312" w:hAnsi="宋体" w:eastAsia="仿宋_GB2312"/>
          <w:b/>
          <w:bCs/>
          <w:color w:val="000000" w:themeColor="text1"/>
          <w:sz w:val="30"/>
          <w:szCs w:val="30"/>
          <w:highlight w:val="none"/>
          <w14:textFill>
            <w14:solidFill>
              <w14:schemeClr w14:val="tx1"/>
            </w14:solidFill>
          </w14:textFill>
        </w:rPr>
        <w:t>项目</w:t>
      </w:r>
      <w:r>
        <w:rPr>
          <w:rFonts w:hint="eastAsia" w:ascii="仿宋_GB2312" w:hAnsi="宋体" w:eastAsia="仿宋_GB2312" w:cs="Courier New"/>
          <w:b/>
          <w:bCs/>
          <w:color w:val="000000" w:themeColor="text1"/>
          <w:sz w:val="30"/>
          <w:szCs w:val="30"/>
          <w:highlight w:val="none"/>
          <w14:textFill>
            <w14:solidFill>
              <w14:schemeClr w14:val="tx1"/>
            </w14:solidFill>
          </w14:textFill>
        </w:rPr>
        <w:t>名称</w:t>
      </w:r>
      <w:r>
        <w:rPr>
          <w:rFonts w:hint="eastAsia" w:ascii="仿宋_GB2312" w:hAnsi="宋体" w:eastAsia="仿宋_GB2312"/>
          <w:b/>
          <w:bCs/>
          <w:color w:val="000000" w:themeColor="text1"/>
          <w:sz w:val="30"/>
          <w:szCs w:val="30"/>
          <w:highlight w:val="none"/>
          <w14:textFill>
            <w14:solidFill>
              <w14:schemeClr w14:val="tx1"/>
            </w14:solidFill>
          </w14:textFill>
        </w:rPr>
        <w:t>：</w:t>
      </w:r>
      <w:r>
        <w:rPr>
          <w:rFonts w:hint="eastAsia" w:ascii="仿宋_GB2312" w:hAnsi="宋体" w:eastAsia="仿宋_GB2312"/>
          <w:b/>
          <w:bCs/>
          <w:color w:val="000000" w:themeColor="text1"/>
          <w:sz w:val="30"/>
          <w:szCs w:val="30"/>
          <w:highlight w:val="none"/>
          <w:lang w:eastAsia="zh-CN"/>
          <w14:textFill>
            <w14:solidFill>
              <w14:schemeClr w14:val="tx1"/>
            </w14:solidFill>
          </w14:textFill>
        </w:rPr>
        <w:t>2026年第一批扩大学前教育资源奖补资金项目平南县大安镇中心幼儿园教学楼综合楼维修、综合活动场地项目</w:t>
      </w:r>
    </w:p>
    <w:p w14:paraId="32855014">
      <w:pPr>
        <w:spacing w:line="360" w:lineRule="auto"/>
        <w:ind w:firstLine="859"/>
        <w:rPr>
          <w:rFonts w:hint="eastAsia" w:ascii="仿宋_GB2312" w:hAnsi="宋体" w:eastAsia="仿宋_GB2312"/>
          <w:color w:val="000000" w:themeColor="text1"/>
          <w:sz w:val="30"/>
          <w:szCs w:val="72"/>
          <w:highlight w:val="none"/>
          <w:lang w:eastAsia="zh-CN"/>
          <w14:textFill>
            <w14:solidFill>
              <w14:schemeClr w14:val="tx1"/>
            </w14:solidFill>
          </w14:textFill>
        </w:rPr>
      </w:pPr>
      <w:r>
        <w:rPr>
          <w:rFonts w:hint="eastAsia" w:ascii="仿宋_GB2312" w:hAnsi="宋体" w:eastAsia="仿宋_GB2312" w:cs="Courier New"/>
          <w:b/>
          <w:bCs/>
          <w:color w:val="000000" w:themeColor="text1"/>
          <w:sz w:val="30"/>
          <w:szCs w:val="30"/>
          <w:highlight w:val="none"/>
          <w14:textFill>
            <w14:solidFill>
              <w14:schemeClr w14:val="tx1"/>
            </w14:solidFill>
          </w14:textFill>
        </w:rPr>
        <w:t>项目</w:t>
      </w:r>
      <w:r>
        <w:rPr>
          <w:rFonts w:hint="eastAsia" w:ascii="仿宋_GB2312" w:hAnsi="宋体" w:eastAsia="仿宋_GB2312"/>
          <w:b/>
          <w:bCs/>
          <w:color w:val="000000" w:themeColor="text1"/>
          <w:sz w:val="30"/>
          <w:szCs w:val="30"/>
          <w:highlight w:val="none"/>
          <w14:textFill>
            <w14:solidFill>
              <w14:schemeClr w14:val="tx1"/>
            </w14:solidFill>
          </w14:textFill>
        </w:rPr>
        <w:t>编号</w:t>
      </w:r>
      <w:r>
        <w:rPr>
          <w:rFonts w:hint="eastAsia" w:ascii="仿宋_GB2312" w:hAnsi="宋体" w:eastAsia="仿宋_GB2312" w:cs="Courier New"/>
          <w:b/>
          <w:bCs/>
          <w:color w:val="000000" w:themeColor="text1"/>
          <w:sz w:val="30"/>
          <w:szCs w:val="30"/>
          <w:highlight w:val="none"/>
          <w14:textFill>
            <w14:solidFill>
              <w14:schemeClr w14:val="tx1"/>
            </w14:solidFill>
          </w14:textFill>
        </w:rPr>
        <w:t>：</w:t>
      </w:r>
      <w:r>
        <w:rPr>
          <w:rFonts w:hint="eastAsia" w:ascii="仿宋_GB2312" w:hAnsi="宋体" w:eastAsia="仿宋_GB2312"/>
          <w:b/>
          <w:color w:val="000000" w:themeColor="text1"/>
          <w:sz w:val="30"/>
          <w:szCs w:val="48"/>
          <w:highlight w:val="none"/>
          <w:lang w:eastAsia="zh-CN"/>
          <w14:textFill>
            <w14:solidFill>
              <w14:schemeClr w14:val="tx1"/>
            </w14:solidFill>
          </w14:textFill>
        </w:rPr>
        <w:t>GGZC2026-C2-210096-YZLZ</w:t>
      </w:r>
    </w:p>
    <w:p w14:paraId="3F5DEDAD">
      <w:pPr>
        <w:pStyle w:val="24"/>
        <w:spacing w:line="360" w:lineRule="auto"/>
        <w:ind w:firstLine="859"/>
        <w:rPr>
          <w:rFonts w:hint="eastAsia" w:ascii="仿宋_GB2312" w:hAnsi="宋体" w:eastAsia="仿宋_GB2312"/>
          <w:b/>
          <w:bCs/>
          <w:color w:val="000000" w:themeColor="text1"/>
          <w:sz w:val="30"/>
          <w:szCs w:val="30"/>
          <w:highlight w:val="none"/>
          <w:lang w:eastAsia="zh-CN"/>
          <w14:textFill>
            <w14:solidFill>
              <w14:schemeClr w14:val="tx1"/>
            </w14:solidFill>
          </w14:textFill>
        </w:rPr>
      </w:pPr>
      <w:r>
        <w:rPr>
          <w:rFonts w:hint="eastAsia" w:ascii="仿宋_GB2312" w:hAnsi="宋体" w:eastAsia="仿宋_GB2312"/>
          <w:b/>
          <w:bCs/>
          <w:color w:val="000000" w:themeColor="text1"/>
          <w:sz w:val="30"/>
          <w:szCs w:val="30"/>
          <w:highlight w:val="none"/>
          <w14:textFill>
            <w14:solidFill>
              <w14:schemeClr w14:val="tx1"/>
            </w14:solidFill>
          </w14:textFill>
        </w:rPr>
        <w:t>采 购 人：</w:t>
      </w:r>
      <w:r>
        <w:rPr>
          <w:rFonts w:hint="eastAsia" w:ascii="仿宋_GB2312" w:hAnsi="宋体" w:eastAsia="仿宋_GB2312"/>
          <w:b/>
          <w:bCs/>
          <w:color w:val="000000" w:themeColor="text1"/>
          <w:sz w:val="30"/>
          <w:szCs w:val="30"/>
          <w:highlight w:val="none"/>
          <w:lang w:eastAsia="zh-CN"/>
          <w14:textFill>
            <w14:solidFill>
              <w14:schemeClr w14:val="tx1"/>
            </w14:solidFill>
          </w14:textFill>
        </w:rPr>
        <w:t>平南县大安镇中心幼儿园</w:t>
      </w:r>
    </w:p>
    <w:p w14:paraId="1173E619">
      <w:pPr>
        <w:pStyle w:val="24"/>
        <w:spacing w:line="360" w:lineRule="auto"/>
        <w:ind w:firstLine="859"/>
        <w:rPr>
          <w:rFonts w:hint="eastAsia" w:ascii="仿宋_GB2312" w:hAnsi="宋体" w:eastAsia="仿宋_GB2312"/>
          <w:b/>
          <w:bCs/>
          <w:color w:val="000000" w:themeColor="text1"/>
          <w:sz w:val="30"/>
          <w:szCs w:val="30"/>
          <w:highlight w:val="none"/>
          <w14:textFill>
            <w14:solidFill>
              <w14:schemeClr w14:val="tx1"/>
            </w14:solidFill>
          </w14:textFill>
        </w:rPr>
      </w:pPr>
      <w:r>
        <w:rPr>
          <w:rFonts w:hint="eastAsia" w:ascii="仿宋_GB2312" w:hAnsi="宋体" w:eastAsia="仿宋_GB2312"/>
          <w:b/>
          <w:bCs/>
          <w:color w:val="000000" w:themeColor="text1"/>
          <w:sz w:val="30"/>
          <w:szCs w:val="30"/>
          <w:highlight w:val="none"/>
          <w14:textFill>
            <w14:solidFill>
              <w14:schemeClr w14:val="tx1"/>
            </w14:solidFill>
          </w14:textFill>
        </w:rPr>
        <w:t>采购代理机构：云之龙</w:t>
      </w:r>
      <w:r>
        <w:rPr>
          <w:rFonts w:ascii="仿宋_GB2312" w:hAnsi="宋体" w:eastAsia="仿宋_GB2312"/>
          <w:b/>
          <w:bCs/>
          <w:color w:val="000000" w:themeColor="text1"/>
          <w:sz w:val="30"/>
          <w:szCs w:val="30"/>
          <w:highlight w:val="none"/>
          <w14:textFill>
            <w14:solidFill>
              <w14:schemeClr w14:val="tx1"/>
            </w14:solidFill>
          </w14:textFill>
        </w:rPr>
        <w:t>咨询集团有限公司</w:t>
      </w:r>
    </w:p>
    <w:p w14:paraId="264EF997">
      <w:pPr>
        <w:pStyle w:val="24"/>
        <w:spacing w:line="360" w:lineRule="auto"/>
        <w:ind w:firstLine="1125"/>
        <w:rPr>
          <w:rFonts w:hint="eastAsia" w:ascii="仿宋_GB2312" w:hAnsi="宋体" w:eastAsia="仿宋_GB2312"/>
          <w:b/>
          <w:bCs/>
          <w:color w:val="000000" w:themeColor="text1"/>
          <w:sz w:val="30"/>
          <w:szCs w:val="30"/>
          <w:highlight w:val="none"/>
          <w14:textFill>
            <w14:solidFill>
              <w14:schemeClr w14:val="tx1"/>
            </w14:solidFill>
          </w14:textFill>
        </w:rPr>
      </w:pPr>
    </w:p>
    <w:p w14:paraId="3EC9EBA6">
      <w:pPr>
        <w:pStyle w:val="24"/>
        <w:spacing w:line="360" w:lineRule="auto"/>
        <w:rPr>
          <w:rFonts w:hint="eastAsia" w:ascii="仿宋_GB2312" w:hAnsi="宋体" w:eastAsia="仿宋_GB2312"/>
          <w:b/>
          <w:bCs/>
          <w:color w:val="000000" w:themeColor="text1"/>
          <w:sz w:val="30"/>
          <w:szCs w:val="30"/>
          <w:highlight w:val="none"/>
          <w14:textFill>
            <w14:solidFill>
              <w14:schemeClr w14:val="tx1"/>
            </w14:solidFill>
          </w14:textFill>
        </w:rPr>
      </w:pPr>
    </w:p>
    <w:p w14:paraId="63621851">
      <w:pPr>
        <w:pStyle w:val="24"/>
        <w:spacing w:line="360" w:lineRule="auto"/>
        <w:jc w:val="center"/>
        <w:rPr>
          <w:rFonts w:ascii="仿宋_GB2312" w:eastAsia="仿宋_GB2312"/>
          <w:color w:val="000000" w:themeColor="text1"/>
          <w:szCs w:val="20"/>
          <w:highlight w:val="none"/>
          <w14:textFill>
            <w14:solidFill>
              <w14:schemeClr w14:val="tx1"/>
            </w14:solidFill>
          </w14:textFill>
        </w:rPr>
      </w:pPr>
      <w:r>
        <w:rPr>
          <w:rFonts w:ascii="仿宋_GB2312" w:hAnsi="宋体" w:eastAsia="仿宋_GB2312"/>
          <w:b/>
          <w:bCs/>
          <w:color w:val="000000" w:themeColor="text1"/>
          <w:sz w:val="30"/>
          <w:szCs w:val="30"/>
          <w:highlight w:val="none"/>
          <w14:textFill>
            <w14:solidFill>
              <w14:schemeClr w14:val="tx1"/>
            </w14:solidFill>
          </w14:textFill>
        </w:rPr>
        <w:t>202</w:t>
      </w:r>
      <w:r>
        <w:rPr>
          <w:rFonts w:hint="eastAsia" w:ascii="仿宋_GB2312" w:hAnsi="宋体" w:eastAsia="仿宋_GB2312"/>
          <w:b/>
          <w:bCs/>
          <w:color w:val="000000" w:themeColor="text1"/>
          <w:sz w:val="30"/>
          <w:szCs w:val="30"/>
          <w:highlight w:val="none"/>
          <w:lang w:val="en-US" w:eastAsia="zh-CN"/>
          <w14:textFill>
            <w14:solidFill>
              <w14:schemeClr w14:val="tx1"/>
            </w14:solidFill>
          </w14:textFill>
        </w:rPr>
        <w:t>6</w:t>
      </w:r>
      <w:r>
        <w:rPr>
          <w:rFonts w:hint="eastAsia" w:ascii="仿宋_GB2312" w:hAnsi="宋体" w:eastAsia="仿宋_GB2312"/>
          <w:b/>
          <w:bCs/>
          <w:color w:val="000000" w:themeColor="text1"/>
          <w:sz w:val="30"/>
          <w:szCs w:val="30"/>
          <w:highlight w:val="none"/>
          <w14:textFill>
            <w14:solidFill>
              <w14:schemeClr w14:val="tx1"/>
            </w14:solidFill>
          </w14:textFill>
        </w:rPr>
        <w:t>年</w:t>
      </w:r>
      <w:r>
        <w:rPr>
          <w:rFonts w:hint="eastAsia" w:ascii="仿宋_GB2312" w:hAnsi="宋体" w:eastAsia="仿宋_GB2312"/>
          <w:b/>
          <w:bCs/>
          <w:color w:val="000000" w:themeColor="text1"/>
          <w:sz w:val="30"/>
          <w:szCs w:val="30"/>
          <w:highlight w:val="none"/>
          <w:lang w:val="en-US" w:eastAsia="zh-CN"/>
          <w14:textFill>
            <w14:solidFill>
              <w14:schemeClr w14:val="tx1"/>
            </w14:solidFill>
          </w14:textFill>
        </w:rPr>
        <w:t>6</w:t>
      </w:r>
      <w:r>
        <w:rPr>
          <w:rFonts w:hint="eastAsia" w:ascii="仿宋_GB2312" w:hAnsi="宋体" w:eastAsia="仿宋_GB2312"/>
          <w:b/>
          <w:bCs/>
          <w:color w:val="000000" w:themeColor="text1"/>
          <w:sz w:val="30"/>
          <w:szCs w:val="30"/>
          <w:highlight w:val="none"/>
          <w14:textFill>
            <w14:solidFill>
              <w14:schemeClr w14:val="tx1"/>
            </w14:solidFill>
          </w14:textFill>
        </w:rPr>
        <w:t>月</w:t>
      </w:r>
    </w:p>
    <w:p w14:paraId="454BD389">
      <w:pPr>
        <w:spacing w:line="360" w:lineRule="auto"/>
        <w:jc w:val="center"/>
        <w:rPr>
          <w:rFonts w:hint="eastAsia" w:ascii="宋体" w:hAnsi="宋体"/>
          <w:b/>
          <w:color w:val="000000" w:themeColor="text1"/>
          <w:sz w:val="44"/>
          <w:szCs w:val="44"/>
          <w:highlight w:val="none"/>
          <w14:textFill>
            <w14:solidFill>
              <w14:schemeClr w14:val="tx1"/>
            </w14:solidFill>
          </w14:textFill>
        </w:rPr>
        <w:sectPr>
          <w:headerReference r:id="rId4" w:type="first"/>
          <w:footerReference r:id="rId6" w:type="first"/>
          <w:headerReference r:id="rId3" w:type="default"/>
          <w:footerReference r:id="rId5" w:type="default"/>
          <w:pgSz w:w="11906" w:h="16838"/>
          <w:pgMar w:top="1440" w:right="1440" w:bottom="1440" w:left="1587" w:header="851" w:footer="992" w:gutter="0"/>
          <w:pgNumType w:start="0"/>
          <w:cols w:space="720" w:num="1"/>
          <w:titlePg/>
        </w:sectPr>
      </w:pPr>
    </w:p>
    <w:p w14:paraId="19745B25">
      <w:pPr>
        <w:spacing w:line="360" w:lineRule="auto"/>
        <w:jc w:val="center"/>
        <w:rPr>
          <w:rFonts w:hint="eastAsia" w:ascii="宋体" w:hAnsi="宋体"/>
          <w:b/>
          <w:color w:val="000000" w:themeColor="text1"/>
          <w:sz w:val="44"/>
          <w:szCs w:val="44"/>
          <w:highlight w:val="none"/>
          <w14:textFill>
            <w14:solidFill>
              <w14:schemeClr w14:val="tx1"/>
            </w14:solidFill>
          </w14:textFill>
        </w:rPr>
      </w:pPr>
    </w:p>
    <w:p w14:paraId="1AAC3826">
      <w:pPr>
        <w:spacing w:line="360" w:lineRule="auto"/>
        <w:jc w:val="center"/>
        <w:rPr>
          <w:rFonts w:hint="eastAsia" w:ascii="宋体" w:hAnsi="宋体"/>
          <w:b/>
          <w:color w:val="000000" w:themeColor="text1"/>
          <w:sz w:val="44"/>
          <w:szCs w:val="44"/>
          <w:highlight w:val="none"/>
          <w14:textFill>
            <w14:solidFill>
              <w14:schemeClr w14:val="tx1"/>
            </w14:solidFill>
          </w14:textFill>
        </w:rPr>
      </w:pPr>
    </w:p>
    <w:p w14:paraId="5A433D1C">
      <w:pPr>
        <w:spacing w:line="360" w:lineRule="auto"/>
        <w:jc w:val="center"/>
        <w:rPr>
          <w:rFonts w:hint="eastAsia" w:ascii="宋体" w:hAnsi="宋体"/>
          <w:b/>
          <w:color w:val="000000" w:themeColor="text1"/>
          <w:sz w:val="44"/>
          <w:szCs w:val="44"/>
          <w:highlight w:val="none"/>
          <w14:textFill>
            <w14:solidFill>
              <w14:schemeClr w14:val="tx1"/>
            </w14:solidFill>
          </w14:textFill>
        </w:rPr>
      </w:pPr>
    </w:p>
    <w:p w14:paraId="08FF0F22">
      <w:pPr>
        <w:spacing w:line="360" w:lineRule="auto"/>
        <w:jc w:val="center"/>
        <w:rPr>
          <w:rFonts w:hint="eastAsia" w:ascii="宋体" w:hAnsi="宋体"/>
          <w:b/>
          <w:color w:val="000000" w:themeColor="text1"/>
          <w:sz w:val="44"/>
          <w:szCs w:val="44"/>
          <w:highlight w:val="none"/>
          <w14:textFill>
            <w14:solidFill>
              <w14:schemeClr w14:val="tx1"/>
            </w14:solidFill>
          </w14:textFill>
        </w:rPr>
      </w:pPr>
      <w:r>
        <w:rPr>
          <w:rFonts w:hint="eastAsia" w:ascii="宋体" w:hAnsi="宋体"/>
          <w:b/>
          <w:color w:val="000000" w:themeColor="text1"/>
          <w:sz w:val="44"/>
          <w:szCs w:val="44"/>
          <w:highlight w:val="none"/>
          <w14:textFill>
            <w14:solidFill>
              <w14:schemeClr w14:val="tx1"/>
            </w14:solidFill>
          </w14:textFill>
        </w:rPr>
        <w:t>目  录</w:t>
      </w:r>
    </w:p>
    <w:p w14:paraId="3BF42F18">
      <w:pPr>
        <w:spacing w:line="400" w:lineRule="exact"/>
        <w:jc w:val="center"/>
        <w:rPr>
          <w:rFonts w:hint="eastAsia" w:ascii="宋体" w:hAnsi="宋体"/>
          <w:b/>
          <w:color w:val="000000" w:themeColor="text1"/>
          <w:sz w:val="44"/>
          <w:szCs w:val="44"/>
          <w:highlight w:val="none"/>
          <w14:textFill>
            <w14:solidFill>
              <w14:schemeClr w14:val="tx1"/>
            </w14:solidFill>
          </w14:textFill>
        </w:rPr>
      </w:pPr>
    </w:p>
    <w:p w14:paraId="21BF77D9">
      <w:pPr>
        <w:pStyle w:val="32"/>
        <w:tabs>
          <w:tab w:val="right" w:leader="dot" w:pos="8869"/>
        </w:tabs>
        <w:spacing w:line="500" w:lineRule="atLeast"/>
        <w:rPr>
          <w:rFonts w:hint="eastAsia"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fldChar w:fldCharType="begin"/>
      </w:r>
      <w:r>
        <w:rPr>
          <w:rFonts w:hint="eastAsia" w:ascii="宋体" w:hAnsi="宋体"/>
          <w:b/>
          <w:color w:val="000000" w:themeColor="text1"/>
          <w:sz w:val="24"/>
          <w:highlight w:val="none"/>
          <w14:textFill>
            <w14:solidFill>
              <w14:schemeClr w14:val="tx1"/>
            </w14:solidFill>
          </w14:textFill>
        </w:rPr>
        <w:instrText xml:space="preserve">TOC \o "1-3" \h \z \u</w:instrText>
      </w:r>
      <w:r>
        <w:rPr>
          <w:rFonts w:ascii="宋体" w:hAnsi="宋体"/>
          <w:b/>
          <w:color w:val="000000" w:themeColor="text1"/>
          <w:sz w:val="24"/>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"_Toc74323456" </w:instrText>
      </w:r>
      <w:r>
        <w:rPr>
          <w:color w:val="000000" w:themeColor="text1"/>
          <w:highlight w:val="none"/>
          <w14:textFill>
            <w14:solidFill>
              <w14:schemeClr w14:val="tx1"/>
            </w14:solidFill>
          </w14:textFill>
        </w:rPr>
        <w:fldChar w:fldCharType="separate"/>
      </w:r>
      <w:r>
        <w:rPr>
          <w:rStyle w:val="57"/>
          <w:rFonts w:hint="eastAsia" w:ascii="宋体" w:hAnsi="宋体"/>
          <w:b/>
          <w:color w:val="000000" w:themeColor="text1"/>
          <w:sz w:val="24"/>
          <w:highlight w:val="none"/>
          <w14:textFill>
            <w14:solidFill>
              <w14:schemeClr w14:val="tx1"/>
            </w14:solidFill>
          </w14:textFill>
        </w:rPr>
        <w:t>第一章 竞争性磋商公告</w:t>
      </w:r>
      <w:r>
        <w:rPr>
          <w:rFonts w:ascii="宋体" w:hAnsi="宋体"/>
          <w:b/>
          <w:color w:val="000000" w:themeColor="text1"/>
          <w:sz w:val="24"/>
          <w:highlight w:val="none"/>
          <w14:textFill>
            <w14:solidFill>
              <w14:schemeClr w14:val="tx1"/>
            </w14:solidFill>
          </w14:textFill>
        </w:rPr>
        <w:tab/>
      </w:r>
      <w:r>
        <w:rPr>
          <w:rFonts w:ascii="宋体" w:hAnsi="宋体"/>
          <w:b/>
          <w:color w:val="000000" w:themeColor="text1"/>
          <w:sz w:val="24"/>
          <w:highlight w:val="none"/>
          <w14:textFill>
            <w14:solidFill>
              <w14:schemeClr w14:val="tx1"/>
            </w14:solidFill>
          </w14:textFill>
        </w:rPr>
        <w:fldChar w:fldCharType="begin"/>
      </w:r>
      <w:r>
        <w:rPr>
          <w:rFonts w:ascii="宋体" w:hAnsi="宋体"/>
          <w:b/>
          <w:color w:val="000000" w:themeColor="text1"/>
          <w:sz w:val="24"/>
          <w:highlight w:val="none"/>
          <w14:textFill>
            <w14:solidFill>
              <w14:schemeClr w14:val="tx1"/>
            </w14:solidFill>
          </w14:textFill>
        </w:rPr>
        <w:instrText xml:space="preserve"> PAGEREF _Toc74323456 \h </w:instrText>
      </w:r>
      <w:r>
        <w:rPr>
          <w:rFonts w:ascii="宋体" w:hAnsi="宋体"/>
          <w:b/>
          <w:color w:val="000000" w:themeColor="text1"/>
          <w:sz w:val="24"/>
          <w:highlight w:val="none"/>
          <w14:textFill>
            <w14:solidFill>
              <w14:schemeClr w14:val="tx1"/>
            </w14:solidFill>
          </w14:textFill>
        </w:rPr>
        <w:fldChar w:fldCharType="separate"/>
      </w:r>
      <w:r>
        <w:rPr>
          <w:rFonts w:ascii="宋体" w:hAnsi="宋体"/>
          <w:b/>
          <w:color w:val="000000" w:themeColor="text1"/>
          <w:sz w:val="24"/>
          <w:highlight w:val="none"/>
          <w14:textFill>
            <w14:solidFill>
              <w14:schemeClr w14:val="tx1"/>
            </w14:solidFill>
          </w14:textFill>
        </w:rPr>
        <w:t>1</w:t>
      </w:r>
      <w:r>
        <w:rPr>
          <w:rFonts w:ascii="宋体" w:hAnsi="宋体"/>
          <w:b/>
          <w:color w:val="000000" w:themeColor="text1"/>
          <w:sz w:val="24"/>
          <w:highlight w:val="none"/>
          <w14:textFill>
            <w14:solidFill>
              <w14:schemeClr w14:val="tx1"/>
            </w14:solidFill>
          </w14:textFill>
        </w:rPr>
        <w:fldChar w:fldCharType="end"/>
      </w:r>
      <w:r>
        <w:rPr>
          <w:rFonts w:ascii="宋体" w:hAnsi="宋体"/>
          <w:b/>
          <w:color w:val="000000" w:themeColor="text1"/>
          <w:sz w:val="24"/>
          <w:highlight w:val="none"/>
          <w14:textFill>
            <w14:solidFill>
              <w14:schemeClr w14:val="tx1"/>
            </w14:solidFill>
          </w14:textFill>
        </w:rPr>
        <w:fldChar w:fldCharType="end"/>
      </w:r>
    </w:p>
    <w:p w14:paraId="4965884A">
      <w:pPr>
        <w:pStyle w:val="32"/>
        <w:tabs>
          <w:tab w:val="right" w:leader="dot" w:pos="8869"/>
        </w:tabs>
        <w:spacing w:line="500" w:lineRule="atLeast"/>
        <w:rPr>
          <w:rFonts w:hint="eastAsia" w:ascii="宋体" w:hAnsi="宋体"/>
          <w:b/>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"_Toc74323457" </w:instrText>
      </w:r>
      <w:r>
        <w:rPr>
          <w:color w:val="000000" w:themeColor="text1"/>
          <w:highlight w:val="none"/>
          <w14:textFill>
            <w14:solidFill>
              <w14:schemeClr w14:val="tx1"/>
            </w14:solidFill>
          </w14:textFill>
        </w:rPr>
        <w:fldChar w:fldCharType="separate"/>
      </w:r>
      <w:r>
        <w:rPr>
          <w:rStyle w:val="57"/>
          <w:rFonts w:hint="eastAsia" w:ascii="宋体" w:hAnsi="宋体"/>
          <w:b/>
          <w:color w:val="000000" w:themeColor="text1"/>
          <w:sz w:val="24"/>
          <w:highlight w:val="none"/>
          <w14:textFill>
            <w14:solidFill>
              <w14:schemeClr w14:val="tx1"/>
            </w14:solidFill>
          </w14:textFill>
        </w:rPr>
        <w:t>第二章 供应</w:t>
      </w:r>
      <w:bookmarkStart w:id="0" w:name="_Hlt82161237"/>
      <w:r>
        <w:rPr>
          <w:rStyle w:val="57"/>
          <w:rFonts w:hint="eastAsia" w:ascii="宋体" w:hAnsi="宋体"/>
          <w:b/>
          <w:color w:val="000000" w:themeColor="text1"/>
          <w:sz w:val="24"/>
          <w:highlight w:val="none"/>
          <w14:textFill>
            <w14:solidFill>
              <w14:schemeClr w14:val="tx1"/>
            </w14:solidFill>
          </w14:textFill>
        </w:rPr>
        <w:t>商</w:t>
      </w:r>
      <w:bookmarkEnd w:id="0"/>
      <w:r>
        <w:rPr>
          <w:rStyle w:val="57"/>
          <w:rFonts w:hint="eastAsia" w:ascii="宋体" w:hAnsi="宋体"/>
          <w:b/>
          <w:color w:val="000000" w:themeColor="text1"/>
          <w:sz w:val="24"/>
          <w:highlight w:val="none"/>
          <w14:textFill>
            <w14:solidFill>
              <w14:schemeClr w14:val="tx1"/>
            </w14:solidFill>
          </w14:textFill>
        </w:rPr>
        <w:t>须</w:t>
      </w:r>
      <w:bookmarkStart w:id="1" w:name="_Hlt123912042"/>
      <w:r>
        <w:rPr>
          <w:rStyle w:val="57"/>
          <w:rFonts w:hint="eastAsia" w:ascii="宋体" w:hAnsi="宋体"/>
          <w:b/>
          <w:color w:val="000000" w:themeColor="text1"/>
          <w:sz w:val="24"/>
          <w:highlight w:val="none"/>
          <w14:textFill>
            <w14:solidFill>
              <w14:schemeClr w14:val="tx1"/>
            </w14:solidFill>
          </w14:textFill>
        </w:rPr>
        <w:t>知</w:t>
      </w:r>
      <w:bookmarkEnd w:id="1"/>
      <w:r>
        <w:rPr>
          <w:rFonts w:ascii="宋体" w:hAnsi="宋体"/>
          <w:b/>
          <w:color w:val="000000" w:themeColor="text1"/>
          <w:sz w:val="24"/>
          <w:highlight w:val="none"/>
          <w14:textFill>
            <w14:solidFill>
              <w14:schemeClr w14:val="tx1"/>
            </w14:solidFill>
          </w14:textFill>
        </w:rPr>
        <w:tab/>
      </w:r>
      <w:r>
        <w:rPr>
          <w:rFonts w:ascii="宋体" w:hAnsi="宋体"/>
          <w:b/>
          <w:color w:val="000000" w:themeColor="text1"/>
          <w:sz w:val="24"/>
          <w:highlight w:val="none"/>
          <w14:textFill>
            <w14:solidFill>
              <w14:schemeClr w14:val="tx1"/>
            </w14:solidFill>
          </w14:textFill>
        </w:rPr>
        <w:fldChar w:fldCharType="begin"/>
      </w:r>
      <w:r>
        <w:rPr>
          <w:rFonts w:ascii="宋体" w:hAnsi="宋体"/>
          <w:b/>
          <w:color w:val="000000" w:themeColor="text1"/>
          <w:sz w:val="24"/>
          <w:highlight w:val="none"/>
          <w14:textFill>
            <w14:solidFill>
              <w14:schemeClr w14:val="tx1"/>
            </w14:solidFill>
          </w14:textFill>
        </w:rPr>
        <w:instrText xml:space="preserve"> PAGEREF _Toc74323457 \h </w:instrText>
      </w:r>
      <w:r>
        <w:rPr>
          <w:rFonts w:ascii="宋体" w:hAnsi="宋体"/>
          <w:b/>
          <w:color w:val="000000" w:themeColor="text1"/>
          <w:sz w:val="24"/>
          <w:highlight w:val="none"/>
          <w14:textFill>
            <w14:solidFill>
              <w14:schemeClr w14:val="tx1"/>
            </w14:solidFill>
          </w14:textFill>
        </w:rPr>
        <w:fldChar w:fldCharType="separate"/>
      </w:r>
      <w:r>
        <w:rPr>
          <w:rFonts w:ascii="宋体" w:hAnsi="宋体"/>
          <w:b/>
          <w:color w:val="000000" w:themeColor="text1"/>
          <w:sz w:val="24"/>
          <w:highlight w:val="none"/>
          <w14:textFill>
            <w14:solidFill>
              <w14:schemeClr w14:val="tx1"/>
            </w14:solidFill>
          </w14:textFill>
        </w:rPr>
        <w:t>5</w:t>
      </w:r>
      <w:r>
        <w:rPr>
          <w:rFonts w:ascii="宋体" w:hAnsi="宋体"/>
          <w:b/>
          <w:color w:val="000000" w:themeColor="text1"/>
          <w:sz w:val="24"/>
          <w:highlight w:val="none"/>
          <w14:textFill>
            <w14:solidFill>
              <w14:schemeClr w14:val="tx1"/>
            </w14:solidFill>
          </w14:textFill>
        </w:rPr>
        <w:fldChar w:fldCharType="end"/>
      </w:r>
      <w:r>
        <w:rPr>
          <w:rFonts w:ascii="宋体" w:hAnsi="宋体"/>
          <w:b/>
          <w:color w:val="000000" w:themeColor="text1"/>
          <w:sz w:val="24"/>
          <w:highlight w:val="none"/>
          <w14:textFill>
            <w14:solidFill>
              <w14:schemeClr w14:val="tx1"/>
            </w14:solidFill>
          </w14:textFill>
        </w:rPr>
        <w:fldChar w:fldCharType="end"/>
      </w:r>
    </w:p>
    <w:p w14:paraId="572A4B29">
      <w:pPr>
        <w:pStyle w:val="32"/>
        <w:tabs>
          <w:tab w:val="right" w:leader="dot" w:pos="8869"/>
        </w:tabs>
        <w:spacing w:line="500" w:lineRule="atLeast"/>
        <w:rPr>
          <w:rFonts w:hint="eastAsia" w:ascii="宋体" w:hAnsi="宋体"/>
          <w:b/>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"_Toc74323458" </w:instrText>
      </w:r>
      <w:r>
        <w:rPr>
          <w:color w:val="000000" w:themeColor="text1"/>
          <w:highlight w:val="none"/>
          <w14:textFill>
            <w14:solidFill>
              <w14:schemeClr w14:val="tx1"/>
            </w14:solidFill>
          </w14:textFill>
        </w:rPr>
        <w:fldChar w:fldCharType="separate"/>
      </w:r>
      <w:r>
        <w:rPr>
          <w:rStyle w:val="57"/>
          <w:rFonts w:hint="eastAsia" w:ascii="宋体" w:hAnsi="宋体"/>
          <w:b/>
          <w:color w:val="000000" w:themeColor="text1"/>
          <w:sz w:val="24"/>
          <w:highlight w:val="none"/>
          <w14:textFill>
            <w14:solidFill>
              <w14:schemeClr w14:val="tx1"/>
            </w14:solidFill>
          </w14:textFill>
        </w:rPr>
        <w:t>第三章 采</w:t>
      </w:r>
      <w:bookmarkStart w:id="2" w:name="_Hlt123913427"/>
      <w:bookmarkStart w:id="3" w:name="_Hlt123905034"/>
      <w:bookmarkStart w:id="4" w:name="_Hlt123903950"/>
      <w:r>
        <w:rPr>
          <w:rStyle w:val="57"/>
          <w:rFonts w:hint="eastAsia" w:ascii="宋体" w:hAnsi="宋体"/>
          <w:b/>
          <w:color w:val="000000" w:themeColor="text1"/>
          <w:sz w:val="24"/>
          <w:highlight w:val="none"/>
          <w14:textFill>
            <w14:solidFill>
              <w14:schemeClr w14:val="tx1"/>
            </w14:solidFill>
          </w14:textFill>
        </w:rPr>
        <w:t>购</w:t>
      </w:r>
      <w:bookmarkEnd w:id="2"/>
      <w:bookmarkEnd w:id="3"/>
      <w:bookmarkEnd w:id="4"/>
      <w:bookmarkStart w:id="5" w:name="_Hlt123913500"/>
      <w:r>
        <w:rPr>
          <w:rStyle w:val="57"/>
          <w:rFonts w:hint="eastAsia" w:ascii="宋体" w:hAnsi="宋体"/>
          <w:b/>
          <w:color w:val="000000" w:themeColor="text1"/>
          <w:sz w:val="24"/>
          <w:highlight w:val="none"/>
          <w14:textFill>
            <w14:solidFill>
              <w14:schemeClr w14:val="tx1"/>
            </w14:solidFill>
          </w14:textFill>
        </w:rPr>
        <w:t>需</w:t>
      </w:r>
      <w:bookmarkEnd w:id="5"/>
      <w:bookmarkStart w:id="6" w:name="_Hlt82166940"/>
      <w:r>
        <w:rPr>
          <w:rStyle w:val="57"/>
          <w:rFonts w:hint="eastAsia" w:ascii="宋体" w:hAnsi="宋体"/>
          <w:b/>
          <w:color w:val="000000" w:themeColor="text1"/>
          <w:sz w:val="24"/>
          <w:highlight w:val="none"/>
          <w14:textFill>
            <w14:solidFill>
              <w14:schemeClr w14:val="tx1"/>
            </w14:solidFill>
          </w14:textFill>
        </w:rPr>
        <w:t>求</w:t>
      </w:r>
      <w:bookmarkEnd w:id="6"/>
      <w:r>
        <w:rPr>
          <w:rFonts w:ascii="宋体" w:hAnsi="宋体"/>
          <w:b/>
          <w:color w:val="000000" w:themeColor="text1"/>
          <w:sz w:val="24"/>
          <w:highlight w:val="none"/>
          <w14:textFill>
            <w14:solidFill>
              <w14:schemeClr w14:val="tx1"/>
            </w14:solidFill>
          </w14:textFill>
        </w:rPr>
        <w:tab/>
      </w:r>
      <w:r>
        <w:rPr>
          <w:rFonts w:ascii="宋体" w:hAnsi="宋体"/>
          <w:b/>
          <w:color w:val="000000" w:themeColor="text1"/>
          <w:sz w:val="24"/>
          <w:highlight w:val="none"/>
          <w14:textFill>
            <w14:solidFill>
              <w14:schemeClr w14:val="tx1"/>
            </w14:solidFill>
          </w14:textFill>
        </w:rPr>
        <w:fldChar w:fldCharType="begin"/>
      </w:r>
      <w:r>
        <w:rPr>
          <w:rFonts w:ascii="宋体" w:hAnsi="宋体"/>
          <w:b/>
          <w:color w:val="000000" w:themeColor="text1"/>
          <w:sz w:val="24"/>
          <w:highlight w:val="none"/>
          <w14:textFill>
            <w14:solidFill>
              <w14:schemeClr w14:val="tx1"/>
            </w14:solidFill>
          </w14:textFill>
        </w:rPr>
        <w:instrText xml:space="preserve"> PAGEREF _Toc74323458 \h </w:instrText>
      </w:r>
      <w:r>
        <w:rPr>
          <w:rFonts w:ascii="宋体" w:hAnsi="宋体"/>
          <w:b/>
          <w:color w:val="000000" w:themeColor="text1"/>
          <w:sz w:val="24"/>
          <w:highlight w:val="none"/>
          <w14:textFill>
            <w14:solidFill>
              <w14:schemeClr w14:val="tx1"/>
            </w14:solidFill>
          </w14:textFill>
        </w:rPr>
        <w:fldChar w:fldCharType="separate"/>
      </w:r>
      <w:r>
        <w:rPr>
          <w:rFonts w:ascii="宋体" w:hAnsi="宋体"/>
          <w:b/>
          <w:color w:val="000000" w:themeColor="text1"/>
          <w:sz w:val="24"/>
          <w:highlight w:val="none"/>
          <w14:textFill>
            <w14:solidFill>
              <w14:schemeClr w14:val="tx1"/>
            </w14:solidFill>
          </w14:textFill>
        </w:rPr>
        <w:t>21</w:t>
      </w:r>
      <w:r>
        <w:rPr>
          <w:rFonts w:ascii="宋体" w:hAnsi="宋体"/>
          <w:b/>
          <w:color w:val="000000" w:themeColor="text1"/>
          <w:sz w:val="24"/>
          <w:highlight w:val="none"/>
          <w14:textFill>
            <w14:solidFill>
              <w14:schemeClr w14:val="tx1"/>
            </w14:solidFill>
          </w14:textFill>
        </w:rPr>
        <w:fldChar w:fldCharType="end"/>
      </w:r>
      <w:r>
        <w:rPr>
          <w:rFonts w:ascii="宋体" w:hAnsi="宋体"/>
          <w:b/>
          <w:color w:val="000000" w:themeColor="text1"/>
          <w:sz w:val="24"/>
          <w:highlight w:val="none"/>
          <w14:textFill>
            <w14:solidFill>
              <w14:schemeClr w14:val="tx1"/>
            </w14:solidFill>
          </w14:textFill>
        </w:rPr>
        <w:fldChar w:fldCharType="end"/>
      </w:r>
    </w:p>
    <w:p w14:paraId="0C923A4A">
      <w:pPr>
        <w:pStyle w:val="32"/>
        <w:tabs>
          <w:tab w:val="right" w:leader="dot" w:pos="8869"/>
        </w:tabs>
        <w:spacing w:line="500" w:lineRule="atLeast"/>
        <w:rPr>
          <w:rFonts w:hint="eastAsia" w:ascii="宋体" w:hAnsi="宋体"/>
          <w:b/>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"_Toc74323459" </w:instrText>
      </w:r>
      <w:r>
        <w:rPr>
          <w:color w:val="000000" w:themeColor="text1"/>
          <w:highlight w:val="none"/>
          <w14:textFill>
            <w14:solidFill>
              <w14:schemeClr w14:val="tx1"/>
            </w14:solidFill>
          </w14:textFill>
        </w:rPr>
        <w:fldChar w:fldCharType="separate"/>
      </w:r>
      <w:r>
        <w:rPr>
          <w:rStyle w:val="57"/>
          <w:rFonts w:hint="eastAsia" w:ascii="宋体" w:hAnsi="宋体"/>
          <w:b/>
          <w:color w:val="000000" w:themeColor="text1"/>
          <w:sz w:val="24"/>
          <w:highlight w:val="none"/>
          <w14:textFill>
            <w14:solidFill>
              <w14:schemeClr w14:val="tx1"/>
            </w14:solidFill>
          </w14:textFill>
        </w:rPr>
        <w:t>第四章 评审</w:t>
      </w:r>
      <w:bookmarkStart w:id="7" w:name="_Hlt124354839"/>
      <w:r>
        <w:rPr>
          <w:rStyle w:val="57"/>
          <w:rFonts w:hint="eastAsia" w:ascii="宋体" w:hAnsi="宋体"/>
          <w:b/>
          <w:color w:val="000000" w:themeColor="text1"/>
          <w:sz w:val="24"/>
          <w:highlight w:val="none"/>
          <w14:textFill>
            <w14:solidFill>
              <w14:schemeClr w14:val="tx1"/>
            </w14:solidFill>
          </w14:textFill>
        </w:rPr>
        <w:t>程</w:t>
      </w:r>
      <w:bookmarkEnd w:id="7"/>
      <w:r>
        <w:rPr>
          <w:rStyle w:val="57"/>
          <w:rFonts w:hint="eastAsia" w:ascii="宋体" w:hAnsi="宋体"/>
          <w:b/>
          <w:color w:val="000000" w:themeColor="text1"/>
          <w:sz w:val="24"/>
          <w:highlight w:val="none"/>
          <w14:textFill>
            <w14:solidFill>
              <w14:schemeClr w14:val="tx1"/>
            </w14:solidFill>
          </w14:textFill>
        </w:rPr>
        <w:t>序、</w:t>
      </w:r>
      <w:bookmarkStart w:id="8" w:name="_Hlt82166000"/>
      <w:r>
        <w:rPr>
          <w:rStyle w:val="57"/>
          <w:rFonts w:hint="eastAsia" w:ascii="宋体" w:hAnsi="宋体"/>
          <w:b/>
          <w:color w:val="000000" w:themeColor="text1"/>
          <w:sz w:val="24"/>
          <w:highlight w:val="none"/>
          <w14:textFill>
            <w14:solidFill>
              <w14:schemeClr w14:val="tx1"/>
            </w14:solidFill>
          </w14:textFill>
        </w:rPr>
        <w:t>评</w:t>
      </w:r>
      <w:bookmarkEnd w:id="8"/>
      <w:r>
        <w:rPr>
          <w:rStyle w:val="57"/>
          <w:rFonts w:hint="eastAsia" w:ascii="宋体" w:hAnsi="宋体"/>
          <w:b/>
          <w:color w:val="000000" w:themeColor="text1"/>
          <w:sz w:val="24"/>
          <w:highlight w:val="none"/>
          <w14:textFill>
            <w14:solidFill>
              <w14:schemeClr w14:val="tx1"/>
            </w14:solidFill>
          </w14:textFill>
        </w:rPr>
        <w:t>审方法和评审标准</w:t>
      </w:r>
      <w:r>
        <w:rPr>
          <w:rFonts w:ascii="宋体" w:hAnsi="宋体"/>
          <w:b/>
          <w:color w:val="000000" w:themeColor="text1"/>
          <w:sz w:val="24"/>
          <w:highlight w:val="none"/>
          <w14:textFill>
            <w14:solidFill>
              <w14:schemeClr w14:val="tx1"/>
            </w14:solidFill>
          </w14:textFill>
        </w:rPr>
        <w:tab/>
      </w:r>
      <w:r>
        <w:rPr>
          <w:rFonts w:ascii="宋体" w:hAnsi="宋体"/>
          <w:b/>
          <w:color w:val="000000" w:themeColor="text1"/>
          <w:sz w:val="24"/>
          <w:highlight w:val="none"/>
          <w14:textFill>
            <w14:solidFill>
              <w14:schemeClr w14:val="tx1"/>
            </w14:solidFill>
          </w14:textFill>
        </w:rPr>
        <w:fldChar w:fldCharType="begin"/>
      </w:r>
      <w:r>
        <w:rPr>
          <w:rFonts w:ascii="宋体" w:hAnsi="宋体"/>
          <w:b/>
          <w:color w:val="000000" w:themeColor="text1"/>
          <w:sz w:val="24"/>
          <w:highlight w:val="none"/>
          <w14:textFill>
            <w14:solidFill>
              <w14:schemeClr w14:val="tx1"/>
            </w14:solidFill>
          </w14:textFill>
        </w:rPr>
        <w:instrText xml:space="preserve"> PAGEREF _Toc74323459 \h </w:instrText>
      </w:r>
      <w:r>
        <w:rPr>
          <w:rFonts w:ascii="宋体" w:hAnsi="宋体"/>
          <w:b/>
          <w:color w:val="000000" w:themeColor="text1"/>
          <w:sz w:val="24"/>
          <w:highlight w:val="none"/>
          <w14:textFill>
            <w14:solidFill>
              <w14:schemeClr w14:val="tx1"/>
            </w14:solidFill>
          </w14:textFill>
        </w:rPr>
        <w:fldChar w:fldCharType="separate"/>
      </w:r>
      <w:r>
        <w:rPr>
          <w:rFonts w:ascii="宋体" w:hAnsi="宋体"/>
          <w:b/>
          <w:color w:val="000000" w:themeColor="text1"/>
          <w:sz w:val="24"/>
          <w:highlight w:val="none"/>
          <w14:textFill>
            <w14:solidFill>
              <w14:schemeClr w14:val="tx1"/>
            </w14:solidFill>
          </w14:textFill>
        </w:rPr>
        <w:t>23</w:t>
      </w:r>
      <w:r>
        <w:rPr>
          <w:rFonts w:ascii="宋体" w:hAnsi="宋体"/>
          <w:b/>
          <w:color w:val="000000" w:themeColor="text1"/>
          <w:sz w:val="24"/>
          <w:highlight w:val="none"/>
          <w14:textFill>
            <w14:solidFill>
              <w14:schemeClr w14:val="tx1"/>
            </w14:solidFill>
          </w14:textFill>
        </w:rPr>
        <w:fldChar w:fldCharType="end"/>
      </w:r>
      <w:r>
        <w:rPr>
          <w:rFonts w:ascii="宋体" w:hAnsi="宋体"/>
          <w:b/>
          <w:color w:val="000000" w:themeColor="text1"/>
          <w:sz w:val="24"/>
          <w:highlight w:val="none"/>
          <w14:textFill>
            <w14:solidFill>
              <w14:schemeClr w14:val="tx1"/>
            </w14:solidFill>
          </w14:textFill>
        </w:rPr>
        <w:fldChar w:fldCharType="end"/>
      </w:r>
    </w:p>
    <w:p w14:paraId="60D2ECEB">
      <w:pPr>
        <w:pStyle w:val="32"/>
        <w:tabs>
          <w:tab w:val="right" w:leader="dot" w:pos="8869"/>
        </w:tabs>
        <w:spacing w:line="500" w:lineRule="atLeast"/>
        <w:rPr>
          <w:rFonts w:hint="eastAsia" w:ascii="宋体" w:hAnsi="宋体"/>
          <w:b/>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"_Toc74323460" </w:instrText>
      </w:r>
      <w:r>
        <w:rPr>
          <w:color w:val="000000" w:themeColor="text1"/>
          <w:highlight w:val="none"/>
          <w14:textFill>
            <w14:solidFill>
              <w14:schemeClr w14:val="tx1"/>
            </w14:solidFill>
          </w14:textFill>
        </w:rPr>
        <w:fldChar w:fldCharType="separate"/>
      </w:r>
      <w:r>
        <w:rPr>
          <w:rStyle w:val="57"/>
          <w:rFonts w:hint="eastAsia" w:ascii="宋体" w:hAnsi="宋体"/>
          <w:b/>
          <w:color w:val="000000" w:themeColor="text1"/>
          <w:sz w:val="24"/>
          <w:highlight w:val="none"/>
          <w14:textFill>
            <w14:solidFill>
              <w14:schemeClr w14:val="tx1"/>
            </w14:solidFill>
          </w14:textFill>
        </w:rPr>
        <w:t>第五章 响应</w:t>
      </w:r>
      <w:bookmarkStart w:id="9" w:name="_Hlt123912950"/>
      <w:r>
        <w:rPr>
          <w:rStyle w:val="57"/>
          <w:rFonts w:hint="eastAsia" w:ascii="宋体" w:hAnsi="宋体"/>
          <w:b/>
          <w:color w:val="000000" w:themeColor="text1"/>
          <w:sz w:val="24"/>
          <w:highlight w:val="none"/>
          <w14:textFill>
            <w14:solidFill>
              <w14:schemeClr w14:val="tx1"/>
            </w14:solidFill>
          </w14:textFill>
        </w:rPr>
        <w:t>文</w:t>
      </w:r>
      <w:bookmarkEnd w:id="9"/>
      <w:bookmarkStart w:id="10" w:name="_Hlt123911868"/>
      <w:r>
        <w:rPr>
          <w:rStyle w:val="57"/>
          <w:rFonts w:hint="eastAsia" w:ascii="宋体" w:hAnsi="宋体"/>
          <w:b/>
          <w:color w:val="000000" w:themeColor="text1"/>
          <w:sz w:val="24"/>
          <w:highlight w:val="none"/>
          <w14:textFill>
            <w14:solidFill>
              <w14:schemeClr w14:val="tx1"/>
            </w14:solidFill>
          </w14:textFill>
        </w:rPr>
        <w:t>件</w:t>
      </w:r>
      <w:bookmarkEnd w:id="10"/>
      <w:r>
        <w:rPr>
          <w:rStyle w:val="57"/>
          <w:rFonts w:hint="eastAsia" w:ascii="宋体" w:hAnsi="宋体"/>
          <w:b/>
          <w:color w:val="000000" w:themeColor="text1"/>
          <w:sz w:val="24"/>
          <w:highlight w:val="none"/>
          <w14:textFill>
            <w14:solidFill>
              <w14:schemeClr w14:val="tx1"/>
            </w14:solidFill>
          </w14:textFill>
        </w:rPr>
        <w:t>格式</w:t>
      </w:r>
      <w:r>
        <w:rPr>
          <w:rFonts w:ascii="宋体" w:hAnsi="宋体"/>
          <w:b/>
          <w:color w:val="000000" w:themeColor="text1"/>
          <w:sz w:val="24"/>
          <w:highlight w:val="none"/>
          <w14:textFill>
            <w14:solidFill>
              <w14:schemeClr w14:val="tx1"/>
            </w14:solidFill>
          </w14:textFill>
        </w:rPr>
        <w:tab/>
      </w:r>
      <w:r>
        <w:rPr>
          <w:rFonts w:ascii="宋体" w:hAnsi="宋体"/>
          <w:b/>
          <w:color w:val="000000" w:themeColor="text1"/>
          <w:sz w:val="24"/>
          <w:highlight w:val="none"/>
          <w14:textFill>
            <w14:solidFill>
              <w14:schemeClr w14:val="tx1"/>
            </w14:solidFill>
          </w14:textFill>
        </w:rPr>
        <w:fldChar w:fldCharType="begin"/>
      </w:r>
      <w:r>
        <w:rPr>
          <w:rFonts w:ascii="宋体" w:hAnsi="宋体"/>
          <w:b/>
          <w:color w:val="000000" w:themeColor="text1"/>
          <w:sz w:val="24"/>
          <w:highlight w:val="none"/>
          <w14:textFill>
            <w14:solidFill>
              <w14:schemeClr w14:val="tx1"/>
            </w14:solidFill>
          </w14:textFill>
        </w:rPr>
        <w:instrText xml:space="preserve"> PAGEREF _Toc74323460 \h </w:instrText>
      </w:r>
      <w:r>
        <w:rPr>
          <w:rFonts w:ascii="宋体" w:hAnsi="宋体"/>
          <w:b/>
          <w:color w:val="000000" w:themeColor="text1"/>
          <w:sz w:val="24"/>
          <w:highlight w:val="none"/>
          <w14:textFill>
            <w14:solidFill>
              <w14:schemeClr w14:val="tx1"/>
            </w14:solidFill>
          </w14:textFill>
        </w:rPr>
        <w:fldChar w:fldCharType="separate"/>
      </w:r>
      <w:r>
        <w:rPr>
          <w:rFonts w:ascii="宋体" w:hAnsi="宋体"/>
          <w:b/>
          <w:color w:val="000000" w:themeColor="text1"/>
          <w:sz w:val="24"/>
          <w:highlight w:val="none"/>
          <w14:textFill>
            <w14:solidFill>
              <w14:schemeClr w14:val="tx1"/>
            </w14:solidFill>
          </w14:textFill>
        </w:rPr>
        <w:t>40</w:t>
      </w:r>
      <w:r>
        <w:rPr>
          <w:rFonts w:ascii="宋体" w:hAnsi="宋体"/>
          <w:b/>
          <w:color w:val="000000" w:themeColor="text1"/>
          <w:sz w:val="24"/>
          <w:highlight w:val="none"/>
          <w14:textFill>
            <w14:solidFill>
              <w14:schemeClr w14:val="tx1"/>
            </w14:solidFill>
          </w14:textFill>
        </w:rPr>
        <w:fldChar w:fldCharType="end"/>
      </w:r>
      <w:r>
        <w:rPr>
          <w:rFonts w:ascii="宋体" w:hAnsi="宋体"/>
          <w:b/>
          <w:color w:val="000000" w:themeColor="text1"/>
          <w:sz w:val="24"/>
          <w:highlight w:val="none"/>
          <w14:textFill>
            <w14:solidFill>
              <w14:schemeClr w14:val="tx1"/>
            </w14:solidFill>
          </w14:textFill>
        </w:rPr>
        <w:fldChar w:fldCharType="end"/>
      </w:r>
    </w:p>
    <w:p w14:paraId="16D7CA84">
      <w:pPr>
        <w:pStyle w:val="32"/>
        <w:tabs>
          <w:tab w:val="right" w:leader="dot" w:pos="8869"/>
        </w:tabs>
        <w:spacing w:line="500" w:lineRule="atLeast"/>
        <w:rPr>
          <w:rFonts w:hint="eastAsia" w:ascii="宋体" w:hAnsi="宋体"/>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"_Toc74323461" </w:instrText>
      </w:r>
      <w:r>
        <w:rPr>
          <w:color w:val="000000" w:themeColor="text1"/>
          <w:highlight w:val="none"/>
          <w14:textFill>
            <w14:solidFill>
              <w14:schemeClr w14:val="tx1"/>
            </w14:solidFill>
          </w14:textFill>
        </w:rPr>
        <w:fldChar w:fldCharType="separate"/>
      </w:r>
      <w:r>
        <w:rPr>
          <w:rStyle w:val="57"/>
          <w:rFonts w:hint="eastAsia" w:ascii="宋体" w:hAnsi="宋体"/>
          <w:b/>
          <w:color w:val="000000" w:themeColor="text1"/>
          <w:sz w:val="24"/>
          <w:highlight w:val="none"/>
          <w14:textFill>
            <w14:solidFill>
              <w14:schemeClr w14:val="tx1"/>
            </w14:solidFill>
          </w14:textFill>
        </w:rPr>
        <w:t>第六章 合同文本</w:t>
      </w:r>
      <w:r>
        <w:rPr>
          <w:rFonts w:ascii="宋体" w:hAnsi="宋体"/>
          <w:b/>
          <w:color w:val="000000" w:themeColor="text1"/>
          <w:sz w:val="24"/>
          <w:highlight w:val="none"/>
          <w14:textFill>
            <w14:solidFill>
              <w14:schemeClr w14:val="tx1"/>
            </w14:solidFill>
          </w14:textFill>
        </w:rPr>
        <w:tab/>
      </w:r>
      <w:r>
        <w:rPr>
          <w:rFonts w:ascii="宋体" w:hAnsi="宋体"/>
          <w:b/>
          <w:color w:val="000000" w:themeColor="text1"/>
          <w:sz w:val="24"/>
          <w:highlight w:val="none"/>
          <w14:textFill>
            <w14:solidFill>
              <w14:schemeClr w14:val="tx1"/>
            </w14:solidFill>
          </w14:textFill>
        </w:rPr>
        <w:fldChar w:fldCharType="begin"/>
      </w:r>
      <w:r>
        <w:rPr>
          <w:rFonts w:ascii="宋体" w:hAnsi="宋体"/>
          <w:b/>
          <w:color w:val="000000" w:themeColor="text1"/>
          <w:sz w:val="24"/>
          <w:highlight w:val="none"/>
          <w14:textFill>
            <w14:solidFill>
              <w14:schemeClr w14:val="tx1"/>
            </w14:solidFill>
          </w14:textFill>
        </w:rPr>
        <w:instrText xml:space="preserve"> PAGEREF _Toc74323461 \h </w:instrText>
      </w:r>
      <w:r>
        <w:rPr>
          <w:rFonts w:ascii="宋体" w:hAnsi="宋体"/>
          <w:b/>
          <w:color w:val="000000" w:themeColor="text1"/>
          <w:sz w:val="24"/>
          <w:highlight w:val="none"/>
          <w14:textFill>
            <w14:solidFill>
              <w14:schemeClr w14:val="tx1"/>
            </w14:solidFill>
          </w14:textFill>
        </w:rPr>
        <w:fldChar w:fldCharType="separate"/>
      </w:r>
      <w:r>
        <w:rPr>
          <w:rFonts w:ascii="宋体" w:hAnsi="宋体"/>
          <w:b/>
          <w:color w:val="000000" w:themeColor="text1"/>
          <w:sz w:val="24"/>
          <w:highlight w:val="none"/>
          <w14:textFill>
            <w14:solidFill>
              <w14:schemeClr w14:val="tx1"/>
            </w14:solidFill>
          </w14:textFill>
        </w:rPr>
        <w:t>78</w:t>
      </w:r>
      <w:r>
        <w:rPr>
          <w:rFonts w:ascii="宋体" w:hAnsi="宋体"/>
          <w:b/>
          <w:color w:val="000000" w:themeColor="text1"/>
          <w:sz w:val="24"/>
          <w:highlight w:val="none"/>
          <w14:textFill>
            <w14:solidFill>
              <w14:schemeClr w14:val="tx1"/>
            </w14:solidFill>
          </w14:textFill>
        </w:rPr>
        <w:fldChar w:fldCharType="end"/>
      </w:r>
      <w:r>
        <w:rPr>
          <w:rFonts w:ascii="宋体" w:hAnsi="宋体"/>
          <w:b/>
          <w:color w:val="000000" w:themeColor="text1"/>
          <w:sz w:val="24"/>
          <w:highlight w:val="none"/>
          <w14:textFill>
            <w14:solidFill>
              <w14:schemeClr w14:val="tx1"/>
            </w14:solidFill>
          </w14:textFill>
        </w:rPr>
        <w:fldChar w:fldCharType="end"/>
      </w:r>
    </w:p>
    <w:p w14:paraId="6F80E6F1">
      <w:pPr>
        <w:pStyle w:val="38"/>
        <w:tabs>
          <w:tab w:val="right" w:leader="dot" w:pos="8931"/>
          <w:tab w:val="clear" w:pos="8296"/>
        </w:tabs>
        <w:spacing w:line="500" w:lineRule="atLeast"/>
        <w:ind w:left="0"/>
        <w:rPr>
          <w:rFonts w:hint="eastAsia"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fldChar w:fldCharType="end"/>
      </w:r>
    </w:p>
    <w:p w14:paraId="3F28A635">
      <w:pPr>
        <w:spacing w:line="400" w:lineRule="exact"/>
        <w:jc w:val="left"/>
        <w:rPr>
          <w:rFonts w:hint="eastAsia" w:ascii="宋体" w:hAnsi="宋体"/>
          <w:b/>
          <w:color w:val="000000" w:themeColor="text1"/>
          <w:sz w:val="32"/>
          <w:szCs w:val="32"/>
          <w:highlight w:val="none"/>
          <w14:textFill>
            <w14:solidFill>
              <w14:schemeClr w14:val="tx1"/>
            </w14:solidFill>
          </w14:textFill>
        </w:rPr>
      </w:pPr>
    </w:p>
    <w:p w14:paraId="157D266F">
      <w:pPr>
        <w:spacing w:line="400" w:lineRule="exact"/>
        <w:jc w:val="center"/>
        <w:rPr>
          <w:rFonts w:hint="eastAsia" w:ascii="宋体" w:hAnsi="宋体"/>
          <w:b/>
          <w:color w:val="000000" w:themeColor="text1"/>
          <w:sz w:val="32"/>
          <w:szCs w:val="32"/>
          <w:highlight w:val="none"/>
          <w14:textFill>
            <w14:solidFill>
              <w14:schemeClr w14:val="tx1"/>
            </w14:solidFill>
          </w14:textFill>
        </w:rPr>
      </w:pPr>
    </w:p>
    <w:p w14:paraId="7D38285E">
      <w:pPr>
        <w:spacing w:line="400" w:lineRule="exact"/>
        <w:jc w:val="center"/>
        <w:rPr>
          <w:rFonts w:hint="eastAsia" w:ascii="宋体" w:hAnsi="宋体"/>
          <w:b/>
          <w:color w:val="000000" w:themeColor="text1"/>
          <w:sz w:val="32"/>
          <w:szCs w:val="32"/>
          <w:highlight w:val="none"/>
          <w14:textFill>
            <w14:solidFill>
              <w14:schemeClr w14:val="tx1"/>
            </w14:solidFill>
          </w14:textFill>
        </w:rPr>
      </w:pPr>
    </w:p>
    <w:p w14:paraId="6E719941">
      <w:pPr>
        <w:spacing w:line="400" w:lineRule="exact"/>
        <w:jc w:val="center"/>
        <w:rPr>
          <w:rFonts w:hint="eastAsia" w:ascii="宋体" w:hAnsi="宋体"/>
          <w:b/>
          <w:color w:val="000000" w:themeColor="text1"/>
          <w:sz w:val="32"/>
          <w:szCs w:val="32"/>
          <w:highlight w:val="none"/>
          <w14:textFill>
            <w14:solidFill>
              <w14:schemeClr w14:val="tx1"/>
            </w14:solidFill>
          </w14:textFill>
        </w:rPr>
      </w:pPr>
    </w:p>
    <w:p w14:paraId="17113D3D">
      <w:pPr>
        <w:spacing w:line="400" w:lineRule="exact"/>
        <w:jc w:val="center"/>
        <w:rPr>
          <w:rFonts w:hint="eastAsia" w:ascii="宋体" w:hAnsi="宋体"/>
          <w:b/>
          <w:color w:val="000000" w:themeColor="text1"/>
          <w:sz w:val="32"/>
          <w:szCs w:val="32"/>
          <w:highlight w:val="none"/>
          <w14:textFill>
            <w14:solidFill>
              <w14:schemeClr w14:val="tx1"/>
            </w14:solidFill>
          </w14:textFill>
        </w:rPr>
      </w:pPr>
    </w:p>
    <w:p w14:paraId="0B6712EC">
      <w:pPr>
        <w:spacing w:line="400" w:lineRule="exact"/>
        <w:rPr>
          <w:rFonts w:hint="eastAsia" w:ascii="宋体" w:hAnsi="宋体"/>
          <w:b/>
          <w:color w:val="000000" w:themeColor="text1"/>
          <w:sz w:val="32"/>
          <w:szCs w:val="32"/>
          <w:highlight w:val="none"/>
          <w14:textFill>
            <w14:solidFill>
              <w14:schemeClr w14:val="tx1"/>
            </w14:solidFill>
          </w14:textFill>
        </w:rPr>
        <w:sectPr>
          <w:footerReference r:id="rId8" w:type="first"/>
          <w:footerReference r:id="rId7" w:type="default"/>
          <w:pgSz w:w="11906" w:h="16838"/>
          <w:pgMar w:top="1440" w:right="1440" w:bottom="1440" w:left="1587" w:header="851" w:footer="992" w:gutter="0"/>
          <w:pgNumType w:start="1"/>
          <w:cols w:space="720" w:num="1"/>
          <w:titlePg/>
        </w:sectPr>
      </w:pPr>
    </w:p>
    <w:p w14:paraId="0C4D9F56">
      <w:pPr>
        <w:pStyle w:val="2"/>
        <w:spacing w:after="340" w:line="360" w:lineRule="auto"/>
        <w:jc w:val="center"/>
        <w:rPr>
          <w:color w:val="000000" w:themeColor="text1"/>
          <w:highlight w:val="none"/>
          <w14:textFill>
            <w14:solidFill>
              <w14:schemeClr w14:val="tx1"/>
            </w14:solidFill>
          </w14:textFill>
        </w:rPr>
      </w:pPr>
      <w:bookmarkStart w:id="11" w:name="_Toc74323456"/>
      <w:r>
        <w:rPr>
          <w:rFonts w:hint="eastAsia"/>
          <w:color w:val="000000" w:themeColor="text1"/>
          <w:highlight w:val="none"/>
          <w14:textFill>
            <w14:solidFill>
              <w14:schemeClr w14:val="tx1"/>
            </w14:solidFill>
          </w14:textFill>
        </w:rPr>
        <w:t>第一章竞争性磋商公告</w:t>
      </w:r>
      <w:bookmarkEnd w:id="11"/>
    </w:p>
    <w:p w14:paraId="18E6512E">
      <w:pPr>
        <w:spacing w:line="400" w:lineRule="exact"/>
        <w:jc w:val="center"/>
        <w:rPr>
          <w:rFonts w:hint="eastAsia"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竞争性磋商公告</w:t>
      </w:r>
    </w:p>
    <w:p w14:paraId="56C50842">
      <w:pPr>
        <w:spacing w:line="360" w:lineRule="auto"/>
        <w:rPr>
          <w:rFonts w:hint="eastAsia" w:ascii="宋体" w:hAnsi="宋体"/>
          <w:color w:val="000000" w:themeColor="text1"/>
          <w:szCs w:val="21"/>
          <w:highlight w:val="none"/>
          <w14:textFill>
            <w14:solidFill>
              <w14:schemeClr w14:val="tx1"/>
            </w14:solidFill>
          </w14:textFill>
        </w:rPr>
      </w:pPr>
    </w:p>
    <w:p w14:paraId="5FDAAECE">
      <w:pPr>
        <w:pBdr>
          <w:top w:val="single" w:color="000000" w:sz="4" w:space="1"/>
          <w:left w:val="single" w:color="000000" w:sz="4" w:space="4"/>
          <w:bottom w:val="single" w:color="000000" w:sz="4" w:space="1"/>
          <w:right w:val="single" w:color="000000" w:sz="4" w:space="4"/>
        </w:pBdr>
        <w:spacing w:line="360" w:lineRule="auto"/>
        <w:ind w:firstLine="420"/>
        <w:rPr>
          <w:rFonts w:hint="eastAsia" w:ascii="宋体" w:hAnsi="宋体"/>
          <w:color w:val="000000" w:themeColor="text1"/>
          <w:szCs w:val="21"/>
          <w:highlight w:val="none"/>
          <w14:textFill>
            <w14:solidFill>
              <w14:schemeClr w14:val="tx1"/>
            </w14:solidFill>
          </w14:textFill>
        </w:rPr>
      </w:pPr>
      <w:bookmarkStart w:id="12" w:name="_Hlk37430271"/>
      <w:r>
        <w:rPr>
          <w:rFonts w:hint="eastAsia" w:ascii="宋体" w:hAnsi="宋体"/>
          <w:color w:val="000000" w:themeColor="text1"/>
          <w:szCs w:val="21"/>
          <w:highlight w:val="none"/>
          <w14:textFill>
            <w14:solidFill>
              <w14:schemeClr w14:val="tx1"/>
            </w14:solidFill>
          </w14:textFill>
        </w:rPr>
        <w:t>项目概况</w:t>
      </w:r>
    </w:p>
    <w:p w14:paraId="63710514">
      <w:pPr>
        <w:pBdr>
          <w:top w:val="single" w:color="000000" w:sz="4" w:space="1"/>
          <w:left w:val="single" w:color="000000" w:sz="4" w:space="4"/>
          <w:bottom w:val="single" w:color="000000" w:sz="4" w:space="1"/>
          <w:right w:val="single" w:color="000000" w:sz="4" w:space="4"/>
        </w:pBdr>
        <w:spacing w:line="360" w:lineRule="auto"/>
        <w:ind w:firstLine="42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lang w:eastAsia="zh-CN"/>
          <w14:textFill>
            <w14:solidFill>
              <w14:schemeClr w14:val="tx1"/>
            </w14:solidFill>
          </w14:textFill>
        </w:rPr>
        <w:t>2026年第一批扩大学前教育资源奖补资金项目平南县大安镇中心幼儿园教学楼综合楼维修、综合活动场地项目</w:t>
      </w:r>
      <w:r>
        <w:rPr>
          <w:rFonts w:hint="eastAsia" w:ascii="宋体" w:hAnsi="宋体"/>
          <w:color w:val="000000" w:themeColor="text1"/>
          <w:szCs w:val="21"/>
          <w:highlight w:val="none"/>
          <w14:textFill>
            <w14:solidFill>
              <w14:schemeClr w14:val="tx1"/>
            </w14:solidFill>
          </w14:textFill>
        </w:rPr>
        <w:t>的潜在供应商应在广西政府采购云平台（https://www.gcy.zfcg.gxzf.gov.cn）获取（下载）竞争性磋商文件，并于</w:t>
      </w:r>
      <w:r>
        <w:rPr>
          <w:rFonts w:ascii="宋体" w:hAnsi="宋体"/>
          <w:bCs/>
          <w:color w:val="000000" w:themeColor="text1"/>
          <w:szCs w:val="21"/>
          <w:highlight w:val="none"/>
          <w:u w:val="single"/>
          <w14:textFill>
            <w14:solidFill>
              <w14:schemeClr w14:val="tx1"/>
            </w14:solidFill>
          </w14:textFill>
        </w:rPr>
        <w:t>202</w:t>
      </w:r>
      <w:r>
        <w:rPr>
          <w:rFonts w:hint="eastAsia" w:ascii="宋体" w:hAnsi="宋体"/>
          <w:bCs/>
          <w:color w:val="000000" w:themeColor="text1"/>
          <w:szCs w:val="21"/>
          <w:highlight w:val="none"/>
          <w:u w:val="single"/>
          <w:lang w:val="en-US" w:eastAsia="zh-CN"/>
          <w14:textFill>
            <w14:solidFill>
              <w14:schemeClr w14:val="tx1"/>
            </w14:solidFill>
          </w14:textFill>
        </w:rPr>
        <w:t>6</w:t>
      </w:r>
      <w:r>
        <w:rPr>
          <w:rFonts w:hint="eastAsia" w:ascii="宋体" w:hAnsi="宋体"/>
          <w:bCs/>
          <w:color w:val="000000" w:themeColor="text1"/>
          <w:szCs w:val="21"/>
          <w:highlight w:val="none"/>
          <w:u w:val="single"/>
          <w14:textFill>
            <w14:solidFill>
              <w14:schemeClr w14:val="tx1"/>
            </w14:solidFill>
          </w14:textFill>
        </w:rPr>
        <w:t>年</w:t>
      </w:r>
      <w:r>
        <w:rPr>
          <w:rFonts w:hint="eastAsia" w:ascii="宋体" w:hAnsi="宋体"/>
          <w:bCs/>
          <w:color w:val="000000" w:themeColor="text1"/>
          <w:szCs w:val="21"/>
          <w:highlight w:val="none"/>
          <w:u w:val="single"/>
          <w:lang w:val="en-US" w:eastAsia="zh-CN"/>
          <w14:textFill>
            <w14:solidFill>
              <w14:schemeClr w14:val="tx1"/>
            </w14:solidFill>
          </w14:textFill>
        </w:rPr>
        <w:t>6</w:t>
      </w:r>
      <w:r>
        <w:rPr>
          <w:rFonts w:hint="eastAsia" w:ascii="宋体" w:hAnsi="宋体"/>
          <w:bCs/>
          <w:color w:val="000000" w:themeColor="text1"/>
          <w:szCs w:val="21"/>
          <w:highlight w:val="none"/>
          <w:u w:val="single"/>
          <w14:textFill>
            <w14:solidFill>
              <w14:schemeClr w14:val="tx1"/>
            </w14:solidFill>
          </w14:textFill>
        </w:rPr>
        <w:t>月</w:t>
      </w:r>
      <w:r>
        <w:rPr>
          <w:rFonts w:hint="eastAsia" w:ascii="宋体" w:hAnsi="宋体"/>
          <w:bCs/>
          <w:color w:val="000000" w:themeColor="text1"/>
          <w:szCs w:val="21"/>
          <w:highlight w:val="none"/>
          <w:u w:val="single"/>
          <w:lang w:val="en-US" w:eastAsia="zh-CN"/>
          <w14:textFill>
            <w14:solidFill>
              <w14:schemeClr w14:val="tx1"/>
            </w14:solidFill>
          </w14:textFill>
        </w:rPr>
        <w:t>29</w:t>
      </w:r>
      <w:r>
        <w:rPr>
          <w:rFonts w:hint="eastAsia" w:ascii="宋体" w:hAnsi="宋体"/>
          <w:bCs/>
          <w:color w:val="000000" w:themeColor="text1"/>
          <w:szCs w:val="21"/>
          <w:highlight w:val="none"/>
          <w:u w:val="single"/>
          <w14:textFill>
            <w14:solidFill>
              <w14:schemeClr w14:val="tx1"/>
            </w14:solidFill>
          </w14:textFill>
        </w:rPr>
        <w:t>日9时0</w:t>
      </w:r>
      <w:r>
        <w:rPr>
          <w:rFonts w:ascii="宋体" w:hAnsi="宋体"/>
          <w:bCs/>
          <w:color w:val="000000" w:themeColor="text1"/>
          <w:szCs w:val="21"/>
          <w:highlight w:val="none"/>
          <w:u w:val="single"/>
          <w14:textFill>
            <w14:solidFill>
              <w14:schemeClr w14:val="tx1"/>
            </w14:solidFill>
          </w14:textFill>
        </w:rPr>
        <w:t>0</w:t>
      </w:r>
      <w:r>
        <w:rPr>
          <w:rFonts w:hint="eastAsia" w:ascii="宋体" w:hAnsi="宋体"/>
          <w:bCs/>
          <w:color w:val="000000" w:themeColor="text1"/>
          <w:szCs w:val="21"/>
          <w:highlight w:val="none"/>
          <w:u w:val="single"/>
          <w14:textFill>
            <w14:solidFill>
              <w14:schemeClr w14:val="tx1"/>
            </w14:solidFill>
          </w14:textFill>
        </w:rPr>
        <w:t>分</w:t>
      </w:r>
      <w:r>
        <w:rPr>
          <w:rFonts w:hint="eastAsia" w:ascii="宋体" w:hAnsi="宋体"/>
          <w:bCs/>
          <w:color w:val="000000" w:themeColor="text1"/>
          <w:szCs w:val="21"/>
          <w:highlight w:val="none"/>
          <w14:textFill>
            <w14:solidFill>
              <w14:schemeClr w14:val="tx1"/>
            </w14:solidFill>
          </w14:textFill>
        </w:rPr>
        <w:t>（北京时间）前提交（上传）</w:t>
      </w:r>
      <w:r>
        <w:rPr>
          <w:rFonts w:hint="eastAsia" w:ascii="宋体" w:hAnsi="宋体"/>
          <w:color w:val="000000" w:themeColor="text1"/>
          <w:szCs w:val="21"/>
          <w:highlight w:val="none"/>
          <w14:textFill>
            <w14:solidFill>
              <w14:schemeClr w14:val="tx1"/>
            </w14:solidFill>
          </w14:textFill>
        </w:rPr>
        <w:t>响应</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w:t>
      </w:r>
    </w:p>
    <w:p w14:paraId="01DCADDB">
      <w:pPr>
        <w:spacing w:line="360" w:lineRule="auto"/>
        <w:rPr>
          <w:rFonts w:hint="eastAsia" w:ascii="宋体" w:hAnsi="宋体"/>
          <w:color w:val="000000" w:themeColor="text1"/>
          <w:szCs w:val="21"/>
          <w:highlight w:val="none"/>
          <w14:textFill>
            <w14:solidFill>
              <w14:schemeClr w14:val="tx1"/>
            </w14:solidFill>
          </w14:textFill>
        </w:rPr>
      </w:pPr>
    </w:p>
    <w:p w14:paraId="0A065905">
      <w:pPr>
        <w:spacing w:line="360" w:lineRule="auto"/>
        <w:ind w:firstLine="354"/>
        <w:rPr>
          <w:rFonts w:hint="eastAsia" w:ascii="黑体" w:hAnsi="黑体" w:eastAsia="黑体"/>
          <w:b/>
          <w:color w:val="000000" w:themeColor="text1"/>
          <w:sz w:val="24"/>
          <w:highlight w:val="none"/>
          <w14:textFill>
            <w14:solidFill>
              <w14:schemeClr w14:val="tx1"/>
            </w14:solidFill>
          </w14:textFill>
        </w:rPr>
      </w:pPr>
      <w:bookmarkStart w:id="13" w:name="_Toc28359089"/>
      <w:bookmarkStart w:id="14" w:name="_Toc44229878"/>
      <w:bookmarkStart w:id="15" w:name="_Toc35393798"/>
      <w:bookmarkStart w:id="16" w:name="_Toc71365905"/>
      <w:bookmarkStart w:id="17" w:name="_Toc28359012"/>
      <w:bookmarkStart w:id="18" w:name="_Toc35393629"/>
      <w:r>
        <w:rPr>
          <w:rFonts w:hint="eastAsia" w:ascii="黑体" w:hAnsi="黑体" w:eastAsia="黑体"/>
          <w:b/>
          <w:color w:val="000000" w:themeColor="text1"/>
          <w:sz w:val="24"/>
          <w:highlight w:val="none"/>
          <w14:textFill>
            <w14:solidFill>
              <w14:schemeClr w14:val="tx1"/>
            </w14:solidFill>
          </w14:textFill>
        </w:rPr>
        <w:t>一、项目基本情况</w:t>
      </w:r>
      <w:bookmarkEnd w:id="13"/>
      <w:bookmarkEnd w:id="14"/>
      <w:bookmarkEnd w:id="15"/>
      <w:bookmarkEnd w:id="16"/>
      <w:bookmarkEnd w:id="17"/>
      <w:bookmarkEnd w:id="18"/>
    </w:p>
    <w:p w14:paraId="3091B99C">
      <w:pPr>
        <w:spacing w:line="312" w:lineRule="auto"/>
        <w:ind w:firstLine="42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项目编号：</w:t>
      </w:r>
      <w:r>
        <w:rPr>
          <w:rFonts w:hint="eastAsia" w:ascii="宋体" w:hAnsi="宋体" w:cs="宋体"/>
          <w:color w:val="000000" w:themeColor="text1"/>
          <w:highlight w:val="none"/>
          <w:lang w:eastAsia="zh-CN"/>
          <w14:textFill>
            <w14:solidFill>
              <w14:schemeClr w14:val="tx1"/>
            </w14:solidFill>
          </w14:textFill>
        </w:rPr>
        <w:t>GGZC2026-C2-210096-YZLZ</w:t>
      </w:r>
      <w:r>
        <w:rPr>
          <w:rFonts w:hint="eastAsia" w:ascii="宋体" w:hAnsi="宋体" w:cs="宋体"/>
          <w:color w:val="000000" w:themeColor="text1"/>
          <w:highlight w:val="none"/>
          <w14:textFill>
            <w14:solidFill>
              <w14:schemeClr w14:val="tx1"/>
            </w14:solidFill>
          </w14:textFill>
        </w:rPr>
        <w:t xml:space="preserve">     </w:t>
      </w:r>
    </w:p>
    <w:p w14:paraId="618A6742">
      <w:pPr>
        <w:spacing w:line="312" w:lineRule="auto"/>
        <w:ind w:firstLine="42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lang w:eastAsia="zh-CN"/>
          <w14:textFill>
            <w14:solidFill>
              <w14:schemeClr w14:val="tx1"/>
            </w14:solidFill>
          </w14:textFill>
        </w:rPr>
        <w:t>2026年第一批扩大学前教育资源奖补资金项目平南县大安镇中心幼儿园教学楼综合楼维修、综合活动场地项目</w:t>
      </w:r>
    </w:p>
    <w:p w14:paraId="15A83884">
      <w:pPr>
        <w:spacing w:line="312" w:lineRule="auto"/>
        <w:ind w:firstLine="42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采购方式：竞争性磋商</w:t>
      </w:r>
    </w:p>
    <w:p w14:paraId="718CE08A">
      <w:pPr>
        <w:spacing w:line="312" w:lineRule="auto"/>
        <w:ind w:firstLine="42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预算金额（元）：</w:t>
      </w:r>
      <w:r>
        <w:rPr>
          <w:rFonts w:hint="eastAsia" w:ascii="宋体" w:hAnsi="宋体" w:cs="宋体"/>
          <w:color w:val="000000" w:themeColor="text1"/>
          <w:highlight w:val="none"/>
          <w:lang w:eastAsia="zh-CN"/>
          <w14:textFill>
            <w14:solidFill>
              <w14:schemeClr w14:val="tx1"/>
            </w14:solidFill>
          </w14:textFill>
        </w:rPr>
        <w:t>1242096.10</w:t>
      </w:r>
    </w:p>
    <w:p w14:paraId="448EFE00">
      <w:pPr>
        <w:spacing w:line="312" w:lineRule="auto"/>
        <w:ind w:firstLine="42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最高限价（元）：</w:t>
      </w:r>
      <w:r>
        <w:rPr>
          <w:rFonts w:hint="eastAsia" w:ascii="宋体" w:hAnsi="宋体" w:cs="宋体"/>
          <w:color w:val="000000" w:themeColor="text1"/>
          <w:highlight w:val="none"/>
          <w:lang w:eastAsia="zh-CN"/>
          <w14:textFill>
            <w14:solidFill>
              <w14:schemeClr w14:val="tx1"/>
            </w14:solidFill>
          </w14:textFill>
        </w:rPr>
        <w:t>1242096.10</w:t>
      </w:r>
    </w:p>
    <w:p w14:paraId="3CB3272F">
      <w:pPr>
        <w:spacing w:line="312" w:lineRule="auto"/>
        <w:ind w:firstLine="42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采购需求：</w:t>
      </w:r>
    </w:p>
    <w:p w14:paraId="3FF3001B">
      <w:pPr>
        <w:spacing w:line="312" w:lineRule="auto"/>
        <w:ind w:firstLine="42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标项一</w:t>
      </w:r>
    </w:p>
    <w:p w14:paraId="6857D0F7">
      <w:pPr>
        <w:spacing w:line="312" w:lineRule="auto"/>
        <w:ind w:firstLine="42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标项名称：</w:t>
      </w:r>
      <w:r>
        <w:rPr>
          <w:rFonts w:hint="eastAsia" w:ascii="宋体" w:hAnsi="宋体" w:cs="宋体"/>
          <w:color w:val="000000" w:themeColor="text1"/>
          <w:highlight w:val="none"/>
          <w:lang w:eastAsia="zh-CN"/>
          <w14:textFill>
            <w14:solidFill>
              <w14:schemeClr w14:val="tx1"/>
            </w14:solidFill>
          </w14:textFill>
        </w:rPr>
        <w:t>2026年第一批扩大学前教育资源奖补资金项目平南县大安镇中心幼儿园教学楼综合楼维修、综合活动场地项目</w:t>
      </w:r>
    </w:p>
    <w:p w14:paraId="0BF886AD">
      <w:pPr>
        <w:spacing w:line="312" w:lineRule="auto"/>
        <w:ind w:firstLine="42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数量：1项</w:t>
      </w:r>
    </w:p>
    <w:p w14:paraId="58534063">
      <w:pPr>
        <w:spacing w:line="312" w:lineRule="auto"/>
        <w:ind w:firstLine="42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预算金额（元）：</w:t>
      </w:r>
      <w:r>
        <w:rPr>
          <w:rFonts w:hint="eastAsia" w:ascii="宋体" w:hAnsi="宋体" w:cs="宋体"/>
          <w:color w:val="000000" w:themeColor="text1"/>
          <w:highlight w:val="none"/>
          <w:lang w:eastAsia="zh-CN"/>
          <w14:textFill>
            <w14:solidFill>
              <w14:schemeClr w14:val="tx1"/>
            </w14:solidFill>
          </w14:textFill>
        </w:rPr>
        <w:t>1242096.10</w:t>
      </w:r>
    </w:p>
    <w:p w14:paraId="0CD9EFE2">
      <w:pPr>
        <w:spacing w:line="312" w:lineRule="auto"/>
        <w:ind w:firstLine="420"/>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简要规格描述或项目基本概况介绍、用途：</w:t>
      </w:r>
      <w:r>
        <w:rPr>
          <w:rFonts w:hint="eastAsia" w:ascii="宋体" w:hAnsi="宋体" w:cs="宋体"/>
          <w:color w:val="000000" w:themeColor="text1"/>
          <w:highlight w:val="none"/>
          <w:lang w:eastAsia="zh-CN"/>
          <w14:textFill>
            <w14:solidFill>
              <w14:schemeClr w14:val="tx1"/>
            </w14:solidFill>
          </w14:textFill>
        </w:rPr>
        <w:t>平南县大安镇中心幼儿园教学楼综合楼维修、综合活动场地项目</w:t>
      </w:r>
      <w:r>
        <w:rPr>
          <w:rFonts w:hint="eastAsia" w:ascii="宋体" w:hAnsi="宋体" w:cs="宋体"/>
          <w:color w:val="000000" w:themeColor="text1"/>
          <w:szCs w:val="21"/>
          <w:highlight w:val="none"/>
          <w:lang w:val="en-US" w:eastAsia="zh-CN"/>
          <w14:textFill>
            <w14:solidFill>
              <w14:schemeClr w14:val="tx1"/>
            </w14:solidFill>
          </w14:textFill>
        </w:rPr>
        <w:t>1项</w:t>
      </w:r>
      <w:r>
        <w:rPr>
          <w:rFonts w:hint="eastAsia" w:ascii="宋体" w:hAnsi="宋体" w:cs="宋体"/>
          <w:color w:val="000000" w:themeColor="text1"/>
          <w:szCs w:val="21"/>
          <w:highlight w:val="none"/>
          <w14:textFill>
            <w14:solidFill>
              <w14:schemeClr w14:val="tx1"/>
            </w14:solidFill>
          </w14:textFill>
        </w:rPr>
        <w:t>，工程质量等级要求达到国家施工质量验收规范合格标准</w:t>
      </w:r>
      <w:r>
        <w:rPr>
          <w:rFonts w:hint="eastAsia" w:ascii="宋体" w:hAnsi="宋体" w:cs="宋体"/>
          <w:color w:val="000000" w:themeColor="text1"/>
          <w:szCs w:val="21"/>
          <w:highlight w:val="none"/>
          <w:lang w:eastAsia="zh-CN"/>
          <w14:textFill>
            <w14:solidFill>
              <w14:schemeClr w14:val="tx1"/>
            </w14:solidFill>
          </w14:textFill>
        </w:rPr>
        <w:t>；详见招标控制价及图纸。</w:t>
      </w:r>
    </w:p>
    <w:p w14:paraId="1FD46361">
      <w:pPr>
        <w:spacing w:line="360" w:lineRule="auto"/>
        <w:ind w:firstLine="420"/>
        <w:rPr>
          <w:rFonts w:hint="eastAsia"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合同履行期限：要求工期为</w:t>
      </w:r>
      <w:r>
        <w:rPr>
          <w:rFonts w:hint="eastAsia" w:ascii="宋体" w:hAnsi="宋体"/>
          <w:color w:val="000000" w:themeColor="text1"/>
          <w:szCs w:val="21"/>
          <w:highlight w:val="none"/>
          <w:lang w:val="en-US" w:eastAsia="zh-CN"/>
          <w14:textFill>
            <w14:solidFill>
              <w14:schemeClr w14:val="tx1"/>
            </w14:solidFill>
          </w14:textFill>
        </w:rPr>
        <w:t>45</w:t>
      </w:r>
      <w:r>
        <w:rPr>
          <w:rFonts w:hint="eastAsia" w:ascii="宋体" w:hAnsi="宋体"/>
          <w:color w:val="000000" w:themeColor="text1"/>
          <w:szCs w:val="21"/>
          <w:highlight w:val="none"/>
          <w14:textFill>
            <w14:solidFill>
              <w14:schemeClr w14:val="tx1"/>
            </w14:solidFill>
          </w14:textFill>
        </w:rPr>
        <w:t>个日历天。</w:t>
      </w:r>
    </w:p>
    <w:p w14:paraId="31F55582">
      <w:pPr>
        <w:spacing w:line="360" w:lineRule="auto"/>
        <w:ind w:firstLine="42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本项目不接受联合体。</w:t>
      </w:r>
    </w:p>
    <w:p w14:paraId="2BDE2AD4">
      <w:pPr>
        <w:spacing w:line="360" w:lineRule="auto"/>
        <w:ind w:firstLine="354"/>
        <w:rPr>
          <w:rFonts w:hint="eastAsia" w:ascii="黑体" w:hAnsi="黑体" w:eastAsia="黑体"/>
          <w:b/>
          <w:color w:val="000000" w:themeColor="text1"/>
          <w:sz w:val="24"/>
          <w:highlight w:val="none"/>
          <w14:textFill>
            <w14:solidFill>
              <w14:schemeClr w14:val="tx1"/>
            </w14:solidFill>
          </w14:textFill>
        </w:rPr>
      </w:pPr>
      <w:bookmarkStart w:id="19" w:name="_Toc71365906"/>
      <w:bookmarkStart w:id="20" w:name="_Toc44229879"/>
      <w:bookmarkStart w:id="21" w:name="_Toc28359013"/>
      <w:bookmarkStart w:id="22" w:name="_Toc35393799"/>
      <w:bookmarkStart w:id="23" w:name="_Toc35393630"/>
      <w:bookmarkStart w:id="24" w:name="_Toc28359090"/>
      <w:r>
        <w:rPr>
          <w:rFonts w:hint="eastAsia" w:ascii="黑体" w:hAnsi="黑体" w:eastAsia="黑体"/>
          <w:b/>
          <w:color w:val="000000" w:themeColor="text1"/>
          <w:sz w:val="24"/>
          <w:highlight w:val="none"/>
          <w14:textFill>
            <w14:solidFill>
              <w14:schemeClr w14:val="tx1"/>
            </w14:solidFill>
          </w14:textFill>
        </w:rPr>
        <w:t>二、申请人的资格条件：</w:t>
      </w:r>
      <w:bookmarkEnd w:id="19"/>
      <w:bookmarkEnd w:id="20"/>
      <w:bookmarkEnd w:id="21"/>
      <w:bookmarkEnd w:id="22"/>
      <w:bookmarkEnd w:id="23"/>
      <w:bookmarkEnd w:id="24"/>
    </w:p>
    <w:p w14:paraId="051DCF40">
      <w:pPr>
        <w:spacing w:line="360" w:lineRule="auto"/>
        <w:ind w:firstLine="420"/>
        <w:rPr>
          <w:rFonts w:hint="eastAsia" w:ascii="宋体" w:hAnsi="宋体"/>
          <w:color w:val="000000" w:themeColor="text1"/>
          <w:szCs w:val="21"/>
          <w:highlight w:val="none"/>
          <w14:textFill>
            <w14:solidFill>
              <w14:schemeClr w14:val="tx1"/>
            </w14:solidFill>
          </w14:textFill>
        </w:rPr>
      </w:pPr>
      <w:bookmarkStart w:id="25" w:name="_Toc28359091"/>
      <w:bookmarkStart w:id="26" w:name="_Toc35393800"/>
      <w:bookmarkStart w:id="27" w:name="_Toc28359014"/>
      <w:bookmarkStart w:id="28" w:name="_Toc44229880"/>
      <w:bookmarkStart w:id="29" w:name="_Toc35393631"/>
      <w:r>
        <w:rPr>
          <w:rFonts w:hint="eastAsia" w:ascii="宋体" w:hAnsi="宋体"/>
          <w:color w:val="000000" w:themeColor="text1"/>
          <w:szCs w:val="21"/>
          <w:highlight w:val="none"/>
          <w14:textFill>
            <w14:solidFill>
              <w14:schemeClr w14:val="tx1"/>
            </w14:solidFill>
          </w14:textFill>
        </w:rPr>
        <w:t>1.满足《中华人民共和国政府采购法》第二十二条规定；</w:t>
      </w:r>
    </w:p>
    <w:p w14:paraId="7D162E21">
      <w:pPr>
        <w:spacing w:line="360" w:lineRule="auto"/>
        <w:ind w:firstLine="420"/>
        <w:rPr>
          <w:rStyle w:val="59"/>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.落实政府采购政策需满足的资格要求：</w:t>
      </w:r>
      <w:r>
        <w:rPr>
          <w:rFonts w:hint="eastAsia" w:ascii="宋体" w:hAnsi="宋体" w:cs="宋体"/>
          <w:b/>
          <w:bCs/>
          <w:color w:val="000000" w:themeColor="text1"/>
          <w:szCs w:val="21"/>
          <w:highlight w:val="none"/>
          <w14:textFill>
            <w14:solidFill>
              <w14:schemeClr w14:val="tx1"/>
            </w14:solidFill>
          </w14:textFill>
        </w:rPr>
        <w:t>本项目属于专门面向中小企业采购的项目；供应商对应符合《政府采购促进中小企业发展管理办法》（财库〔2020〕46号）要求的中小企业或符合《财政部、司法部关于政府采购支持监狱企业发展有关问题的通知》（财库〔2014〕68号）要求的监狱企业或符合《财政部 民政部 中国残疾人联合会关于促进残疾人就业政府采购政策的通知》（财库〔2017〕141号）要求的残疾人福利性单位，否则作无效响应处理。</w:t>
      </w:r>
    </w:p>
    <w:p w14:paraId="390D9385">
      <w:pPr>
        <w:spacing w:line="360" w:lineRule="auto"/>
        <w:ind w:firstLine="42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3.本项目的特定资格要求：</w:t>
      </w:r>
    </w:p>
    <w:p w14:paraId="6280107E">
      <w:pPr>
        <w:spacing w:line="360" w:lineRule="auto"/>
        <w:ind w:firstLine="420"/>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eastAsia="黑体"/>
          <w:color w:val="000000" w:themeColor="text1"/>
          <w:szCs w:val="21"/>
          <w:highlight w:val="none"/>
          <w:lang w:val="en-US"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1）供应商须具备建筑工程施工总承包三级（含）以上资质，具备有效的安全生产许可证，并在人员、设备、资金等方面具备相应的施工能力。</w:t>
      </w:r>
    </w:p>
    <w:p w14:paraId="76225EB3">
      <w:pPr>
        <w:spacing w:line="360" w:lineRule="auto"/>
        <w:ind w:firstLine="420"/>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（2）拟投入本工程的技术负责人具有建筑工程专业工程师及以上职称。</w:t>
      </w:r>
    </w:p>
    <w:p w14:paraId="4B6327CD">
      <w:pPr>
        <w:spacing w:line="360" w:lineRule="auto"/>
        <w:ind w:firstLine="420"/>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（3）供应商拟派的项目经理须具备建筑工程专业贰级(含)以上注册建造师执业资格及有效的安全生产考核合格证书（B类）。</w:t>
      </w:r>
    </w:p>
    <w:p w14:paraId="69CD91FB">
      <w:pPr>
        <w:spacing w:line="360" w:lineRule="auto"/>
        <w:ind w:firstLine="420"/>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拟投入本项目的专职安全生产管理人员须具备有效的安全生产考核合格证书（C类），人数符合住房和城乡建设部《建筑施工企业、工程项目安全生产管理机构设置及安全生产管理人员配备办法》建质规〔2025〕3号的规定不少于1人。</w:t>
      </w:r>
    </w:p>
    <w:p w14:paraId="052088BE">
      <w:pPr>
        <w:spacing w:line="360" w:lineRule="auto"/>
        <w:ind w:firstLine="420"/>
        <w:rPr>
          <w:rFonts w:hint="default"/>
          <w:color w:val="000000" w:themeColor="text1"/>
          <w:highlight w:val="none"/>
          <w:lang w:val="en-US"/>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注：本项目不接受有在建、已中标/成交未开工或已列为其他项目中标候选人第一名的建造师和专职安全生产管理人员作为项目经理和专职安全生产管理人员（符合《广西壮族自治区建筑市场诚信卡管理暂行办法》第十六条第一款及桂建管﹝2016﹞70号、桂建管〔2020〕11号文除外）</w:t>
      </w:r>
    </w:p>
    <w:p w14:paraId="4C2A8956">
      <w:pPr>
        <w:spacing w:line="360" w:lineRule="auto"/>
        <w:ind w:firstLine="354"/>
        <w:rPr>
          <w:rFonts w:hint="eastAsia" w:ascii="黑体" w:hAnsi="黑体" w:eastAsia="黑体"/>
          <w:b/>
          <w:color w:val="000000" w:themeColor="text1"/>
          <w:sz w:val="24"/>
          <w:highlight w:val="none"/>
          <w14:textFill>
            <w14:solidFill>
              <w14:schemeClr w14:val="tx1"/>
            </w14:solidFill>
          </w14:textFill>
        </w:rPr>
      </w:pPr>
      <w:bookmarkStart w:id="30" w:name="_Toc71365907"/>
      <w:r>
        <w:rPr>
          <w:rFonts w:hint="eastAsia" w:ascii="黑体" w:hAnsi="黑体" w:eastAsia="黑体"/>
          <w:b/>
          <w:color w:val="000000" w:themeColor="text1"/>
          <w:sz w:val="24"/>
          <w:highlight w:val="none"/>
          <w14:textFill>
            <w14:solidFill>
              <w14:schemeClr w14:val="tx1"/>
            </w14:solidFill>
          </w14:textFill>
        </w:rPr>
        <w:t>三、获取竞争性磋商文件</w:t>
      </w:r>
      <w:bookmarkEnd w:id="25"/>
      <w:bookmarkEnd w:id="26"/>
      <w:bookmarkEnd w:id="27"/>
      <w:bookmarkEnd w:id="28"/>
      <w:bookmarkEnd w:id="29"/>
      <w:bookmarkEnd w:id="30"/>
    </w:p>
    <w:p w14:paraId="16E37772">
      <w:pPr>
        <w:spacing w:line="300" w:lineRule="auto"/>
        <w:ind w:firstLine="420"/>
        <w:rPr>
          <w:rFonts w:hint="eastAsia" w:ascii="宋体" w:hAnsi="宋体" w:cs="宋体"/>
          <w:bCs/>
          <w:color w:val="000000" w:themeColor="text1"/>
          <w:szCs w:val="21"/>
          <w:highlight w:val="none"/>
          <w14:textFill>
            <w14:solidFill>
              <w14:schemeClr w14:val="tx1"/>
            </w14:solidFill>
          </w14:textFill>
        </w:rPr>
      </w:pPr>
      <w:bookmarkStart w:id="31" w:name="_Toc28359092"/>
      <w:bookmarkStart w:id="32" w:name="_Toc35393801"/>
      <w:bookmarkStart w:id="33" w:name="_Toc44229881"/>
      <w:bookmarkStart w:id="34" w:name="_Toc28359015"/>
      <w:bookmarkStart w:id="35" w:name="_Toc35393632"/>
      <w:r>
        <w:rPr>
          <w:rFonts w:hint="eastAsia" w:ascii="宋体" w:hAnsi="宋体" w:cs="宋体"/>
          <w:bCs/>
          <w:color w:val="000000" w:themeColor="text1"/>
          <w:szCs w:val="21"/>
          <w:highlight w:val="none"/>
          <w14:textFill>
            <w14:solidFill>
              <w14:schemeClr w14:val="tx1"/>
            </w14:solidFill>
          </w14:textFill>
        </w:rPr>
        <w:t>时间：</w:t>
      </w:r>
      <w:r>
        <w:rPr>
          <w:rFonts w:ascii="宋体" w:hAnsi="宋体"/>
          <w:bCs/>
          <w:color w:val="000000" w:themeColor="text1"/>
          <w:szCs w:val="21"/>
          <w:highlight w:val="none"/>
          <w14:textFill>
            <w14:solidFill>
              <w14:schemeClr w14:val="tx1"/>
            </w14:solidFill>
          </w14:textFill>
        </w:rPr>
        <w:t>202</w:t>
      </w:r>
      <w:r>
        <w:rPr>
          <w:rFonts w:hint="eastAsia" w:ascii="宋体" w:hAnsi="宋体"/>
          <w:bCs/>
          <w:color w:val="000000" w:themeColor="text1"/>
          <w:szCs w:val="21"/>
          <w:highlight w:val="none"/>
          <w:lang w:val="en-US" w:eastAsia="zh-CN"/>
          <w14:textFill>
            <w14:solidFill>
              <w14:schemeClr w14:val="tx1"/>
            </w14:solidFill>
          </w14:textFill>
        </w:rPr>
        <w:t>6</w:t>
      </w:r>
      <w:r>
        <w:rPr>
          <w:rFonts w:hint="eastAsia" w:ascii="宋体" w:hAnsi="宋体"/>
          <w:bCs/>
          <w:color w:val="000000" w:themeColor="text1"/>
          <w:szCs w:val="21"/>
          <w:highlight w:val="none"/>
          <w14:textFill>
            <w14:solidFill>
              <w14:schemeClr w14:val="tx1"/>
            </w14:solidFill>
          </w14:textFill>
        </w:rPr>
        <w:t>年</w:t>
      </w:r>
      <w:r>
        <w:rPr>
          <w:rFonts w:hint="eastAsia" w:ascii="宋体" w:hAnsi="宋体"/>
          <w:bCs/>
          <w:color w:val="000000" w:themeColor="text1"/>
          <w:szCs w:val="21"/>
          <w:highlight w:val="none"/>
          <w:lang w:val="en-US" w:eastAsia="zh-CN"/>
          <w14:textFill>
            <w14:solidFill>
              <w14:schemeClr w14:val="tx1"/>
            </w14:solidFill>
          </w14:textFill>
        </w:rPr>
        <w:t>6</w:t>
      </w:r>
      <w:r>
        <w:rPr>
          <w:rFonts w:hint="eastAsia" w:ascii="宋体" w:hAnsi="宋体"/>
          <w:bCs/>
          <w:color w:val="000000" w:themeColor="text1"/>
          <w:szCs w:val="21"/>
          <w:highlight w:val="none"/>
          <w14:textFill>
            <w14:solidFill>
              <w14:schemeClr w14:val="tx1"/>
            </w14:solidFill>
          </w14:textFill>
        </w:rPr>
        <w:t>月</w:t>
      </w:r>
      <w:r>
        <w:rPr>
          <w:rFonts w:hint="eastAsia" w:ascii="宋体" w:hAnsi="宋体"/>
          <w:bCs/>
          <w:color w:val="000000" w:themeColor="text1"/>
          <w:szCs w:val="21"/>
          <w:highlight w:val="none"/>
          <w:lang w:val="en-US" w:eastAsia="zh-CN"/>
          <w14:textFill>
            <w14:solidFill>
              <w14:schemeClr w14:val="tx1"/>
            </w14:solidFill>
          </w14:textFill>
        </w:rPr>
        <w:t>16</w:t>
      </w:r>
      <w:r>
        <w:rPr>
          <w:rFonts w:hint="eastAsia" w:ascii="宋体" w:hAnsi="宋体"/>
          <w:bCs/>
          <w:color w:val="000000" w:themeColor="text1"/>
          <w:szCs w:val="21"/>
          <w:highlight w:val="none"/>
          <w14:textFill>
            <w14:solidFill>
              <w14:schemeClr w14:val="tx1"/>
            </w14:solidFill>
          </w14:textFill>
        </w:rPr>
        <w:t>日</w:t>
      </w:r>
      <w:r>
        <w:rPr>
          <w:rFonts w:hint="eastAsia" w:ascii="宋体" w:hAnsi="宋体" w:cs="宋体"/>
          <w:bCs/>
          <w:color w:val="000000" w:themeColor="text1"/>
          <w:szCs w:val="21"/>
          <w:highlight w:val="none"/>
          <w14:textFill>
            <w14:solidFill>
              <w14:schemeClr w14:val="tx1"/>
            </w14:solidFill>
          </w14:textFill>
        </w:rPr>
        <w:t>至</w:t>
      </w:r>
      <w:r>
        <w:rPr>
          <w:rFonts w:ascii="宋体" w:hAnsi="宋体"/>
          <w:bCs/>
          <w:color w:val="000000" w:themeColor="text1"/>
          <w:szCs w:val="21"/>
          <w:highlight w:val="none"/>
          <w14:textFill>
            <w14:solidFill>
              <w14:schemeClr w14:val="tx1"/>
            </w14:solidFill>
          </w14:textFill>
        </w:rPr>
        <w:t>202</w:t>
      </w:r>
      <w:r>
        <w:rPr>
          <w:rFonts w:hint="eastAsia" w:ascii="宋体" w:hAnsi="宋体"/>
          <w:bCs/>
          <w:color w:val="000000" w:themeColor="text1"/>
          <w:szCs w:val="21"/>
          <w:highlight w:val="none"/>
          <w:lang w:val="en-US" w:eastAsia="zh-CN"/>
          <w14:textFill>
            <w14:solidFill>
              <w14:schemeClr w14:val="tx1"/>
            </w14:solidFill>
          </w14:textFill>
        </w:rPr>
        <w:t>6</w:t>
      </w:r>
      <w:r>
        <w:rPr>
          <w:rFonts w:hint="eastAsia" w:ascii="宋体" w:hAnsi="宋体"/>
          <w:bCs/>
          <w:color w:val="000000" w:themeColor="text1"/>
          <w:szCs w:val="21"/>
          <w:highlight w:val="none"/>
          <w14:textFill>
            <w14:solidFill>
              <w14:schemeClr w14:val="tx1"/>
            </w14:solidFill>
          </w14:textFill>
        </w:rPr>
        <w:t>年</w:t>
      </w:r>
      <w:r>
        <w:rPr>
          <w:rFonts w:hint="eastAsia" w:ascii="宋体" w:hAnsi="宋体"/>
          <w:bCs/>
          <w:color w:val="000000" w:themeColor="text1"/>
          <w:szCs w:val="21"/>
          <w:highlight w:val="none"/>
          <w:lang w:val="en-US" w:eastAsia="zh-CN"/>
          <w14:textFill>
            <w14:solidFill>
              <w14:schemeClr w14:val="tx1"/>
            </w14:solidFill>
          </w14:textFill>
        </w:rPr>
        <w:t>6</w:t>
      </w:r>
      <w:r>
        <w:rPr>
          <w:rFonts w:hint="eastAsia" w:ascii="宋体" w:hAnsi="宋体"/>
          <w:bCs/>
          <w:color w:val="000000" w:themeColor="text1"/>
          <w:szCs w:val="21"/>
          <w:highlight w:val="none"/>
          <w14:textFill>
            <w14:solidFill>
              <w14:schemeClr w14:val="tx1"/>
            </w14:solidFill>
          </w14:textFill>
        </w:rPr>
        <w:t>月</w:t>
      </w:r>
      <w:r>
        <w:rPr>
          <w:rFonts w:hint="eastAsia" w:ascii="宋体" w:hAnsi="宋体"/>
          <w:bCs/>
          <w:color w:val="000000" w:themeColor="text1"/>
          <w:szCs w:val="21"/>
          <w:highlight w:val="none"/>
          <w:lang w:val="en-US" w:eastAsia="zh-CN"/>
          <w14:textFill>
            <w14:solidFill>
              <w14:schemeClr w14:val="tx1"/>
            </w14:solidFill>
          </w14:textFill>
        </w:rPr>
        <w:t>24</w:t>
      </w:r>
      <w:r>
        <w:rPr>
          <w:rFonts w:hint="eastAsia" w:ascii="宋体" w:hAnsi="宋体"/>
          <w:bCs/>
          <w:color w:val="000000" w:themeColor="text1"/>
          <w:szCs w:val="21"/>
          <w:highlight w:val="none"/>
          <w14:textFill>
            <w14:solidFill>
              <w14:schemeClr w14:val="tx1"/>
            </w14:solidFill>
          </w14:textFill>
        </w:rPr>
        <w:t>日</w:t>
      </w:r>
      <w:r>
        <w:rPr>
          <w:rFonts w:hint="eastAsia" w:ascii="宋体" w:hAnsi="宋体" w:cs="宋体"/>
          <w:bCs/>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每天上午00：00至12：00，下午12：00至23：59（北京时间，法定节假日除外）</w:t>
      </w:r>
    </w:p>
    <w:p w14:paraId="2F6A03AB">
      <w:pPr>
        <w:spacing w:line="360" w:lineRule="auto"/>
        <w:ind w:firstLine="42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地点：广西政府采购云平台（https://www.gcy.zfcg.gxzf.gov.cn）</w:t>
      </w:r>
    </w:p>
    <w:p w14:paraId="111B73E4">
      <w:pPr>
        <w:spacing w:line="360" w:lineRule="auto"/>
        <w:ind w:firstLine="42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方式：网上下载。本项目不提供纸质文件，潜在供应商需使用账号登录或者使用CA登录广西政府采购云平台（https://www.gcy.zfcg.gxzf.gov.cn）-进入“项目采购”应用，在获取采购文件菜单中选择项目，获取竞争性磋商文件。</w:t>
      </w:r>
      <w:r>
        <w:rPr>
          <w:rFonts w:hint="eastAsia" w:ascii="宋体" w:hAnsi="宋体"/>
          <w:color w:val="000000" w:themeColor="text1"/>
          <w:szCs w:val="21"/>
          <w:highlight w:val="none"/>
          <w14:textFill>
            <w14:solidFill>
              <w14:schemeClr w14:val="tx1"/>
            </w14:solidFill>
          </w14:textFill>
        </w:rPr>
        <w:t>电子</w:t>
      </w:r>
      <w:r>
        <w:rPr>
          <w:rFonts w:hint="eastAsia"/>
          <w:color w:val="000000" w:themeColor="text1"/>
          <w:highlight w:val="none"/>
          <w14:textFill>
            <w14:solidFill>
              <w14:schemeClr w14:val="tx1"/>
            </w14:solidFill>
          </w14:textFill>
        </w:rPr>
        <w:t>响应文件</w:t>
      </w:r>
      <w:r>
        <w:rPr>
          <w:rFonts w:hint="eastAsia" w:ascii="宋体" w:hAnsi="宋体"/>
          <w:color w:val="000000" w:themeColor="text1"/>
          <w:szCs w:val="21"/>
          <w:highlight w:val="none"/>
          <w14:textFill>
            <w14:solidFill>
              <w14:schemeClr w14:val="tx1"/>
            </w14:solidFill>
          </w14:textFill>
        </w:rPr>
        <w:t>制作需要基于广西政府采购云平台获取的磋商文件编制，</w:t>
      </w:r>
      <w:r>
        <w:rPr>
          <w:rFonts w:hint="eastAsia" w:ascii="宋体" w:hAnsi="宋体" w:cs="宋体"/>
          <w:bCs/>
          <w:color w:val="000000" w:themeColor="text1"/>
          <w:szCs w:val="21"/>
          <w:highlight w:val="none"/>
          <w14:textFill>
            <w14:solidFill>
              <w14:schemeClr w14:val="tx1"/>
            </w14:solidFill>
          </w14:textFill>
        </w:rPr>
        <w:t>通过其他方式获取磋商文件的，将有可能导致供应商无法在广西政府采购云平台编制及上传响应文件。</w:t>
      </w:r>
    </w:p>
    <w:p w14:paraId="6539B137">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售价：</w:t>
      </w:r>
      <w:r>
        <w:rPr>
          <w:rFonts w:hint="eastAsia" w:ascii="宋体" w:hAnsi="宋体" w:cs="宋体"/>
          <w:color w:val="000000" w:themeColor="text1"/>
          <w:szCs w:val="21"/>
          <w:highlight w:val="none"/>
          <w14:textFill>
            <w14:solidFill>
              <w14:schemeClr w14:val="tx1"/>
            </w14:solidFill>
          </w14:textFill>
        </w:rPr>
        <w:t>0元</w:t>
      </w:r>
    </w:p>
    <w:p w14:paraId="71507E71">
      <w:pPr>
        <w:spacing w:line="360" w:lineRule="auto"/>
        <w:ind w:firstLine="354"/>
        <w:rPr>
          <w:rFonts w:hint="eastAsia" w:ascii="黑体" w:hAnsi="黑体" w:eastAsia="黑体"/>
          <w:b/>
          <w:color w:val="000000" w:themeColor="text1"/>
          <w:sz w:val="24"/>
          <w:highlight w:val="none"/>
          <w14:textFill>
            <w14:solidFill>
              <w14:schemeClr w14:val="tx1"/>
            </w14:solidFill>
          </w14:textFill>
        </w:rPr>
      </w:pPr>
      <w:bookmarkStart w:id="36" w:name="_Toc71365908"/>
      <w:r>
        <w:rPr>
          <w:rFonts w:hint="eastAsia" w:ascii="黑体" w:hAnsi="黑体" w:eastAsia="黑体"/>
          <w:b/>
          <w:color w:val="000000" w:themeColor="text1"/>
          <w:sz w:val="24"/>
          <w:highlight w:val="none"/>
          <w14:textFill>
            <w14:solidFill>
              <w14:schemeClr w14:val="tx1"/>
            </w14:solidFill>
          </w14:textFill>
        </w:rPr>
        <w:t>四、响应文件提交</w:t>
      </w:r>
      <w:bookmarkEnd w:id="31"/>
      <w:bookmarkEnd w:id="32"/>
      <w:bookmarkEnd w:id="33"/>
      <w:bookmarkEnd w:id="34"/>
      <w:bookmarkEnd w:id="35"/>
      <w:bookmarkEnd w:id="36"/>
    </w:p>
    <w:p w14:paraId="380FB1BB">
      <w:pPr>
        <w:spacing w:line="360" w:lineRule="auto"/>
        <w:ind w:firstLine="420"/>
        <w:rPr>
          <w:rFonts w:hint="eastAsia" w:ascii="宋体" w:hAnsi="宋体"/>
          <w:bCs/>
          <w:color w:val="000000" w:themeColor="text1"/>
          <w:szCs w:val="21"/>
          <w:highlight w:val="none"/>
          <w14:textFill>
            <w14:solidFill>
              <w14:schemeClr w14:val="tx1"/>
            </w14:solidFill>
          </w14:textFill>
        </w:rPr>
      </w:pPr>
      <w:bookmarkStart w:id="37" w:name="_Toc28359093"/>
      <w:bookmarkStart w:id="38" w:name="_Toc44229882"/>
      <w:bookmarkStart w:id="39" w:name="_Toc35393802"/>
      <w:bookmarkStart w:id="40" w:name="_Toc28359016"/>
      <w:bookmarkStart w:id="41" w:name="_Toc35393633"/>
      <w:r>
        <w:rPr>
          <w:rFonts w:hint="eastAsia" w:ascii="宋体" w:hAnsi="宋体"/>
          <w:color w:val="000000" w:themeColor="text1"/>
          <w:szCs w:val="21"/>
          <w:highlight w:val="none"/>
          <w14:textFill>
            <w14:solidFill>
              <w14:schemeClr w14:val="tx1"/>
            </w14:solidFill>
          </w14:textFill>
        </w:rPr>
        <w:t>截止时间：</w:t>
      </w:r>
      <w:r>
        <w:rPr>
          <w:rFonts w:ascii="宋体" w:hAnsi="宋体"/>
          <w:bCs/>
          <w:color w:val="000000" w:themeColor="text1"/>
          <w:szCs w:val="21"/>
          <w:highlight w:val="none"/>
          <w14:textFill>
            <w14:solidFill>
              <w14:schemeClr w14:val="tx1"/>
            </w14:solidFill>
          </w14:textFill>
        </w:rPr>
        <w:t>202</w:t>
      </w:r>
      <w:r>
        <w:rPr>
          <w:rFonts w:hint="eastAsia" w:ascii="宋体" w:hAnsi="宋体"/>
          <w:bCs/>
          <w:color w:val="000000" w:themeColor="text1"/>
          <w:szCs w:val="21"/>
          <w:highlight w:val="none"/>
          <w:lang w:val="en-US" w:eastAsia="zh-CN"/>
          <w14:textFill>
            <w14:solidFill>
              <w14:schemeClr w14:val="tx1"/>
            </w14:solidFill>
          </w14:textFill>
        </w:rPr>
        <w:t>6</w:t>
      </w:r>
      <w:r>
        <w:rPr>
          <w:rFonts w:hint="eastAsia" w:ascii="宋体" w:hAnsi="宋体"/>
          <w:bCs/>
          <w:color w:val="000000" w:themeColor="text1"/>
          <w:szCs w:val="21"/>
          <w:highlight w:val="none"/>
          <w14:textFill>
            <w14:solidFill>
              <w14:schemeClr w14:val="tx1"/>
            </w14:solidFill>
          </w14:textFill>
        </w:rPr>
        <w:t>年</w:t>
      </w:r>
      <w:r>
        <w:rPr>
          <w:rFonts w:hint="eastAsia" w:ascii="宋体" w:hAnsi="宋体"/>
          <w:bCs/>
          <w:color w:val="000000" w:themeColor="text1"/>
          <w:szCs w:val="21"/>
          <w:highlight w:val="none"/>
          <w:lang w:val="en-US" w:eastAsia="zh-CN"/>
          <w14:textFill>
            <w14:solidFill>
              <w14:schemeClr w14:val="tx1"/>
            </w14:solidFill>
          </w14:textFill>
        </w:rPr>
        <w:t>6</w:t>
      </w:r>
      <w:r>
        <w:rPr>
          <w:rFonts w:hint="eastAsia" w:ascii="宋体" w:hAnsi="宋体"/>
          <w:bCs/>
          <w:color w:val="000000" w:themeColor="text1"/>
          <w:szCs w:val="21"/>
          <w:highlight w:val="none"/>
          <w14:textFill>
            <w14:solidFill>
              <w14:schemeClr w14:val="tx1"/>
            </w14:solidFill>
          </w14:textFill>
        </w:rPr>
        <w:t>月</w:t>
      </w:r>
      <w:r>
        <w:rPr>
          <w:rFonts w:hint="eastAsia" w:ascii="宋体" w:hAnsi="宋体"/>
          <w:bCs/>
          <w:color w:val="000000" w:themeColor="text1"/>
          <w:szCs w:val="21"/>
          <w:highlight w:val="none"/>
          <w:lang w:val="en-US" w:eastAsia="zh-CN"/>
          <w14:textFill>
            <w14:solidFill>
              <w14:schemeClr w14:val="tx1"/>
            </w14:solidFill>
          </w14:textFill>
        </w:rPr>
        <w:t>29</w:t>
      </w:r>
      <w:r>
        <w:rPr>
          <w:rFonts w:hint="eastAsia" w:ascii="宋体" w:hAnsi="宋体"/>
          <w:bCs/>
          <w:color w:val="000000" w:themeColor="text1"/>
          <w:szCs w:val="21"/>
          <w:highlight w:val="none"/>
          <w14:textFill>
            <w14:solidFill>
              <w14:schemeClr w14:val="tx1"/>
            </w14:solidFill>
          </w14:textFill>
        </w:rPr>
        <w:t>日9时0</w:t>
      </w:r>
      <w:r>
        <w:rPr>
          <w:rFonts w:ascii="宋体" w:hAnsi="宋体"/>
          <w:bCs/>
          <w:color w:val="000000" w:themeColor="text1"/>
          <w:szCs w:val="21"/>
          <w:highlight w:val="none"/>
          <w14:textFill>
            <w14:solidFill>
              <w14:schemeClr w14:val="tx1"/>
            </w14:solidFill>
          </w14:textFill>
        </w:rPr>
        <w:t>0</w:t>
      </w:r>
      <w:r>
        <w:rPr>
          <w:rFonts w:hint="eastAsia" w:ascii="宋体" w:hAnsi="宋体"/>
          <w:bCs/>
          <w:color w:val="000000" w:themeColor="text1"/>
          <w:szCs w:val="21"/>
          <w:highlight w:val="none"/>
          <w14:textFill>
            <w14:solidFill>
              <w14:schemeClr w14:val="tx1"/>
            </w14:solidFill>
          </w14:textFill>
        </w:rPr>
        <w:t>分（北京时间）</w:t>
      </w:r>
    </w:p>
    <w:p w14:paraId="4D22365D">
      <w:pPr>
        <w:spacing w:line="360" w:lineRule="auto"/>
        <w:ind w:firstLine="42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地点：广西政府采购云平台</w:t>
      </w:r>
      <w:r>
        <w:rPr>
          <w:rFonts w:hint="eastAsia" w:ascii="宋体" w:hAnsi="宋体" w:cs="宋体"/>
          <w:bCs/>
          <w:color w:val="000000" w:themeColor="text1"/>
          <w:szCs w:val="21"/>
          <w:highlight w:val="none"/>
          <w14:textFill>
            <w14:solidFill>
              <w14:schemeClr w14:val="tx1"/>
            </w14:solidFill>
          </w14:textFill>
        </w:rPr>
        <w:t>（https://www.gcy.zfcg.gxzf.gov.cn）</w:t>
      </w:r>
    </w:p>
    <w:p w14:paraId="348C690D">
      <w:pPr>
        <w:spacing w:line="360" w:lineRule="auto"/>
        <w:ind w:firstLine="354"/>
        <w:rPr>
          <w:rFonts w:hint="eastAsia" w:ascii="黑体" w:hAnsi="黑体" w:eastAsia="黑体"/>
          <w:b/>
          <w:color w:val="000000" w:themeColor="text1"/>
          <w:sz w:val="24"/>
          <w:highlight w:val="none"/>
          <w14:textFill>
            <w14:solidFill>
              <w14:schemeClr w14:val="tx1"/>
            </w14:solidFill>
          </w14:textFill>
        </w:rPr>
      </w:pPr>
      <w:bookmarkStart w:id="42" w:name="_Toc71365909"/>
      <w:r>
        <w:rPr>
          <w:rFonts w:hint="eastAsia" w:ascii="黑体" w:hAnsi="黑体" w:eastAsia="黑体"/>
          <w:b/>
          <w:color w:val="000000" w:themeColor="text1"/>
          <w:sz w:val="24"/>
          <w:highlight w:val="none"/>
          <w14:textFill>
            <w14:solidFill>
              <w14:schemeClr w14:val="tx1"/>
            </w14:solidFill>
          </w14:textFill>
        </w:rPr>
        <w:t>五、响应文件开启</w:t>
      </w:r>
      <w:bookmarkEnd w:id="37"/>
      <w:bookmarkEnd w:id="38"/>
      <w:bookmarkEnd w:id="39"/>
      <w:bookmarkEnd w:id="40"/>
      <w:bookmarkEnd w:id="41"/>
      <w:bookmarkEnd w:id="42"/>
    </w:p>
    <w:p w14:paraId="09A6D458">
      <w:pPr>
        <w:spacing w:line="360" w:lineRule="auto"/>
        <w:ind w:firstLine="420"/>
        <w:rPr>
          <w:rFonts w:hint="eastAsia" w:ascii="宋体" w:hAnsi="宋体"/>
          <w:bC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时间：</w:t>
      </w:r>
      <w:r>
        <w:rPr>
          <w:rFonts w:ascii="宋体" w:hAnsi="宋体"/>
          <w:bCs/>
          <w:color w:val="000000" w:themeColor="text1"/>
          <w:szCs w:val="21"/>
          <w:highlight w:val="none"/>
          <w14:textFill>
            <w14:solidFill>
              <w14:schemeClr w14:val="tx1"/>
            </w14:solidFill>
          </w14:textFill>
        </w:rPr>
        <w:t>202</w:t>
      </w:r>
      <w:r>
        <w:rPr>
          <w:rFonts w:hint="eastAsia" w:ascii="宋体" w:hAnsi="宋体"/>
          <w:bCs/>
          <w:color w:val="000000" w:themeColor="text1"/>
          <w:szCs w:val="21"/>
          <w:highlight w:val="none"/>
          <w:lang w:val="en-US" w:eastAsia="zh-CN"/>
          <w14:textFill>
            <w14:solidFill>
              <w14:schemeClr w14:val="tx1"/>
            </w14:solidFill>
          </w14:textFill>
        </w:rPr>
        <w:t>6</w:t>
      </w:r>
      <w:r>
        <w:rPr>
          <w:rFonts w:hint="eastAsia" w:ascii="宋体" w:hAnsi="宋体"/>
          <w:bCs/>
          <w:color w:val="000000" w:themeColor="text1"/>
          <w:szCs w:val="21"/>
          <w:highlight w:val="none"/>
          <w14:textFill>
            <w14:solidFill>
              <w14:schemeClr w14:val="tx1"/>
            </w14:solidFill>
          </w14:textFill>
        </w:rPr>
        <w:t>年</w:t>
      </w:r>
      <w:r>
        <w:rPr>
          <w:rFonts w:hint="eastAsia" w:ascii="宋体" w:hAnsi="宋体"/>
          <w:bCs/>
          <w:color w:val="000000" w:themeColor="text1"/>
          <w:szCs w:val="21"/>
          <w:highlight w:val="none"/>
          <w:lang w:val="en-US" w:eastAsia="zh-CN"/>
          <w14:textFill>
            <w14:solidFill>
              <w14:schemeClr w14:val="tx1"/>
            </w14:solidFill>
          </w14:textFill>
        </w:rPr>
        <w:t>6</w:t>
      </w:r>
      <w:r>
        <w:rPr>
          <w:rFonts w:hint="eastAsia" w:ascii="宋体" w:hAnsi="宋体"/>
          <w:bCs/>
          <w:color w:val="000000" w:themeColor="text1"/>
          <w:szCs w:val="21"/>
          <w:highlight w:val="none"/>
          <w14:textFill>
            <w14:solidFill>
              <w14:schemeClr w14:val="tx1"/>
            </w14:solidFill>
          </w14:textFill>
        </w:rPr>
        <w:t>月</w:t>
      </w:r>
      <w:r>
        <w:rPr>
          <w:rFonts w:hint="eastAsia" w:ascii="宋体" w:hAnsi="宋体"/>
          <w:bCs/>
          <w:color w:val="000000" w:themeColor="text1"/>
          <w:szCs w:val="21"/>
          <w:highlight w:val="none"/>
          <w:lang w:val="en-US" w:eastAsia="zh-CN"/>
          <w14:textFill>
            <w14:solidFill>
              <w14:schemeClr w14:val="tx1"/>
            </w14:solidFill>
          </w14:textFill>
        </w:rPr>
        <w:t>29</w:t>
      </w:r>
      <w:r>
        <w:rPr>
          <w:rFonts w:hint="eastAsia" w:ascii="宋体" w:hAnsi="宋体"/>
          <w:bCs/>
          <w:color w:val="000000" w:themeColor="text1"/>
          <w:szCs w:val="21"/>
          <w:highlight w:val="none"/>
          <w14:textFill>
            <w14:solidFill>
              <w14:schemeClr w14:val="tx1"/>
            </w14:solidFill>
          </w14:textFill>
        </w:rPr>
        <w:t>日9时0</w:t>
      </w:r>
      <w:r>
        <w:rPr>
          <w:rFonts w:ascii="宋体" w:hAnsi="宋体"/>
          <w:bCs/>
          <w:color w:val="000000" w:themeColor="text1"/>
          <w:szCs w:val="21"/>
          <w:highlight w:val="none"/>
          <w14:textFill>
            <w14:solidFill>
              <w14:schemeClr w14:val="tx1"/>
            </w14:solidFill>
          </w14:textFill>
        </w:rPr>
        <w:t>0</w:t>
      </w:r>
      <w:r>
        <w:rPr>
          <w:rFonts w:hint="eastAsia" w:ascii="宋体" w:hAnsi="宋体"/>
          <w:bCs/>
          <w:color w:val="000000" w:themeColor="text1"/>
          <w:szCs w:val="21"/>
          <w:highlight w:val="none"/>
          <w14:textFill>
            <w14:solidFill>
              <w14:schemeClr w14:val="tx1"/>
            </w14:solidFill>
          </w14:textFill>
        </w:rPr>
        <w:t>分（北京时间）</w:t>
      </w:r>
    </w:p>
    <w:p w14:paraId="602CE56B">
      <w:pPr>
        <w:spacing w:line="360" w:lineRule="auto"/>
        <w:ind w:firstLine="420"/>
        <w:rPr>
          <w:rFonts w:hint="eastAsia" w:ascii="宋体" w:hAnsi="宋体"/>
          <w:bC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地点：广西政府采购云平台</w:t>
      </w:r>
      <w:r>
        <w:rPr>
          <w:rFonts w:hint="eastAsia" w:ascii="宋体" w:hAnsi="宋体" w:cs="宋体"/>
          <w:bCs/>
          <w:color w:val="000000" w:themeColor="text1"/>
          <w:szCs w:val="21"/>
          <w:highlight w:val="none"/>
          <w14:textFill>
            <w14:solidFill>
              <w14:schemeClr w14:val="tx1"/>
            </w14:solidFill>
          </w14:textFill>
        </w:rPr>
        <w:t>（https://www.gcy.zfcg.gxzf.gov.cn）</w:t>
      </w:r>
    </w:p>
    <w:p w14:paraId="356A3594">
      <w:pPr>
        <w:spacing w:line="360" w:lineRule="auto"/>
        <w:ind w:firstLine="354"/>
        <w:rPr>
          <w:rFonts w:hint="eastAsia" w:ascii="黑体" w:hAnsi="黑体" w:eastAsia="黑体"/>
          <w:b/>
          <w:color w:val="000000" w:themeColor="text1"/>
          <w:sz w:val="24"/>
          <w:highlight w:val="none"/>
          <w14:textFill>
            <w14:solidFill>
              <w14:schemeClr w14:val="tx1"/>
            </w14:solidFill>
          </w14:textFill>
        </w:rPr>
      </w:pPr>
      <w:bookmarkStart w:id="43" w:name="_Toc35393803"/>
      <w:bookmarkStart w:id="44" w:name="_Toc28359094"/>
      <w:bookmarkStart w:id="45" w:name="_Toc71365910"/>
      <w:bookmarkStart w:id="46" w:name="_Toc44229883"/>
      <w:bookmarkStart w:id="47" w:name="_Toc35393634"/>
      <w:bookmarkStart w:id="48" w:name="_Toc28359017"/>
      <w:r>
        <w:rPr>
          <w:rFonts w:hint="eastAsia" w:ascii="黑体" w:hAnsi="黑体" w:eastAsia="黑体"/>
          <w:b/>
          <w:color w:val="000000" w:themeColor="text1"/>
          <w:sz w:val="24"/>
          <w:highlight w:val="none"/>
          <w14:textFill>
            <w14:solidFill>
              <w14:schemeClr w14:val="tx1"/>
            </w14:solidFill>
          </w14:textFill>
        </w:rPr>
        <w:t>六、公告期限</w:t>
      </w:r>
      <w:bookmarkEnd w:id="43"/>
      <w:bookmarkEnd w:id="44"/>
      <w:bookmarkEnd w:id="45"/>
      <w:bookmarkEnd w:id="46"/>
      <w:bookmarkEnd w:id="47"/>
      <w:bookmarkEnd w:id="48"/>
    </w:p>
    <w:p w14:paraId="46964455">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自本公告发布之日起</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个工作日。</w:t>
      </w:r>
    </w:p>
    <w:p w14:paraId="0DC85B5B">
      <w:pPr>
        <w:spacing w:line="360" w:lineRule="auto"/>
        <w:ind w:firstLine="354"/>
        <w:rPr>
          <w:rFonts w:hint="eastAsia" w:ascii="黑体" w:hAnsi="黑体" w:eastAsia="黑体"/>
          <w:b/>
          <w:color w:val="000000" w:themeColor="text1"/>
          <w:sz w:val="24"/>
          <w:highlight w:val="none"/>
          <w14:textFill>
            <w14:solidFill>
              <w14:schemeClr w14:val="tx1"/>
            </w14:solidFill>
          </w14:textFill>
        </w:rPr>
      </w:pPr>
      <w:bookmarkStart w:id="49" w:name="_Toc35393804"/>
      <w:bookmarkStart w:id="50" w:name="_Toc44229884"/>
      <w:bookmarkStart w:id="51" w:name="_Toc35393635"/>
      <w:bookmarkStart w:id="52" w:name="_Toc71365911"/>
      <w:r>
        <w:rPr>
          <w:rFonts w:hint="eastAsia" w:ascii="黑体" w:hAnsi="黑体" w:eastAsia="黑体"/>
          <w:b/>
          <w:color w:val="000000" w:themeColor="text1"/>
          <w:sz w:val="24"/>
          <w:highlight w:val="none"/>
          <w14:textFill>
            <w14:solidFill>
              <w14:schemeClr w14:val="tx1"/>
            </w14:solidFill>
          </w14:textFill>
        </w:rPr>
        <w:t>七、其他补充事宜</w:t>
      </w:r>
      <w:bookmarkEnd w:id="49"/>
      <w:bookmarkEnd w:id="50"/>
      <w:bookmarkEnd w:id="51"/>
      <w:bookmarkEnd w:id="52"/>
    </w:p>
    <w:p w14:paraId="5A6569CE">
      <w:pPr>
        <w:spacing w:line="360" w:lineRule="auto"/>
        <w:ind w:firstLine="420"/>
        <w:rPr>
          <w:rFonts w:hint="eastAsia" w:ascii="宋体" w:hAnsi="宋体" w:cs="宋体"/>
          <w:color w:val="000000" w:themeColor="text1"/>
          <w:szCs w:val="21"/>
          <w:highlight w:val="none"/>
          <w14:textFill>
            <w14:solidFill>
              <w14:schemeClr w14:val="tx1"/>
            </w14:solidFill>
          </w14:textFill>
        </w:rPr>
      </w:pPr>
      <w:bookmarkStart w:id="53" w:name="_Toc28359018"/>
      <w:bookmarkStart w:id="54" w:name="_Toc35393805"/>
      <w:bookmarkStart w:id="55" w:name="_Toc44229885"/>
      <w:bookmarkStart w:id="56" w:name="_Toc35393636"/>
      <w:bookmarkStart w:id="57" w:name="_Toc28359095"/>
      <w:r>
        <w:rPr>
          <w:rFonts w:hint="eastAsia" w:ascii="宋体" w:hAnsi="宋体" w:cs="宋体"/>
          <w:color w:val="000000" w:themeColor="text1"/>
          <w:szCs w:val="21"/>
          <w:highlight w:val="none"/>
          <w14:textFill>
            <w14:solidFill>
              <w14:schemeClr w14:val="tx1"/>
            </w14:solidFill>
          </w14:textFill>
        </w:rPr>
        <w:t>1.磋商保证金：无</w:t>
      </w:r>
    </w:p>
    <w:p w14:paraId="7F98E311">
      <w:pPr>
        <w:spacing w:line="360" w:lineRule="auto"/>
        <w:ind w:firstLine="42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本项目需要落实的政府采购政策：</w:t>
      </w:r>
    </w:p>
    <w:p w14:paraId="274BFE36">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（1）政府采购促进中小企业发展。</w:t>
      </w:r>
    </w:p>
    <w:p w14:paraId="4B3B4A49">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）政府采购促进残疾人就业政策。</w:t>
      </w:r>
    </w:p>
    <w:p w14:paraId="3C9DABD6">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）政府采购支持监狱企业发展。</w:t>
      </w:r>
    </w:p>
    <w:p w14:paraId="07D60377">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3.网上查询地址</w:t>
      </w:r>
    </w:p>
    <w:p w14:paraId="384FB416">
      <w:pPr>
        <w:spacing w:line="360" w:lineRule="auto"/>
        <w:ind w:firstLine="42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http://www.ccgp.gov.cn（中国政府采购网）、http://zfcg.gxzf.gov.cn/（广西壮族自治区政府采购网）、http://ggzy.jgswj.gxzf.gov.cn/ggggzy/全国公共资源交易平台（广西·贵港）</w:t>
      </w:r>
      <w:r>
        <w:rPr>
          <w:rFonts w:hint="eastAsia" w:ascii="宋体" w:hAnsi="宋体" w:cs="宋体"/>
          <w:color w:val="000000" w:themeColor="text1"/>
          <w:szCs w:val="21"/>
          <w:highlight w:val="none"/>
          <w:lang w:eastAsia="zh-CN"/>
          <w14:textFill>
            <w14:solidFill>
              <w14:schemeClr w14:val="tx1"/>
            </w14:solidFill>
          </w14:textFill>
        </w:rPr>
        <w:t>。</w:t>
      </w:r>
    </w:p>
    <w:p w14:paraId="64BC913F">
      <w:pPr>
        <w:keepNext w:val="0"/>
        <w:keepLines w:val="0"/>
        <w:pageBreakBefore w:val="0"/>
        <w:widowControl w:val="0"/>
        <w:bidi w:val="0"/>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4.监督部门</w:t>
      </w:r>
    </w:p>
    <w:p w14:paraId="50E52102">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名  称：平南县财政局政府采购监督管理股 </w:t>
      </w:r>
    </w:p>
    <w:p w14:paraId="3BB326CB">
      <w:pPr>
        <w:keepNext w:val="0"/>
        <w:keepLines w:val="0"/>
        <w:pageBreakBefore w:val="0"/>
        <w:widowControl w:val="0"/>
        <w:bidi w:val="0"/>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电  话：0775-7830062</w:t>
      </w:r>
    </w:p>
    <w:p w14:paraId="769C58D5">
      <w:pPr>
        <w:keepNext w:val="0"/>
        <w:keepLines w:val="0"/>
        <w:pageBreakBefore w:val="0"/>
        <w:widowControl w:val="0"/>
        <w:bidi w:val="0"/>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6708D21F">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6.未被“信用中国”（www.creditchina.gov.cn）、中国政府采购网（www.ccgp.gov.cn）列入失信被执行人、重大税收违法失信主体、政府采购严重违法失信行为记录名单。</w:t>
      </w:r>
    </w:p>
    <w:p w14:paraId="5871DB15">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7.供应商竞标注意事项</w:t>
      </w:r>
    </w:p>
    <w:p w14:paraId="22EE9D15">
      <w:pPr>
        <w:widowControl/>
        <w:spacing w:line="360" w:lineRule="auto"/>
        <w:ind w:firstLine="42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（1）本项目为全流程电子化采购项目，通过广西政府采购云平台（</w:t>
      </w:r>
      <w:r>
        <w:rPr>
          <w:rFonts w:hint="eastAsia" w:ascii="宋体" w:hAnsi="宋体"/>
          <w:color w:val="000000" w:themeColor="text1"/>
          <w:sz w:val="18"/>
          <w:szCs w:val="18"/>
          <w:highlight w:val="none"/>
          <w14:textFill>
            <w14:solidFill>
              <w14:schemeClr w14:val="tx1"/>
            </w14:solidFill>
          </w14:textFill>
        </w:rPr>
        <w:t>https：//www.gcy.zfcg.gxzf.gov.cn/</w:t>
      </w:r>
      <w:r>
        <w:rPr>
          <w:rFonts w:hint="eastAsia" w:ascii="宋体" w:hAnsi="宋体"/>
          <w:color w:val="000000" w:themeColor="text1"/>
          <w:szCs w:val="21"/>
          <w:highlight w:val="none"/>
          <w14:textFill>
            <w14:solidFill>
              <w14:schemeClr w14:val="tx1"/>
            </w14:solidFill>
          </w14:textFill>
        </w:rPr>
        <w:t>）实行在线电子竞标，供应商应按照本项目竞争性磋商文件和广西政府采购云平台的要求编制、加密后在提交响应文件截止时间前通过网络上传至广西政府采购云平台（加密的电子响应文件是指</w:t>
      </w:r>
      <w:r>
        <w:rPr>
          <w:rFonts w:hint="eastAsia"/>
          <w:color w:val="000000" w:themeColor="text1"/>
          <w:highlight w:val="none"/>
          <w14:textFill>
            <w14:solidFill>
              <w14:schemeClr w14:val="tx1"/>
            </w14:solidFill>
          </w14:textFill>
        </w:rPr>
        <w:t>后缀名为“jm</w:t>
      </w:r>
      <w:r>
        <w:rPr>
          <w:color w:val="000000" w:themeColor="text1"/>
          <w:highlight w:val="none"/>
          <w14:textFill>
            <w14:solidFill>
              <w14:schemeClr w14:val="tx1"/>
            </w14:solidFill>
          </w14:textFill>
        </w:rPr>
        <w:t>bs</w:t>
      </w:r>
      <w:r>
        <w:rPr>
          <w:rFonts w:hint="eastAsia"/>
          <w:color w:val="000000" w:themeColor="text1"/>
          <w:highlight w:val="none"/>
          <w14:textFill>
            <w14:solidFill>
              <w14:schemeClr w14:val="tx1"/>
            </w14:solidFill>
          </w14:textFill>
        </w:rPr>
        <w:t>”的文件</w:t>
      </w:r>
      <w:r>
        <w:rPr>
          <w:rFonts w:hint="eastAsia" w:ascii="宋体" w:hAnsi="宋体"/>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供应商在广西政府采购云平台提交电子响应文件时，请填写参加远程采购活动经办人联系方式。</w:t>
      </w:r>
      <w:r>
        <w:rPr>
          <w:rFonts w:hint="eastAsia" w:ascii="宋体" w:hAnsi="宋体"/>
          <w:color w:val="000000" w:themeColor="text1"/>
          <w:szCs w:val="21"/>
          <w:highlight w:val="none"/>
          <w14:textFill>
            <w14:solidFill>
              <w14:schemeClr w14:val="tx1"/>
            </w14:solidFill>
          </w14:textFill>
        </w:rPr>
        <w:t>供应商登录广西政府采购云平台，依次进入“服务中心－项目采购－操作流程－电子招投标－</w:t>
      </w:r>
      <w:r>
        <w:rPr>
          <w:rFonts w:hint="eastAsia"/>
          <w:color w:val="000000" w:themeColor="text1"/>
          <w:highlight w:val="none"/>
          <w14:textFill>
            <w14:solidFill>
              <w14:schemeClr w14:val="tx1"/>
            </w14:solidFill>
          </w14:textFill>
        </w:rPr>
        <w:t>政府采购项目电子交易管理操作指南－供应商</w:t>
      </w:r>
      <w:r>
        <w:rPr>
          <w:rFonts w:hint="eastAsia" w:ascii="宋体" w:hAnsi="宋体"/>
          <w:color w:val="000000" w:themeColor="text1"/>
          <w:szCs w:val="21"/>
          <w:highlight w:val="none"/>
          <w14:textFill>
            <w14:solidFill>
              <w14:schemeClr w14:val="tx1"/>
            </w14:solidFill>
          </w14:textFill>
        </w:rPr>
        <w:t>”查看电子竞标具体操作流程。</w:t>
      </w:r>
    </w:p>
    <w:p w14:paraId="370CEA0C">
      <w:pPr>
        <w:widowControl/>
        <w:spacing w:line="360" w:lineRule="auto"/>
        <w:ind w:firstLine="42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w:t>
      </w:r>
      <w:r>
        <w:rPr>
          <w:rFonts w:hint="eastAsia" w:ascii="宋体" w:hAnsi="宋体" w:cs="宋体"/>
          <w:color w:val="000000" w:themeColor="text1"/>
          <w:szCs w:val="21"/>
          <w:highlight w:val="none"/>
          <w14:textFill>
            <w14:solidFill>
              <w14:schemeClr w14:val="tx1"/>
            </w14:solidFill>
          </w14:textFill>
        </w:rPr>
        <w:t>广西政府采购云平台，</w:t>
      </w:r>
      <w:r>
        <w:rPr>
          <w:rFonts w:hint="eastAsia" w:ascii="宋体" w:hAnsi="宋体"/>
          <w:color w:val="000000" w:themeColor="text1"/>
          <w:szCs w:val="21"/>
          <w:highlight w:val="none"/>
          <w14:textFill>
            <w14:solidFill>
              <w14:schemeClr w14:val="tx1"/>
            </w14:solidFill>
          </w14:textFill>
        </w:rPr>
        <w:t>依次进入“服务中心－入驻与配置”中查看CA数字证书办理操作流程。</w:t>
      </w:r>
      <w:r>
        <w:rPr>
          <w:rFonts w:hint="eastAsia" w:ascii="宋体" w:hAnsi="宋体" w:cs="宋体"/>
          <w:bCs/>
          <w:color w:val="000000" w:themeColor="text1"/>
          <w:szCs w:val="21"/>
          <w:highlight w:val="none"/>
          <w14:textFill>
            <w14:solidFill>
              <w14:schemeClr w14:val="tx1"/>
            </w14:solidFill>
          </w14:textFill>
        </w:rPr>
        <w:t>如在操作过程中遇到问题或者需要技术支持，请致电客服热线：95763或者0771-3381253</w:t>
      </w:r>
      <w:r>
        <w:rPr>
          <w:rFonts w:hint="eastAsia" w:ascii="宋体" w:hAnsi="宋体"/>
          <w:color w:val="000000" w:themeColor="text1"/>
          <w:szCs w:val="21"/>
          <w:highlight w:val="none"/>
          <w14:textFill>
            <w14:solidFill>
              <w14:schemeClr w14:val="tx1"/>
            </w14:solidFill>
          </w14:textFill>
        </w:rPr>
        <w:t>）。</w:t>
      </w:r>
    </w:p>
    <w:p w14:paraId="057BA9C7">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（3）CA证书在线解密：首次响应文件开启时，需携带制作响应文件时用来加密的有效数字证书（CA认证）登录广西政府采购云平台电子开标大厅现场按规定时间对加密的响应文件进行解密，否则后果自负。</w:t>
      </w:r>
    </w:p>
    <w:p w14:paraId="742CDB7B">
      <w:pPr>
        <w:widowControl/>
        <w:spacing w:line="360" w:lineRule="auto"/>
        <w:ind w:firstLine="420"/>
        <w:jc w:val="left"/>
        <w:rPr>
          <w:rFonts w:hint="eastAsia"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注：1）为确保网上操作合法、有效和安全，请供应商确保在电子竞标过程中能够对相关数据电文进行加密和使用电子签章，妥善保管CA数字证书并使用有效的CA数字证书参与整个采购活动。2）</w:t>
      </w:r>
      <w:r>
        <w:rPr>
          <w:rFonts w:hint="eastAsia" w:ascii="宋体" w:hAnsi="宋体"/>
          <w:bCs/>
          <w:color w:val="000000" w:themeColor="text1"/>
          <w:szCs w:val="21"/>
          <w:highlight w:val="none"/>
          <w14:textFill>
            <w14:solidFill>
              <w14:schemeClr w14:val="tx1"/>
            </w14:solidFill>
          </w14:textFill>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77ECF39E">
      <w:pPr>
        <w:spacing w:line="360" w:lineRule="auto"/>
        <w:ind w:firstLine="308"/>
        <w:rPr>
          <w:rFonts w:hint="eastAsia" w:ascii="黑体" w:hAnsi="黑体" w:eastAsia="黑体"/>
          <w:b/>
          <w:color w:val="000000" w:themeColor="text1"/>
          <w:sz w:val="24"/>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（4）供应商需要在具备有摄像头及语音功能且互联网网络状况良好的电脑登录广西政府采购云平台远程开标大厅参与本次磋商，否则后果自负。</w:t>
      </w:r>
    </w:p>
    <w:p w14:paraId="584AF101">
      <w:pPr>
        <w:spacing w:line="360" w:lineRule="auto"/>
        <w:ind w:firstLine="354"/>
        <w:rPr>
          <w:rFonts w:hint="eastAsia" w:ascii="黑体" w:hAnsi="黑体" w:eastAsia="黑体"/>
          <w:b/>
          <w:color w:val="000000" w:themeColor="text1"/>
          <w:sz w:val="24"/>
          <w:highlight w:val="none"/>
          <w14:textFill>
            <w14:solidFill>
              <w14:schemeClr w14:val="tx1"/>
            </w14:solidFill>
          </w14:textFill>
        </w:rPr>
      </w:pPr>
      <w:r>
        <w:rPr>
          <w:rFonts w:hint="eastAsia" w:ascii="黑体" w:hAnsi="黑体" w:eastAsia="黑体"/>
          <w:b/>
          <w:color w:val="000000" w:themeColor="text1"/>
          <w:sz w:val="24"/>
          <w:highlight w:val="none"/>
          <w14:textFill>
            <w14:solidFill>
              <w14:schemeClr w14:val="tx1"/>
            </w14:solidFill>
          </w14:textFill>
        </w:rPr>
        <w:t>八、凡对本次采购提出询问，请按</w:t>
      </w:r>
      <w:r>
        <w:rPr>
          <w:rFonts w:ascii="黑体" w:hAnsi="黑体" w:eastAsia="黑体"/>
          <w:b/>
          <w:color w:val="000000" w:themeColor="text1"/>
          <w:sz w:val="24"/>
          <w:highlight w:val="none"/>
          <w14:textFill>
            <w14:solidFill>
              <w14:schemeClr w14:val="tx1"/>
            </w14:solidFill>
          </w14:textFill>
        </w:rPr>
        <w:t>以下方式</w:t>
      </w:r>
      <w:r>
        <w:rPr>
          <w:rFonts w:hint="eastAsia" w:ascii="黑体" w:hAnsi="黑体" w:eastAsia="黑体"/>
          <w:b/>
          <w:color w:val="000000" w:themeColor="text1"/>
          <w:sz w:val="24"/>
          <w:highlight w:val="none"/>
          <w14:textFill>
            <w14:solidFill>
              <w14:schemeClr w14:val="tx1"/>
            </w14:solidFill>
          </w14:textFill>
        </w:rPr>
        <w:t>联系。</w:t>
      </w:r>
      <w:bookmarkEnd w:id="12"/>
      <w:bookmarkEnd w:id="53"/>
      <w:bookmarkEnd w:id="54"/>
      <w:bookmarkEnd w:id="55"/>
      <w:bookmarkEnd w:id="56"/>
      <w:bookmarkEnd w:id="57"/>
    </w:p>
    <w:p w14:paraId="4E0C8FE6">
      <w:pPr>
        <w:spacing w:line="360" w:lineRule="auto"/>
        <w:ind w:firstLine="420"/>
        <w:rPr>
          <w:rFonts w:hint="eastAsia"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1.采购人信息</w:t>
      </w:r>
    </w:p>
    <w:p w14:paraId="52F950E8">
      <w:pPr>
        <w:spacing w:line="360" w:lineRule="auto"/>
        <w:ind w:firstLine="420"/>
        <w:rPr>
          <w:rFonts w:hint="eastAsia"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名    称：</w:t>
      </w:r>
      <w:r>
        <w:rPr>
          <w:rFonts w:hint="eastAsia" w:ascii="宋体" w:hAnsi="宋体" w:cs="Arial"/>
          <w:color w:val="000000" w:themeColor="text1"/>
          <w:szCs w:val="21"/>
          <w:highlight w:val="none"/>
          <w:lang w:eastAsia="zh-CN"/>
          <w14:textFill>
            <w14:solidFill>
              <w14:schemeClr w14:val="tx1"/>
            </w14:solidFill>
          </w14:textFill>
        </w:rPr>
        <w:t>平南县大安镇中心幼儿园</w:t>
      </w:r>
      <w:r>
        <w:rPr>
          <w:rFonts w:hint="eastAsia" w:ascii="宋体" w:hAnsi="宋体" w:cs="Arial"/>
          <w:color w:val="000000" w:themeColor="text1"/>
          <w:szCs w:val="21"/>
          <w:highlight w:val="none"/>
          <w14:textFill>
            <w14:solidFill>
              <w14:schemeClr w14:val="tx1"/>
            </w14:solidFill>
          </w14:textFill>
        </w:rPr>
        <w:t>　</w:t>
      </w:r>
    </w:p>
    <w:p w14:paraId="41A1B2C4">
      <w:pPr>
        <w:spacing w:line="360" w:lineRule="auto"/>
        <w:ind w:firstLine="420"/>
        <w:rPr>
          <w:rFonts w:hint="eastAsia"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地    址：平南县大安镇 </w:t>
      </w:r>
    </w:p>
    <w:p w14:paraId="7353E4EA">
      <w:pPr>
        <w:spacing w:line="360" w:lineRule="auto"/>
        <w:ind w:firstLine="420"/>
        <w:rPr>
          <w:rFonts w:hint="eastAsia" w:ascii="宋体" w:hAnsi="宋体" w:eastAsia="宋体" w:cs="Arial"/>
          <w:color w:val="000000" w:themeColor="text1"/>
          <w:szCs w:val="21"/>
          <w:highlight w:val="none"/>
          <w:lang w:eastAsia="zh-CN"/>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项目联系人：</w:t>
      </w:r>
      <w:r>
        <w:rPr>
          <w:rFonts w:hint="eastAsia" w:ascii="宋体" w:hAnsi="宋体" w:cs="Arial"/>
          <w:color w:val="000000" w:themeColor="text1"/>
          <w:szCs w:val="21"/>
          <w:highlight w:val="none"/>
          <w:lang w:eastAsia="zh-CN"/>
          <w14:textFill>
            <w14:solidFill>
              <w14:schemeClr w14:val="tx1"/>
            </w14:solidFill>
          </w14:textFill>
        </w:rPr>
        <w:t>梁静丽</w:t>
      </w:r>
    </w:p>
    <w:p w14:paraId="3339AA45">
      <w:pPr>
        <w:spacing w:line="360" w:lineRule="auto"/>
        <w:ind w:firstLine="420"/>
        <w:rPr>
          <w:rFonts w:hint="eastAsia" w:ascii="宋体" w:hAnsi="宋体" w:cs="Arial"/>
          <w:color w:val="000000" w:themeColor="text1"/>
          <w:szCs w:val="21"/>
          <w:highlight w:val="none"/>
          <w:lang w:eastAsia="zh-CN"/>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联系方式：</w:t>
      </w:r>
      <w:r>
        <w:rPr>
          <w:rFonts w:hint="eastAsia" w:ascii="宋体" w:hAnsi="宋体" w:cs="Arial"/>
          <w:color w:val="000000" w:themeColor="text1"/>
          <w:szCs w:val="21"/>
          <w:highlight w:val="none"/>
          <w:lang w:eastAsia="zh-CN"/>
          <w14:textFill>
            <w14:solidFill>
              <w14:schemeClr w14:val="tx1"/>
            </w14:solidFill>
          </w14:textFill>
        </w:rPr>
        <w:t>18377533959</w:t>
      </w:r>
    </w:p>
    <w:p w14:paraId="326646DA">
      <w:pPr>
        <w:spacing w:line="360" w:lineRule="auto"/>
        <w:ind w:firstLine="420"/>
        <w:rPr>
          <w:rFonts w:hint="eastAsia"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2.采购代理机构信息</w:t>
      </w:r>
    </w:p>
    <w:p w14:paraId="18B8F7D5">
      <w:pPr>
        <w:spacing w:line="360" w:lineRule="auto"/>
        <w:ind w:firstLine="420"/>
        <w:rPr>
          <w:rFonts w:hint="eastAsia"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名    称：　云之龙咨询集团有限公司　</w:t>
      </w:r>
    </w:p>
    <w:p w14:paraId="0B0869AB">
      <w:pPr>
        <w:spacing w:line="360" w:lineRule="auto"/>
        <w:ind w:firstLine="420"/>
        <w:rPr>
          <w:rFonts w:hint="eastAsia"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地　　址：广西贵港市港北区荷城路 1132 号华泰官邸1栋6楼</w:t>
      </w:r>
    </w:p>
    <w:p w14:paraId="5CCA7CF1">
      <w:pPr>
        <w:spacing w:line="360" w:lineRule="auto"/>
        <w:ind w:firstLine="420"/>
        <w:rPr>
          <w:rFonts w:hint="eastAsia" w:ascii="宋体" w:hAnsi="宋体" w:eastAsia="宋体" w:cs="Arial"/>
          <w:color w:val="000000" w:themeColor="text1"/>
          <w:szCs w:val="21"/>
          <w:highlight w:val="none"/>
          <w:lang w:eastAsia="zh-CN"/>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项目联系人：徐律、</w:t>
      </w:r>
      <w:r>
        <w:rPr>
          <w:rFonts w:hint="eastAsia" w:ascii="宋体" w:hAnsi="宋体" w:cs="Arial"/>
          <w:color w:val="000000" w:themeColor="text1"/>
          <w:szCs w:val="21"/>
          <w:highlight w:val="none"/>
          <w:lang w:eastAsia="zh-CN"/>
          <w14:textFill>
            <w14:solidFill>
              <w14:schemeClr w14:val="tx1"/>
            </w14:solidFill>
          </w14:textFill>
        </w:rPr>
        <w:t>郑全荣</w:t>
      </w:r>
    </w:p>
    <w:p w14:paraId="5F280FC0">
      <w:pPr>
        <w:spacing w:line="360" w:lineRule="auto"/>
        <w:ind w:firstLine="420"/>
        <w:rPr>
          <w:rFonts w:ascii="方正小标宋简体" w:eastAsia="方正小标宋简体"/>
          <w:color w:val="000000" w:themeColor="text1"/>
          <w:sz w:val="32"/>
          <w:szCs w:val="32"/>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项目联系方式： 0775-4565100、4569690</w:t>
      </w:r>
      <w:r>
        <w:rPr>
          <w:rFonts w:ascii="宋体" w:hAnsi="宋体" w:cs="Arial"/>
          <w:color w:val="000000" w:themeColor="text1"/>
          <w:szCs w:val="21"/>
          <w:highlight w:val="none"/>
          <w14:textFill>
            <w14:solidFill>
              <w14:schemeClr w14:val="tx1"/>
            </w14:solidFill>
          </w14:textFill>
        </w:rPr>
        <w:br w:type="page" w:clear="all"/>
      </w:r>
    </w:p>
    <w:p w14:paraId="1EF12FAA">
      <w:pPr>
        <w:pStyle w:val="2"/>
        <w:spacing w:before="300" w:after="300" w:line="360" w:lineRule="auto"/>
        <w:jc w:val="center"/>
        <w:rPr>
          <w:color w:val="000000" w:themeColor="text1"/>
          <w:highlight w:val="none"/>
          <w14:textFill>
            <w14:solidFill>
              <w14:schemeClr w14:val="tx1"/>
            </w14:solidFill>
          </w14:textFill>
        </w:rPr>
      </w:pPr>
      <w:bookmarkStart w:id="58" w:name="_Toc74323457"/>
      <w:r>
        <w:rPr>
          <w:rFonts w:hint="eastAsia"/>
          <w:color w:val="000000" w:themeColor="text1"/>
          <w:highlight w:val="none"/>
          <w14:textFill>
            <w14:solidFill>
              <w14:schemeClr w14:val="tx1"/>
            </w14:solidFill>
          </w14:textFill>
        </w:rPr>
        <w:t>第二章供应商须知</w:t>
      </w:r>
      <w:bookmarkEnd w:id="58"/>
    </w:p>
    <w:p w14:paraId="25BE4A5A">
      <w:pPr>
        <w:spacing w:line="400" w:lineRule="exact"/>
        <w:jc w:val="center"/>
        <w:rPr>
          <w:rFonts w:hint="eastAsia"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供应商须知前附表</w:t>
      </w:r>
    </w:p>
    <w:p w14:paraId="10371E03">
      <w:pPr>
        <w:spacing w:line="400" w:lineRule="exact"/>
        <w:jc w:val="center"/>
        <w:rPr>
          <w:rFonts w:hint="eastAsia" w:ascii="宋体" w:hAnsi="宋体"/>
          <w:b/>
          <w:color w:val="000000" w:themeColor="text1"/>
          <w:sz w:val="32"/>
          <w:szCs w:val="32"/>
          <w:highlight w:val="none"/>
          <w14:textFill>
            <w14:solidFill>
              <w14:schemeClr w14:val="tx1"/>
            </w14:solidFill>
          </w14:textFill>
        </w:rPr>
      </w:pPr>
    </w:p>
    <w:tbl>
      <w:tblPr>
        <w:tblStyle w:val="45"/>
        <w:tblW w:w="89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5D2EA5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tcPr>
          <w:p w14:paraId="2D871F39">
            <w:pPr>
              <w:spacing w:line="360" w:lineRule="auto"/>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条款号</w:t>
            </w:r>
          </w:p>
        </w:tc>
        <w:tc>
          <w:tcPr>
            <w:tcW w:w="7912" w:type="dxa"/>
            <w:noWrap w:val="0"/>
          </w:tcPr>
          <w:p w14:paraId="33C5A826">
            <w:pPr>
              <w:spacing w:line="360" w:lineRule="auto"/>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内    容</w:t>
            </w:r>
          </w:p>
        </w:tc>
      </w:tr>
      <w:tr w14:paraId="022706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185EC4EC">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7912" w:type="dxa"/>
            <w:noWrap w:val="0"/>
            <w:vAlign w:val="center"/>
          </w:tcPr>
          <w:p w14:paraId="06B562F6">
            <w:pPr>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1.供应商的资格条件</w:t>
            </w:r>
            <w:r>
              <w:rPr>
                <w:rFonts w:hint="eastAsia" w:ascii="宋体" w:hAnsi="宋体" w:cs="宋体"/>
                <w:color w:val="000000" w:themeColor="text1"/>
                <w:szCs w:val="21"/>
                <w:highlight w:val="none"/>
                <w14:textFill>
                  <w14:solidFill>
                    <w14:schemeClr w14:val="tx1"/>
                  </w14:solidFill>
                </w14:textFill>
              </w:rPr>
              <w:t>：详见竞争性磋商公告</w:t>
            </w:r>
            <w:r>
              <w:rPr>
                <w:rFonts w:hint="eastAsia" w:ascii="宋体" w:hAnsi="宋体"/>
                <w:color w:val="000000" w:themeColor="text1"/>
                <w:szCs w:val="21"/>
                <w:highlight w:val="none"/>
                <w14:textFill>
                  <w14:solidFill>
                    <w14:schemeClr w14:val="tx1"/>
                  </w14:solidFill>
                </w14:textFill>
              </w:rPr>
              <w:t>或者邀请函</w:t>
            </w:r>
          </w:p>
          <w:p w14:paraId="77A226F2">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bCs/>
                <w:color w:val="000000" w:themeColor="text1"/>
                <w:szCs w:val="21"/>
                <w:highlight w:val="none"/>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出现下列情形之一的，不得参加政府采购活动：</w:t>
            </w:r>
          </w:p>
          <w:p w14:paraId="22BCF8DE">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46A4264E">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3B603D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15D745A3">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5.1</w:t>
            </w:r>
          </w:p>
        </w:tc>
        <w:tc>
          <w:tcPr>
            <w:tcW w:w="7912" w:type="dxa"/>
            <w:noWrap w:val="0"/>
            <w:vAlign w:val="center"/>
          </w:tcPr>
          <w:p w14:paraId="7E97483E">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是否接受联合体竞标: 否</w:t>
            </w:r>
          </w:p>
        </w:tc>
      </w:tr>
      <w:tr w14:paraId="511AB7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0B13BF04">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6.2</w:t>
            </w:r>
          </w:p>
        </w:tc>
        <w:tc>
          <w:tcPr>
            <w:tcW w:w="7912" w:type="dxa"/>
            <w:noWrap w:val="0"/>
            <w:vAlign w:val="center"/>
          </w:tcPr>
          <w:p w14:paraId="0F93A8F7">
            <w:pPr>
              <w:pStyle w:val="16"/>
              <w:spacing w:line="360" w:lineRule="auto"/>
              <w:rPr>
                <w:rFonts w:hint="eastAsia" w:ascii="宋体" w:hAnsi="宋体" w:cs="宋体"/>
                <w:color w:val="000000" w:themeColor="text1"/>
                <w:szCs w:val="21"/>
                <w:highlight w:val="none"/>
                <w14:textFill>
                  <w14:solidFill>
                    <w14:schemeClr w14:val="tx1"/>
                  </w14:solidFill>
                </w14:textFill>
              </w:rPr>
            </w:pPr>
            <w:r>
              <w:rPr>
                <w:rFonts w:ascii="Wingdings 2" w:hAnsi="Wingdings 2" w:eastAsia="Wingdings 2" w:cs="Wingdings 2"/>
                <w:color w:val="000000" w:themeColor="text1"/>
                <w:szCs w:val="21"/>
                <w:highlight w:val="none"/>
                <w14:textFill>
                  <w14:solidFill>
                    <w14:schemeClr w14:val="tx1"/>
                  </w14:solidFill>
                </w14:textFill>
              </w:rPr>
              <w:t>R</w:t>
            </w:r>
            <w:r>
              <w:rPr>
                <w:rFonts w:hint="eastAsia" w:ascii="宋体" w:hAnsi="宋体"/>
                <w:color w:val="000000" w:themeColor="text1"/>
                <w:szCs w:val="21"/>
                <w:highlight w:val="none"/>
                <w14:textFill>
                  <w14:solidFill>
                    <w14:schemeClr w14:val="tx1"/>
                  </w14:solidFill>
                </w14:textFill>
              </w:rPr>
              <w:t>不允许分包</w:t>
            </w:r>
          </w:p>
        </w:tc>
      </w:tr>
      <w:tr w14:paraId="3411A5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72A9ECE8">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12.1.</w:t>
            </w:r>
            <w:r>
              <w:rPr>
                <w:rFonts w:ascii="宋体" w:hAnsi="宋体" w:cs="宋体"/>
                <w:color w:val="000000" w:themeColor="text1"/>
                <w:szCs w:val="21"/>
                <w:highlight w:val="none"/>
                <w14:textFill>
                  <w14:solidFill>
                    <w14:schemeClr w14:val="tx1"/>
                  </w14:solidFill>
                </w14:textFill>
              </w:rPr>
              <w:t>1</w:t>
            </w:r>
          </w:p>
        </w:tc>
        <w:tc>
          <w:tcPr>
            <w:tcW w:w="7912" w:type="dxa"/>
            <w:noWrap w:val="0"/>
            <w:vAlign w:val="center"/>
          </w:tcPr>
          <w:p w14:paraId="7BF27863">
            <w:pPr>
              <w:spacing w:line="360" w:lineRule="auto"/>
              <w:jc w:val="lef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资格证明文件</w:t>
            </w:r>
          </w:p>
          <w:p w14:paraId="200174C3">
            <w:pPr>
              <w:pStyle w:val="16"/>
              <w:spacing w:line="360" w:lineRule="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1.法人或者其他组织的营业执照等证明文件（如营业执照或事业单位法人证书或执业许可证等），自然人的身份证复印件；</w:t>
            </w:r>
            <w:r>
              <w:rPr>
                <w:rFonts w:hint="eastAsia" w:ascii="宋体" w:hAnsi="宋体" w:cs="宋体"/>
                <w:b/>
                <w:bCs/>
                <w:color w:val="000000" w:themeColor="text1"/>
                <w:szCs w:val="21"/>
                <w:highlight w:val="none"/>
                <w14:textFill>
                  <w14:solidFill>
                    <w14:schemeClr w14:val="tx1"/>
                  </w14:solidFill>
                </w14:textFill>
              </w:rPr>
              <w:t>（必须提供，否则响应文件按无效响应处理）</w:t>
            </w:r>
          </w:p>
          <w:p w14:paraId="72E92DFC">
            <w:pPr>
              <w:spacing w:line="360" w:lineRule="auto"/>
              <w:jc w:val="lef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2.贵港市政府采购项目投标资格承诺函（格式后附）；</w:t>
            </w:r>
            <w:r>
              <w:rPr>
                <w:rFonts w:hint="eastAsia" w:ascii="宋体" w:hAnsi="宋体" w:cs="宋体"/>
                <w:b/>
                <w:bCs/>
                <w:color w:val="000000" w:themeColor="text1"/>
                <w:szCs w:val="21"/>
                <w:highlight w:val="none"/>
                <w14:textFill>
                  <w14:solidFill>
                    <w14:schemeClr w14:val="tx1"/>
                  </w14:solidFill>
                </w14:textFill>
              </w:rPr>
              <w:t>（必须提供，否则响应文件按无效响应处理）</w:t>
            </w:r>
          </w:p>
          <w:p w14:paraId="769611E2">
            <w:pPr>
              <w:spacing w:line="360" w:lineRule="auto"/>
              <w:jc w:val="lef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3.供应商直接控股、管理关系信息表（格式后附）；</w:t>
            </w:r>
            <w:r>
              <w:rPr>
                <w:rFonts w:hint="eastAsia" w:ascii="宋体" w:hAnsi="宋体" w:cs="宋体"/>
                <w:b/>
                <w:bCs/>
                <w:color w:val="000000" w:themeColor="text1"/>
                <w:szCs w:val="21"/>
                <w:highlight w:val="none"/>
                <w14:textFill>
                  <w14:solidFill>
                    <w14:schemeClr w14:val="tx1"/>
                  </w14:solidFill>
                </w14:textFill>
              </w:rPr>
              <w:t>（必须提供，否则响应文件按无效响应处理）</w:t>
            </w:r>
          </w:p>
          <w:p w14:paraId="7638F652">
            <w:pPr>
              <w:spacing w:line="360" w:lineRule="auto"/>
              <w:jc w:val="left"/>
              <w:rPr>
                <w:rFonts w:hint="eastAsia"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4.竞标声明（格式后附）；</w:t>
            </w:r>
            <w:r>
              <w:rPr>
                <w:rFonts w:hint="eastAsia" w:ascii="宋体" w:hAnsi="宋体" w:cs="宋体"/>
                <w:b/>
                <w:bCs/>
                <w:color w:val="000000" w:themeColor="text1"/>
                <w:szCs w:val="21"/>
                <w:highlight w:val="none"/>
                <w14:textFill>
                  <w14:solidFill>
                    <w14:schemeClr w14:val="tx1"/>
                  </w14:solidFill>
                </w14:textFill>
              </w:rPr>
              <w:t>（必须提供，否则响应文件按无效响应处理）</w:t>
            </w:r>
          </w:p>
          <w:p w14:paraId="024EA54C">
            <w:pPr>
              <w:spacing w:line="360" w:lineRule="auto"/>
              <w:jc w:val="left"/>
              <w:rPr>
                <w:rFonts w:hint="eastAsia" w:ascii="宋体" w:hAnsi="宋体" w:cs="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5.供应商《中小企业声明函》或《残疾人福利性单位声明函》或监狱企业证明（由省级以上监狱管理局、戒毒管理局（含新疆生产建设兵团）出具的属于监狱企业的证明文件）；</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p>
          <w:p w14:paraId="1E2811AE">
            <w:pPr>
              <w:spacing w:line="360" w:lineRule="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6.特定</w:t>
            </w:r>
            <w:r>
              <w:rPr>
                <w:rFonts w:ascii="宋体" w:hAnsi="宋体" w:cs="宋体"/>
                <w:bCs/>
                <w:color w:val="000000" w:themeColor="text1"/>
                <w:szCs w:val="21"/>
                <w:highlight w:val="none"/>
                <w14:textFill>
                  <w14:solidFill>
                    <w14:schemeClr w14:val="tx1"/>
                  </w14:solidFill>
                </w14:textFill>
              </w:rPr>
              <w:t>资格</w:t>
            </w:r>
            <w:r>
              <w:rPr>
                <w:rFonts w:hint="eastAsia" w:ascii="宋体" w:hAnsi="宋体" w:cs="宋体"/>
                <w:bCs/>
                <w:color w:val="000000" w:themeColor="text1"/>
                <w:szCs w:val="21"/>
                <w:highlight w:val="none"/>
                <w14:textFill>
                  <w14:solidFill>
                    <w14:schemeClr w14:val="tx1"/>
                  </w14:solidFill>
                </w14:textFill>
              </w:rPr>
              <w:t>要求</w:t>
            </w:r>
            <w:r>
              <w:rPr>
                <w:rFonts w:ascii="宋体" w:hAnsi="宋体" w:cs="宋体"/>
                <w:bCs/>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【必须提供，否则响应文件按无效处理】</w:t>
            </w:r>
          </w:p>
          <w:p w14:paraId="023AF51E">
            <w:pPr>
              <w:spacing w:line="360" w:lineRule="auto"/>
              <w:ind w:firstLine="420"/>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（1）供应商具备建筑工程施工</w:t>
            </w:r>
            <w:r>
              <w:rPr>
                <w:rFonts w:ascii="宋体" w:hAnsi="宋体"/>
                <w:color w:val="000000" w:themeColor="text1"/>
                <w:szCs w:val="21"/>
                <w:highlight w:val="none"/>
                <w14:textFill>
                  <w14:solidFill>
                    <w14:schemeClr w14:val="tx1"/>
                  </w14:solidFill>
                </w14:textFill>
              </w:rPr>
              <w:t>总承包三级</w:t>
            </w:r>
            <w:r>
              <w:rPr>
                <w:rFonts w:hint="eastAsia" w:ascii="宋体" w:hAnsi="宋体"/>
                <w:color w:val="000000" w:themeColor="text1"/>
                <w:szCs w:val="21"/>
                <w:highlight w:val="none"/>
                <w14:textFill>
                  <w14:solidFill>
                    <w14:schemeClr w14:val="tx1"/>
                  </w14:solidFill>
                </w14:textFill>
              </w:rPr>
              <w:t>（含）以上资质证书、安全生产许可证复</w:t>
            </w:r>
            <w:r>
              <w:rPr>
                <w:rFonts w:hint="eastAsia" w:ascii="宋体" w:hAnsi="宋体" w:eastAsia="宋体" w:cs="Times New Roman"/>
                <w:color w:val="000000" w:themeColor="text1"/>
                <w:szCs w:val="21"/>
                <w:highlight w:val="none"/>
                <w14:textFill>
                  <w14:solidFill>
                    <w14:schemeClr w14:val="tx1"/>
                  </w14:solidFill>
                </w14:textFill>
              </w:rPr>
              <w:t>印件或扫描件；</w:t>
            </w:r>
          </w:p>
          <w:p w14:paraId="0E748FEA">
            <w:pPr>
              <w:spacing w:line="360" w:lineRule="auto"/>
              <w:ind w:firstLine="420"/>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eastAsia="zh-CN"/>
                <w14:textFill>
                  <w14:solidFill>
                    <w14:schemeClr w14:val="tx1"/>
                  </w14:solidFill>
                </w14:textFill>
              </w:rPr>
              <w:t>（</w:t>
            </w:r>
            <w:r>
              <w:rPr>
                <w:rFonts w:hint="eastAsia" w:ascii="宋体" w:hAnsi="宋体" w:eastAsia="宋体" w:cs="Times New Roman"/>
                <w:color w:val="000000" w:themeColor="text1"/>
                <w:szCs w:val="21"/>
                <w:highlight w:val="none"/>
                <w:lang w:val="en-US" w:eastAsia="zh-CN"/>
                <w14:textFill>
                  <w14:solidFill>
                    <w14:schemeClr w14:val="tx1"/>
                  </w14:solidFill>
                </w14:textFill>
              </w:rPr>
              <w:t>2</w:t>
            </w:r>
            <w:r>
              <w:rPr>
                <w:rFonts w:hint="eastAsia" w:ascii="宋体" w:hAnsi="宋体" w:eastAsia="宋体" w:cs="Times New Roman"/>
                <w:color w:val="000000" w:themeColor="text1"/>
                <w:szCs w:val="21"/>
                <w:highlight w:val="none"/>
                <w:lang w:eastAsia="zh-CN"/>
                <w14:textFill>
                  <w14:solidFill>
                    <w14:schemeClr w14:val="tx1"/>
                  </w14:solidFill>
                </w14:textFill>
              </w:rPr>
              <w:t>）</w:t>
            </w:r>
            <w:r>
              <w:rPr>
                <w:rFonts w:hint="eastAsia" w:ascii="宋体" w:hAnsi="宋体" w:eastAsia="宋体" w:cs="Times New Roman"/>
                <w:color w:val="000000" w:themeColor="text1"/>
                <w:szCs w:val="21"/>
                <w:highlight w:val="none"/>
                <w14:textFill>
                  <w14:solidFill>
                    <w14:schemeClr w14:val="tx1"/>
                  </w14:solidFill>
                </w14:textFill>
              </w:rPr>
              <w:t>拟投入本工程的技术负责人具有</w:t>
            </w:r>
            <w:r>
              <w:rPr>
                <w:rFonts w:hint="eastAsia" w:ascii="宋体" w:hAnsi="宋体"/>
                <w:color w:val="000000" w:themeColor="text1"/>
                <w:szCs w:val="21"/>
                <w:highlight w:val="none"/>
                <w:lang w:val="en-US" w:eastAsia="zh-CN"/>
                <w14:textFill>
                  <w14:solidFill>
                    <w14:schemeClr w14:val="tx1"/>
                  </w14:solidFill>
                </w14:textFill>
              </w:rPr>
              <w:t>建筑工程专业</w:t>
            </w:r>
            <w:r>
              <w:rPr>
                <w:rFonts w:hint="eastAsia" w:ascii="宋体" w:hAnsi="宋体" w:eastAsia="宋体" w:cs="Times New Roman"/>
                <w:color w:val="000000" w:themeColor="text1"/>
                <w:szCs w:val="21"/>
                <w:highlight w:val="none"/>
                <w14:textFill>
                  <w14:solidFill>
                    <w14:schemeClr w14:val="tx1"/>
                  </w14:solidFill>
                </w14:textFill>
              </w:rPr>
              <w:t>工程师及以上职称</w:t>
            </w:r>
            <w:r>
              <w:rPr>
                <w:rFonts w:hint="eastAsia" w:ascii="宋体" w:hAnsi="宋体"/>
                <w:color w:val="000000" w:themeColor="text1"/>
                <w:szCs w:val="21"/>
                <w:highlight w:val="none"/>
                <w14:textFill>
                  <w14:solidFill>
                    <w14:schemeClr w14:val="tx1"/>
                  </w14:solidFill>
                </w14:textFill>
              </w:rPr>
              <w:t>复</w:t>
            </w:r>
            <w:r>
              <w:rPr>
                <w:rFonts w:hint="eastAsia" w:ascii="宋体" w:hAnsi="宋体" w:eastAsia="宋体" w:cs="Times New Roman"/>
                <w:color w:val="000000" w:themeColor="text1"/>
                <w:szCs w:val="21"/>
                <w:highlight w:val="none"/>
                <w14:textFill>
                  <w14:solidFill>
                    <w14:schemeClr w14:val="tx1"/>
                  </w14:solidFill>
                </w14:textFill>
              </w:rPr>
              <w:t>印件或扫描件。</w:t>
            </w:r>
          </w:p>
          <w:p w14:paraId="2ADA2D28">
            <w:pPr>
              <w:spacing w:line="360" w:lineRule="auto"/>
              <w:ind w:firstLine="420"/>
              <w:rPr>
                <w:rFonts w:hint="eastAsia" w:ascii="宋体" w:hAnsi="宋体"/>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w:t>
            </w:r>
            <w:r>
              <w:rPr>
                <w:rFonts w:hint="eastAsia" w:ascii="宋体" w:hAnsi="宋体" w:cs="Times New Roman"/>
                <w:color w:val="000000" w:themeColor="text1"/>
                <w:szCs w:val="21"/>
                <w:highlight w:val="none"/>
                <w:lang w:val="en-US" w:eastAsia="zh-CN"/>
                <w14:textFill>
                  <w14:solidFill>
                    <w14:schemeClr w14:val="tx1"/>
                  </w14:solidFill>
                </w14:textFill>
              </w:rPr>
              <w:t>3</w:t>
            </w:r>
            <w:r>
              <w:rPr>
                <w:rFonts w:hint="eastAsia" w:ascii="宋体" w:hAnsi="宋体" w:eastAsia="宋体" w:cs="Times New Roman"/>
                <w:color w:val="000000" w:themeColor="text1"/>
                <w:szCs w:val="21"/>
                <w:highlight w:val="none"/>
                <w14:textFill>
                  <w14:solidFill>
                    <w14:schemeClr w14:val="tx1"/>
                  </w14:solidFill>
                </w14:textFill>
              </w:rPr>
              <w:t>）供应商拟派的项目经理须具备建筑工程专业贰级(含)以</w:t>
            </w:r>
            <w:r>
              <w:rPr>
                <w:rFonts w:hint="eastAsia" w:ascii="宋体" w:hAnsi="宋体"/>
                <w:color w:val="000000" w:themeColor="text1"/>
                <w:szCs w:val="21"/>
                <w:highlight w:val="none"/>
                <w14:textFill>
                  <w14:solidFill>
                    <w14:schemeClr w14:val="tx1"/>
                  </w14:solidFill>
                </w14:textFill>
              </w:rPr>
              <w:t>上注册建造师执业资格证书复</w:t>
            </w:r>
            <w:r>
              <w:rPr>
                <w:rFonts w:hint="eastAsia" w:ascii="宋体" w:hAnsi="宋体" w:eastAsia="宋体" w:cs="Times New Roman"/>
                <w:color w:val="000000" w:themeColor="text1"/>
                <w:szCs w:val="21"/>
                <w:highlight w:val="none"/>
                <w14:textFill>
                  <w14:solidFill>
                    <w14:schemeClr w14:val="tx1"/>
                  </w14:solidFill>
                </w14:textFill>
              </w:rPr>
              <w:t>印件或扫描件</w:t>
            </w:r>
            <w:r>
              <w:rPr>
                <w:rFonts w:hint="eastAsia" w:ascii="宋体" w:hAnsi="宋体"/>
                <w:color w:val="000000" w:themeColor="text1"/>
                <w:szCs w:val="21"/>
                <w:highlight w:val="none"/>
                <w14:textFill>
                  <w14:solidFill>
                    <w14:schemeClr w14:val="tx1"/>
                  </w14:solidFill>
                </w14:textFill>
              </w:rPr>
              <w:t>及有效的安全生产考核合格证书（B类）复</w:t>
            </w:r>
            <w:r>
              <w:rPr>
                <w:rFonts w:hint="eastAsia" w:ascii="宋体" w:hAnsi="宋体" w:eastAsia="宋体" w:cs="Times New Roman"/>
                <w:color w:val="000000" w:themeColor="text1"/>
                <w:szCs w:val="21"/>
                <w:highlight w:val="none"/>
                <w14:textFill>
                  <w14:solidFill>
                    <w14:schemeClr w14:val="tx1"/>
                  </w14:solidFill>
                </w14:textFill>
              </w:rPr>
              <w:t>印件或扫描件</w:t>
            </w:r>
            <w:r>
              <w:rPr>
                <w:rFonts w:hint="eastAsia" w:ascii="宋体" w:hAnsi="宋体"/>
                <w:color w:val="000000" w:themeColor="text1"/>
                <w:szCs w:val="21"/>
                <w:highlight w:val="none"/>
                <w14:textFill>
                  <w14:solidFill>
                    <w14:schemeClr w14:val="tx1"/>
                  </w14:solidFill>
                </w14:textFill>
              </w:rPr>
              <w:t>；</w:t>
            </w:r>
          </w:p>
          <w:p w14:paraId="1548C355">
            <w:pPr>
              <w:spacing w:line="360" w:lineRule="auto"/>
              <w:ind w:firstLine="420"/>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）拟投入本项目的专职安全生产管理人员须具备有效的安全生产考核合格证书（C类）证书</w:t>
            </w:r>
            <w:r>
              <w:rPr>
                <w:rFonts w:hint="eastAsia" w:ascii="宋体" w:hAnsi="宋体"/>
                <w:color w:val="000000" w:themeColor="text1"/>
                <w:szCs w:val="21"/>
                <w:highlight w:val="none"/>
                <w14:textFill>
                  <w14:solidFill>
                    <w14:schemeClr w14:val="tx1"/>
                  </w14:solidFill>
                </w14:textFill>
              </w:rPr>
              <w:t>复</w:t>
            </w:r>
            <w:r>
              <w:rPr>
                <w:rFonts w:hint="eastAsia" w:ascii="宋体" w:hAnsi="宋体" w:eastAsia="宋体" w:cs="Times New Roman"/>
                <w:color w:val="000000" w:themeColor="text1"/>
                <w:szCs w:val="21"/>
                <w:highlight w:val="none"/>
                <w14:textFill>
                  <w14:solidFill>
                    <w14:schemeClr w14:val="tx1"/>
                  </w14:solidFill>
                </w14:textFill>
              </w:rPr>
              <w:t>印件或扫描件</w:t>
            </w:r>
            <w:r>
              <w:rPr>
                <w:rFonts w:hint="eastAsia" w:ascii="宋体" w:hAnsi="宋体" w:cs="宋体"/>
                <w:color w:val="000000" w:themeColor="text1"/>
                <w:szCs w:val="21"/>
                <w:highlight w:val="none"/>
                <w14:textFill>
                  <w14:solidFill>
                    <w14:schemeClr w14:val="tx1"/>
                  </w14:solidFill>
                </w14:textFill>
              </w:rPr>
              <w:t>。</w:t>
            </w:r>
          </w:p>
          <w:p w14:paraId="06E08555">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.除磋商文件规定必须提供以外，供应商认为需要提供的其他证明材料；</w:t>
            </w:r>
          </w:p>
          <w:p w14:paraId="6E67B3F1">
            <w:pPr>
              <w:spacing w:line="360" w:lineRule="auto"/>
              <w:jc w:val="lef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注：1.以上标明“必须提供”的材料属于扫描件的，必须加盖供应商</w:t>
            </w:r>
            <w:r>
              <w:rPr>
                <w:rFonts w:hint="eastAsia"/>
                <w:b/>
                <w:color w:val="000000" w:themeColor="text1"/>
                <w:highlight w:val="none"/>
                <w14:textFill>
                  <w14:solidFill>
                    <w14:schemeClr w14:val="tx1"/>
                  </w14:solidFill>
                </w14:textFill>
              </w:rPr>
              <w:t>电子签章</w:t>
            </w:r>
            <w:r>
              <w:rPr>
                <w:rFonts w:hint="eastAsia" w:ascii="宋体" w:hAnsi="宋体" w:cs="宋体"/>
                <w:b/>
                <w:color w:val="000000" w:themeColor="text1"/>
                <w:szCs w:val="21"/>
                <w:highlight w:val="none"/>
                <w14:textFill>
                  <w14:solidFill>
                    <w14:schemeClr w14:val="tx1"/>
                  </w14:solidFill>
                </w14:textFill>
              </w:rPr>
              <w:t>，否则响应文件按无效处理。</w:t>
            </w:r>
          </w:p>
        </w:tc>
      </w:tr>
      <w:tr w14:paraId="2D871F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0DB481F9">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12.1.2</w:t>
            </w:r>
          </w:p>
        </w:tc>
        <w:tc>
          <w:tcPr>
            <w:tcW w:w="7912" w:type="dxa"/>
            <w:noWrap w:val="0"/>
            <w:vAlign w:val="center"/>
          </w:tcPr>
          <w:p w14:paraId="60EAE5F4">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报价文件</w:t>
            </w:r>
          </w:p>
          <w:p w14:paraId="2E8499D5">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1.竞标函及竞标函附录（格式后附）；（</w:t>
            </w:r>
            <w:r>
              <w:rPr>
                <w:rFonts w:hint="eastAsia" w:ascii="宋体" w:hAnsi="宋体" w:cs="宋体"/>
                <w:b/>
                <w:color w:val="000000" w:themeColor="text1"/>
                <w:szCs w:val="21"/>
                <w:highlight w:val="none"/>
                <w14:textFill>
                  <w14:solidFill>
                    <w14:schemeClr w14:val="tx1"/>
                  </w14:solidFill>
                </w14:textFill>
              </w:rPr>
              <w:t>必须提供，否则响应文件按无效处理</w:t>
            </w:r>
            <w:r>
              <w:rPr>
                <w:rFonts w:hint="eastAsia" w:ascii="宋体" w:hAnsi="宋体" w:cs="宋体"/>
                <w:color w:val="000000" w:themeColor="text1"/>
                <w:szCs w:val="21"/>
                <w:highlight w:val="none"/>
                <w14:textFill>
                  <w14:solidFill>
                    <w14:schemeClr w14:val="tx1"/>
                  </w14:solidFill>
                </w14:textFill>
              </w:rPr>
              <w:t>）</w:t>
            </w:r>
          </w:p>
          <w:p w14:paraId="300E5234">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2.竞标报价表（格式后附）；（</w:t>
            </w:r>
            <w:r>
              <w:rPr>
                <w:rFonts w:hint="eastAsia" w:ascii="宋体" w:hAnsi="宋体" w:cs="宋体"/>
                <w:b/>
                <w:color w:val="000000" w:themeColor="text1"/>
                <w:szCs w:val="21"/>
                <w:highlight w:val="none"/>
                <w14:textFill>
                  <w14:solidFill>
                    <w14:schemeClr w14:val="tx1"/>
                  </w14:solidFill>
                </w14:textFill>
              </w:rPr>
              <w:t>必须提供，否则响应文件按无效处理</w:t>
            </w:r>
            <w:r>
              <w:rPr>
                <w:rFonts w:hint="eastAsia" w:ascii="宋体" w:hAnsi="宋体" w:cs="宋体"/>
                <w:color w:val="000000" w:themeColor="text1"/>
                <w:szCs w:val="21"/>
                <w:highlight w:val="none"/>
                <w14:textFill>
                  <w14:solidFill>
                    <w14:schemeClr w14:val="tx1"/>
                  </w14:solidFill>
                </w14:textFill>
              </w:rPr>
              <w:t>）</w:t>
            </w:r>
          </w:p>
          <w:p w14:paraId="33D7F005">
            <w:pPr>
              <w:spacing w:line="360" w:lineRule="auto"/>
              <w:rPr>
                <w:rFonts w:hint="eastAsia"/>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3.已标价工程量清单；（</w:t>
            </w:r>
            <w:r>
              <w:rPr>
                <w:rFonts w:hint="eastAsia" w:ascii="宋体" w:hAnsi="宋体" w:cs="宋体"/>
                <w:b/>
                <w:color w:val="000000" w:themeColor="text1"/>
                <w:szCs w:val="21"/>
                <w:highlight w:val="none"/>
                <w14:textFill>
                  <w14:solidFill>
                    <w14:schemeClr w14:val="tx1"/>
                  </w14:solidFill>
                </w14:textFill>
              </w:rPr>
              <w:t>必须提供，否则响应文件按无效处理</w:t>
            </w:r>
            <w:r>
              <w:rPr>
                <w:rFonts w:hint="eastAsia" w:ascii="宋体" w:hAnsi="宋体" w:cs="宋体"/>
                <w:color w:val="000000" w:themeColor="text1"/>
                <w:szCs w:val="21"/>
                <w:highlight w:val="none"/>
                <w14:textFill>
                  <w14:solidFill>
                    <w14:schemeClr w14:val="tx1"/>
                  </w14:solidFill>
                </w14:textFill>
              </w:rPr>
              <w:t>）</w:t>
            </w:r>
          </w:p>
          <w:p w14:paraId="307455DB">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.供应商认为需要提供的其他有关资料。</w:t>
            </w:r>
          </w:p>
        </w:tc>
      </w:tr>
      <w:tr w14:paraId="57DB79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18333900">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w:t>
            </w: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.3</w:t>
            </w:r>
          </w:p>
        </w:tc>
        <w:tc>
          <w:tcPr>
            <w:tcW w:w="7912" w:type="dxa"/>
            <w:noWrap w:val="0"/>
            <w:vAlign w:val="center"/>
          </w:tcPr>
          <w:p w14:paraId="001E7A03">
            <w:pPr>
              <w:spacing w:line="360" w:lineRule="auto"/>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商务技术文件</w:t>
            </w:r>
          </w:p>
          <w:p w14:paraId="2C3B83BB">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1.无串通竞标行为的承诺函（格式后附）；（</w:t>
            </w:r>
            <w:r>
              <w:rPr>
                <w:rFonts w:hint="eastAsia" w:ascii="宋体" w:hAnsi="宋体" w:cs="宋体"/>
                <w:b/>
                <w:color w:val="000000" w:themeColor="text1"/>
                <w:szCs w:val="21"/>
                <w:highlight w:val="none"/>
                <w14:textFill>
                  <w14:solidFill>
                    <w14:schemeClr w14:val="tx1"/>
                  </w14:solidFill>
                </w14:textFill>
              </w:rPr>
              <w:t>必须提供，否则响应文件按无效处理</w:t>
            </w:r>
            <w:r>
              <w:rPr>
                <w:rFonts w:hint="eastAsia" w:ascii="宋体" w:hAnsi="宋体" w:cs="宋体"/>
                <w:color w:val="000000" w:themeColor="text1"/>
                <w:szCs w:val="21"/>
                <w:highlight w:val="none"/>
                <w14:textFill>
                  <w14:solidFill>
                    <w14:schemeClr w14:val="tx1"/>
                  </w14:solidFill>
                </w14:textFill>
              </w:rPr>
              <w:t>）</w:t>
            </w:r>
          </w:p>
          <w:p w14:paraId="02397115">
            <w:pPr>
              <w:spacing w:line="360"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2.法定代表人身份证明书及法定代表人有效身份证正反面扫描件（格式后附）；（</w:t>
            </w:r>
            <w:r>
              <w:rPr>
                <w:rFonts w:hint="eastAsia" w:ascii="宋体" w:hAnsi="宋体" w:cs="宋体"/>
                <w:b/>
                <w:color w:val="000000" w:themeColor="text1"/>
                <w:szCs w:val="21"/>
                <w:highlight w:val="none"/>
                <w14:textFill>
                  <w14:solidFill>
                    <w14:schemeClr w14:val="tx1"/>
                  </w14:solidFill>
                </w14:textFill>
              </w:rPr>
              <w:t>必须提供，否则响应文件按无效处理</w:t>
            </w:r>
            <w:r>
              <w:rPr>
                <w:rFonts w:hint="eastAsia" w:ascii="宋体" w:hAnsi="宋体" w:cs="宋体"/>
                <w:color w:val="000000" w:themeColor="text1"/>
                <w:szCs w:val="21"/>
                <w:highlight w:val="none"/>
                <w14:textFill>
                  <w14:solidFill>
                    <w14:schemeClr w14:val="tx1"/>
                  </w14:solidFill>
                </w14:textFill>
              </w:rPr>
              <w:t>）</w:t>
            </w:r>
          </w:p>
          <w:p w14:paraId="70B3F3D0">
            <w:pPr>
              <w:spacing w:line="360" w:lineRule="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3.授权委托书及委托代理人有效身份证正反面扫描件（格式后附）；（</w:t>
            </w:r>
            <w:r>
              <w:rPr>
                <w:rFonts w:hint="eastAsia" w:ascii="宋体" w:hAnsi="宋体" w:cs="宋体"/>
                <w:b/>
                <w:color w:val="000000" w:themeColor="text1"/>
                <w:szCs w:val="21"/>
                <w:highlight w:val="none"/>
                <w14:textFill>
                  <w14:solidFill>
                    <w14:schemeClr w14:val="tx1"/>
                  </w14:solidFill>
                </w14:textFill>
              </w:rPr>
              <w:t>委托时必须提供，否则响应文件按无效处理</w:t>
            </w:r>
            <w:r>
              <w:rPr>
                <w:rFonts w:hint="eastAsia" w:ascii="宋体" w:hAnsi="宋体" w:cs="宋体"/>
                <w:color w:val="000000" w:themeColor="text1"/>
                <w:szCs w:val="21"/>
                <w:highlight w:val="none"/>
                <w14:textFill>
                  <w14:solidFill>
                    <w14:schemeClr w14:val="tx1"/>
                  </w14:solidFill>
                </w14:textFill>
              </w:rPr>
              <w:t>）</w:t>
            </w:r>
          </w:p>
          <w:p w14:paraId="429D73D1">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4.施工组织设计（格式自拟）；（</w:t>
            </w:r>
            <w:r>
              <w:rPr>
                <w:rFonts w:hint="eastAsia" w:ascii="宋体" w:hAnsi="宋体" w:cs="宋体"/>
                <w:b/>
                <w:color w:val="000000" w:themeColor="text1"/>
                <w:szCs w:val="21"/>
                <w:highlight w:val="none"/>
                <w14:textFill>
                  <w14:solidFill>
                    <w14:schemeClr w14:val="tx1"/>
                  </w14:solidFill>
                </w14:textFill>
              </w:rPr>
              <w:t>必须提供，否则响应文件按无效处理</w:t>
            </w:r>
            <w:r>
              <w:rPr>
                <w:rFonts w:hint="eastAsia" w:ascii="宋体" w:hAnsi="宋体" w:cs="宋体"/>
                <w:color w:val="000000" w:themeColor="text1"/>
                <w:szCs w:val="21"/>
                <w:highlight w:val="none"/>
                <w14:textFill>
                  <w14:solidFill>
                    <w14:schemeClr w14:val="tx1"/>
                  </w14:solidFill>
                </w14:textFill>
              </w:rPr>
              <w:t>）</w:t>
            </w:r>
          </w:p>
          <w:p w14:paraId="2D70F012">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5.项目管理机构配备情况表及主要人员简历表（格式后附）；（</w:t>
            </w:r>
            <w:r>
              <w:rPr>
                <w:rFonts w:hint="eastAsia" w:ascii="宋体" w:hAnsi="宋体" w:cs="宋体"/>
                <w:b/>
                <w:color w:val="000000" w:themeColor="text1"/>
                <w:szCs w:val="21"/>
                <w:highlight w:val="none"/>
                <w14:textFill>
                  <w14:solidFill>
                    <w14:schemeClr w14:val="tx1"/>
                  </w14:solidFill>
                </w14:textFill>
              </w:rPr>
              <w:t>必须提供，否则响应文件按无效处理</w:t>
            </w:r>
            <w:r>
              <w:rPr>
                <w:rFonts w:hint="eastAsia" w:ascii="宋体" w:hAnsi="宋体" w:cs="宋体"/>
                <w:color w:val="000000" w:themeColor="text1"/>
                <w:szCs w:val="21"/>
                <w:highlight w:val="none"/>
                <w14:textFill>
                  <w14:solidFill>
                    <w14:schemeClr w14:val="tx1"/>
                  </w14:solidFill>
                </w14:textFill>
              </w:rPr>
              <w:t xml:space="preserve">） </w:t>
            </w:r>
          </w:p>
          <w:p w14:paraId="60B69F87">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6.供应商认为需要提供的其他有关资料。</w:t>
            </w:r>
          </w:p>
          <w:p w14:paraId="5912F8B3">
            <w:pPr>
              <w:spacing w:line="360" w:lineRule="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注：以上标明“必须提供”的材料属于扫描件的，必须加盖供应商电子签章，否则响应文件按无效处理。</w:t>
            </w:r>
          </w:p>
        </w:tc>
      </w:tr>
      <w:tr w14:paraId="38DDFA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5719136E">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15.1</w:t>
            </w:r>
          </w:p>
        </w:tc>
        <w:tc>
          <w:tcPr>
            <w:tcW w:w="7912" w:type="dxa"/>
            <w:noWrap w:val="0"/>
            <w:vAlign w:val="center"/>
          </w:tcPr>
          <w:p w14:paraId="780B3BD3">
            <w:pPr>
              <w:spacing w:line="360" w:lineRule="auto"/>
              <w:contextualSpacing/>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竞标报价应按磋商文件中“竞标报价表”格式填写。</w:t>
            </w:r>
          </w:p>
        </w:tc>
      </w:tr>
      <w:tr w14:paraId="729F9D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26EA4254">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15.2</w:t>
            </w:r>
          </w:p>
        </w:tc>
        <w:tc>
          <w:tcPr>
            <w:tcW w:w="7912" w:type="dxa"/>
            <w:noWrap w:val="0"/>
            <w:vAlign w:val="center"/>
          </w:tcPr>
          <w:p w14:paraId="7732E727">
            <w:pPr>
              <w:numPr>
                <w:ilvl w:val="0"/>
                <w:numId w:val="0"/>
              </w:numPr>
              <w:spacing w:line="360" w:lineRule="auto"/>
              <w:contextualSpacing/>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lang w:eastAsia="zh-CN"/>
                <w14:textFill>
                  <w14:solidFill>
                    <w14:schemeClr w14:val="tx1"/>
                  </w14:solidFill>
                </w14:textFill>
              </w:rPr>
              <w:t>本项目计价方式为固定总价；</w:t>
            </w:r>
            <w:r>
              <w:rPr>
                <w:rFonts w:hint="eastAsia" w:ascii="宋体" w:hAnsi="宋体" w:cs="宋体"/>
                <w:b/>
                <w:bCs/>
                <w:color w:val="000000" w:themeColor="text1"/>
                <w:szCs w:val="21"/>
                <w:highlight w:val="none"/>
                <w14:textFill>
                  <w14:solidFill>
                    <w14:schemeClr w14:val="tx1"/>
                  </w14:solidFill>
                </w14:textFill>
              </w:rPr>
              <w:t>竞标报价是履行合同的最终价格，包括了为实施和完成合同工程所需的劳务、材料、机械、质检（自检）、安装、缺陷修复、管理、保险、税费、利润等费用，以及合同明示或暗示的所有责任、义务和一般风险。</w:t>
            </w:r>
          </w:p>
        </w:tc>
      </w:tr>
      <w:tr w14:paraId="16F338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3F669DC7">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15.3</w:t>
            </w:r>
          </w:p>
        </w:tc>
        <w:tc>
          <w:tcPr>
            <w:tcW w:w="7912" w:type="dxa"/>
            <w:noWrap w:val="0"/>
            <w:vAlign w:val="center"/>
          </w:tcPr>
          <w:p w14:paraId="5EBFA7F1">
            <w:pPr>
              <w:spacing w:line="360" w:lineRule="auto"/>
              <w:contextualSpacing/>
              <w:jc w:val="left"/>
              <w:rPr>
                <w:rFonts w:hint="eastAsia" w:ascii="宋体" w:hAnsi="宋体"/>
                <w:color w:val="000000" w:themeColor="text1"/>
                <w:szCs w:val="2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本工程增值税计税方法：一般计税法</w:t>
            </w:r>
          </w:p>
        </w:tc>
      </w:tr>
      <w:tr w14:paraId="07E43E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410911D0">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w:t>
            </w:r>
            <w:r>
              <w:rPr>
                <w:rFonts w:ascii="宋体" w:hAnsi="宋体" w:cs="宋体"/>
                <w:color w:val="000000" w:themeColor="text1"/>
                <w:szCs w:val="21"/>
                <w:highlight w:val="none"/>
                <w14:textFill>
                  <w14:solidFill>
                    <w14:schemeClr w14:val="tx1"/>
                  </w14:solidFill>
                </w14:textFill>
              </w:rPr>
              <w:t>2</w:t>
            </w:r>
          </w:p>
        </w:tc>
        <w:tc>
          <w:tcPr>
            <w:tcW w:w="7912" w:type="dxa"/>
            <w:noWrap w:val="0"/>
            <w:vAlign w:val="center"/>
          </w:tcPr>
          <w:p w14:paraId="13FD31A8">
            <w:pPr>
              <w:pStyle w:val="13"/>
              <w:widowControl w:val="0"/>
              <w:tabs>
                <w:tab w:val="clear" w:pos="454"/>
              </w:tabs>
              <w:spacing w:line="360" w:lineRule="auto"/>
              <w:ind w:left="283" w:hanging="283"/>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竞标有效期：自首次响应文件提交截止之日起</w:t>
            </w:r>
            <w:r>
              <w:rPr>
                <w:rFonts w:hint="eastAsia" w:ascii="宋体" w:hAnsi="宋体" w:cs="宋体"/>
                <w:color w:val="000000" w:themeColor="text1"/>
                <w:sz w:val="21"/>
                <w:szCs w:val="21"/>
                <w:highlight w:val="none"/>
                <w:u w:val="single"/>
                <w14:textFill>
                  <w14:solidFill>
                    <w14:schemeClr w14:val="tx1"/>
                  </w14:solidFill>
                </w14:textFill>
              </w:rPr>
              <w:t>9</w:t>
            </w:r>
            <w:r>
              <w:rPr>
                <w:rFonts w:ascii="宋体" w:hAnsi="宋体" w:cs="宋体"/>
                <w:color w:val="000000" w:themeColor="text1"/>
                <w:sz w:val="21"/>
                <w:szCs w:val="21"/>
                <w:highlight w:val="none"/>
                <w:u w:val="single"/>
                <w14:textFill>
                  <w14:solidFill>
                    <w14:schemeClr w14:val="tx1"/>
                  </w14:solidFill>
                </w14:textFill>
              </w:rPr>
              <w:t>0</w:t>
            </w:r>
            <w:r>
              <w:rPr>
                <w:rFonts w:hint="eastAsia" w:ascii="宋体" w:hAnsi="宋体" w:cs="宋体"/>
                <w:color w:val="000000" w:themeColor="text1"/>
                <w:sz w:val="21"/>
                <w:szCs w:val="21"/>
                <w:highlight w:val="none"/>
                <w14:textFill>
                  <w14:solidFill>
                    <w14:schemeClr w14:val="tx1"/>
                  </w14:solidFill>
                </w14:textFill>
              </w:rPr>
              <w:t>日。</w:t>
            </w:r>
          </w:p>
        </w:tc>
      </w:tr>
      <w:tr w14:paraId="269226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6" w:hRule="atLeast"/>
          <w:jc w:val="center"/>
        </w:trPr>
        <w:tc>
          <w:tcPr>
            <w:tcW w:w="992" w:type="dxa"/>
            <w:noWrap w:val="0"/>
            <w:vAlign w:val="center"/>
          </w:tcPr>
          <w:p w14:paraId="44F007D7">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17.1</w:t>
            </w:r>
          </w:p>
        </w:tc>
        <w:tc>
          <w:tcPr>
            <w:tcW w:w="7912" w:type="dxa"/>
            <w:noWrap w:val="0"/>
            <w:vAlign w:val="center"/>
          </w:tcPr>
          <w:p w14:paraId="47698DA9">
            <w:pPr>
              <w:spacing w:line="360" w:lineRule="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磋商保证金：无</w:t>
            </w:r>
          </w:p>
        </w:tc>
      </w:tr>
      <w:tr w14:paraId="37774F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53110F2F">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19</w:t>
            </w:r>
          </w:p>
        </w:tc>
        <w:tc>
          <w:tcPr>
            <w:tcW w:w="7912" w:type="dxa"/>
            <w:noWrap w:val="0"/>
            <w:vAlign w:val="center"/>
          </w:tcPr>
          <w:p w14:paraId="508072F6">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本项目不接受</w:t>
            </w:r>
            <w:r>
              <w:rPr>
                <w:rFonts w:hint="eastAsia"/>
                <w:color w:val="000000" w:themeColor="text1"/>
                <w:highlight w:val="none"/>
                <w14:textFill>
                  <w14:solidFill>
                    <w14:schemeClr w14:val="tx1"/>
                  </w14:solidFill>
                </w14:textFill>
              </w:rPr>
              <w:t>电子</w:t>
            </w:r>
            <w:r>
              <w:rPr>
                <w:rFonts w:hint="eastAsia" w:ascii="宋体" w:hAnsi="宋体"/>
                <w:color w:val="000000" w:themeColor="text1"/>
                <w:szCs w:val="21"/>
                <w:highlight w:val="none"/>
                <w14:textFill>
                  <w14:solidFill>
                    <w14:schemeClr w14:val="tx1"/>
                  </w14:solidFill>
                </w14:textFill>
              </w:rPr>
              <w:t>备份响应文件</w:t>
            </w:r>
          </w:p>
        </w:tc>
      </w:tr>
      <w:tr w14:paraId="442C5B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7662A820">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20.1</w:t>
            </w:r>
          </w:p>
        </w:tc>
        <w:tc>
          <w:tcPr>
            <w:tcW w:w="7912" w:type="dxa"/>
            <w:noWrap w:val="0"/>
            <w:vAlign w:val="center"/>
          </w:tcPr>
          <w:p w14:paraId="41D8DC85">
            <w:pPr>
              <w:spacing w:line="360" w:lineRule="auto"/>
              <w:contextualSpacing/>
              <w:jc w:val="left"/>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响应文件提交截止时间：详见竞争性磋商公告</w:t>
            </w:r>
          </w:p>
          <w:p w14:paraId="3790AEC3">
            <w:pPr>
              <w:spacing w:line="360" w:lineRule="auto"/>
              <w:contextualSpacing/>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响应文件提交地点：详见竞争性磋商公告</w:t>
            </w:r>
          </w:p>
        </w:tc>
      </w:tr>
      <w:tr w14:paraId="031A0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797DC026">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24.1</w:t>
            </w:r>
          </w:p>
        </w:tc>
        <w:tc>
          <w:tcPr>
            <w:tcW w:w="7912" w:type="dxa"/>
            <w:noWrap w:val="0"/>
            <w:vAlign w:val="center"/>
          </w:tcPr>
          <w:p w14:paraId="684171C8">
            <w:pPr>
              <w:spacing w:line="360" w:lineRule="auto"/>
              <w:jc w:val="left"/>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磋商小组的人数：</w:t>
            </w:r>
            <w:r>
              <w:rPr>
                <w:rFonts w:ascii="宋体" w:hAnsi="宋体" w:cs="宋体"/>
                <w:color w:val="000000" w:themeColor="text1"/>
                <w:szCs w:val="21"/>
                <w:highlight w:val="none"/>
                <w:u w:val="singl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人。</w:t>
            </w:r>
          </w:p>
        </w:tc>
      </w:tr>
      <w:tr w14:paraId="6A7CBC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510D4CC5">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ascii="宋体" w:hAnsi="宋体" w:cs="宋体"/>
                <w:color w:val="000000" w:themeColor="text1"/>
                <w:szCs w:val="21"/>
                <w:highlight w:val="none"/>
                <w14:textFill>
                  <w14:solidFill>
                    <w14:schemeClr w14:val="tx1"/>
                  </w14:solidFill>
                </w14:textFill>
              </w:rPr>
              <w:t>5</w:t>
            </w:r>
          </w:p>
        </w:tc>
        <w:tc>
          <w:tcPr>
            <w:tcW w:w="7912" w:type="dxa"/>
            <w:noWrap w:val="0"/>
            <w:vAlign w:val="center"/>
          </w:tcPr>
          <w:p w14:paraId="06471509">
            <w:pPr>
              <w:spacing w:line="360"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首次响应文件开启时间详见“竞争性磋商公告”</w:t>
            </w:r>
          </w:p>
          <w:p w14:paraId="6FFEAA39">
            <w:pPr>
              <w:spacing w:line="360"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首次响应文件解密时间：</w:t>
            </w:r>
            <w:r>
              <w:rPr>
                <w:rFonts w:hint="eastAsia" w:hAnsi="宋体"/>
                <w:color w:val="000000" w:themeColor="text1"/>
                <w:highlight w:val="none"/>
                <w:u w:val="single"/>
                <w14:textFill>
                  <w14:solidFill>
                    <w14:schemeClr w14:val="tx1"/>
                  </w14:solidFill>
                </w14:textFill>
              </w:rPr>
              <w:t>3</w:t>
            </w:r>
            <w:r>
              <w:rPr>
                <w:rFonts w:hAnsi="宋体"/>
                <w:color w:val="000000" w:themeColor="text1"/>
                <w:highlight w:val="none"/>
                <w:u w:val="single"/>
                <w14:textFill>
                  <w14:solidFill>
                    <w14:schemeClr w14:val="tx1"/>
                  </w14:solidFill>
                </w14:textFill>
              </w:rPr>
              <w:t>0</w:t>
            </w:r>
            <w:r>
              <w:rPr>
                <w:rFonts w:hint="eastAsia" w:hAnsi="宋体"/>
                <w:color w:val="000000" w:themeColor="text1"/>
                <w:highlight w:val="none"/>
                <w14:textFill>
                  <w14:solidFill>
                    <w14:schemeClr w14:val="tx1"/>
                  </w14:solidFill>
                </w14:textFill>
              </w:rPr>
              <w:t>分钟</w:t>
            </w:r>
          </w:p>
        </w:tc>
      </w:tr>
      <w:tr w14:paraId="311C65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noWrap w:val="0"/>
            <w:vAlign w:val="center"/>
          </w:tcPr>
          <w:p w14:paraId="68A48A0D">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ascii="宋体" w:hAnsi="宋体" w:cs="宋体"/>
                <w:color w:val="000000" w:themeColor="text1"/>
                <w:szCs w:val="21"/>
                <w:highlight w:val="none"/>
                <w14:textFill>
                  <w14:solidFill>
                    <w14:schemeClr w14:val="tx1"/>
                  </w14:solidFill>
                </w14:textFill>
              </w:rPr>
              <w:t>6.3</w:t>
            </w:r>
          </w:p>
        </w:tc>
        <w:tc>
          <w:tcPr>
            <w:tcW w:w="7912" w:type="dxa"/>
            <w:noWrap w:val="0"/>
            <w:vAlign w:val="center"/>
          </w:tcPr>
          <w:p w14:paraId="0B50FEAD">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商务要求评审中允许负偏离的条款数为</w:t>
            </w:r>
            <w:r>
              <w:rPr>
                <w:rFonts w:hint="eastAsia" w:ascii="宋体" w:hAnsi="宋体" w:cs="宋体"/>
                <w:color w:val="000000" w:themeColor="text1"/>
                <w:szCs w:val="21"/>
                <w:highlight w:val="none"/>
                <w:u w:val="single"/>
                <w14:textFill>
                  <w14:solidFill>
                    <w14:schemeClr w14:val="tx1"/>
                  </w14:solidFill>
                </w14:textFill>
              </w:rPr>
              <w:t>0</w:t>
            </w:r>
            <w:r>
              <w:rPr>
                <w:rFonts w:hint="eastAsia" w:ascii="宋体" w:hAnsi="宋体" w:cs="宋体"/>
                <w:color w:val="000000" w:themeColor="text1"/>
                <w:szCs w:val="21"/>
                <w:highlight w:val="none"/>
                <w14:textFill>
                  <w14:solidFill>
                    <w14:schemeClr w14:val="tx1"/>
                  </w14:solidFill>
                </w14:textFill>
              </w:rPr>
              <w:t>项。</w:t>
            </w:r>
          </w:p>
          <w:p w14:paraId="3D46E02E">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技术要求评审中允许负偏离的条款数为</w:t>
            </w:r>
            <w:r>
              <w:rPr>
                <w:rFonts w:hint="eastAsia" w:ascii="宋体" w:hAnsi="宋体" w:cs="宋体"/>
                <w:color w:val="000000" w:themeColor="text1"/>
                <w:szCs w:val="21"/>
                <w:highlight w:val="none"/>
                <w:u w:val="single"/>
                <w14:textFill>
                  <w14:solidFill>
                    <w14:schemeClr w14:val="tx1"/>
                  </w14:solidFill>
                </w14:textFill>
              </w:rPr>
              <w:t>0</w:t>
            </w:r>
            <w:r>
              <w:rPr>
                <w:rFonts w:hint="eastAsia" w:ascii="宋体" w:hAnsi="宋体" w:cs="宋体"/>
                <w:color w:val="000000" w:themeColor="text1"/>
                <w:szCs w:val="21"/>
                <w:highlight w:val="none"/>
                <w14:textFill>
                  <w14:solidFill>
                    <w14:schemeClr w14:val="tx1"/>
                  </w14:solidFill>
                </w14:textFill>
              </w:rPr>
              <w:t>项。</w:t>
            </w:r>
          </w:p>
        </w:tc>
      </w:tr>
      <w:tr w14:paraId="35E79E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EE9C001">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28.1</w:t>
            </w:r>
          </w:p>
        </w:tc>
        <w:tc>
          <w:tcPr>
            <w:tcW w:w="7912" w:type="dxa"/>
            <w:noWrap w:val="0"/>
            <w:vAlign w:val="center"/>
          </w:tcPr>
          <w:p w14:paraId="1877E299">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☑本项目不收取履约保证金。</w:t>
            </w:r>
          </w:p>
        </w:tc>
      </w:tr>
      <w:tr w14:paraId="6B5F49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17D27543">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29.1</w:t>
            </w:r>
          </w:p>
        </w:tc>
        <w:tc>
          <w:tcPr>
            <w:tcW w:w="7912" w:type="dxa"/>
            <w:noWrap w:val="0"/>
            <w:vAlign w:val="center"/>
          </w:tcPr>
          <w:p w14:paraId="7FE93D77">
            <w:pPr>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签订合同携带的证明材料： </w:t>
            </w:r>
          </w:p>
          <w:p w14:paraId="31E7EBED">
            <w:pPr>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委托代理人负责签订合同的，须携带授权委托书及委托代理人身份证原件等其他资格证件。</w:t>
            </w:r>
          </w:p>
          <w:p w14:paraId="2952B9F1">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法定代表人负责签订合同的，须携带法定代表人</w:t>
            </w:r>
            <w:r>
              <w:rPr>
                <w:rFonts w:ascii="宋体" w:hAnsi="宋体"/>
                <w:color w:val="000000" w:themeColor="text1"/>
                <w:szCs w:val="21"/>
                <w:highlight w:val="none"/>
                <w14:textFill>
                  <w14:solidFill>
                    <w14:schemeClr w14:val="tx1"/>
                  </w14:solidFill>
                </w14:textFill>
              </w:rPr>
              <w:t>身份证明原件</w:t>
            </w:r>
            <w:r>
              <w:rPr>
                <w:rFonts w:hint="eastAsia" w:ascii="宋体" w:hAnsi="宋体"/>
                <w:color w:val="000000" w:themeColor="text1"/>
                <w:szCs w:val="21"/>
                <w:highlight w:val="none"/>
                <w14:textFill>
                  <w14:solidFill>
                    <w14:schemeClr w14:val="tx1"/>
                  </w14:solidFill>
                </w14:textFill>
              </w:rPr>
              <w:t>及</w:t>
            </w:r>
            <w:r>
              <w:rPr>
                <w:rFonts w:ascii="宋体" w:hAnsi="宋体"/>
                <w:color w:val="000000" w:themeColor="text1"/>
                <w:szCs w:val="21"/>
                <w:highlight w:val="none"/>
                <w14:textFill>
                  <w14:solidFill>
                    <w14:schemeClr w14:val="tx1"/>
                  </w14:solidFill>
                </w14:textFill>
              </w:rPr>
              <w:t>身份证原件</w:t>
            </w:r>
            <w:r>
              <w:rPr>
                <w:rFonts w:hint="eastAsia" w:ascii="宋体" w:hAnsi="宋体"/>
                <w:color w:val="000000" w:themeColor="text1"/>
                <w:szCs w:val="21"/>
                <w:highlight w:val="none"/>
                <w14:textFill>
                  <w14:solidFill>
                    <w14:schemeClr w14:val="tx1"/>
                  </w14:solidFill>
                </w14:textFill>
              </w:rPr>
              <w:t>等其他证明材料。</w:t>
            </w:r>
          </w:p>
        </w:tc>
      </w:tr>
      <w:tr w14:paraId="39C876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495789AF">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ascii="宋体" w:hAnsi="宋体" w:cs="宋体"/>
                <w:color w:val="000000" w:themeColor="text1"/>
                <w:szCs w:val="21"/>
                <w:highlight w:val="none"/>
                <w14:textFill>
                  <w14:solidFill>
                    <w14:schemeClr w14:val="tx1"/>
                  </w14:solidFill>
                </w14:textFill>
              </w:rPr>
              <w:t>1.2</w:t>
            </w:r>
          </w:p>
        </w:tc>
        <w:tc>
          <w:tcPr>
            <w:tcW w:w="7912" w:type="dxa"/>
            <w:noWrap w:val="0"/>
            <w:vAlign w:val="center"/>
          </w:tcPr>
          <w:p w14:paraId="3E49E42D">
            <w:pPr>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接收质疑函方式：以书面形式</w:t>
            </w:r>
          </w:p>
          <w:p w14:paraId="33C377E0">
            <w:pPr>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质疑联系部门：云之龙咨询集团有限公司招标部</w:t>
            </w:r>
          </w:p>
          <w:p w14:paraId="6CDAAAEF">
            <w:pPr>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联系电话：0775-4565100</w:t>
            </w:r>
          </w:p>
          <w:p w14:paraId="1BDC7582">
            <w:pPr>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通讯地址：广西贵港市港北区荷城路1132号华泰官邸1栋6楼</w:t>
            </w:r>
          </w:p>
          <w:p w14:paraId="7394B83E">
            <w:pPr>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业务时间：工作日每天上午8时00分到12时00分，下午3时00分到6时00分。</w:t>
            </w:r>
          </w:p>
        </w:tc>
      </w:tr>
      <w:tr w14:paraId="09AFB2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11F18CBE">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32.1</w:t>
            </w:r>
          </w:p>
        </w:tc>
        <w:tc>
          <w:tcPr>
            <w:tcW w:w="7912" w:type="dxa"/>
            <w:noWrap w:val="0"/>
            <w:vAlign w:val="center"/>
          </w:tcPr>
          <w:p w14:paraId="7AB1013A">
            <w:pPr>
              <w:pStyle w:val="24"/>
              <w:spacing w:line="360" w:lineRule="auto"/>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1.采购代理费收取方式：</w:t>
            </w:r>
          </w:p>
          <w:p w14:paraId="738914B7">
            <w:pPr>
              <w:pStyle w:val="24"/>
              <w:spacing w:line="360" w:lineRule="auto"/>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☑本项目代理服务费由成交供应商向采购代理机构支付。</w:t>
            </w:r>
          </w:p>
          <w:p w14:paraId="6CEC9A0D">
            <w:pPr>
              <w:pStyle w:val="24"/>
              <w:spacing w:line="360" w:lineRule="auto"/>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□采购人支付。</w:t>
            </w:r>
          </w:p>
          <w:p w14:paraId="4BDEE261">
            <w:pPr>
              <w:pStyle w:val="24"/>
              <w:spacing w:line="360" w:lineRule="auto"/>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2.采购代理费收取标准：</w:t>
            </w:r>
          </w:p>
          <w:p w14:paraId="409F6E3E">
            <w:pPr>
              <w:pStyle w:val="24"/>
              <w:spacing w:line="360" w:lineRule="auto"/>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☑根据发改价格〔2015〕299号文，按固定金额收费标准，具体金额：人民币</w:t>
            </w:r>
            <w:r>
              <w:rPr>
                <w:rFonts w:hint="eastAsia" w:hAnsi="宋体" w:cs="宋体"/>
                <w:color w:val="000000" w:themeColor="text1"/>
                <w:sz w:val="21"/>
                <w:highlight w:val="none"/>
                <w:lang w:eastAsia="zh-CN"/>
                <w14:textFill>
                  <w14:solidFill>
                    <w14:schemeClr w14:val="tx1"/>
                  </w14:solidFill>
                </w14:textFill>
              </w:rPr>
              <w:t>捌仟</w:t>
            </w:r>
            <w:r>
              <w:rPr>
                <w:rFonts w:hint="eastAsia" w:hAnsi="宋体" w:cs="宋体"/>
                <w:color w:val="000000" w:themeColor="text1"/>
                <w:sz w:val="21"/>
                <w:highlight w:val="none"/>
                <w14:textFill>
                  <w14:solidFill>
                    <w14:schemeClr w14:val="tx1"/>
                  </w14:solidFill>
                </w14:textFill>
              </w:rPr>
              <w:t>元整(¥</w:t>
            </w:r>
            <w:r>
              <w:rPr>
                <w:rFonts w:hint="eastAsia" w:hAnsi="宋体" w:cs="宋体"/>
                <w:color w:val="000000" w:themeColor="text1"/>
                <w:sz w:val="21"/>
                <w:highlight w:val="none"/>
                <w:lang w:val="en-US" w:eastAsia="zh-CN"/>
                <w14:textFill>
                  <w14:solidFill>
                    <w14:schemeClr w14:val="tx1"/>
                  </w14:solidFill>
                </w14:textFill>
              </w:rPr>
              <w:t>8000</w:t>
            </w:r>
            <w:r>
              <w:rPr>
                <w:rFonts w:hint="eastAsia" w:hAnsi="宋体" w:cs="宋体"/>
                <w:color w:val="000000" w:themeColor="text1"/>
                <w:sz w:val="21"/>
                <w:highlight w:val="none"/>
                <w14:textFill>
                  <w14:solidFill>
                    <w14:schemeClr w14:val="tx1"/>
                  </w14:solidFill>
                </w14:textFill>
              </w:rPr>
              <w:t>.00)。</w:t>
            </w:r>
          </w:p>
          <w:p w14:paraId="3F55138B">
            <w:pPr>
              <w:pStyle w:val="24"/>
              <w:spacing w:line="360" w:lineRule="auto"/>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3. 采购代理费收取银行账户</w:t>
            </w:r>
          </w:p>
          <w:p w14:paraId="3DDB9F3A">
            <w:pPr>
              <w:pStyle w:val="24"/>
              <w:spacing w:line="360" w:lineRule="auto"/>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单位名称：云之龙咨询集团有限公司贵港分公司  </w:t>
            </w:r>
          </w:p>
          <w:p w14:paraId="2D7844D8">
            <w:pPr>
              <w:pStyle w:val="24"/>
              <w:spacing w:line="360" w:lineRule="auto"/>
              <w:rPr>
                <w:rFonts w:hint="eastAsia" w:hAnsi="宋体" w:eastAsia="宋体" w:cs="宋体"/>
                <w:color w:val="000000" w:themeColor="text1"/>
                <w:sz w:val="21"/>
                <w:highlight w:val="none"/>
                <w:lang w:eastAsia="zh-CN"/>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开户银行：</w:t>
            </w:r>
            <w:r>
              <w:rPr>
                <w:rFonts w:hint="eastAsia" w:hAnsi="宋体" w:cs="宋体"/>
                <w:color w:val="000000" w:themeColor="text1"/>
                <w:sz w:val="21"/>
                <w:highlight w:val="none"/>
                <w:lang w:eastAsia="zh-CN"/>
                <w14:textFill>
                  <w14:solidFill>
                    <w14:schemeClr w14:val="tx1"/>
                  </w14:solidFill>
                </w14:textFill>
              </w:rPr>
              <w:t>中信银行股份有限公司南宁园湖支行</w:t>
            </w:r>
          </w:p>
          <w:p w14:paraId="79F5E4F6">
            <w:pPr>
              <w:pStyle w:val="24"/>
              <w:spacing w:line="360" w:lineRule="auto"/>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银行账号：8113001015100158012</w:t>
            </w:r>
          </w:p>
          <w:p w14:paraId="695DB10B">
            <w:pPr>
              <w:pStyle w:val="24"/>
              <w:spacing w:line="360" w:lineRule="auto"/>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行号：302611029137</w:t>
            </w:r>
          </w:p>
        </w:tc>
      </w:tr>
      <w:tr w14:paraId="31FD99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0E7EDD46">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ascii="宋体" w:hAnsi="宋体" w:cs="宋体"/>
                <w:color w:val="000000" w:themeColor="text1"/>
                <w:szCs w:val="21"/>
                <w:highlight w:val="none"/>
                <w14:textFill>
                  <w14:solidFill>
                    <w14:schemeClr w14:val="tx1"/>
                  </w14:solidFill>
                </w14:textFill>
              </w:rPr>
              <w:t>3.1</w:t>
            </w:r>
          </w:p>
        </w:tc>
        <w:tc>
          <w:tcPr>
            <w:tcW w:w="7912" w:type="dxa"/>
            <w:noWrap w:val="0"/>
            <w:vAlign w:val="center"/>
          </w:tcPr>
          <w:p w14:paraId="33FB9209">
            <w:pPr>
              <w:pStyle w:val="24"/>
              <w:spacing w:line="360" w:lineRule="auto"/>
              <w:rPr>
                <w:rFonts w:hint="eastAsia" w:hAnsi="宋体" w:cs="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解释：</w:t>
            </w:r>
            <w:r>
              <w:rPr>
                <w:rFonts w:hAnsi="宋体"/>
                <w:color w:val="000000" w:themeColor="text1"/>
                <w:sz w:val="21"/>
                <w:highlight w:val="none"/>
                <w14:textFill>
                  <w14:solidFill>
                    <w14:schemeClr w14:val="tx1"/>
                  </w14:solidFill>
                </w14:textFill>
              </w:rPr>
              <w:t>构成本</w:t>
            </w:r>
            <w:r>
              <w:rPr>
                <w:rFonts w:hint="eastAsia" w:hAnsi="宋体"/>
                <w:color w:val="000000" w:themeColor="text1"/>
                <w:sz w:val="21"/>
                <w:highlight w:val="none"/>
                <w14:textFill>
                  <w14:solidFill>
                    <w14:schemeClr w14:val="tx1"/>
                  </w14:solidFill>
                </w14:textFill>
              </w:rPr>
              <w:t>磋商文件</w:t>
            </w:r>
            <w:r>
              <w:rPr>
                <w:rFonts w:hAnsi="宋体"/>
                <w:color w:val="000000" w:themeColor="text1"/>
                <w:sz w:val="21"/>
                <w:highlight w:val="none"/>
                <w14:textFill>
                  <w14:solidFill>
                    <w14:schemeClr w14:val="tx1"/>
                  </w14:solidFill>
                </w14:textFill>
              </w:rPr>
              <w:t>的各个组成文件应互为解释，互为说明；除</w:t>
            </w:r>
            <w:r>
              <w:rPr>
                <w:rFonts w:hint="eastAsia" w:hAnsi="宋体"/>
                <w:color w:val="000000" w:themeColor="text1"/>
                <w:sz w:val="21"/>
                <w:highlight w:val="none"/>
                <w14:textFill>
                  <w14:solidFill>
                    <w14:schemeClr w14:val="tx1"/>
                  </w14:solidFill>
                </w14:textFill>
              </w:rPr>
              <w:t>磋商文件</w:t>
            </w:r>
            <w:r>
              <w:rPr>
                <w:rFonts w:hAnsi="宋体"/>
                <w:color w:val="000000" w:themeColor="text1"/>
                <w:sz w:val="21"/>
                <w:highlight w:val="none"/>
                <w14:textFill>
                  <w14:solidFill>
                    <w14:schemeClr w14:val="tx1"/>
                  </w14:solidFill>
                </w14:textFill>
              </w:rPr>
              <w:t>中有特别规定外，仅适用于</w:t>
            </w:r>
            <w:r>
              <w:rPr>
                <w:rFonts w:hint="eastAsia" w:hAnsi="宋体"/>
                <w:color w:val="000000" w:themeColor="text1"/>
                <w:sz w:val="21"/>
                <w:highlight w:val="none"/>
                <w14:textFill>
                  <w14:solidFill>
                    <w14:schemeClr w14:val="tx1"/>
                  </w14:solidFill>
                </w14:textFill>
              </w:rPr>
              <w:t>竞标</w:t>
            </w:r>
            <w:r>
              <w:rPr>
                <w:rFonts w:hAnsi="宋体"/>
                <w:color w:val="000000" w:themeColor="text1"/>
                <w:sz w:val="21"/>
                <w:highlight w:val="none"/>
                <w14:textFill>
                  <w14:solidFill>
                    <w14:schemeClr w14:val="tx1"/>
                  </w14:solidFill>
                </w14:textFill>
              </w:rPr>
              <w:t>阶段的规定，按</w:t>
            </w:r>
            <w:r>
              <w:rPr>
                <w:rFonts w:hint="eastAsia" w:hAnsi="宋体"/>
                <w:color w:val="000000" w:themeColor="text1"/>
                <w:sz w:val="21"/>
                <w:highlight w:val="none"/>
                <w14:textFill>
                  <w14:solidFill>
                    <w14:schemeClr w14:val="tx1"/>
                  </w14:solidFill>
                </w14:textFill>
              </w:rPr>
              <w:t>更正公告（澄清公告）</w:t>
            </w:r>
            <w:r>
              <w:rPr>
                <w:rFonts w:hAnsi="宋体"/>
                <w:color w:val="000000" w:themeColor="text1"/>
                <w:sz w:val="21"/>
                <w:highlight w:val="none"/>
                <w14:textFill>
                  <w14:solidFill>
                    <w14:schemeClr w14:val="tx1"/>
                  </w14:solidFill>
                </w14:textFill>
              </w:rPr>
              <w:t>、</w:t>
            </w:r>
            <w:r>
              <w:rPr>
                <w:rFonts w:hint="eastAsia" w:hAnsi="宋体"/>
                <w:color w:val="000000" w:themeColor="text1"/>
                <w:sz w:val="21"/>
                <w:highlight w:val="none"/>
                <w14:textFill>
                  <w14:solidFill>
                    <w14:schemeClr w14:val="tx1"/>
                  </w14:solidFill>
                </w14:textFill>
              </w:rPr>
              <w:t>竞争性磋商</w:t>
            </w:r>
            <w:r>
              <w:rPr>
                <w:rFonts w:hAnsi="宋体"/>
                <w:color w:val="000000" w:themeColor="text1"/>
                <w:sz w:val="21"/>
                <w:highlight w:val="none"/>
                <w14:textFill>
                  <w14:solidFill>
                    <w14:schemeClr w14:val="tx1"/>
                  </w14:solidFill>
                </w14:textFill>
              </w:rPr>
              <w:t>公告、</w:t>
            </w:r>
            <w:r>
              <w:rPr>
                <w:rFonts w:hint="eastAsia" w:hAnsi="宋体"/>
                <w:color w:val="000000" w:themeColor="text1"/>
                <w:sz w:val="21"/>
                <w:highlight w:val="none"/>
                <w14:textFill>
                  <w14:solidFill>
                    <w14:schemeClr w14:val="tx1"/>
                  </w14:solidFill>
                </w14:textFill>
              </w:rPr>
              <w:t>供应商</w:t>
            </w:r>
            <w:r>
              <w:rPr>
                <w:rFonts w:hAnsi="宋体"/>
                <w:color w:val="000000" w:themeColor="text1"/>
                <w:sz w:val="21"/>
                <w:highlight w:val="none"/>
                <w14:textFill>
                  <w14:solidFill>
                    <w14:schemeClr w14:val="tx1"/>
                  </w14:solidFill>
                </w14:textFill>
              </w:rPr>
              <w:t>须知</w:t>
            </w:r>
            <w:r>
              <w:rPr>
                <w:rFonts w:hint="eastAsia" w:hAnsi="宋体"/>
                <w:color w:val="000000" w:themeColor="text1"/>
                <w:sz w:val="21"/>
                <w:highlight w:val="none"/>
                <w14:textFill>
                  <w14:solidFill>
                    <w14:schemeClr w14:val="tx1"/>
                  </w14:solidFill>
                </w14:textFill>
              </w:rPr>
              <w:t>、采购需求</w:t>
            </w:r>
            <w:r>
              <w:rPr>
                <w:rFonts w:hAnsi="宋体"/>
                <w:color w:val="000000" w:themeColor="text1"/>
                <w:sz w:val="21"/>
                <w:highlight w:val="none"/>
                <w14:textFill>
                  <w14:solidFill>
                    <w14:schemeClr w14:val="tx1"/>
                  </w14:solidFill>
                </w14:textFill>
              </w:rPr>
              <w:t>、</w:t>
            </w:r>
            <w:r>
              <w:rPr>
                <w:rFonts w:hint="eastAsia"/>
                <w:color w:val="000000" w:themeColor="text1"/>
                <w:sz w:val="21"/>
                <w:highlight w:val="none"/>
                <w14:textFill>
                  <w14:solidFill>
                    <w14:schemeClr w14:val="tx1"/>
                  </w14:solidFill>
                </w14:textFill>
              </w:rPr>
              <w:t>评审程序、评审方法和评审标准</w:t>
            </w:r>
            <w:r>
              <w:rPr>
                <w:rFonts w:hAnsi="宋体"/>
                <w:color w:val="000000" w:themeColor="text1"/>
                <w:sz w:val="21"/>
                <w:highlight w:val="none"/>
                <w14:textFill>
                  <w14:solidFill>
                    <w14:schemeClr w14:val="tx1"/>
                  </w14:solidFill>
                </w14:textFill>
              </w:rPr>
              <w:t>、</w:t>
            </w:r>
            <w:r>
              <w:rPr>
                <w:rFonts w:hint="eastAsia" w:hAnsi="宋体"/>
                <w:color w:val="000000" w:themeColor="text1"/>
                <w:sz w:val="21"/>
                <w:highlight w:val="none"/>
                <w14:textFill>
                  <w14:solidFill>
                    <w14:schemeClr w14:val="tx1"/>
                  </w14:solidFill>
                </w14:textFill>
              </w:rPr>
              <w:t>响应</w:t>
            </w:r>
            <w:r>
              <w:rPr>
                <w:rFonts w:hAnsi="宋体"/>
                <w:color w:val="000000" w:themeColor="text1"/>
                <w:sz w:val="21"/>
                <w:highlight w:val="none"/>
                <w14:textFill>
                  <w14:solidFill>
                    <w14:schemeClr w14:val="tx1"/>
                  </w14:solidFill>
                </w14:textFill>
              </w:rPr>
              <w:t>文件格式</w:t>
            </w:r>
            <w:r>
              <w:rPr>
                <w:rFonts w:hint="eastAsia" w:hAnsi="宋体"/>
                <w:color w:val="000000" w:themeColor="text1"/>
                <w:sz w:val="21"/>
                <w:highlight w:val="none"/>
                <w14:textFill>
                  <w14:solidFill>
                    <w14:schemeClr w14:val="tx1"/>
                  </w14:solidFill>
                </w14:textFill>
              </w:rPr>
              <w:t>、合同文本</w:t>
            </w:r>
            <w:r>
              <w:rPr>
                <w:rFonts w:hAnsi="宋体"/>
                <w:color w:val="000000" w:themeColor="text1"/>
                <w:sz w:val="21"/>
                <w:highlight w:val="none"/>
                <w14:textFill>
                  <w14:solidFill>
                    <w14:schemeClr w14:val="tx1"/>
                  </w14:solidFill>
                </w14:textFill>
              </w:rPr>
              <w:t>的先后顺序解释；同一组成文件中就同一事项的规定或者约定不一致的，以编排顺序在后者为准；同一组成文件不同版本之间有不一致的，以形成时间在后者为准；</w:t>
            </w:r>
            <w:r>
              <w:rPr>
                <w:rFonts w:hint="eastAsia" w:hAnsi="宋体"/>
                <w:color w:val="000000" w:themeColor="text1"/>
                <w:sz w:val="21"/>
                <w:highlight w:val="none"/>
                <w14:textFill>
                  <w14:solidFill>
                    <w14:schemeClr w14:val="tx1"/>
                  </w14:solidFill>
                </w14:textFill>
              </w:rPr>
              <w:t>更正公告（澄清公告）</w:t>
            </w:r>
            <w:r>
              <w:rPr>
                <w:rFonts w:hAnsi="宋体"/>
                <w:color w:val="000000" w:themeColor="text1"/>
                <w:sz w:val="21"/>
                <w:highlight w:val="none"/>
                <w14:textFill>
                  <w14:solidFill>
                    <w14:schemeClr w14:val="tx1"/>
                  </w14:solidFill>
                </w14:textFill>
              </w:rPr>
              <w:t>与同步更新的</w:t>
            </w:r>
            <w:r>
              <w:rPr>
                <w:rFonts w:hint="eastAsia" w:hAnsi="宋体"/>
                <w:color w:val="000000" w:themeColor="text1"/>
                <w:sz w:val="21"/>
                <w:highlight w:val="none"/>
                <w14:textFill>
                  <w14:solidFill>
                    <w14:schemeClr w14:val="tx1"/>
                  </w14:solidFill>
                </w14:textFill>
              </w:rPr>
              <w:t>磋商文件</w:t>
            </w:r>
            <w:r>
              <w:rPr>
                <w:rFonts w:hAnsi="宋体"/>
                <w:color w:val="000000" w:themeColor="text1"/>
                <w:sz w:val="21"/>
                <w:highlight w:val="none"/>
                <w14:textFill>
                  <w14:solidFill>
                    <w14:schemeClr w14:val="tx1"/>
                  </w14:solidFill>
                </w14:textFill>
              </w:rPr>
              <w:t>不一致时以</w:t>
            </w:r>
            <w:r>
              <w:rPr>
                <w:rFonts w:hint="eastAsia" w:hAnsi="宋体"/>
                <w:color w:val="000000" w:themeColor="text1"/>
                <w:sz w:val="21"/>
                <w:highlight w:val="none"/>
                <w14:textFill>
                  <w14:solidFill>
                    <w14:schemeClr w14:val="tx1"/>
                  </w14:solidFill>
                </w14:textFill>
              </w:rPr>
              <w:t>更正公告（澄清公告）</w:t>
            </w:r>
            <w:r>
              <w:rPr>
                <w:rFonts w:hAnsi="宋体"/>
                <w:color w:val="000000" w:themeColor="text1"/>
                <w:sz w:val="21"/>
                <w:highlight w:val="none"/>
                <w14:textFill>
                  <w14:solidFill>
                    <w14:schemeClr w14:val="tx1"/>
                  </w14:solidFill>
                </w14:textFill>
              </w:rPr>
              <w:t>为准。按本款前述规定仍不能形成结论的，由</w:t>
            </w:r>
            <w:r>
              <w:rPr>
                <w:rFonts w:hint="eastAsia" w:hAnsi="宋体"/>
                <w:color w:val="000000" w:themeColor="text1"/>
                <w:sz w:val="21"/>
                <w:highlight w:val="none"/>
                <w14:textFill>
                  <w14:solidFill>
                    <w14:schemeClr w14:val="tx1"/>
                  </w14:solidFill>
                </w14:textFill>
              </w:rPr>
              <w:t>采购</w:t>
            </w:r>
            <w:r>
              <w:rPr>
                <w:rFonts w:hAnsi="宋体"/>
                <w:color w:val="000000" w:themeColor="text1"/>
                <w:sz w:val="21"/>
                <w:highlight w:val="none"/>
                <w14:textFill>
                  <w14:solidFill>
                    <w14:schemeClr w14:val="tx1"/>
                  </w14:solidFill>
                </w14:textFill>
              </w:rPr>
              <w:t>人</w:t>
            </w:r>
            <w:r>
              <w:rPr>
                <w:rFonts w:hint="eastAsia" w:hAnsi="宋体"/>
                <w:color w:val="000000" w:themeColor="text1"/>
                <w:sz w:val="21"/>
                <w:highlight w:val="none"/>
                <w14:textFill>
                  <w14:solidFill>
                    <w14:schemeClr w14:val="tx1"/>
                  </w14:solidFill>
                </w14:textFill>
              </w:rPr>
              <w:t>或者采购代理机构</w:t>
            </w:r>
            <w:r>
              <w:rPr>
                <w:rFonts w:hAnsi="宋体"/>
                <w:color w:val="000000" w:themeColor="text1"/>
                <w:sz w:val="21"/>
                <w:highlight w:val="none"/>
                <w14:textFill>
                  <w14:solidFill>
                    <w14:schemeClr w14:val="tx1"/>
                  </w14:solidFill>
                </w14:textFill>
              </w:rPr>
              <w:t>负责解释。</w:t>
            </w:r>
          </w:p>
        </w:tc>
      </w:tr>
      <w:tr w14:paraId="627569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7FF0BCD2">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33.2</w:t>
            </w:r>
          </w:p>
        </w:tc>
        <w:tc>
          <w:tcPr>
            <w:tcW w:w="7912" w:type="dxa"/>
            <w:noWrap w:val="0"/>
            <w:vAlign w:val="center"/>
          </w:tcPr>
          <w:p w14:paraId="5188BE6C">
            <w:pPr>
              <w:pStyle w:val="24"/>
              <w:spacing w:line="360" w:lineRule="auto"/>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农民工工资保证金：按照《保障农民工工资支付条例》及《广西壮族自治区人力资源和社会保障厅等8部门关于印发广西壮族自治区工程建设领域农民工工资专用账户管理暂行办法实施细则的通知》（桂人社规〔2022〕5号）有关规定执行。如开设了农民工工资专用账户的，应按规定比例足额将农民工工资保证金存入</w:t>
            </w:r>
            <w:r>
              <w:rPr>
                <w:rFonts w:hint="eastAsia" w:hAnsi="宋体"/>
                <w:color w:val="000000" w:themeColor="text1"/>
                <w:sz w:val="21"/>
                <w:highlight w:val="none"/>
                <w:lang w:eastAsia="zh-CN"/>
                <w14:textFill>
                  <w14:solidFill>
                    <w14:schemeClr w14:val="tx1"/>
                  </w14:solidFill>
                </w14:textFill>
              </w:rPr>
              <w:t>账</w:t>
            </w:r>
            <w:r>
              <w:rPr>
                <w:rFonts w:hint="eastAsia" w:hAnsi="宋体"/>
                <w:color w:val="000000" w:themeColor="text1"/>
                <w:sz w:val="21"/>
                <w:highlight w:val="none"/>
                <w14:textFill>
                  <w14:solidFill>
                    <w14:schemeClr w14:val="tx1"/>
                  </w14:solidFill>
                </w14:textFill>
              </w:rPr>
              <w:t>户，也可以使用银行保函。工程竣工验收结算经审定后，按照规定程序，将农民工工资保证金没有使用或剩余的金额退还给承包人。</w:t>
            </w:r>
          </w:p>
        </w:tc>
      </w:tr>
      <w:tr w14:paraId="225526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7F081866">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3</w:t>
            </w:r>
          </w:p>
        </w:tc>
        <w:tc>
          <w:tcPr>
            <w:tcW w:w="7912" w:type="dxa"/>
            <w:noWrap w:val="0"/>
            <w:vAlign w:val="center"/>
          </w:tcPr>
          <w:p w14:paraId="749CF56A">
            <w:pPr>
              <w:pStyle w:val="24"/>
              <w:spacing w:line="360" w:lineRule="auto"/>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447FE728">
            <w:pPr>
              <w:pStyle w:val="24"/>
              <w:spacing w:line="360" w:lineRule="auto"/>
              <w:rPr>
                <w:rFonts w:hint="eastAsia" w:hAnsi="宋体" w:cs="宋体"/>
                <w:color w:val="000000" w:themeColor="text1"/>
                <w:sz w:val="21"/>
                <w:highlight w:val="none"/>
                <w14:textFill>
                  <w14:solidFill>
                    <w14:schemeClr w14:val="tx1"/>
                  </w14:solidFill>
                </w14:textFill>
              </w:rPr>
            </w:pPr>
            <w:r>
              <w:rPr>
                <w:rFonts w:hint="eastAsia" w:hAnsi="宋体" w:cs="宋体"/>
                <w:bCs/>
                <w:color w:val="000000" w:themeColor="text1"/>
                <w:sz w:val="21"/>
                <w:highlight w:val="none"/>
                <w14:textFill>
                  <w14:solidFill>
                    <w14:schemeClr w14:val="tx1"/>
                  </w14:solidFill>
                </w14:textFill>
              </w:rPr>
              <w:t>2.本磋商文件所称的“</w:t>
            </w:r>
            <w:r>
              <w:rPr>
                <w:rFonts w:hint="eastAsia" w:hAnsi="宋体"/>
                <w:color w:val="000000" w:themeColor="text1"/>
                <w:sz w:val="21"/>
                <w:highlight w:val="none"/>
                <w14:textFill>
                  <w14:solidFill>
                    <w14:schemeClr w14:val="tx1"/>
                  </w14:solidFill>
                </w14:textFill>
              </w:rPr>
              <w:t>电子签章</w:t>
            </w:r>
            <w:r>
              <w:rPr>
                <w:rFonts w:hint="eastAsia" w:hAnsi="宋体" w:cs="宋体"/>
                <w:bCs/>
                <w:color w:val="000000" w:themeColor="text1"/>
                <w:sz w:val="21"/>
                <w:highlight w:val="none"/>
                <w14:textFill>
                  <w14:solidFill>
                    <w14:schemeClr w14:val="tx1"/>
                  </w14:solidFill>
                </w14:textFill>
              </w:rPr>
              <w:t>”、“电子签名”</w:t>
            </w:r>
            <w:r>
              <w:rPr>
                <w:rFonts w:hint="eastAsia" w:hAnsi="宋体"/>
                <w:color w:val="000000" w:themeColor="text1"/>
                <w:sz w:val="21"/>
                <w:highlight w:val="none"/>
                <w14:textFill>
                  <w14:solidFill>
                    <w14:schemeClr w14:val="tx1"/>
                  </w14:solidFill>
                </w14:textFill>
              </w:rPr>
              <w:t>，是指经广西政府采购云平台认可的CA认证的电子签名数据为表现形式的印章，可用于签署电子响应文件，电子印章与实物印章具有同等法律效力，不因其采用电子化表现形式而否定其法律效力。</w:t>
            </w:r>
          </w:p>
          <w:p w14:paraId="79D3C8E9">
            <w:pPr>
              <w:pStyle w:val="24"/>
              <w:spacing w:line="360" w:lineRule="auto"/>
              <w:rPr>
                <w:rFonts w:hint="eastAsia" w:hAnsi="宋体" w:cs="宋体"/>
                <w:bCs/>
                <w:color w:val="000000" w:themeColor="text1"/>
                <w:sz w:val="21"/>
                <w:highlight w:val="none"/>
                <w14:textFill>
                  <w14:solidFill>
                    <w14:schemeClr w14:val="tx1"/>
                  </w14:solidFill>
                </w14:textFill>
              </w:rPr>
            </w:pPr>
            <w:r>
              <w:rPr>
                <w:rFonts w:hAnsi="宋体" w:cs="宋体"/>
                <w:color w:val="000000" w:themeColor="text1"/>
                <w:sz w:val="21"/>
                <w:highlight w:val="none"/>
                <w14:textFill>
                  <w14:solidFill>
                    <w14:schemeClr w14:val="tx1"/>
                  </w14:solidFill>
                </w14:textFill>
              </w:rPr>
              <w:t>3</w:t>
            </w:r>
            <w:r>
              <w:rPr>
                <w:rFonts w:hint="eastAsia" w:hAnsi="宋体" w:cs="宋体"/>
                <w:color w:val="000000" w:themeColor="text1"/>
                <w:sz w:val="21"/>
                <w:highlight w:val="none"/>
                <w14:textFill>
                  <w14:solidFill>
                    <w14:schemeClr w14:val="tx1"/>
                  </w14:solidFill>
                </w14:textFill>
              </w:rPr>
              <w:t>.供应商为其他组织时，本磋商文件规定的法定代表人指负责人。本磋商文件所称负责人是指参加竞标的其他组织</w:t>
            </w:r>
            <w:r>
              <w:rPr>
                <w:rFonts w:hint="eastAsia" w:hAnsi="宋体" w:cs="宋体"/>
                <w:bCs/>
                <w:color w:val="000000" w:themeColor="text1"/>
                <w:sz w:val="21"/>
                <w:highlight w:val="none"/>
                <w14:textFill>
                  <w14:solidFill>
                    <w14:schemeClr w14:val="tx1"/>
                  </w14:solidFill>
                </w14:textFill>
              </w:rPr>
              <w:t>营业执照或者执业许可证等证照上的</w:t>
            </w:r>
            <w:r>
              <w:rPr>
                <w:rFonts w:hint="eastAsia" w:hAnsi="宋体" w:cs="宋体"/>
                <w:color w:val="000000" w:themeColor="text1"/>
                <w:sz w:val="21"/>
                <w:highlight w:val="none"/>
                <w14:textFill>
                  <w14:solidFill>
                    <w14:schemeClr w14:val="tx1"/>
                  </w14:solidFill>
                </w14:textFill>
              </w:rPr>
              <w:t>负责人</w:t>
            </w:r>
            <w:r>
              <w:rPr>
                <w:rFonts w:hint="eastAsia" w:hAnsi="宋体" w:cs="宋体"/>
                <w:bCs/>
                <w:color w:val="000000" w:themeColor="text1"/>
                <w:sz w:val="21"/>
                <w:highlight w:val="none"/>
                <w14:textFill>
                  <w14:solidFill>
                    <w14:schemeClr w14:val="tx1"/>
                  </w14:solidFill>
                </w14:textFill>
              </w:rPr>
              <w:t>。</w:t>
            </w:r>
          </w:p>
          <w:p w14:paraId="4CCF9B9D">
            <w:pPr>
              <w:pStyle w:val="24"/>
              <w:spacing w:line="360" w:lineRule="auto"/>
              <w:rPr>
                <w:rFonts w:hint="eastAsia" w:hAnsi="宋体" w:cs="宋体"/>
                <w:color w:val="000000" w:themeColor="text1"/>
                <w:sz w:val="21"/>
                <w:highlight w:val="none"/>
                <w14:textFill>
                  <w14:solidFill>
                    <w14:schemeClr w14:val="tx1"/>
                  </w14:solidFill>
                </w14:textFill>
              </w:rPr>
            </w:pPr>
            <w:r>
              <w:rPr>
                <w:rFonts w:hAnsi="宋体" w:cs="宋体"/>
                <w:color w:val="000000" w:themeColor="text1"/>
                <w:sz w:val="21"/>
                <w:highlight w:val="none"/>
                <w14:textFill>
                  <w14:solidFill>
                    <w14:schemeClr w14:val="tx1"/>
                  </w14:solidFill>
                </w14:textFill>
              </w:rPr>
              <w:t>4.</w:t>
            </w:r>
            <w:r>
              <w:rPr>
                <w:rFonts w:hint="eastAsia" w:hAnsi="宋体" w:cs="宋体"/>
                <w:color w:val="000000" w:themeColor="text1"/>
                <w:sz w:val="21"/>
                <w:highlight w:val="none"/>
                <w14:textFill>
                  <w14:solidFill>
                    <w14:schemeClr w14:val="tx1"/>
                  </w14:solidFill>
                </w14:textFill>
              </w:rPr>
              <w:t>本磋商文件中描述供应商的“签字”是指供应商的法定代表人或者委托代理人亲自在文件规定签署处亲笔写上个人的名字的行为，私章、签字章、印鉴、影印等其他形式均不能代替亲笔签字。</w:t>
            </w:r>
          </w:p>
          <w:p w14:paraId="5391B15F">
            <w:pPr>
              <w:pStyle w:val="24"/>
              <w:spacing w:line="360" w:lineRule="auto"/>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5</w:t>
            </w:r>
            <w:r>
              <w:rPr>
                <w:rFonts w:hAnsi="宋体" w:cs="宋体"/>
                <w:color w:val="000000" w:themeColor="text1"/>
                <w:sz w:val="21"/>
                <w:highlight w:val="none"/>
                <w14:textFill>
                  <w14:solidFill>
                    <w14:schemeClr w14:val="tx1"/>
                  </w14:solidFill>
                </w14:textFill>
              </w:rPr>
              <w:t>.</w:t>
            </w:r>
            <w:r>
              <w:rPr>
                <w:rFonts w:hint="eastAsia" w:hAnsi="宋体" w:cs="宋体"/>
                <w:color w:val="000000" w:themeColor="text1"/>
                <w:sz w:val="21"/>
                <w:highlight w:val="none"/>
                <w14:textFill>
                  <w14:solidFill>
                    <w14:schemeClr w14:val="tx1"/>
                  </w14:solidFill>
                </w14:textFill>
              </w:rPr>
              <w:t>本磋商文件所称的“以上”“以下”“以内”“届满”，包括本数；所称的“不满”“超过”“以外”，不包括本数。</w:t>
            </w:r>
          </w:p>
        </w:tc>
      </w:tr>
    </w:tbl>
    <w:p w14:paraId="37B04990">
      <w:pPr>
        <w:spacing w:line="400" w:lineRule="exact"/>
        <w:jc w:val="center"/>
        <w:rPr>
          <w:rFonts w:hint="eastAsia" w:ascii="宋体" w:hAnsi="宋体"/>
          <w:b/>
          <w:color w:val="000000" w:themeColor="text1"/>
          <w:sz w:val="32"/>
          <w:szCs w:val="32"/>
          <w:highlight w:val="none"/>
          <w14:textFill>
            <w14:solidFill>
              <w14:schemeClr w14:val="tx1"/>
            </w14:solidFill>
          </w14:textFill>
        </w:rPr>
      </w:pPr>
      <w:r>
        <w:rPr>
          <w:rFonts w:ascii="宋体" w:hAnsi="宋体"/>
          <w:b/>
          <w:color w:val="000000" w:themeColor="text1"/>
          <w:sz w:val="32"/>
          <w:szCs w:val="32"/>
          <w:highlight w:val="none"/>
          <w14:textFill>
            <w14:solidFill>
              <w14:schemeClr w14:val="tx1"/>
            </w14:solidFill>
          </w14:textFill>
        </w:rPr>
        <w:br w:type="page" w:clear="all"/>
      </w:r>
      <w:r>
        <w:rPr>
          <w:rFonts w:hint="eastAsia" w:ascii="宋体" w:hAnsi="宋体"/>
          <w:b/>
          <w:color w:val="000000" w:themeColor="text1"/>
          <w:sz w:val="32"/>
          <w:szCs w:val="32"/>
          <w:highlight w:val="none"/>
          <w14:textFill>
            <w14:solidFill>
              <w14:schemeClr w14:val="tx1"/>
            </w14:solidFill>
          </w14:textFill>
        </w:rPr>
        <w:t>供应商须知正文</w:t>
      </w:r>
    </w:p>
    <w:p w14:paraId="0102EF09">
      <w:pPr>
        <w:spacing w:line="400" w:lineRule="exact"/>
        <w:jc w:val="center"/>
        <w:rPr>
          <w:rFonts w:hint="eastAsia" w:ascii="宋体" w:hAnsi="宋体"/>
          <w:b/>
          <w:color w:val="000000" w:themeColor="text1"/>
          <w:sz w:val="32"/>
          <w:szCs w:val="32"/>
          <w:highlight w:val="none"/>
          <w14:textFill>
            <w14:solidFill>
              <w14:schemeClr w14:val="tx1"/>
            </w14:solidFill>
          </w14:textFill>
        </w:rPr>
      </w:pPr>
    </w:p>
    <w:p w14:paraId="6898D7F3">
      <w:pPr>
        <w:spacing w:line="400" w:lineRule="exact"/>
        <w:jc w:val="center"/>
        <w:rPr>
          <w:rFonts w:hint="eastAsia"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一、总则</w:t>
      </w:r>
    </w:p>
    <w:p w14:paraId="4AA18182">
      <w:pPr>
        <w:spacing w:line="400" w:lineRule="exact"/>
        <w:rPr>
          <w:rFonts w:hint="eastAsia" w:ascii="宋体" w:hAnsi="宋体"/>
          <w:color w:val="000000" w:themeColor="text1"/>
          <w:szCs w:val="21"/>
          <w:highlight w:val="none"/>
          <w14:textFill>
            <w14:solidFill>
              <w14:schemeClr w14:val="tx1"/>
            </w14:solidFill>
          </w14:textFill>
        </w:rPr>
      </w:pPr>
    </w:p>
    <w:p w14:paraId="30F243AD">
      <w:pPr>
        <w:spacing w:line="360" w:lineRule="auto"/>
        <w:ind w:firstLine="482"/>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1.适用范围</w:t>
      </w:r>
    </w:p>
    <w:p w14:paraId="591B0974">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1.1本项目采购人、采购代理机构、供应商、磋商小组的相关行为均受《中华人民共和国政府采购法》《中华人民共和国政府采购法实施条例》</w:t>
      </w:r>
      <w:r>
        <w:rPr>
          <w:rFonts w:hint="eastAsia" w:ascii="宋体" w:hAnsi="宋体"/>
          <w:color w:val="000000" w:themeColor="text1"/>
          <w:szCs w:val="21"/>
          <w:highlight w:val="none"/>
          <w14:textFill>
            <w14:solidFill>
              <w14:schemeClr w14:val="tx1"/>
            </w14:solidFill>
          </w14:textFill>
        </w:rPr>
        <w:t>《政府采购竞争性磋商采购方式管理暂行办法》《财政部关于政府采购竞争性磋商采购方式管理暂行办法有关问题的补充通知》</w:t>
      </w:r>
      <w:r>
        <w:rPr>
          <w:rFonts w:hint="eastAsia" w:ascii="宋体" w:hAnsi="宋体" w:cs="宋体"/>
          <w:color w:val="000000" w:themeColor="text1"/>
          <w:szCs w:val="21"/>
          <w:highlight w:val="none"/>
          <w14:textFill>
            <w14:solidFill>
              <w14:schemeClr w14:val="tx1"/>
            </w14:solidFill>
          </w14:textFill>
        </w:rPr>
        <w:t>及本项目本级和上级财政部门政府采购有关规定的约束和保护。</w:t>
      </w:r>
    </w:p>
    <w:p w14:paraId="7D469D86">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1.2本竞争性磋商文件（以下简称磋商文件）适用于本项目的所有采购程序和环节（法律、法规另有规定的，从其规定）</w:t>
      </w:r>
      <w:r>
        <w:rPr>
          <w:rFonts w:hint="eastAsia" w:ascii="宋体" w:hAnsi="宋体" w:cs="宋体"/>
          <w:color w:val="000000" w:themeColor="text1"/>
          <w:spacing w:val="-6"/>
          <w:szCs w:val="21"/>
          <w:highlight w:val="none"/>
          <w14:textFill>
            <w14:solidFill>
              <w14:schemeClr w14:val="tx1"/>
            </w14:solidFill>
          </w14:textFill>
        </w:rPr>
        <w:t>。</w:t>
      </w:r>
    </w:p>
    <w:p w14:paraId="19161D96">
      <w:pPr>
        <w:spacing w:line="360" w:lineRule="auto"/>
        <w:ind w:firstLine="482"/>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2.定义</w:t>
      </w:r>
    </w:p>
    <w:p w14:paraId="0079B95F">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2.1“采购人”是指依法进行政府采购的国家机关、事业单位、团体组织。</w:t>
      </w:r>
    </w:p>
    <w:p w14:paraId="58C915A0">
      <w:pPr>
        <w:spacing w:line="360" w:lineRule="auto"/>
        <w:ind w:firstLine="420"/>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2.2“采购代理机构”是指政府采购集中采购机构和集中采购机构以外的采购代理机构。</w:t>
      </w:r>
    </w:p>
    <w:p w14:paraId="354F8A19">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2.3“供应商”是指向采购人提供货物、工程或者服务的法人、其他组织或者自然人。</w:t>
      </w:r>
    </w:p>
    <w:p w14:paraId="4771A065">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2.4“工程”是指建设工程，包括建筑物和构筑物的新建、改建、扩建、装修、拆除、修缮等。</w:t>
      </w:r>
    </w:p>
    <w:p w14:paraId="6D232F2F">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“竞标”是指供应商按照本项目竞争性磋商公告或者邀请函规定的方式获取磋商文件、提交响应文件并希望获得标的的行为。</w:t>
      </w:r>
    </w:p>
    <w:p w14:paraId="79D61EDF">
      <w:pPr>
        <w:spacing w:line="360" w:lineRule="auto"/>
        <w:ind w:firstLine="420"/>
        <w:contextualSpacing/>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2.6“书面形式”是指合同书、信件和数据电文（包括电报、电传、传真、电子数据交换和电子邮件）等可以有形地表现所载内容的形式。</w:t>
      </w:r>
    </w:p>
    <w:p w14:paraId="266B5A82">
      <w:pPr>
        <w:spacing w:line="360" w:lineRule="auto"/>
        <w:ind w:firstLine="420"/>
        <w:contextualSpacing/>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2.7“响应文件”是指：供应商根据本磋商文件要求，编制包含资格证明、报价、商务技术等所有内容的文件</w:t>
      </w:r>
      <w:r>
        <w:rPr>
          <w:rFonts w:hint="eastAsia" w:ascii="宋体" w:hAnsi="宋体" w:cs="宋体"/>
          <w:color w:val="000000" w:themeColor="text1"/>
          <w:spacing w:val="-6"/>
          <w:szCs w:val="21"/>
          <w:highlight w:val="none"/>
          <w14:textFill>
            <w14:solidFill>
              <w14:schemeClr w14:val="tx1"/>
            </w14:solidFill>
          </w14:textFill>
        </w:rPr>
        <w:t>。</w:t>
      </w:r>
    </w:p>
    <w:p w14:paraId="7F7BECB0">
      <w:pPr>
        <w:spacing w:line="360" w:lineRule="auto"/>
        <w:ind w:firstLine="420"/>
        <w:contextualSpacing/>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2.8“实质性要求”是指磋商文件中已经指明不满足则响应文件按无效处理的条款，或者不能负偏离的条款，或者采购需求中带“▲”的条款。</w:t>
      </w:r>
    </w:p>
    <w:p w14:paraId="5034165F">
      <w:pPr>
        <w:spacing w:line="360" w:lineRule="auto"/>
        <w:ind w:firstLine="420"/>
        <w:contextualSpacing/>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2.9“正偏离”，是指响应文件对磋商文件“采购需求”中有关条款作出的响应优于条款要求并有利于采购人的情形。</w:t>
      </w:r>
    </w:p>
    <w:p w14:paraId="794B0CDB">
      <w:pPr>
        <w:spacing w:line="360" w:lineRule="auto"/>
        <w:ind w:firstLine="420"/>
        <w:contextualSpacing/>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10“负偏离”，是指响应文件对磋商文件“采购需求”中有关条款作出的响应不满足条款要求，导致采购人要求不能得到满足的情形。</w:t>
      </w:r>
    </w:p>
    <w:p w14:paraId="4F391F4D">
      <w:pPr>
        <w:spacing w:line="360" w:lineRule="auto"/>
        <w:ind w:firstLine="420"/>
        <w:contextualSpacing/>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2.11“允许负偏离的条款”是指采购需求中的不属于“实质性要求”的条款。</w:t>
      </w:r>
    </w:p>
    <w:p w14:paraId="5D729C9F">
      <w:pPr>
        <w:spacing w:line="360" w:lineRule="auto"/>
        <w:ind w:firstLine="420"/>
        <w:contextualSpacing/>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2“首次报价”是指供应商提交的首次响应文件中的报价。</w:t>
      </w:r>
    </w:p>
    <w:p w14:paraId="10EF5CD3">
      <w:pPr>
        <w:spacing w:line="360" w:lineRule="auto"/>
        <w:ind w:firstLine="482"/>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3.供应商的资格条件</w:t>
      </w:r>
    </w:p>
    <w:p w14:paraId="49C8D50E">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供应商的资格条件详见“供应商须知前附表”。</w:t>
      </w:r>
    </w:p>
    <w:p w14:paraId="38A26216">
      <w:pPr>
        <w:spacing w:line="360" w:lineRule="auto"/>
        <w:ind w:firstLine="482"/>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4.竞标费用</w:t>
      </w:r>
    </w:p>
    <w:p w14:paraId="4899C454">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供应商应承担参与本次采购活动有关的所有费用，包括但不限于获取磋商文件、勘查现场、编制和提交响应文件、参加磋商与应答、签订合同等，不论竞标结果如何，均应自行承担。</w:t>
      </w:r>
    </w:p>
    <w:p w14:paraId="4E0D984A">
      <w:pPr>
        <w:spacing w:line="360" w:lineRule="auto"/>
        <w:ind w:firstLine="482"/>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5.联合体竞标</w:t>
      </w:r>
    </w:p>
    <w:p w14:paraId="7A983D8C">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5.1本项目是否接受联合体竞标，详见“供应商须知前附表”。</w:t>
      </w:r>
    </w:p>
    <w:p w14:paraId="3D7E2EED">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5.2</w:t>
      </w:r>
      <w:r>
        <w:rPr>
          <w:rFonts w:hint="eastAsia" w:ascii="宋体" w:hAnsi="宋体"/>
          <w:color w:val="000000" w:themeColor="text1"/>
          <w:highlight w:val="none"/>
          <w14:textFill>
            <w14:solidFill>
              <w14:schemeClr w14:val="tx1"/>
            </w14:solidFill>
          </w14:textFill>
        </w:rPr>
        <w:t>如接受联合体竞标，</w:t>
      </w:r>
      <w:r>
        <w:rPr>
          <w:rFonts w:hint="eastAsia" w:ascii="宋体" w:hAnsi="宋体" w:cs="宋体"/>
          <w:color w:val="000000" w:themeColor="text1"/>
          <w:szCs w:val="21"/>
          <w:highlight w:val="none"/>
          <w14:textFill>
            <w14:solidFill>
              <w14:schemeClr w14:val="tx1"/>
            </w14:solidFill>
          </w14:textFill>
        </w:rPr>
        <w:t>联合体竞标要求详见“供应商须知前附表”。</w:t>
      </w:r>
    </w:p>
    <w:p w14:paraId="2CDB18BC">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5.3</w:t>
      </w:r>
      <w:bookmarkStart w:id="59" w:name="_Hlk66782192"/>
      <w:r>
        <w:rPr>
          <w:rFonts w:hint="eastAsia" w:ascii="宋体" w:hAnsi="宋体"/>
          <w:color w:val="000000" w:themeColor="text1"/>
          <w:szCs w:val="21"/>
          <w:highlight w:val="none"/>
          <w14:textFill>
            <w14:solidFill>
              <w14:schemeClr w14:val="tx1"/>
            </w14:solidFill>
          </w14:textFill>
        </w:rPr>
        <w:t>根据《政府采购促进中小企业发展管理办法》（财库〔2020〕46号）第九条第二款及《广西壮族自治区财政厅关于贯彻落实政府采购支持中小企业发展政策的通知》（桂财采〔2022〕31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1%-2%的扣除，用扣除后的价格参加评审。</w:t>
      </w:r>
      <w:bookmarkEnd w:id="59"/>
    </w:p>
    <w:p w14:paraId="6C50A795">
      <w:pPr>
        <w:spacing w:line="360" w:lineRule="auto"/>
        <w:ind w:firstLine="482"/>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 xml:space="preserve">6.转包与分包             </w:t>
      </w:r>
    </w:p>
    <w:p w14:paraId="6D39DD50">
      <w:pPr>
        <w:pStyle w:val="6"/>
        <w:keepNext w:val="0"/>
        <w:keepLines w:val="0"/>
        <w:spacing w:before="0" w:after="0" w:line="360" w:lineRule="auto"/>
        <w:ind w:left="420"/>
        <w:rPr>
          <w:rFonts w:hint="eastAsia" w:ascii="宋体" w:hAnsi="宋体"/>
          <w:b w:val="0"/>
          <w:color w:val="000000" w:themeColor="text1"/>
          <w:sz w:val="21"/>
          <w:szCs w:val="21"/>
          <w:highlight w:val="none"/>
          <w14:textFill>
            <w14:solidFill>
              <w14:schemeClr w14:val="tx1"/>
            </w14:solidFill>
          </w14:textFill>
        </w:rPr>
      </w:pPr>
      <w:bookmarkStart w:id="60" w:name="_Toc254970532"/>
      <w:bookmarkStart w:id="61" w:name="_Toc254970673"/>
      <w:r>
        <w:rPr>
          <w:rFonts w:hint="eastAsia" w:ascii="宋体" w:hAnsi="宋体"/>
          <w:b w:val="0"/>
          <w:color w:val="000000" w:themeColor="text1"/>
          <w:sz w:val="21"/>
          <w:szCs w:val="21"/>
          <w:highlight w:val="none"/>
          <w14:textFill>
            <w14:solidFill>
              <w14:schemeClr w14:val="tx1"/>
            </w14:solidFill>
          </w14:textFill>
        </w:rPr>
        <w:t>6.1本项目不允许转包。</w:t>
      </w:r>
    </w:p>
    <w:p w14:paraId="5FEC2C57">
      <w:pPr>
        <w:pStyle w:val="6"/>
        <w:keepNext w:val="0"/>
        <w:keepLines w:val="0"/>
        <w:spacing w:before="0" w:after="0" w:line="360" w:lineRule="auto"/>
        <w:ind w:firstLine="315"/>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 xml:space="preserve"> 6.2本项目是否允许分包详见“供应商须知前附表”，本项目不允许违法分包。允许分包的非主体、非关键性工作，根据法律法规规定承担该工作需要资质或者行政许可的，如该工作由供应商自行承担，供应商应具备相应的资质或者行政许可，如供应商不具备相应的资质或者行政许可必须采用分包的方式，但分包供应商应具备相应资质或者行政许可。</w:t>
      </w:r>
    </w:p>
    <w:p w14:paraId="026DDD33">
      <w:pPr>
        <w:pStyle w:val="6"/>
        <w:keepNext w:val="0"/>
        <w:keepLines w:val="0"/>
        <w:spacing w:before="0" w:after="0" w:line="360" w:lineRule="auto"/>
        <w:ind w:firstLine="315"/>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 xml:space="preserve"> 6.3供应商根据磋商文件的规定和采购项目的实际情况，拟在成交后将成交项目的非主体、非关键性工作分包的，应当在响应文件中载明分包承担主体，分包承担主体应当具备相应资质条件且不得再次分包。</w:t>
      </w:r>
    </w:p>
    <w:p w14:paraId="4BCBADF7">
      <w:pPr>
        <w:spacing w:line="360" w:lineRule="auto"/>
        <w:ind w:firstLine="482"/>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7.特别说明</w:t>
      </w:r>
      <w:bookmarkEnd w:id="60"/>
      <w:bookmarkEnd w:id="61"/>
    </w:p>
    <w:p w14:paraId="5FDDBEAA">
      <w:pPr>
        <w:spacing w:line="360" w:lineRule="auto"/>
        <w:ind w:firstLine="420"/>
        <w:rPr>
          <w:rFonts w:hint="eastAsia" w:ascii="宋体" w:hAnsi="宋体" w:cs="宋体"/>
          <w:color w:val="000000" w:themeColor="text1"/>
          <w:szCs w:val="21"/>
          <w:highlight w:val="none"/>
          <w14:textFill>
            <w14:solidFill>
              <w14:schemeClr w14:val="tx1"/>
            </w14:solidFill>
          </w14:textFill>
        </w:rPr>
      </w:pPr>
      <w:bookmarkStart w:id="62" w:name="_8.1提供相同品牌产品且通过资格审查、符合性审查的不同投标人参加同一合"/>
      <w:bookmarkEnd w:id="62"/>
      <w:r>
        <w:rPr>
          <w:rFonts w:hint="eastAsia" w:ascii="宋体" w:hAnsi="宋体" w:cs="宋体"/>
          <w:color w:val="000000" w:themeColor="text1"/>
          <w:szCs w:val="21"/>
          <w:highlight w:val="none"/>
          <w14:textFill>
            <w14:solidFill>
              <w14:schemeClr w14:val="tx1"/>
            </w14:solidFill>
          </w14:textFill>
        </w:rPr>
        <w:t>7.</w:t>
      </w:r>
      <w:r>
        <w:rPr>
          <w:rFonts w:ascii="宋体" w:hAnsi="宋体" w:cs="宋体"/>
          <w:color w:val="000000" w:themeColor="text1"/>
          <w:szCs w:val="21"/>
          <w:highlight w:val="none"/>
          <w14:textFill>
            <w14:solidFill>
              <w14:schemeClr w14:val="tx1"/>
            </w14:solidFill>
          </w14:textFill>
        </w:rPr>
        <w:t>1</w:t>
      </w:r>
      <w:bookmarkStart w:id="63" w:name="_Hlk65832145"/>
      <w:r>
        <w:rPr>
          <w:rFonts w:hint="eastAsia" w:ascii="宋体" w:hAnsi="宋体"/>
          <w:color w:val="000000" w:themeColor="text1"/>
          <w:szCs w:val="21"/>
          <w:highlight w:val="none"/>
          <w14:textFill>
            <w14:solidFill>
              <w14:schemeClr w14:val="tx1"/>
            </w14:solidFill>
          </w14:textFill>
        </w:rPr>
        <w:t xml:space="preserve">如果本磋商文件要求提供供应商或制造商的资格、信誉、荣誉、业绩与企业认证等材料的，资格、信誉、荣誉、业绩与企业认证等必须为供应商或者制造商所拥有或自身获得 </w:t>
      </w:r>
      <w:r>
        <w:rPr>
          <w:rFonts w:hint="eastAsia" w:ascii="宋体" w:hAnsi="宋体" w:cs="宋体"/>
          <w:color w:val="000000" w:themeColor="text1"/>
          <w:szCs w:val="21"/>
          <w:highlight w:val="none"/>
          <w14:textFill>
            <w14:solidFill>
              <w14:schemeClr w14:val="tx1"/>
            </w14:solidFill>
          </w14:textFill>
        </w:rPr>
        <w:t>。</w:t>
      </w:r>
      <w:bookmarkEnd w:id="63"/>
    </w:p>
    <w:p w14:paraId="58E859BF">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w:t>
      </w: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供应商应仔细阅读磋商文件的所有内容，按照磋商文件的要求提交响应文件，并对所提供的全部资料的真实性承担法律责任。</w:t>
      </w:r>
    </w:p>
    <w:p w14:paraId="64C7D3FE">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w:t>
      </w: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供应商在竞标活动中提供任何虚假材料谋取成交的，将报财政部门查处；签订合同后发现的，成交供应商须依照《中华人民共和国消费者权益保护法》规定赔偿采购人，且民事赔偿并不免除违法供应商的行政与刑事责任。</w:t>
      </w:r>
    </w:p>
    <w:p w14:paraId="611CAEC8">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w:t>
      </w:r>
      <w:r>
        <w:rPr>
          <w:rFonts w:ascii="宋体" w:hAnsi="宋体" w:cs="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在政府采购活动中，采购人员及相关人员与供应商有下列利害关系之一的，应当回避：</w:t>
      </w:r>
    </w:p>
    <w:p w14:paraId="246A23FF">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（1）参加采购活动前3年内与供应商存在劳动关系；</w:t>
      </w:r>
    </w:p>
    <w:p w14:paraId="16F3B259">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（2）参加采购活动前3年内担任供应商的董事、监事；</w:t>
      </w:r>
    </w:p>
    <w:p w14:paraId="1E0DC977">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（3）参加采购活动前3年内是供应商的控股股东或者实际控制人；</w:t>
      </w:r>
    </w:p>
    <w:p w14:paraId="11F69880">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（4）与供应商的法定代表人或者负责人有夫妻、直系血亲、三代以内旁系血亲或者近姻亲关系；</w:t>
      </w:r>
    </w:p>
    <w:p w14:paraId="3C4517CE">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（5）与供应商有其他可能影响政府采购活动公平、公正进行的关系。</w:t>
      </w:r>
    </w:p>
    <w:p w14:paraId="41AF013E">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1CF8555">
      <w:pPr>
        <w:spacing w:line="360" w:lineRule="auto"/>
        <w:ind w:firstLine="422"/>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7.</w:t>
      </w:r>
      <w:r>
        <w:rPr>
          <w:rFonts w:ascii="宋体" w:hAnsi="宋体" w:cs="宋体"/>
          <w:b/>
          <w:bCs/>
          <w:color w:val="000000" w:themeColor="text1"/>
          <w:szCs w:val="21"/>
          <w:highlight w:val="none"/>
          <w14:textFill>
            <w14:solidFill>
              <w14:schemeClr w14:val="tx1"/>
            </w14:solidFill>
          </w14:textFill>
        </w:rPr>
        <w:t>5</w:t>
      </w:r>
      <w:r>
        <w:rPr>
          <w:rFonts w:hint="eastAsia" w:ascii="宋体" w:hAnsi="宋体" w:cs="宋体"/>
          <w:b/>
          <w:bCs/>
          <w:color w:val="000000" w:themeColor="text1"/>
          <w:szCs w:val="21"/>
          <w:highlight w:val="none"/>
          <w14:textFill>
            <w14:solidFill>
              <w14:schemeClr w14:val="tx1"/>
            </w14:solidFill>
          </w14:textFill>
        </w:rPr>
        <w:t>有下列情形之一的视为供应商相互串通竞标，响应文件将被视为无效：</w:t>
      </w:r>
    </w:p>
    <w:p w14:paraId="413AF79A">
      <w:pPr>
        <w:spacing w:line="360" w:lineRule="auto"/>
        <w:ind w:firstLine="422"/>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 xml:space="preserve">（1）不同供应商的响应文件由同一单位或者个人编制；或不同供应商报名的IP地址一致的；  </w:t>
      </w:r>
    </w:p>
    <w:p w14:paraId="0E39B42D">
      <w:pPr>
        <w:spacing w:line="360" w:lineRule="auto"/>
        <w:ind w:firstLine="422"/>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（2）不同供应商委托同一单位或者个人办理竞标事宜；</w:t>
      </w:r>
    </w:p>
    <w:p w14:paraId="56C1E508">
      <w:pPr>
        <w:spacing w:line="360" w:lineRule="auto"/>
        <w:ind w:firstLine="422"/>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（3）不同的供应商的响应文件载明的项目管理员为同一个人；</w:t>
      </w:r>
    </w:p>
    <w:p w14:paraId="677C5712">
      <w:pPr>
        <w:spacing w:line="360" w:lineRule="auto"/>
        <w:ind w:firstLine="422"/>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（4）不同供应商的响应文件异常一致或者报价呈规律性差异；</w:t>
      </w:r>
    </w:p>
    <w:p w14:paraId="28252E59">
      <w:pPr>
        <w:spacing w:line="360" w:lineRule="auto"/>
        <w:ind w:firstLine="422"/>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（5）不同供应商的响应文件相互混装；</w:t>
      </w:r>
    </w:p>
    <w:p w14:paraId="356FD9E2">
      <w:pPr>
        <w:tabs>
          <w:tab w:val="left" w:pos="6931"/>
        </w:tabs>
        <w:spacing w:line="360" w:lineRule="auto"/>
        <w:ind w:firstLine="422"/>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（6）不同供应商的磋商保证金从同一单位或者个人账户转出。</w:t>
      </w:r>
      <w:r>
        <w:rPr>
          <w:rFonts w:ascii="宋体" w:hAnsi="宋体" w:cs="宋体"/>
          <w:b/>
          <w:bCs/>
          <w:color w:val="000000" w:themeColor="text1"/>
          <w:szCs w:val="21"/>
          <w:highlight w:val="none"/>
          <w14:textFill>
            <w14:solidFill>
              <w14:schemeClr w14:val="tx1"/>
            </w14:solidFill>
          </w14:textFill>
        </w:rPr>
        <w:tab/>
      </w:r>
    </w:p>
    <w:p w14:paraId="1F068CDE">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w:t>
      </w:r>
      <w:r>
        <w:rPr>
          <w:rFonts w:ascii="宋体" w:hAnsi="宋体" w:cs="宋体"/>
          <w:color w:val="000000" w:themeColor="text1"/>
          <w:szCs w:val="21"/>
          <w:highlight w:val="none"/>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供应商有下列情形之一的，属于恶意串通行为，将报同级监督管理部门：</w:t>
      </w:r>
    </w:p>
    <w:p w14:paraId="5956EB5A">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（1）供应商直接或者间接从采购人或者采购代理机构处获得其他供应商的相关信息并修改其响应文件；</w:t>
      </w:r>
    </w:p>
    <w:p w14:paraId="768FB934">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（2）供应商按照采购人或者采购代理机构的授意撤换、修改响应文件；</w:t>
      </w:r>
    </w:p>
    <w:p w14:paraId="02C0F41C">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（3）供应商之间协商报价、技术方案等响应文件或者响应文件的实质性内容；</w:t>
      </w:r>
    </w:p>
    <w:p w14:paraId="3F617F28">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（4）属于同一集团、协会、商会等组织成员的供应商按照该组织要求协同参加政府采购活动；</w:t>
      </w:r>
    </w:p>
    <w:p w14:paraId="1A580916">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（5）供应商之间事先约定一致抬高或者压低报价，或者在政府采购活动中事先约定轮流以高价位或者低价位成交，或者事先约定由某一特定供应商成交，然后再参加竞标；</w:t>
      </w:r>
    </w:p>
    <w:p w14:paraId="3E615C85">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（6）供应商之间商定部分供应商放弃参加政府采购活动或者放弃成交；</w:t>
      </w:r>
    </w:p>
    <w:p w14:paraId="382737C1">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（7）供应商与采购人或者采购代理机构之间、供应商相互之间，为谋求特定供应商成交或者排斥其他供应商的其他串通行为。</w:t>
      </w:r>
    </w:p>
    <w:p w14:paraId="5392ADFF">
      <w:pPr>
        <w:spacing w:line="360" w:lineRule="auto"/>
        <w:ind w:firstLine="420"/>
        <w:rPr>
          <w:rFonts w:hint="eastAsia" w:ascii="宋体" w:hAnsi="宋体" w:cs="宋体"/>
          <w:color w:val="000000" w:themeColor="text1"/>
          <w:szCs w:val="21"/>
          <w:highlight w:val="none"/>
          <w14:textFill>
            <w14:solidFill>
              <w14:schemeClr w14:val="tx1"/>
            </w14:solidFill>
          </w14:textFill>
        </w:rPr>
      </w:pPr>
    </w:p>
    <w:p w14:paraId="3D29E308">
      <w:pPr>
        <w:spacing w:line="360" w:lineRule="auto"/>
        <w:ind w:left="1" w:firstLine="417"/>
        <w:jc w:val="center"/>
        <w:rPr>
          <w:rFonts w:hint="eastAsia" w:ascii="宋体" w:hAnsi="宋体"/>
          <w:color w:val="000000" w:themeColor="text1"/>
          <w:highlight w:val="none"/>
          <w14:textFill>
            <w14:solidFill>
              <w14:schemeClr w14:val="tx1"/>
            </w14:solidFill>
          </w14:textFill>
        </w:rPr>
      </w:pPr>
      <w:bookmarkStart w:id="64" w:name="_Toc254970534"/>
      <w:bookmarkStart w:id="65" w:name="_Toc254970675"/>
    </w:p>
    <w:p w14:paraId="0AF78A1E">
      <w:pPr>
        <w:spacing w:line="360" w:lineRule="auto"/>
        <w:jc w:val="center"/>
        <w:rPr>
          <w:rFonts w:hint="eastAsia"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二、磋商文件</w:t>
      </w:r>
      <w:bookmarkEnd w:id="64"/>
      <w:bookmarkEnd w:id="65"/>
    </w:p>
    <w:p w14:paraId="557A5D11">
      <w:pPr>
        <w:spacing w:line="360" w:lineRule="auto"/>
        <w:rPr>
          <w:rFonts w:hint="eastAsia" w:ascii="宋体" w:hAnsi="宋体"/>
          <w:color w:val="000000" w:themeColor="text1"/>
          <w:szCs w:val="21"/>
          <w:highlight w:val="none"/>
          <w14:textFill>
            <w14:solidFill>
              <w14:schemeClr w14:val="tx1"/>
            </w14:solidFill>
          </w14:textFill>
        </w:rPr>
      </w:pPr>
    </w:p>
    <w:p w14:paraId="5251298B">
      <w:pPr>
        <w:spacing w:line="360" w:lineRule="auto"/>
        <w:ind w:firstLine="482"/>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8.磋商文件的构成</w:t>
      </w:r>
    </w:p>
    <w:p w14:paraId="0EB3A792">
      <w:pPr>
        <w:spacing w:line="360" w:lineRule="auto"/>
        <w:ind w:firstLine="42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第一章  竞争性磋商公告；</w:t>
      </w:r>
    </w:p>
    <w:p w14:paraId="1D303900">
      <w:pPr>
        <w:spacing w:line="360" w:lineRule="auto"/>
        <w:ind w:firstLine="42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第二章  供应商须知； </w:t>
      </w:r>
    </w:p>
    <w:p w14:paraId="5E0767E0">
      <w:pPr>
        <w:spacing w:line="360" w:lineRule="auto"/>
        <w:ind w:firstLine="42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第三章  采购需求；</w:t>
      </w:r>
    </w:p>
    <w:p w14:paraId="5D28E306">
      <w:pPr>
        <w:spacing w:line="360" w:lineRule="auto"/>
        <w:ind w:firstLine="42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第四章  评审程序、评审方法和评审标准；</w:t>
      </w:r>
    </w:p>
    <w:p w14:paraId="049A578B">
      <w:pPr>
        <w:spacing w:line="360" w:lineRule="auto"/>
        <w:ind w:firstLine="42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第五章  工程量清单及图纸；</w:t>
      </w:r>
    </w:p>
    <w:p w14:paraId="301D145D">
      <w:pPr>
        <w:spacing w:line="360" w:lineRule="auto"/>
        <w:ind w:firstLine="42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第六章  响应文件格式；</w:t>
      </w:r>
    </w:p>
    <w:p w14:paraId="66A2F558">
      <w:pPr>
        <w:spacing w:line="360" w:lineRule="auto"/>
        <w:ind w:firstLine="42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第七章  合同文本。</w:t>
      </w:r>
    </w:p>
    <w:p w14:paraId="14AB2EB4">
      <w:pPr>
        <w:spacing w:line="360" w:lineRule="auto"/>
        <w:ind w:firstLine="482"/>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9.供应商的询问</w:t>
      </w:r>
    </w:p>
    <w:p w14:paraId="062B5AEE">
      <w:pPr>
        <w:spacing w:line="360" w:lineRule="auto"/>
        <w:ind w:firstLine="42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供应商应认真阅读磋商文件的采购需求，如供应商对磋商文件有疑问的，如要求采购人作出澄清或者修改的，供应商尽可能在</w:t>
      </w:r>
      <w:r>
        <w:rPr>
          <w:rFonts w:ascii="宋体" w:hAnsi="宋体"/>
          <w:color w:val="000000" w:themeColor="text1"/>
          <w:szCs w:val="21"/>
          <w:highlight w:val="none"/>
          <w14:textFill>
            <w14:solidFill>
              <w14:schemeClr w14:val="tx1"/>
            </w14:solidFill>
          </w14:textFill>
        </w:rPr>
        <w:t>提交首次响应文件截止之日前</w:t>
      </w:r>
      <w:r>
        <w:rPr>
          <w:rFonts w:hint="eastAsia" w:ascii="宋体" w:hAnsi="宋体"/>
          <w:color w:val="000000" w:themeColor="text1"/>
          <w:szCs w:val="21"/>
          <w:highlight w:val="none"/>
          <w14:textFill>
            <w14:solidFill>
              <w14:schemeClr w14:val="tx1"/>
            </w14:solidFill>
          </w14:textFill>
        </w:rPr>
        <w:t>，以书面形式向</w:t>
      </w:r>
      <w:r>
        <w:rPr>
          <w:rFonts w:ascii="宋体" w:hAnsi="宋体"/>
          <w:color w:val="000000" w:themeColor="text1"/>
          <w:szCs w:val="21"/>
          <w:highlight w:val="none"/>
          <w14:textFill>
            <w14:solidFill>
              <w14:schemeClr w14:val="tx1"/>
            </w14:solidFill>
          </w14:textFill>
        </w:rPr>
        <w:t>采购人、采购代理机构</w:t>
      </w:r>
      <w:r>
        <w:rPr>
          <w:rFonts w:hint="eastAsia" w:ascii="宋体" w:hAnsi="宋体"/>
          <w:color w:val="000000" w:themeColor="text1"/>
          <w:szCs w:val="21"/>
          <w:highlight w:val="none"/>
          <w14:textFill>
            <w14:solidFill>
              <w14:schemeClr w14:val="tx1"/>
            </w14:solidFill>
          </w14:textFill>
        </w:rPr>
        <w:t>提出。</w:t>
      </w:r>
    </w:p>
    <w:p w14:paraId="484BFE07">
      <w:pPr>
        <w:spacing w:line="360" w:lineRule="auto"/>
        <w:ind w:firstLine="482"/>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10.磋商文件的澄清和修改</w:t>
      </w:r>
    </w:p>
    <w:p w14:paraId="265D3AC5">
      <w:pPr>
        <w:spacing w:line="360" w:lineRule="auto"/>
        <w:ind w:firstLine="420"/>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提交首次响应文件截止之日前，采购人或者采购代理机构可以对已发出的磋商文件进行必要的澄清或者修改，澄清或者修改的内容作为磋商文件的组成部分。澄清或者修改的内容可能影响响应文件编制的，</w:t>
      </w:r>
      <w:r>
        <w:rPr>
          <w:rFonts w:hint="eastAsia" w:ascii="宋体" w:hAnsi="宋体"/>
          <w:color w:val="000000" w:themeColor="text1"/>
          <w:szCs w:val="21"/>
          <w:highlight w:val="none"/>
          <w14:textFill>
            <w14:solidFill>
              <w14:schemeClr w14:val="tx1"/>
            </w14:solidFill>
          </w14:textFill>
        </w:rPr>
        <w:t>采购人或者采购代理机构应当</w:t>
      </w:r>
      <w:r>
        <w:rPr>
          <w:rFonts w:ascii="宋体" w:hAnsi="宋体"/>
          <w:color w:val="000000" w:themeColor="text1"/>
          <w:szCs w:val="21"/>
          <w:highlight w:val="none"/>
          <w14:textFill>
            <w14:solidFill>
              <w14:schemeClr w14:val="tx1"/>
            </w14:solidFill>
          </w14:textFill>
        </w:rPr>
        <w:t>在提交首次响应文件截止之日3个工作日前，以书面形式通知所有</w:t>
      </w:r>
      <w:r>
        <w:rPr>
          <w:rFonts w:hint="eastAsia" w:ascii="宋体" w:hAnsi="宋体"/>
          <w:color w:val="000000" w:themeColor="text1"/>
          <w:szCs w:val="21"/>
          <w:highlight w:val="none"/>
          <w14:textFill>
            <w14:solidFill>
              <w14:schemeClr w14:val="tx1"/>
            </w14:solidFill>
          </w14:textFill>
        </w:rPr>
        <w:t>获取</w:t>
      </w:r>
      <w:r>
        <w:rPr>
          <w:rFonts w:ascii="宋体" w:hAnsi="宋体"/>
          <w:color w:val="000000" w:themeColor="text1"/>
          <w:szCs w:val="21"/>
          <w:highlight w:val="none"/>
          <w14:textFill>
            <w14:solidFill>
              <w14:schemeClr w14:val="tx1"/>
            </w14:solidFill>
          </w14:textFill>
        </w:rPr>
        <w:t>磋商文件的供应商，不足3个工作日的，应当顺延提交首次响应文件截止之日。</w:t>
      </w:r>
    </w:p>
    <w:p w14:paraId="61A46471">
      <w:pPr>
        <w:spacing w:line="360" w:lineRule="auto"/>
        <w:rPr>
          <w:rFonts w:hint="eastAsia" w:ascii="宋体" w:hAnsi="宋体"/>
          <w:color w:val="000000" w:themeColor="text1"/>
          <w:szCs w:val="21"/>
          <w:highlight w:val="none"/>
          <w14:textFill>
            <w14:solidFill>
              <w14:schemeClr w14:val="tx1"/>
            </w14:solidFill>
          </w14:textFill>
        </w:rPr>
      </w:pPr>
    </w:p>
    <w:p w14:paraId="7AAE2AD3">
      <w:pPr>
        <w:spacing w:line="360" w:lineRule="auto"/>
        <w:jc w:val="center"/>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三、响应文件的编制</w:t>
      </w:r>
    </w:p>
    <w:p w14:paraId="06ADD073">
      <w:pPr>
        <w:spacing w:line="360" w:lineRule="auto"/>
        <w:rPr>
          <w:rFonts w:hint="eastAsia" w:ascii="宋体" w:hAnsi="宋体"/>
          <w:color w:val="000000" w:themeColor="text1"/>
          <w:szCs w:val="21"/>
          <w:highlight w:val="none"/>
          <w14:textFill>
            <w14:solidFill>
              <w14:schemeClr w14:val="tx1"/>
            </w14:solidFill>
          </w14:textFill>
        </w:rPr>
      </w:pPr>
    </w:p>
    <w:p w14:paraId="55227F8D">
      <w:pPr>
        <w:spacing w:line="360" w:lineRule="auto"/>
        <w:ind w:firstLine="482"/>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11.响应文件的编制原则</w:t>
      </w:r>
    </w:p>
    <w:p w14:paraId="278431C5">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供应商必须按照磋商文件的要求编制响应文件，并对其提交的响应文件的真实性、合法性承担法律责任。响应文件必须对磋商文件作出实质性响应。</w:t>
      </w:r>
    </w:p>
    <w:p w14:paraId="15761B79">
      <w:pPr>
        <w:spacing w:line="360" w:lineRule="auto"/>
        <w:ind w:firstLine="482"/>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12.响应文件的组成</w:t>
      </w:r>
    </w:p>
    <w:p w14:paraId="6F08C0AE">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12.1响应文件由资格证明文件、报价文件、商务技术文件三部分组成。</w:t>
      </w:r>
    </w:p>
    <w:p w14:paraId="3DD4B73E">
      <w:pPr>
        <w:spacing w:line="360" w:lineRule="auto"/>
        <w:ind w:left="840" w:hanging="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12.1.1资格证明文件：详见“供应商须知前附表”</w:t>
      </w:r>
    </w:p>
    <w:p w14:paraId="24868BE2">
      <w:pPr>
        <w:spacing w:line="360" w:lineRule="auto"/>
        <w:ind w:left="840" w:hanging="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12.1.2报价文件：详见“供应商须知前附表”</w:t>
      </w:r>
    </w:p>
    <w:p w14:paraId="58B12615">
      <w:pPr>
        <w:spacing w:line="360" w:lineRule="auto"/>
        <w:ind w:left="840" w:hanging="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12.1.3商务技术文件：详见“供应商须知前附表”</w:t>
      </w:r>
    </w:p>
    <w:p w14:paraId="1F0ECA53">
      <w:pPr>
        <w:spacing w:line="360" w:lineRule="auto"/>
        <w:ind w:firstLine="482"/>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13.计量单位</w:t>
      </w:r>
    </w:p>
    <w:p w14:paraId="15748BB3">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磋商文件已有明确规定的，使用磋商文件规定的计量单位；磋商文件没有规定的，应采用中华人民共和国法定计量单位，货币种类为人民币，否则视同未响应。</w:t>
      </w:r>
    </w:p>
    <w:p w14:paraId="332018B0">
      <w:pPr>
        <w:spacing w:line="360" w:lineRule="auto"/>
        <w:ind w:firstLine="482"/>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14.竞标的风险</w:t>
      </w:r>
    </w:p>
    <w:p w14:paraId="715FD66D">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供应商没有按照磋商文件要求提供全部资料，或者供应商没有对磋商文件在各方面作出实质性响应可能导致其响应无效，是供应商应当考虑的风险。</w:t>
      </w:r>
    </w:p>
    <w:p w14:paraId="04B2002C">
      <w:pPr>
        <w:spacing w:line="360" w:lineRule="auto"/>
        <w:ind w:firstLine="482"/>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15.竞标报价</w:t>
      </w:r>
    </w:p>
    <w:p w14:paraId="3BBD531A">
      <w:pPr>
        <w:tabs>
          <w:tab w:val="left" w:pos="2492"/>
        </w:tabs>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15.1竞标报价应按磋商文件中“竞标报价表”格式填写。</w:t>
      </w:r>
    </w:p>
    <w:p w14:paraId="6929F258">
      <w:pPr>
        <w:tabs>
          <w:tab w:val="left" w:pos="2492"/>
        </w:tabs>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15.2竞标报价的内容见“供应商须知前附表”。</w:t>
      </w:r>
    </w:p>
    <w:p w14:paraId="09431B60">
      <w:pPr>
        <w:tabs>
          <w:tab w:val="left" w:pos="2492"/>
        </w:tabs>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15.3本项目的增值税计税方法见“供应商须知前附表”。</w:t>
      </w:r>
    </w:p>
    <w:p w14:paraId="6E7DD996">
      <w:pPr>
        <w:spacing w:line="360" w:lineRule="auto"/>
        <w:ind w:left="426"/>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15.4竞标报价要求</w:t>
      </w:r>
    </w:p>
    <w:p w14:paraId="6D1133AB">
      <w:pPr>
        <w:spacing w:line="360" w:lineRule="auto"/>
        <w:ind w:firstLine="422"/>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w:t>
      </w:r>
      <w:r>
        <w:rPr>
          <w:rFonts w:ascii="宋体" w:hAnsi="宋体" w:cs="宋体"/>
          <w:b/>
          <w:bCs/>
          <w:color w:val="000000" w:themeColor="text1"/>
          <w:szCs w:val="21"/>
          <w:highlight w:val="none"/>
          <w14:textFill>
            <w14:solidFill>
              <w14:schemeClr w14:val="tx1"/>
            </w14:solidFill>
          </w14:textFill>
        </w:rPr>
        <w:t>5.</w:t>
      </w:r>
      <w:r>
        <w:rPr>
          <w:rFonts w:hint="eastAsia" w:ascii="宋体" w:hAnsi="宋体" w:cs="宋体"/>
          <w:b/>
          <w:bCs/>
          <w:color w:val="000000" w:themeColor="text1"/>
          <w:szCs w:val="21"/>
          <w:highlight w:val="none"/>
          <w14:textFill>
            <w14:solidFill>
              <w14:schemeClr w14:val="tx1"/>
            </w14:solidFill>
          </w14:textFill>
        </w:rPr>
        <w:t>4</w:t>
      </w:r>
      <w:r>
        <w:rPr>
          <w:rFonts w:ascii="宋体" w:hAnsi="宋体" w:cs="宋体"/>
          <w:b/>
          <w:bCs/>
          <w:color w:val="000000" w:themeColor="text1"/>
          <w:szCs w:val="21"/>
          <w:highlight w:val="none"/>
          <w14:textFill>
            <w14:solidFill>
              <w14:schemeClr w14:val="tx1"/>
            </w14:solidFill>
          </w14:textFill>
        </w:rPr>
        <w:t>.1</w:t>
      </w:r>
      <w:r>
        <w:rPr>
          <w:rFonts w:hint="eastAsia" w:ascii="宋体" w:hAnsi="宋体" w:cs="宋体"/>
          <w:b/>
          <w:bCs/>
          <w:color w:val="000000" w:themeColor="text1"/>
          <w:szCs w:val="21"/>
          <w:highlight w:val="none"/>
          <w14:textFill>
            <w14:solidFill>
              <w14:schemeClr w14:val="tx1"/>
            </w14:solidFill>
          </w14:textFill>
        </w:rPr>
        <w:t>供应商的竞标报价应符合以下要求，否则响应文件按无效处理：</w:t>
      </w:r>
    </w:p>
    <w:p w14:paraId="1534B679">
      <w:pPr>
        <w:spacing w:line="360" w:lineRule="auto"/>
        <w:ind w:left="420"/>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（1）供应商必须就“采购需求”中所竞标的每个分标的全部内容分别作完整唯一总价报价，不得存在漏项报价；</w:t>
      </w:r>
    </w:p>
    <w:p w14:paraId="2248F801">
      <w:pPr>
        <w:numPr>
          <w:ilvl w:val="0"/>
          <w:numId w:val="1"/>
        </w:numPr>
        <w:spacing w:line="360" w:lineRule="auto"/>
        <w:ind w:firstLine="422"/>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供应商必须就所竞标的分标的单项内容作唯一报价。</w:t>
      </w:r>
    </w:p>
    <w:p w14:paraId="645F131B">
      <w:pPr>
        <w:numPr>
          <w:ilvl w:val="0"/>
          <w:numId w:val="1"/>
        </w:numPr>
        <w:spacing w:line="360" w:lineRule="auto"/>
        <w:ind w:firstLine="420"/>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供应商竞标报价（含总报价和单项报价）如明显低于其他通过符合性审查供应商的报价，有可能不能诚信履约的，磋商</w:t>
      </w:r>
      <w:r>
        <w:rPr>
          <w:rFonts w:ascii="宋体" w:hAnsi="宋体" w:cs="宋体"/>
          <w:b/>
          <w:bCs/>
          <w:color w:val="000000" w:themeColor="text1"/>
          <w:szCs w:val="21"/>
          <w:highlight w:val="none"/>
          <w14:textFill>
            <w14:solidFill>
              <w14:schemeClr w14:val="tx1"/>
            </w14:solidFill>
          </w14:textFill>
        </w:rPr>
        <w:t>小组可</w:t>
      </w:r>
      <w:r>
        <w:rPr>
          <w:rFonts w:ascii="ˎ̥" w:hAnsi="ˎ̥"/>
          <w:b/>
          <w:bCs/>
          <w:color w:val="000000" w:themeColor="text1"/>
          <w:sz w:val="22"/>
          <w:szCs w:val="22"/>
          <w:highlight w:val="none"/>
          <w14:textFill>
            <w14:solidFill>
              <w14:schemeClr w14:val="tx1"/>
            </w14:solidFill>
          </w14:textFill>
        </w:rPr>
        <w:t>要求其在评标现场合理的时间内提供书面说明</w:t>
      </w:r>
      <w:r>
        <w:rPr>
          <w:rFonts w:hint="eastAsia" w:ascii="宋体" w:hAnsi="宋体" w:cs="宋体"/>
          <w:b/>
          <w:bCs/>
          <w:color w:val="000000" w:themeColor="text1"/>
          <w:szCs w:val="21"/>
          <w:highlight w:val="none"/>
          <w14:textFill>
            <w14:solidFill>
              <w14:schemeClr w14:val="tx1"/>
            </w14:solidFill>
          </w14:textFill>
        </w:rPr>
        <w:t>。如无法提供说明，或者说明不足以证明合理性的，经磋商小组评定，响应文件按无效处理。</w:t>
      </w:r>
    </w:p>
    <w:p w14:paraId="2E6CDD5C">
      <w:pPr>
        <w:spacing w:line="360" w:lineRule="auto"/>
        <w:ind w:firstLine="422"/>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15.4.</w:t>
      </w:r>
      <w:r>
        <w:rPr>
          <w:rFonts w:ascii="宋体" w:hAnsi="宋体" w:cs="宋体"/>
          <w:b/>
          <w:bCs/>
          <w:color w:val="000000" w:themeColor="text1"/>
          <w:szCs w:val="21"/>
          <w:highlight w:val="none"/>
          <w14:textFill>
            <w14:solidFill>
              <w14:schemeClr w14:val="tx1"/>
            </w14:solidFill>
          </w14:textFill>
        </w:rPr>
        <w:t>2</w:t>
      </w:r>
      <w:r>
        <w:rPr>
          <w:rFonts w:hint="eastAsia" w:ascii="宋体" w:hAnsi="宋体" w:cs="宋体"/>
          <w:b/>
          <w:bCs/>
          <w:color w:val="000000" w:themeColor="text1"/>
          <w:szCs w:val="21"/>
          <w:highlight w:val="none"/>
          <w14:textFill>
            <w14:solidFill>
              <w14:schemeClr w14:val="tx1"/>
            </w14:solidFill>
          </w14:textFill>
        </w:rPr>
        <w:t>竞标报价（包含首次报价、最后报价）超过所竞标分标规定的采购预算金额或者最高限价的，其响应文件将按无效处理。</w:t>
      </w:r>
    </w:p>
    <w:p w14:paraId="2174D124">
      <w:pPr>
        <w:spacing w:line="360" w:lineRule="auto"/>
        <w:ind w:firstLine="422"/>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15.4.</w:t>
      </w:r>
      <w:r>
        <w:rPr>
          <w:rFonts w:ascii="宋体" w:hAnsi="宋体" w:cs="宋体"/>
          <w:b/>
          <w:bCs/>
          <w:color w:val="000000" w:themeColor="text1"/>
          <w:szCs w:val="21"/>
          <w:highlight w:val="none"/>
          <w14:textFill>
            <w14:solidFill>
              <w14:schemeClr w14:val="tx1"/>
            </w14:solidFill>
          </w14:textFill>
        </w:rPr>
        <w:t>3</w:t>
      </w:r>
      <w:bookmarkStart w:id="66" w:name="_Hlk42592874"/>
      <w:r>
        <w:rPr>
          <w:rFonts w:hint="eastAsia" w:ascii="宋体" w:hAnsi="宋体" w:cs="宋体"/>
          <w:b/>
          <w:bCs/>
          <w:color w:val="000000" w:themeColor="text1"/>
          <w:szCs w:val="21"/>
          <w:highlight w:val="none"/>
          <w14:textFill>
            <w14:solidFill>
              <w14:schemeClr w14:val="tx1"/>
            </w14:solidFill>
          </w14:textFill>
        </w:rPr>
        <w:t>竞标报价（包含首次报价、最后报价）超过分项采购预算金额或者最高限价的（如有要求），其响应文件将按无效处理。</w:t>
      </w:r>
    </w:p>
    <w:p w14:paraId="198806D5">
      <w:pPr>
        <w:spacing w:line="360" w:lineRule="auto"/>
        <w:ind w:firstLine="422"/>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15.4.4供应商在提交响应文件截止时间前修改竞标函中的竞标总报价，应同时修改响应文件“已标价工程量清单”(如有)中的相应报价。此修改须符合本须知正文第20条、第21条的有关要求。</w:t>
      </w:r>
      <w:bookmarkEnd w:id="66"/>
    </w:p>
    <w:p w14:paraId="127AC810">
      <w:pPr>
        <w:spacing w:line="360" w:lineRule="auto"/>
        <w:ind w:firstLine="482"/>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16.竞标有效期</w:t>
      </w:r>
    </w:p>
    <w:p w14:paraId="0B59C783">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16.1竞标有效期是指为保证采购人有足够的时间在提交响应文件后完成评审、确定成交供应商、合同签订等工作而要求供应商提交的响应文件在一定时间内保持有效的期限。</w:t>
      </w:r>
    </w:p>
    <w:p w14:paraId="0E479AD3">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16.2 竞标有效期应由供应商按“供应商须知前附表”规定的期限作出响应。</w:t>
      </w:r>
    </w:p>
    <w:p w14:paraId="6C0B46E6">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16.3供应商的响应文件在竞标有效期内均保持有效。</w:t>
      </w:r>
    </w:p>
    <w:p w14:paraId="07ABD2E1">
      <w:pPr>
        <w:spacing w:line="360" w:lineRule="auto"/>
        <w:ind w:firstLine="482"/>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17.磋商保证金</w:t>
      </w:r>
    </w:p>
    <w:p w14:paraId="65C5B5D0">
      <w:pPr>
        <w:spacing w:line="360" w:lineRule="auto"/>
        <w:ind w:left="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17.1供应商须按“供应商须知前附表”的规定提交磋商保证金。</w:t>
      </w:r>
    </w:p>
    <w:p w14:paraId="6CDCCF9E">
      <w:pPr>
        <w:spacing w:line="360" w:lineRule="auto"/>
        <w:ind w:left="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17.2磋商保证金的退还</w:t>
      </w:r>
    </w:p>
    <w:p w14:paraId="6E15BF2E">
      <w:pPr>
        <w:spacing w:line="360" w:lineRule="auto"/>
        <w:ind w:firstLine="420"/>
        <w:rPr>
          <w:rFonts w:hint="eastAsia" w:ascii="宋体" w:hAnsi="宋体" w:cs="宋体"/>
          <w:color w:val="000000" w:themeColor="text1"/>
          <w:szCs w:val="21"/>
          <w:highlight w:val="none"/>
          <w14:textFill>
            <w14:solidFill>
              <w14:schemeClr w14:val="tx1"/>
            </w14:solidFill>
          </w14:textFill>
        </w:rPr>
      </w:pPr>
      <w:bookmarkStart w:id="67" w:name="_Hlk66782243"/>
      <w:r>
        <w:rPr>
          <w:rFonts w:hint="eastAsia" w:ascii="宋体" w:hAnsi="宋体" w:cs="宋体"/>
          <w:color w:val="000000" w:themeColor="text1"/>
          <w:szCs w:val="21"/>
          <w:highlight w:val="none"/>
          <w14:textFill>
            <w14:solidFill>
              <w14:schemeClr w14:val="tx1"/>
            </w14:solidFill>
          </w14:textFill>
        </w:rPr>
        <w:t>未成交供应商的磋商保证金自成交通知书发出之日起5个工作日内退还；成交供应商的磋商保证金自签订合同之日起5个工作日内退还或者转为成交供应商的履约保证金。</w:t>
      </w:r>
      <w:bookmarkEnd w:id="67"/>
    </w:p>
    <w:p w14:paraId="53543F5F">
      <w:pPr>
        <w:spacing w:line="360" w:lineRule="auto"/>
        <w:ind w:left="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17.3磋商保证金不计息。</w:t>
      </w:r>
    </w:p>
    <w:p w14:paraId="620FFC7F">
      <w:pPr>
        <w:spacing w:line="360" w:lineRule="auto"/>
        <w:ind w:left="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17.4供应商有下列情形之一的，磋商保证金将不予退还： </w:t>
      </w:r>
    </w:p>
    <w:p w14:paraId="1A567DF0">
      <w:pPr>
        <w:spacing w:line="360" w:lineRule="auto"/>
        <w:ind w:left="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（1）供应商在提交响应文件截止时间后撤回响应文件的；</w:t>
      </w:r>
    </w:p>
    <w:p w14:paraId="032A25F3">
      <w:pPr>
        <w:spacing w:line="360" w:lineRule="auto"/>
        <w:ind w:left="420"/>
        <w:rPr>
          <w:rFonts w:hint="eastAsia"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（2）未按规定提交履约保证金的；</w:t>
      </w:r>
    </w:p>
    <w:p w14:paraId="02FE92E1">
      <w:pPr>
        <w:spacing w:line="360" w:lineRule="auto"/>
        <w:ind w:left="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（3）供应商在响应文件中提供虚假材料的；</w:t>
      </w:r>
    </w:p>
    <w:p w14:paraId="7B556CAC">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（4）除因不可抗力或者磋商文件认可的情形以外，成交供应商不与采购人签订合同的；</w:t>
      </w:r>
    </w:p>
    <w:p w14:paraId="1736F666">
      <w:pPr>
        <w:spacing w:line="360" w:lineRule="auto"/>
        <w:ind w:left="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（5）供应商与采购人、其他供应商或者采购代理机构恶意串通的；</w:t>
      </w:r>
    </w:p>
    <w:p w14:paraId="329752E4">
      <w:pPr>
        <w:spacing w:line="360" w:lineRule="auto"/>
        <w:ind w:left="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（6）法律法规规定的其他情形。</w:t>
      </w:r>
    </w:p>
    <w:p w14:paraId="7253B244">
      <w:pPr>
        <w:spacing w:line="360" w:lineRule="auto"/>
        <w:ind w:firstLine="482"/>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18.响应文件编制的要求</w:t>
      </w:r>
    </w:p>
    <w:p w14:paraId="0FEAD8D0">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18.1供应商应先安装“广西政府采购云电子交易客户端”（请自行前往广西政府采购云平台进行下载），并按照本项目磋商文件规定的格式和顺序和广西政府采购云平台的要求编制并加密。响应文件内容不完整、编排混乱导致响应文件被误读、漏读或者查找不到相关内容的，由此引发的后果由供应商承担。</w:t>
      </w:r>
    </w:p>
    <w:p w14:paraId="3F8C4BA6">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18.2为确保网上操作合法、有效和安全，供应商应当在提交响应文件截止时间前完成在广西政府采购云平台的身份认证，确保在电子竞标过程中能够对相关数据电文进行加密和使用电子签章。</w:t>
      </w:r>
    </w:p>
    <w:p w14:paraId="043EFFF7">
      <w:pPr>
        <w:spacing w:line="360" w:lineRule="auto"/>
        <w:ind w:firstLine="422"/>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18.3响应文件须由供应商在规定位置签字、盖章（具体以供应商须知前附表或响应文件格式规定为准），否则按无效响应处理。</w:t>
      </w:r>
    </w:p>
    <w:p w14:paraId="7FEE6657">
      <w:pPr>
        <w:spacing w:line="360" w:lineRule="auto"/>
        <w:ind w:firstLine="422"/>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18.4响应文件中标注的供应商名称应与主体资格证明（如营业执照或者事业单位法人证书或者执业许可证或者登记证书等）及公章一致，否则其响应文件按无效处理。</w:t>
      </w:r>
    </w:p>
    <w:p w14:paraId="77D91FF9">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5FAC83C6">
      <w:pPr>
        <w:spacing w:line="360" w:lineRule="auto"/>
        <w:ind w:firstLine="482"/>
        <w:rPr>
          <w:rFonts w:hint="eastAsia" w:ascii="黑体" w:hAnsi="黑体" w:eastAsia="黑体"/>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19.电子</w:t>
      </w:r>
      <w:r>
        <w:rPr>
          <w:rFonts w:hint="eastAsia" w:ascii="黑体" w:hAnsi="黑体" w:eastAsia="黑体"/>
          <w:b/>
          <w:color w:val="000000" w:themeColor="text1"/>
          <w:sz w:val="24"/>
          <w:highlight w:val="none"/>
          <w14:textFill>
            <w14:solidFill>
              <w14:schemeClr w14:val="tx1"/>
            </w14:solidFill>
          </w14:textFill>
        </w:rPr>
        <w:t>备份响应文件</w:t>
      </w:r>
    </w:p>
    <w:p w14:paraId="7848278E">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电子备份响应文件是指通过“广西政府采购云电子投标客户端”在线编制生成且后缀名为“</w:t>
      </w:r>
      <w:r>
        <w:rPr>
          <w:color w:val="000000" w:themeColor="text1"/>
          <w:highlight w:val="none"/>
          <w14:textFill>
            <w14:solidFill>
              <w14:schemeClr w14:val="tx1"/>
            </w14:solidFill>
          </w14:textFill>
        </w:rPr>
        <w:t>bfbs</w:t>
      </w:r>
      <w:r>
        <w:rPr>
          <w:rFonts w:hint="eastAsia"/>
          <w:color w:val="000000" w:themeColor="text1"/>
          <w:highlight w:val="none"/>
          <w14:textFill>
            <w14:solidFill>
              <w14:schemeClr w14:val="tx1"/>
            </w14:solidFill>
          </w14:textFill>
        </w:rPr>
        <w:t>”的文件，是否接受电子备份响应文件</w:t>
      </w:r>
      <w:r>
        <w:rPr>
          <w:rFonts w:hint="eastAsia" w:hAnsi="宋体"/>
          <w:bCs/>
          <w:color w:val="000000" w:themeColor="text1"/>
          <w:szCs w:val="21"/>
          <w:highlight w:val="none"/>
          <w14:textFill>
            <w14:solidFill>
              <w14:schemeClr w14:val="tx1"/>
            </w14:solidFill>
          </w14:textFill>
        </w:rPr>
        <w:t>详见“供应商须知前附表”。</w:t>
      </w:r>
    </w:p>
    <w:p w14:paraId="0322709F">
      <w:pPr>
        <w:spacing w:line="360" w:lineRule="auto"/>
        <w:ind w:firstLine="482"/>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20.响应文件的提交</w:t>
      </w:r>
    </w:p>
    <w:p w14:paraId="5B4724F4">
      <w:pPr>
        <w:spacing w:line="360" w:lineRule="auto"/>
        <w:ind w:firstLine="420"/>
        <w:rPr>
          <w:rFonts w:hint="eastAsia" w:hAnsi="宋体"/>
          <w:b/>
          <w:color w:val="000000" w:themeColor="text1"/>
          <w:highlight w:val="none"/>
          <w14:textFill>
            <w14:solidFill>
              <w14:schemeClr w14:val="tx1"/>
            </w14:solidFill>
          </w14:textFill>
        </w:rPr>
      </w:pPr>
      <w:r>
        <w:rPr>
          <w:rFonts w:hint="eastAsia" w:hAnsi="宋体"/>
          <w:bCs/>
          <w:color w:val="000000" w:themeColor="text1"/>
          <w:szCs w:val="21"/>
          <w:highlight w:val="none"/>
          <w14:textFill>
            <w14:solidFill>
              <w14:schemeClr w14:val="tx1"/>
            </w14:solidFill>
          </w14:textFill>
        </w:rPr>
        <w:t>20.1供应商必须按“供应商须知前附表”规定的</w:t>
      </w:r>
      <w:r>
        <w:rPr>
          <w:rFonts w:hint="eastAsia" w:ascii="宋体" w:hAnsi="宋体" w:cs="宋体"/>
          <w:color w:val="000000" w:themeColor="text1"/>
          <w:szCs w:val="21"/>
          <w:highlight w:val="none"/>
          <w14:textFill>
            <w14:solidFill>
              <w14:schemeClr w14:val="tx1"/>
            </w14:solidFill>
          </w14:textFill>
        </w:rPr>
        <w:t>时间</w:t>
      </w:r>
      <w:r>
        <w:rPr>
          <w:rFonts w:hint="eastAsia" w:ascii="宋体" w:hAnsi="宋体"/>
          <w:color w:val="000000" w:themeColor="text1"/>
          <w:szCs w:val="21"/>
          <w:highlight w:val="none"/>
          <w14:textFill>
            <w14:solidFill>
              <w14:schemeClr w14:val="tx1"/>
            </w14:solidFill>
          </w14:textFill>
        </w:rPr>
        <w:t>及</w:t>
      </w:r>
      <w:r>
        <w:rPr>
          <w:rFonts w:hint="eastAsia" w:hAnsi="宋体"/>
          <w:bCs/>
          <w:color w:val="000000" w:themeColor="text1"/>
          <w:szCs w:val="21"/>
          <w:highlight w:val="none"/>
          <w14:textFill>
            <w14:solidFill>
              <w14:schemeClr w14:val="tx1"/>
            </w14:solidFill>
          </w14:textFill>
        </w:rPr>
        <w:t>地点提交响应文件。电子响应文件应在制作完成后，</w:t>
      </w:r>
      <w:r>
        <w:rPr>
          <w:rFonts w:hAnsi="宋体"/>
          <w:bCs/>
          <w:color w:val="000000" w:themeColor="text1"/>
          <w:szCs w:val="21"/>
          <w:highlight w:val="none"/>
          <w14:textFill>
            <w14:solidFill>
              <w14:schemeClr w14:val="tx1"/>
            </w14:solidFill>
          </w14:textFill>
        </w:rPr>
        <w:t>在</w:t>
      </w:r>
      <w:r>
        <w:rPr>
          <w:rFonts w:hint="eastAsia" w:hAnsi="宋体"/>
          <w:bCs/>
          <w:color w:val="000000" w:themeColor="text1"/>
          <w:szCs w:val="21"/>
          <w:highlight w:val="none"/>
          <w14:textFill>
            <w14:solidFill>
              <w14:schemeClr w14:val="tx1"/>
            </w14:solidFill>
          </w14:textFill>
        </w:rPr>
        <w:t>提交响应文件截止</w:t>
      </w:r>
      <w:r>
        <w:rPr>
          <w:rFonts w:hAnsi="宋体"/>
          <w:bCs/>
          <w:color w:val="000000" w:themeColor="text1"/>
          <w:szCs w:val="21"/>
          <w:highlight w:val="none"/>
          <w14:textFill>
            <w14:solidFill>
              <w14:schemeClr w14:val="tx1"/>
            </w14:solidFill>
          </w14:textFill>
        </w:rPr>
        <w:t>时间前</w:t>
      </w:r>
      <w:r>
        <w:rPr>
          <w:rFonts w:hint="eastAsia" w:hAnsi="宋体"/>
          <w:bCs/>
          <w:color w:val="000000" w:themeColor="text1"/>
          <w:szCs w:val="21"/>
          <w:highlight w:val="none"/>
          <w14:textFill>
            <w14:solidFill>
              <w14:schemeClr w14:val="tx1"/>
            </w14:solidFill>
          </w14:textFill>
        </w:rPr>
        <w:t>通过有效数字证书（CA认证锁）进行电子签章、加密，然后通过网络将加密的电子响应文件提交至</w:t>
      </w:r>
      <w:r>
        <w:rPr>
          <w:rFonts w:hint="eastAsia" w:ascii="宋体" w:hAnsi="宋体"/>
          <w:color w:val="000000" w:themeColor="text1"/>
          <w:szCs w:val="21"/>
          <w:highlight w:val="none"/>
          <w14:textFill>
            <w14:solidFill>
              <w14:schemeClr w14:val="tx1"/>
            </w14:solidFill>
          </w14:textFill>
        </w:rPr>
        <w:t>广西政府采购云平台</w:t>
      </w:r>
      <w:r>
        <w:rPr>
          <w:rFonts w:hint="eastAsia" w:hAnsi="宋体"/>
          <w:bCs/>
          <w:color w:val="000000" w:themeColor="text1"/>
          <w:szCs w:val="21"/>
          <w:highlight w:val="none"/>
          <w14:textFill>
            <w14:solidFill>
              <w14:schemeClr w14:val="tx1"/>
            </w14:solidFill>
          </w14:textFill>
        </w:rPr>
        <w:t>。</w:t>
      </w:r>
    </w:p>
    <w:p w14:paraId="53619064">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20.</w:t>
      </w: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未在规定时间内提交或者未按照磋商文件要求加密的电子响应文件，广西政府采购云平台将拒收。</w:t>
      </w:r>
    </w:p>
    <w:p w14:paraId="60ED1E73">
      <w:pPr>
        <w:spacing w:line="360" w:lineRule="auto"/>
        <w:ind w:firstLine="482"/>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21.首次响应文件的补充、修改与撤回</w:t>
      </w:r>
    </w:p>
    <w:p w14:paraId="03B5FE9E">
      <w:pPr>
        <w:spacing w:line="360" w:lineRule="auto"/>
        <w:ind w:firstLine="420"/>
        <w:rPr>
          <w:rFonts w:hint="eastAsia" w:hAnsi="宋体"/>
          <w:bCs/>
          <w:color w:val="000000" w:themeColor="text1"/>
          <w:szCs w:val="21"/>
          <w:highlight w:val="none"/>
          <w14:textFill>
            <w14:solidFill>
              <w14:schemeClr w14:val="tx1"/>
            </w14:solidFill>
          </w14:textFill>
        </w:rPr>
      </w:pPr>
      <w:bookmarkStart w:id="68" w:name="_Toc254970684"/>
      <w:bookmarkStart w:id="69" w:name="_Toc254970543"/>
      <w:r>
        <w:rPr>
          <w:rFonts w:hAnsi="宋体"/>
          <w:bCs/>
          <w:color w:val="000000" w:themeColor="text1"/>
          <w:szCs w:val="21"/>
          <w:highlight w:val="none"/>
          <w14:textFill>
            <w14:solidFill>
              <w14:schemeClr w14:val="tx1"/>
            </w14:solidFill>
          </w14:textFill>
        </w:rPr>
        <w:t>2</w:t>
      </w:r>
      <w:r>
        <w:rPr>
          <w:rFonts w:hint="eastAsia" w:hAnsi="宋体"/>
          <w:bCs/>
          <w:color w:val="000000" w:themeColor="text1"/>
          <w:szCs w:val="21"/>
          <w:highlight w:val="none"/>
          <w14:textFill>
            <w14:solidFill>
              <w14:schemeClr w14:val="tx1"/>
            </w14:solidFill>
          </w14:textFill>
        </w:rPr>
        <w:t>1.1供应商应当在提交响应文件截止</w:t>
      </w:r>
      <w:r>
        <w:rPr>
          <w:rFonts w:hAnsi="宋体"/>
          <w:bCs/>
          <w:color w:val="000000" w:themeColor="text1"/>
          <w:szCs w:val="21"/>
          <w:highlight w:val="none"/>
          <w14:textFill>
            <w14:solidFill>
              <w14:schemeClr w14:val="tx1"/>
            </w14:solidFill>
          </w14:textFill>
        </w:rPr>
        <w:t>时间</w:t>
      </w:r>
      <w:r>
        <w:rPr>
          <w:rFonts w:hint="eastAsia" w:hAnsi="宋体"/>
          <w:bCs/>
          <w:color w:val="000000" w:themeColor="text1"/>
          <w:szCs w:val="21"/>
          <w:highlight w:val="none"/>
          <w14:textFill>
            <w14:solidFill>
              <w14:schemeClr w14:val="tx1"/>
            </w14:solidFill>
          </w14:textFill>
        </w:rPr>
        <w:t>前完成电子响应文件的提交（上传），提交响应文件截止</w:t>
      </w:r>
      <w:r>
        <w:rPr>
          <w:rFonts w:hAnsi="宋体"/>
          <w:bCs/>
          <w:color w:val="000000" w:themeColor="text1"/>
          <w:szCs w:val="21"/>
          <w:highlight w:val="none"/>
          <w14:textFill>
            <w14:solidFill>
              <w14:schemeClr w14:val="tx1"/>
            </w14:solidFill>
          </w14:textFill>
        </w:rPr>
        <w:t>时间</w:t>
      </w:r>
      <w:r>
        <w:rPr>
          <w:rFonts w:hint="eastAsia" w:hAnsi="宋体"/>
          <w:bCs/>
          <w:color w:val="000000" w:themeColor="text1"/>
          <w:szCs w:val="21"/>
          <w:highlight w:val="none"/>
          <w14:textFill>
            <w14:solidFill>
              <w14:schemeClr w14:val="tx1"/>
            </w14:solidFill>
          </w14:textFill>
        </w:rPr>
        <w:t>前可以补充、修改或者撤回响应文件。补充或者修改响应文件的，应当先行撤回原响应文件，补充、修改后重新提交（上传），提交响应文件截止</w:t>
      </w:r>
      <w:r>
        <w:rPr>
          <w:rFonts w:hAnsi="宋体"/>
          <w:bCs/>
          <w:color w:val="000000" w:themeColor="text1"/>
          <w:szCs w:val="21"/>
          <w:highlight w:val="none"/>
          <w14:textFill>
            <w14:solidFill>
              <w14:schemeClr w14:val="tx1"/>
            </w14:solidFill>
          </w14:textFill>
        </w:rPr>
        <w:t>时间</w:t>
      </w:r>
      <w:r>
        <w:rPr>
          <w:rFonts w:hint="eastAsia" w:hAnsi="宋体"/>
          <w:bCs/>
          <w:color w:val="000000" w:themeColor="text1"/>
          <w:szCs w:val="21"/>
          <w:highlight w:val="none"/>
          <w14:textFill>
            <w14:solidFill>
              <w14:schemeClr w14:val="tx1"/>
            </w14:solidFill>
          </w14:textFill>
        </w:rPr>
        <w:t>前未完成提交（上传）的，视为撤回响应文件。提交响应文件截止</w:t>
      </w:r>
      <w:r>
        <w:rPr>
          <w:rFonts w:hAnsi="宋体"/>
          <w:bCs/>
          <w:color w:val="000000" w:themeColor="text1"/>
          <w:szCs w:val="21"/>
          <w:highlight w:val="none"/>
          <w14:textFill>
            <w14:solidFill>
              <w14:schemeClr w14:val="tx1"/>
            </w14:solidFill>
          </w14:textFill>
        </w:rPr>
        <w:t>时间</w:t>
      </w:r>
      <w:r>
        <w:rPr>
          <w:rFonts w:hint="eastAsia" w:hAnsi="宋体"/>
          <w:bCs/>
          <w:color w:val="000000" w:themeColor="text1"/>
          <w:szCs w:val="21"/>
          <w:highlight w:val="none"/>
          <w14:textFill>
            <w14:solidFill>
              <w14:schemeClr w14:val="tx1"/>
            </w14:solidFill>
          </w14:textFill>
        </w:rPr>
        <w:t>以后提交（上传）的响应文件，广西政府采购云平台将予以拒收。（注：补充、修改或者撤回方式可登录广西政府采购云平台，进入“服务中心”中查看“电子投标文件制作与投送教程”）</w:t>
      </w:r>
      <w:bookmarkEnd w:id="68"/>
      <w:bookmarkEnd w:id="69"/>
    </w:p>
    <w:p w14:paraId="77F5A8E5">
      <w:pPr>
        <w:pStyle w:val="300"/>
        <w:spacing w:before="0"/>
        <w:ind w:firstLine="420"/>
        <w:rPr>
          <w:rFonts w:hint="eastAsia" w:ascii="宋体" w:hAnsi="宋体" w:cs="宋体"/>
          <w:color w:val="000000" w:themeColor="text1"/>
          <w:sz w:val="21"/>
          <w:szCs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14:textFill>
            <w14:solidFill>
              <w14:schemeClr w14:val="tx1"/>
            </w14:solidFill>
          </w14:textFill>
        </w:rPr>
        <w:t>1</w:t>
      </w:r>
      <w:r>
        <w:rPr>
          <w:rFonts w:ascii="宋体" w:hAnsi="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14:textFill>
            <w14:solidFill>
              <w14:schemeClr w14:val="tx1"/>
            </w14:solidFill>
          </w14:textFill>
        </w:rPr>
        <w:t>2在提交响应文件截止时间前，除供应商补充、修改或者撤回响应文件外，任何单位和个人不得解密或提取响应文件。</w:t>
      </w:r>
    </w:p>
    <w:p w14:paraId="265D4D8F">
      <w:pPr>
        <w:spacing w:line="360" w:lineRule="auto"/>
        <w:ind w:firstLine="482"/>
        <w:rPr>
          <w:rFonts w:hint="eastAsia" w:ascii="黑体" w:hAnsi="黑体" w:eastAsia="黑体" w:cs="宋体"/>
          <w:b/>
          <w:bCs/>
          <w:color w:val="000000" w:themeColor="text1"/>
          <w:sz w:val="24"/>
          <w:highlight w:val="none"/>
          <w14:textFill>
            <w14:solidFill>
              <w14:schemeClr w14:val="tx1"/>
            </w14:solidFill>
          </w14:textFill>
        </w:rPr>
      </w:pPr>
      <w:bookmarkStart w:id="70" w:name="_Hlk45702405"/>
      <w:r>
        <w:rPr>
          <w:rFonts w:hint="eastAsia" w:ascii="黑体" w:hAnsi="黑体" w:eastAsia="黑体" w:cs="宋体"/>
          <w:b/>
          <w:bCs/>
          <w:color w:val="000000" w:themeColor="text1"/>
          <w:sz w:val="24"/>
          <w:highlight w:val="none"/>
          <w14:textFill>
            <w14:solidFill>
              <w14:schemeClr w14:val="tx1"/>
            </w14:solidFill>
          </w14:textFill>
        </w:rPr>
        <w:t>22.响应文件的退回</w:t>
      </w:r>
    </w:p>
    <w:p w14:paraId="64751DDF">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采购人和采购代理机构对已提交的响应文件概不退回。</w:t>
      </w:r>
    </w:p>
    <w:p w14:paraId="7C07D351">
      <w:pPr>
        <w:spacing w:line="360" w:lineRule="auto"/>
        <w:ind w:firstLine="482"/>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23.截止时间后的撤回</w:t>
      </w:r>
    </w:p>
    <w:p w14:paraId="5342CC6D">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供应商在响应文件提交截止时间后向采购人、采购代理机构书面申请撤回响应文件的，将根据本须知正文第17.4条的规定不予退还其磋商保证金。</w:t>
      </w:r>
      <w:bookmarkEnd w:id="70"/>
    </w:p>
    <w:p w14:paraId="44A95122">
      <w:pPr>
        <w:spacing w:line="360" w:lineRule="auto"/>
        <w:rPr>
          <w:rFonts w:hint="eastAsia" w:ascii="宋体" w:hAnsi="宋体"/>
          <w:color w:val="000000" w:themeColor="text1"/>
          <w:szCs w:val="21"/>
          <w:highlight w:val="none"/>
          <w14:textFill>
            <w14:solidFill>
              <w14:schemeClr w14:val="tx1"/>
            </w14:solidFill>
          </w14:textFill>
        </w:rPr>
      </w:pPr>
    </w:p>
    <w:p w14:paraId="2E9A4F88">
      <w:pPr>
        <w:spacing w:line="360" w:lineRule="auto"/>
        <w:ind w:left="420" w:firstLine="420"/>
        <w:jc w:val="center"/>
        <w:rPr>
          <w:rFonts w:hint="eastAsia"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四、评审及磋商</w:t>
      </w:r>
    </w:p>
    <w:p w14:paraId="70E9E780">
      <w:pPr>
        <w:spacing w:line="360" w:lineRule="auto"/>
        <w:ind w:left="420" w:firstLine="420"/>
        <w:rPr>
          <w:rFonts w:hint="eastAsia" w:ascii="宋体" w:hAnsi="宋体"/>
          <w:color w:val="000000" w:themeColor="text1"/>
          <w:szCs w:val="21"/>
          <w:highlight w:val="none"/>
          <w14:textFill>
            <w14:solidFill>
              <w14:schemeClr w14:val="tx1"/>
            </w14:solidFill>
          </w14:textFill>
        </w:rPr>
      </w:pPr>
    </w:p>
    <w:p w14:paraId="58630432">
      <w:pPr>
        <w:spacing w:line="360" w:lineRule="auto"/>
        <w:ind w:firstLine="482"/>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24.磋商小组成立</w:t>
      </w:r>
    </w:p>
    <w:p w14:paraId="69A4E52D">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w:t>
      </w:r>
    </w:p>
    <w:p w14:paraId="75F8E894">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68FF71EB">
      <w:pPr>
        <w:spacing w:line="360" w:lineRule="auto"/>
        <w:ind w:firstLine="420"/>
        <w:rPr>
          <w:rFonts w:hint="eastAsia" w:hAnsi="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24.3</w:t>
      </w:r>
      <w:r>
        <w:rPr>
          <w:rFonts w:hint="eastAsia" w:hAnsi="宋体"/>
          <w:bCs/>
          <w:color w:val="000000" w:themeColor="text1"/>
          <w:szCs w:val="21"/>
          <w:highlight w:val="none"/>
          <w14:textFill>
            <w14:solidFill>
              <w14:schemeClr w14:val="tx1"/>
            </w14:solidFill>
          </w14:textFill>
        </w:rPr>
        <w:t>采购代理机构</w:t>
      </w:r>
      <w:r>
        <w:rPr>
          <w:rFonts w:hint="eastAsia" w:hAnsi="宋体"/>
          <w:bCs/>
          <w:color w:val="000000" w:themeColor="text1"/>
          <w:highlight w:val="none"/>
          <w14:textFill>
            <w14:solidFill>
              <w14:schemeClr w14:val="tx1"/>
            </w14:solidFill>
          </w14:textFill>
        </w:rPr>
        <w:t>应当</w:t>
      </w:r>
      <w:r>
        <w:rPr>
          <w:rFonts w:hint="eastAsia" w:hAnsi="宋体"/>
          <w:bCs/>
          <w:color w:val="000000" w:themeColor="text1"/>
          <w:szCs w:val="21"/>
          <w:highlight w:val="none"/>
          <w14:textFill>
            <w14:solidFill>
              <w14:schemeClr w14:val="tx1"/>
            </w14:solidFill>
          </w14:textFill>
        </w:rPr>
        <w:t>基于广西政府采购云平台</w:t>
      </w:r>
      <w:r>
        <w:rPr>
          <w:rFonts w:hint="eastAsia" w:hAnsi="宋体"/>
          <w:bCs/>
          <w:color w:val="000000" w:themeColor="text1"/>
          <w:highlight w:val="none"/>
          <w14:textFill>
            <w14:solidFill>
              <w14:schemeClr w14:val="tx1"/>
            </w14:solidFill>
          </w14:textFill>
        </w:rPr>
        <w:t>抽（选）取</w:t>
      </w:r>
      <w:r>
        <w:rPr>
          <w:rFonts w:hint="eastAsia" w:hAnsi="宋体"/>
          <w:bCs/>
          <w:color w:val="000000" w:themeColor="text1"/>
          <w:szCs w:val="21"/>
          <w:highlight w:val="none"/>
          <w14:textFill>
            <w14:solidFill>
              <w14:schemeClr w14:val="tx1"/>
            </w14:solidFill>
          </w14:textFill>
        </w:rPr>
        <w:t>评审专家。</w:t>
      </w:r>
    </w:p>
    <w:p w14:paraId="51229F38">
      <w:pPr>
        <w:spacing w:line="360" w:lineRule="auto"/>
        <w:ind w:firstLine="420"/>
        <w:rPr>
          <w:rFonts w:hint="eastAsia" w:hAnsi="宋体"/>
          <w:bCs/>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24.4参加过采购项目前期咨询论证的专家，不得参加该采购项目的评审活动。</w:t>
      </w:r>
    </w:p>
    <w:p w14:paraId="2AC243D3">
      <w:pPr>
        <w:spacing w:line="360" w:lineRule="auto"/>
        <w:ind w:firstLine="482"/>
        <w:rPr>
          <w:rFonts w:hint="eastAsia"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25.</w:t>
      </w:r>
      <w:r>
        <w:rPr>
          <w:rFonts w:hint="eastAsia" w:ascii="黑体" w:hAnsi="黑体" w:eastAsia="黑体" w:cs="宋体"/>
          <w:b/>
          <w:bCs/>
          <w:color w:val="000000" w:themeColor="text1"/>
          <w:sz w:val="24"/>
          <w:highlight w:val="none"/>
          <w14:textFill>
            <w14:solidFill>
              <w14:schemeClr w14:val="tx1"/>
            </w14:solidFill>
          </w14:textFill>
        </w:rPr>
        <w:t>首次响应文件的开启和解密</w:t>
      </w:r>
    </w:p>
    <w:p w14:paraId="79B0CE5D">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采购代理机构将在“供应商须知前附表”规定的时</w:t>
      </w:r>
      <w:r>
        <w:rPr>
          <w:rFonts w:hint="eastAsia" w:hAnsi="宋体"/>
          <w:color w:val="000000" w:themeColor="text1"/>
          <w:highlight w:val="none"/>
          <w14:textFill>
            <w14:solidFill>
              <w14:schemeClr w14:val="tx1"/>
            </w14:solidFill>
          </w14:textFill>
        </w:rPr>
        <w:t>间通过电子交易平台组织响应文件开启，供应商的法定代表人或其委托代理人须携带加密时所用的CA锁，按平台提示和磋商文件的规定登录到广西政府采购云平台电子开标大厅签到，</w:t>
      </w:r>
      <w:r>
        <w:rPr>
          <w:rFonts w:hint="eastAsia"/>
          <w:color w:val="000000" w:themeColor="text1"/>
          <w:highlight w:val="none"/>
          <w14:textFill>
            <w14:solidFill>
              <w14:schemeClr w14:val="tx1"/>
            </w14:solidFill>
          </w14:textFill>
        </w:rPr>
        <w:t>采购代理机构依托广西政府采购云平台向各供应商发出电子加密响应文件【开始解密】通知，由供应商按</w:t>
      </w:r>
      <w:r>
        <w:rPr>
          <w:rFonts w:hint="eastAsia" w:hAnsi="宋体"/>
          <w:bCs/>
          <w:color w:val="000000" w:themeColor="text1"/>
          <w:szCs w:val="21"/>
          <w:highlight w:val="none"/>
          <w14:textFill>
            <w14:solidFill>
              <w14:schemeClr w14:val="tx1"/>
            </w14:solidFill>
          </w14:textFill>
        </w:rPr>
        <w:t>“供应商须知前附表”</w:t>
      </w:r>
      <w:r>
        <w:rPr>
          <w:rFonts w:hint="eastAsia"/>
          <w:color w:val="000000" w:themeColor="text1"/>
          <w:highlight w:val="none"/>
          <w14:textFill>
            <w14:solidFill>
              <w14:schemeClr w14:val="tx1"/>
            </w14:solidFill>
          </w14:textFill>
        </w:rPr>
        <w:t>规定的时间内自行进行响应文件解密</w:t>
      </w:r>
      <w:r>
        <w:rPr>
          <w:rFonts w:hint="eastAsia" w:hAnsi="宋体"/>
          <w:color w:val="000000" w:themeColor="text1"/>
          <w:highlight w:val="none"/>
          <w14:textFill>
            <w14:solidFill>
              <w14:schemeClr w14:val="tx1"/>
            </w14:solidFill>
          </w14:textFill>
        </w:rPr>
        <w:t>。</w:t>
      </w:r>
      <w:r>
        <w:rPr>
          <w:rFonts w:hint="eastAsia"/>
          <w:b/>
          <w:color w:val="000000" w:themeColor="text1"/>
          <w:highlight w:val="none"/>
          <w14:textFill>
            <w14:solidFill>
              <w14:schemeClr w14:val="tx1"/>
            </w14:solidFill>
          </w14:textFill>
        </w:rPr>
        <w:t>供应商未在</w:t>
      </w:r>
      <w:r>
        <w:rPr>
          <w:b/>
          <w:color w:val="000000" w:themeColor="text1"/>
          <w:highlight w:val="none"/>
          <w14:textFill>
            <w14:solidFill>
              <w14:schemeClr w14:val="tx1"/>
            </w14:solidFill>
          </w14:textFill>
        </w:rPr>
        <w:t>规定的时间内解密</w:t>
      </w:r>
      <w:r>
        <w:rPr>
          <w:rFonts w:hint="eastAsia"/>
          <w:b/>
          <w:color w:val="000000" w:themeColor="text1"/>
          <w:highlight w:val="none"/>
          <w14:textFill>
            <w14:solidFill>
              <w14:schemeClr w14:val="tx1"/>
            </w14:solidFill>
          </w14:textFill>
        </w:rPr>
        <w:t>响应文件</w:t>
      </w:r>
      <w:r>
        <w:rPr>
          <w:b/>
          <w:color w:val="000000" w:themeColor="text1"/>
          <w:highlight w:val="none"/>
          <w14:textFill>
            <w14:solidFill>
              <w14:schemeClr w14:val="tx1"/>
            </w14:solidFill>
          </w14:textFill>
        </w:rPr>
        <w:t>或</w:t>
      </w:r>
      <w:r>
        <w:rPr>
          <w:rFonts w:hint="eastAsia"/>
          <w:b/>
          <w:color w:val="000000" w:themeColor="text1"/>
          <w:highlight w:val="none"/>
          <w14:textFill>
            <w14:solidFill>
              <w14:schemeClr w14:val="tx1"/>
            </w14:solidFill>
          </w14:textFill>
        </w:rPr>
        <w:t>者</w:t>
      </w:r>
      <w:r>
        <w:rPr>
          <w:b/>
          <w:color w:val="000000" w:themeColor="text1"/>
          <w:highlight w:val="none"/>
          <w14:textFill>
            <w14:solidFill>
              <w14:schemeClr w14:val="tx1"/>
            </w14:solidFill>
          </w14:textFill>
        </w:rPr>
        <w:t>解密失败的</w:t>
      </w:r>
      <w:r>
        <w:rPr>
          <w:rFonts w:hint="eastAsia"/>
          <w:b/>
          <w:color w:val="000000" w:themeColor="text1"/>
          <w:highlight w:val="none"/>
          <w14:textFill>
            <w14:solidFill>
              <w14:schemeClr w14:val="tx1"/>
            </w14:solidFill>
          </w14:textFill>
        </w:rPr>
        <w:t>，供应商</w:t>
      </w:r>
      <w:r>
        <w:rPr>
          <w:rFonts w:hint="eastAsia" w:ascii="宋体" w:hAnsi="宋体"/>
          <w:b/>
          <w:color w:val="000000" w:themeColor="text1"/>
          <w:szCs w:val="21"/>
          <w:highlight w:val="none"/>
          <w14:textFill>
            <w14:solidFill>
              <w14:schemeClr w14:val="tx1"/>
            </w14:solidFill>
          </w14:textFill>
        </w:rPr>
        <w:t>的响应文件按无效处理</w:t>
      </w:r>
      <w:r>
        <w:rPr>
          <w:b/>
          <w:color w:val="000000" w:themeColor="text1"/>
          <w:highlight w:val="none"/>
          <w14:textFill>
            <w14:solidFill>
              <w14:schemeClr w14:val="tx1"/>
            </w14:solidFill>
          </w14:textFill>
        </w:rPr>
        <w:t>。</w:t>
      </w:r>
    </w:p>
    <w:p w14:paraId="0EE9C863">
      <w:pPr>
        <w:spacing w:line="360" w:lineRule="auto"/>
        <w:ind w:firstLine="482"/>
        <w:rPr>
          <w:rFonts w:hint="eastAsia"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26</w:t>
      </w:r>
      <w:r>
        <w:rPr>
          <w:rFonts w:hint="eastAsia" w:ascii="黑体" w:hAnsi="黑体" w:eastAsia="黑体" w:cs="宋体"/>
          <w:b/>
          <w:bCs/>
          <w:color w:val="000000" w:themeColor="text1"/>
          <w:sz w:val="24"/>
          <w:highlight w:val="none"/>
          <w14:textFill>
            <w14:solidFill>
              <w14:schemeClr w14:val="tx1"/>
            </w14:solidFill>
          </w14:textFill>
        </w:rPr>
        <w:t>.评审程序、评审方法和评审标准</w:t>
      </w:r>
    </w:p>
    <w:p w14:paraId="39B94885">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ascii="宋体" w:hAnsi="宋体" w:cs="宋体"/>
          <w:color w:val="000000" w:themeColor="text1"/>
          <w:szCs w:val="21"/>
          <w:highlight w:val="none"/>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.1本项目的评审方法为综合评分法。</w:t>
      </w:r>
    </w:p>
    <w:p w14:paraId="141FE5E5">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26.2</w:t>
      </w:r>
      <w:r>
        <w:rPr>
          <w:rFonts w:hint="eastAsia" w:ascii="宋体" w:hAnsi="宋体" w:cs="宋体"/>
          <w:color w:val="000000" w:themeColor="text1"/>
          <w:szCs w:val="21"/>
          <w:highlight w:val="none"/>
          <w14:textFill>
            <w14:solidFill>
              <w14:schemeClr w14:val="tx1"/>
            </w14:solidFill>
          </w14:textFill>
        </w:rPr>
        <w:t>磋商小组</w:t>
      </w:r>
      <w:r>
        <w:rPr>
          <w:rFonts w:ascii="宋体" w:hAnsi="宋体" w:cs="宋体"/>
          <w:color w:val="000000" w:themeColor="text1"/>
          <w:szCs w:val="21"/>
          <w:highlight w:val="none"/>
          <w14:textFill>
            <w14:solidFill>
              <w14:schemeClr w14:val="tx1"/>
            </w14:solidFill>
          </w14:textFill>
        </w:rPr>
        <w:t>按照</w:t>
      </w:r>
      <w:r>
        <w:rPr>
          <w:rFonts w:hint="eastAsia" w:ascii="宋体" w:hAnsi="宋体" w:cs="宋体"/>
          <w:color w:val="000000" w:themeColor="text1"/>
          <w:szCs w:val="21"/>
          <w:highlight w:val="none"/>
          <w14:textFill>
            <w14:solidFill>
              <w14:schemeClr w14:val="tx1"/>
            </w14:solidFill>
          </w14:textFill>
        </w:rPr>
        <w:t>“第四章 评审程序、评审方法和评审标准”</w:t>
      </w:r>
      <w:r>
        <w:rPr>
          <w:rFonts w:ascii="宋体" w:hAnsi="宋体" w:cs="宋体"/>
          <w:color w:val="000000" w:themeColor="text1"/>
          <w:szCs w:val="21"/>
          <w:highlight w:val="none"/>
          <w14:textFill>
            <w14:solidFill>
              <w14:schemeClr w14:val="tx1"/>
            </w14:solidFill>
          </w14:textFill>
        </w:rPr>
        <w:t>规定的方法、评审因素、标准和程序对</w:t>
      </w:r>
      <w:r>
        <w:rPr>
          <w:rFonts w:hint="eastAsia" w:ascii="宋体" w:hAnsi="宋体" w:cs="宋体"/>
          <w:color w:val="000000" w:themeColor="text1"/>
          <w:szCs w:val="21"/>
          <w:highlight w:val="none"/>
          <w14:textFill>
            <w14:solidFill>
              <w14:schemeClr w14:val="tx1"/>
            </w14:solidFill>
          </w14:textFill>
        </w:rPr>
        <w:t>响应</w:t>
      </w:r>
      <w:r>
        <w:rPr>
          <w:rFonts w:ascii="宋体" w:hAnsi="宋体" w:cs="宋体"/>
          <w:color w:val="000000" w:themeColor="text1"/>
          <w:szCs w:val="21"/>
          <w:highlight w:val="none"/>
          <w14:textFill>
            <w14:solidFill>
              <w14:schemeClr w14:val="tx1"/>
            </w14:solidFill>
          </w14:textFill>
        </w:rPr>
        <w:t>文件进行评审</w:t>
      </w:r>
      <w:r>
        <w:rPr>
          <w:rFonts w:hint="eastAsia" w:ascii="宋体" w:hAnsi="宋体" w:cs="宋体"/>
          <w:color w:val="000000" w:themeColor="text1"/>
          <w:szCs w:val="21"/>
          <w:highlight w:val="none"/>
          <w14:textFill>
            <w14:solidFill>
              <w14:schemeClr w14:val="tx1"/>
            </w14:solidFill>
          </w14:textFill>
        </w:rPr>
        <w:t>并推荐成交候选供应商</w:t>
      </w:r>
      <w:r>
        <w:rPr>
          <w:rFonts w:ascii="宋体" w:hAnsi="宋体" w:cs="宋体"/>
          <w:color w:val="000000" w:themeColor="text1"/>
          <w:szCs w:val="21"/>
          <w:highlight w:val="none"/>
          <w14:textFill>
            <w14:solidFill>
              <w14:schemeClr w14:val="tx1"/>
            </w14:solidFill>
          </w14:textFill>
        </w:rPr>
        <w:t>。</w:t>
      </w:r>
    </w:p>
    <w:p w14:paraId="26C331EC">
      <w:pPr>
        <w:spacing w:line="360" w:lineRule="auto"/>
        <w:ind w:firstLine="42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ascii="宋体" w:hAnsi="宋体"/>
          <w:color w:val="000000" w:themeColor="text1"/>
          <w:szCs w:val="21"/>
          <w:highlight w:val="none"/>
          <w14:textFill>
            <w14:solidFill>
              <w14:schemeClr w14:val="tx1"/>
            </w14:solidFill>
          </w14:textFill>
        </w:rPr>
        <w:t xml:space="preserve">6.3 </w:t>
      </w:r>
      <w:r>
        <w:rPr>
          <w:rFonts w:hint="eastAsia" w:ascii="宋体" w:hAnsi="宋体"/>
          <w:color w:val="000000" w:themeColor="text1"/>
          <w:szCs w:val="21"/>
          <w:highlight w:val="none"/>
          <w14:textFill>
            <w14:solidFill>
              <w14:schemeClr w14:val="tx1"/>
            </w14:solidFill>
          </w14:textFill>
        </w:rPr>
        <w:t>商务/技术要求允许负偏离的条款数详见“供应商须知前附表”。</w:t>
      </w:r>
    </w:p>
    <w:p w14:paraId="295EF943">
      <w:pPr>
        <w:spacing w:line="360" w:lineRule="auto"/>
        <w:ind w:firstLine="420"/>
        <w:rPr>
          <w:rFonts w:hint="eastAsia"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26.</w:t>
      </w:r>
      <w:r>
        <w:rPr>
          <w:rFonts w:ascii="宋体" w:hAnsi="宋体" w:cs="宋体"/>
          <w:color w:val="000000" w:themeColor="text1"/>
          <w:highlight w:val="none"/>
          <w14:textFill>
            <w14:solidFill>
              <w14:schemeClr w14:val="tx1"/>
            </w14:solidFill>
          </w14:textFill>
        </w:rPr>
        <w:t>4</w:t>
      </w:r>
      <w:r>
        <w:rPr>
          <w:rFonts w:hint="eastAsia" w:ascii="宋体" w:hAnsi="宋体" w:cs="宋体"/>
          <w:color w:val="000000" w:themeColor="text1"/>
          <w:highlight w:val="none"/>
          <w14:textFill>
            <w14:solidFill>
              <w14:schemeClr w14:val="tx1"/>
            </w14:solidFill>
          </w14:textFill>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3B8D409A">
      <w:pPr>
        <w:spacing w:line="360" w:lineRule="auto"/>
        <w:ind w:firstLine="420"/>
        <w:rPr>
          <w:rFonts w:hint="eastAsia" w:hAns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r>
        <w:rPr>
          <w:rFonts w:ascii="宋体" w:hAnsi="宋体" w:cs="宋体"/>
          <w:color w:val="000000" w:themeColor="text1"/>
          <w:highlight w:val="none"/>
          <w14:textFill>
            <w14:solidFill>
              <w14:schemeClr w14:val="tx1"/>
            </w14:solidFill>
          </w14:textFill>
        </w:rPr>
        <w:t>6.5</w:t>
      </w:r>
      <w:r>
        <w:rPr>
          <w:rFonts w:hint="eastAsia" w:hAnsi="宋体"/>
          <w:color w:val="000000" w:themeColor="text1"/>
          <w:highlight w:val="none"/>
          <w14:textFill>
            <w14:solidFill>
              <w14:schemeClr w14:val="tx1"/>
            </w14:solidFill>
          </w14:textFill>
        </w:rPr>
        <w:t>电子交易活动的中止。采购过程中出现以下情形，导致电子交易平台无法正常运行，或者无法保证电子交易的公平、公正和安全时，采购机构可中止电子交易活动：</w:t>
      </w:r>
    </w:p>
    <w:p w14:paraId="34F435CD">
      <w:pPr>
        <w:spacing w:line="360" w:lineRule="auto"/>
        <w:ind w:firstLine="42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（1）电子交易平台发生故障而无法登录访问的；</w:t>
      </w:r>
    </w:p>
    <w:p w14:paraId="17C0DBDB">
      <w:pPr>
        <w:spacing w:line="360" w:lineRule="auto"/>
        <w:ind w:firstLine="42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（2）电子交易平台应用或数据库出现错误，不能进行正常操作的；</w:t>
      </w:r>
    </w:p>
    <w:p w14:paraId="5CBF26FD">
      <w:pPr>
        <w:spacing w:line="360" w:lineRule="auto"/>
        <w:ind w:firstLine="42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（3）电子交易平台发现严重安全漏洞，有潜在泄密危险的；</w:t>
      </w:r>
    </w:p>
    <w:p w14:paraId="2C47AE39">
      <w:pPr>
        <w:spacing w:line="360" w:lineRule="auto"/>
        <w:ind w:firstLine="42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（4）病毒发作导致不能进行正常操作的；</w:t>
      </w:r>
    </w:p>
    <w:p w14:paraId="54F39347">
      <w:pPr>
        <w:spacing w:line="360" w:lineRule="auto"/>
        <w:ind w:firstLine="42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（5）其他无法保证电子交易的公平、公正和安全的情况。</w:t>
      </w:r>
    </w:p>
    <w:p w14:paraId="1F65EB14">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26.</w:t>
      </w:r>
      <w:r>
        <w:rPr>
          <w:rFonts w:ascii="宋体" w:hAnsi="宋体"/>
          <w:color w:val="000000" w:themeColor="text1"/>
          <w:highlight w:val="none"/>
          <w14:textFill>
            <w14:solidFill>
              <w14:schemeClr w14:val="tx1"/>
            </w14:solidFill>
          </w14:textFill>
        </w:rPr>
        <w:t>6</w:t>
      </w:r>
      <w:r>
        <w:rPr>
          <w:rFonts w:hint="eastAsia" w:hAnsi="宋体"/>
          <w:color w:val="000000" w:themeColor="text1"/>
          <w:highlight w:val="none"/>
          <w14:textFill>
            <w14:solidFill>
              <w14:schemeClr w14:val="tx1"/>
            </w14:solidFill>
          </w14:textFill>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23F82167">
      <w:pPr>
        <w:spacing w:line="360" w:lineRule="auto"/>
        <w:ind w:firstLine="482"/>
        <w:rPr>
          <w:rFonts w:hint="eastAsia"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27</w:t>
      </w:r>
      <w:r>
        <w:rPr>
          <w:rFonts w:hint="eastAsia" w:ascii="黑体" w:hAnsi="黑体" w:eastAsia="黑体" w:cs="宋体"/>
          <w:b/>
          <w:bCs/>
          <w:color w:val="000000" w:themeColor="text1"/>
          <w:sz w:val="24"/>
          <w:highlight w:val="none"/>
          <w14:textFill>
            <w14:solidFill>
              <w14:schemeClr w14:val="tx1"/>
            </w14:solidFill>
          </w14:textFill>
        </w:rPr>
        <w:t>.确定成交供应商及结果公告</w:t>
      </w:r>
    </w:p>
    <w:p w14:paraId="01263CAC">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27</w:t>
      </w:r>
      <w:r>
        <w:rPr>
          <w:rFonts w:hint="eastAsia" w:ascii="宋体" w:hAnsi="宋体" w:cs="宋体"/>
          <w:color w:val="000000" w:themeColor="text1"/>
          <w:szCs w:val="21"/>
          <w:highlight w:val="none"/>
          <w14:textFill>
            <w14:solidFill>
              <w14:schemeClr w14:val="tx1"/>
            </w14:solidFill>
          </w14:textFill>
        </w:rPr>
        <w:t>.1采购代理机构应当在评审结束后2个工作日内将评审报告送采购人确认。采购人应当在收到评审报告后2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32F23434">
      <w:pPr>
        <w:spacing w:line="360" w:lineRule="auto"/>
        <w:ind w:firstLine="420"/>
        <w:rPr>
          <w:rFonts w:hint="eastAsia" w:ascii="宋体" w:hAnsi="宋体" w:cs="Courier New"/>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27</w:t>
      </w:r>
      <w:r>
        <w:rPr>
          <w:rFonts w:hint="eastAsia" w:ascii="宋体" w:hAnsi="宋体" w:cs="宋体"/>
          <w:color w:val="000000" w:themeColor="text1"/>
          <w:szCs w:val="21"/>
          <w:highlight w:val="none"/>
          <w14:textFill>
            <w14:solidFill>
              <w14:schemeClr w14:val="tx1"/>
            </w14:solidFill>
          </w14:textFill>
        </w:rPr>
        <w:t>.2采购代理机构应当在成交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71" w:name="_Hlk66782294"/>
      <w:r>
        <w:rPr>
          <w:rFonts w:hint="eastAsia" w:ascii="宋体" w:hAnsi="宋体" w:cs="Courier New"/>
          <w:color w:val="000000" w:themeColor="text1"/>
          <w:szCs w:val="21"/>
          <w:highlight w:val="none"/>
          <w14:textFill>
            <w14:solidFill>
              <w14:schemeClr w14:val="tx1"/>
            </w14:solidFill>
          </w14:textFill>
        </w:rPr>
        <w:t>成交供应商享受</w:t>
      </w:r>
      <w:r>
        <w:rPr>
          <w:rFonts w:hint="eastAsia" w:ascii="宋体" w:hAnsi="宋体"/>
          <w:color w:val="000000" w:themeColor="text1"/>
          <w:szCs w:val="21"/>
          <w:highlight w:val="none"/>
          <w14:textFill>
            <w14:solidFill>
              <w14:schemeClr w14:val="tx1"/>
            </w14:solidFill>
          </w14:textFill>
        </w:rPr>
        <w:t>《政府采购促进中小企业发展管理办法》（财库〔2020〕46号）规定的中小企业扶持</w:t>
      </w:r>
      <w:r>
        <w:rPr>
          <w:rFonts w:hint="eastAsia" w:ascii="宋体" w:hAnsi="宋体" w:cs="Courier New"/>
          <w:color w:val="000000" w:themeColor="text1"/>
          <w:szCs w:val="21"/>
          <w:highlight w:val="none"/>
          <w14:textFill>
            <w14:solidFill>
              <w14:schemeClr w14:val="tx1"/>
            </w14:solidFill>
          </w14:textFill>
        </w:rPr>
        <w:t>政策的，采购人、采购代理机构应当随成交结果公开成交供应商的《中小企业声明函》。</w:t>
      </w:r>
      <w:bookmarkEnd w:id="71"/>
    </w:p>
    <w:p w14:paraId="10C97EB2">
      <w:pPr>
        <w:spacing w:line="360" w:lineRule="auto"/>
        <w:ind w:firstLine="420"/>
        <w:rPr>
          <w:rFonts w:hint="eastAsia" w:ascii="宋体" w:hAnsi="宋体" w:cs="Courier New"/>
          <w:color w:val="000000" w:themeColor="text1"/>
          <w:szCs w:val="21"/>
          <w:highlight w:val="non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27.3出现下列情形之一的，采购人或者采购代理机构应当终止竞争性磋商采购活动，发布项目终止公告并说明原因，重新开展采购活动：</w:t>
      </w:r>
    </w:p>
    <w:p w14:paraId="1D0E1C70">
      <w:pPr>
        <w:spacing w:line="360" w:lineRule="auto"/>
        <w:ind w:firstLine="420"/>
        <w:rPr>
          <w:rFonts w:hint="eastAsia" w:ascii="宋体" w:hAnsi="宋体" w:cs="Courier New"/>
          <w:color w:val="000000" w:themeColor="text1"/>
          <w:szCs w:val="21"/>
          <w:highlight w:val="non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（1）因情况变化，不再符合规定的竞争性磋商采购方式适用情形的；</w:t>
      </w:r>
    </w:p>
    <w:p w14:paraId="4165C57F">
      <w:pPr>
        <w:spacing w:line="360" w:lineRule="auto"/>
        <w:ind w:firstLine="420"/>
        <w:rPr>
          <w:rFonts w:hint="eastAsia" w:ascii="宋体" w:hAnsi="宋体" w:cs="Courier New"/>
          <w:color w:val="000000" w:themeColor="text1"/>
          <w:szCs w:val="21"/>
          <w:highlight w:val="non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（2）出现影响采购公正的违法、违规行为的；</w:t>
      </w:r>
    </w:p>
    <w:p w14:paraId="7856824C">
      <w:pPr>
        <w:spacing w:line="360" w:lineRule="auto"/>
        <w:ind w:firstLine="420"/>
        <w:rPr>
          <w:rFonts w:hint="eastAsia" w:ascii="宋体" w:hAnsi="宋体" w:cs="Courier New"/>
          <w:color w:val="000000" w:themeColor="text1"/>
          <w:szCs w:val="21"/>
          <w:highlight w:val="non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（3）除“第四章 评审程序、评审方法和评审标准”第4.3条规定的情形外，在采购过程中符合要求的供应商或者报价未超过采购预算的供应商不足3家的。</w:t>
      </w:r>
    </w:p>
    <w:p w14:paraId="29D18802">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27.4 在采购活动中因重大变故，采购任务取消的，采购人或者采购代理机构应当终止采购活动，通知所有参加采购活动的供应商，并将项目实施情况和采购任务取消原因报送本级财政部门。</w:t>
      </w:r>
    </w:p>
    <w:p w14:paraId="665B8BDE">
      <w:pPr>
        <w:spacing w:line="360" w:lineRule="auto"/>
        <w:ind w:firstLine="482"/>
        <w:rPr>
          <w:rFonts w:hint="eastAsia"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28</w:t>
      </w:r>
      <w:r>
        <w:rPr>
          <w:rFonts w:hint="eastAsia" w:ascii="黑体" w:hAnsi="黑体" w:eastAsia="黑体" w:cs="宋体"/>
          <w:b/>
          <w:bCs/>
          <w:color w:val="000000" w:themeColor="text1"/>
          <w:sz w:val="24"/>
          <w:highlight w:val="none"/>
          <w14:textFill>
            <w14:solidFill>
              <w14:schemeClr w14:val="tx1"/>
            </w14:solidFill>
          </w14:textFill>
        </w:rPr>
        <w:t>.履约保证金</w:t>
      </w:r>
    </w:p>
    <w:p w14:paraId="6111A700">
      <w:pPr>
        <w:spacing w:line="360" w:lineRule="auto"/>
        <w:ind w:firstLine="424"/>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28</w:t>
      </w:r>
      <w:r>
        <w:rPr>
          <w:rFonts w:hint="eastAsia" w:ascii="宋体" w:hAnsi="宋体" w:cs="宋体"/>
          <w:color w:val="000000" w:themeColor="text1"/>
          <w:szCs w:val="21"/>
          <w:highlight w:val="none"/>
          <w14:textFill>
            <w14:solidFill>
              <w14:schemeClr w14:val="tx1"/>
            </w14:solidFill>
          </w14:textFill>
        </w:rPr>
        <w:t>.1履约保证金的金额、提交方式、退付的时间和条件详见 “供应商须知前附表”。成交供应商未按规定提交履约保证金的，视为拒绝</w:t>
      </w:r>
      <w:r>
        <w:rPr>
          <w:rFonts w:ascii="宋体" w:hAnsi="宋体"/>
          <w:color w:val="000000" w:themeColor="text1"/>
          <w:highlight w:val="none"/>
          <w14:textFill>
            <w14:solidFill>
              <w14:schemeClr w14:val="tx1"/>
            </w14:solidFill>
          </w14:textFill>
        </w:rPr>
        <w:t>与采购人</w:t>
      </w:r>
      <w:r>
        <w:rPr>
          <w:rFonts w:hint="eastAsia" w:ascii="宋体" w:hAnsi="宋体" w:cs="宋体"/>
          <w:color w:val="000000" w:themeColor="text1"/>
          <w:szCs w:val="21"/>
          <w:highlight w:val="none"/>
          <w14:textFill>
            <w14:solidFill>
              <w14:schemeClr w14:val="tx1"/>
            </w14:solidFill>
          </w14:textFill>
        </w:rPr>
        <w:t>签订合同。</w:t>
      </w:r>
    </w:p>
    <w:p w14:paraId="7D40A5A7">
      <w:pPr>
        <w:spacing w:line="360" w:lineRule="auto"/>
        <w:ind w:firstLine="424"/>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28</w:t>
      </w:r>
      <w:r>
        <w:rPr>
          <w:rFonts w:hint="eastAsia" w:ascii="宋体" w:hAnsi="宋体" w:cs="宋体"/>
          <w:color w:val="000000" w:themeColor="text1"/>
          <w:szCs w:val="21"/>
          <w:highlight w:val="none"/>
          <w14:textFill>
            <w14:solidFill>
              <w14:schemeClr w14:val="tx1"/>
            </w14:solidFill>
          </w14:textFill>
        </w:rPr>
        <w:t>.2在履约保证金退还日期前，若成交供应商的开户名称、开户银行、账号有变动的，请以书面形式通知履约保证金收取单位，否则由此产生的后果由成交供应商自行承担。</w:t>
      </w:r>
    </w:p>
    <w:p w14:paraId="34200522">
      <w:pPr>
        <w:spacing w:line="360" w:lineRule="auto"/>
        <w:ind w:firstLine="482"/>
        <w:rPr>
          <w:rFonts w:hint="eastAsia"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29</w:t>
      </w:r>
      <w:r>
        <w:rPr>
          <w:rFonts w:hint="eastAsia" w:ascii="黑体" w:hAnsi="黑体" w:eastAsia="黑体" w:cs="宋体"/>
          <w:b/>
          <w:bCs/>
          <w:color w:val="000000" w:themeColor="text1"/>
          <w:sz w:val="24"/>
          <w:highlight w:val="none"/>
          <w14:textFill>
            <w14:solidFill>
              <w14:schemeClr w14:val="tx1"/>
            </w14:solidFill>
          </w14:textFill>
        </w:rPr>
        <w:t>.签订合同</w:t>
      </w:r>
    </w:p>
    <w:p w14:paraId="4B71C0CB">
      <w:pPr>
        <w:spacing w:line="360" w:lineRule="auto"/>
        <w:ind w:firstLine="424"/>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29.1签订电子采购合同：成交供应商领取电子成交通知书后，在</w:t>
      </w:r>
      <w:r>
        <w:rPr>
          <w:rFonts w:hint="eastAsia" w:ascii="宋体" w:hAnsi="宋体" w:cs="宋体"/>
          <w:color w:val="000000" w:themeColor="text1"/>
          <w:szCs w:val="21"/>
          <w:highlight w:val="none"/>
          <w:lang w:val="zh-CN"/>
          <w14:textFill>
            <w14:solidFill>
              <w14:schemeClr w14:val="tx1"/>
            </w14:solidFill>
          </w14:textFill>
        </w:rPr>
        <w:t>规定的日期、时间、地点，由法定代表人或其授权代表与采购人代表签订电子采购合同。如成交供应商为联合体的，由联合体成员各方法定代表人或其授权代表与采购人代表签订合同。</w:t>
      </w:r>
    </w:p>
    <w:p w14:paraId="65FE049C">
      <w:pPr>
        <w:spacing w:line="360" w:lineRule="auto"/>
        <w:ind w:firstLine="424"/>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线下签订纸质合同：供应商领取成交通知书后，按“供应商须知前附表”规定向采购人出示相关证明材料，经采购人核验合格后方可签订合同。</w:t>
      </w:r>
    </w:p>
    <w:p w14:paraId="5D03BED8">
      <w:pPr>
        <w:spacing w:line="360" w:lineRule="auto"/>
        <w:ind w:firstLine="424"/>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29.2签订合同时间：按成交通知书规定的时间与采购人签订合同。</w:t>
      </w:r>
    </w:p>
    <w:p w14:paraId="73BD4D11">
      <w:pPr>
        <w:spacing w:line="360" w:lineRule="auto"/>
        <w:ind w:firstLine="424"/>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w:t>
      </w: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404274E5">
      <w:pPr>
        <w:spacing w:line="360" w:lineRule="auto"/>
        <w:ind w:firstLine="424"/>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508B4870">
      <w:pPr>
        <w:spacing w:line="360" w:lineRule="auto"/>
        <w:ind w:firstLine="424"/>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29.5采购人或成交供应商不得单方面向合同另一方提出任何磋商文件没有约定的条件或不合理的要求，作为签订合同的条件；也不得协商另行订立背离磋商文件和合同实质性内容的协议。</w:t>
      </w:r>
    </w:p>
    <w:p w14:paraId="0A66C2F6">
      <w:pPr>
        <w:spacing w:line="360" w:lineRule="auto"/>
        <w:ind w:firstLine="424"/>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29.6如签订合同并生效后，供应商无故拒绝或延期，除按照合同条款处理外，将承担相应的法律责任。</w:t>
      </w:r>
    </w:p>
    <w:p w14:paraId="23521BC7">
      <w:pPr>
        <w:spacing w:line="360" w:lineRule="auto"/>
        <w:ind w:firstLine="424"/>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200074EA">
      <w:pPr>
        <w:spacing w:line="360" w:lineRule="auto"/>
        <w:ind w:firstLine="482"/>
        <w:rPr>
          <w:rFonts w:hint="eastAsia"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30</w:t>
      </w:r>
      <w:r>
        <w:rPr>
          <w:rFonts w:hint="eastAsia" w:ascii="黑体" w:hAnsi="黑体" w:eastAsia="黑体" w:cs="宋体"/>
          <w:b/>
          <w:bCs/>
          <w:color w:val="000000" w:themeColor="text1"/>
          <w:sz w:val="24"/>
          <w:highlight w:val="none"/>
          <w14:textFill>
            <w14:solidFill>
              <w14:schemeClr w14:val="tx1"/>
            </w14:solidFill>
          </w14:textFill>
        </w:rPr>
        <w:t>.政府采购合同公告</w:t>
      </w:r>
    </w:p>
    <w:p w14:paraId="4C9203C2">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18A6FFA6">
      <w:pPr>
        <w:spacing w:line="360" w:lineRule="auto"/>
        <w:ind w:firstLine="482"/>
        <w:rPr>
          <w:rFonts w:hint="eastAsia"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31</w:t>
      </w:r>
      <w:r>
        <w:rPr>
          <w:rFonts w:hint="eastAsia" w:ascii="黑体" w:hAnsi="黑体" w:eastAsia="黑体" w:cs="宋体"/>
          <w:b/>
          <w:bCs/>
          <w:color w:val="000000" w:themeColor="text1"/>
          <w:sz w:val="24"/>
          <w:highlight w:val="none"/>
          <w14:textFill>
            <w14:solidFill>
              <w14:schemeClr w14:val="tx1"/>
            </w14:solidFill>
          </w14:textFill>
        </w:rPr>
        <w:t>. 询问、质疑和投诉</w:t>
      </w:r>
    </w:p>
    <w:p w14:paraId="59AA326F">
      <w:pPr>
        <w:pStyle w:val="7"/>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.1供应商对政府采购活动事项有疑问的，可以向采购人、采购代理机构提出询问，采购人或者采购代理机构应当在3个工作日内对供应商依法提出的询问作出答复，</w:t>
      </w:r>
      <w:r>
        <w:rPr>
          <w:rFonts w:hint="eastAsia" w:ascii="宋体" w:hAnsi="宋体"/>
          <w:color w:val="000000" w:themeColor="text1"/>
          <w:szCs w:val="21"/>
          <w:highlight w:val="none"/>
          <w14:textFill>
            <w14:solidFill>
              <w14:schemeClr w14:val="tx1"/>
            </w14:solidFill>
          </w14:textFill>
        </w:rPr>
        <w:t>但答复的内容不得涉及商业秘密</w:t>
      </w:r>
      <w:r>
        <w:rPr>
          <w:rFonts w:hint="eastAsia" w:ascii="宋体" w:hAnsi="宋体" w:cs="宋体"/>
          <w:color w:val="000000" w:themeColor="text1"/>
          <w:highlight w:val="none"/>
          <w14:textFill>
            <w14:solidFill>
              <w14:schemeClr w14:val="tx1"/>
            </w14:solidFill>
          </w14:textFill>
        </w:rPr>
        <w:t>。</w:t>
      </w:r>
    </w:p>
    <w:p w14:paraId="715DAFD4">
      <w:pPr>
        <w:spacing w:line="360" w:lineRule="auto"/>
        <w:ind w:firstLine="42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.2供应商认为磋商文件、采购过程或者成交结果使自己的合法权益受到损害的，应当在知道或者应知其权益受到损害之日起7个工作日内，以书面形式向采购人、采购代理机构提出质疑，</w:t>
      </w:r>
      <w:r>
        <w:rPr>
          <w:rFonts w:ascii="宋体" w:hAnsi="宋体" w:cs="Arial"/>
          <w:color w:val="000000" w:themeColor="text1"/>
          <w:highlight w:val="none"/>
          <w:shd w:val="clear" w:color="auto" w:fill="FFFFFF"/>
          <w14:textFill>
            <w14:solidFill>
              <w14:schemeClr w14:val="tx1"/>
            </w14:solidFill>
          </w14:textFill>
        </w:rPr>
        <w:t>接收质疑函的方式、联系部门、联系电话和通讯地址等信息</w:t>
      </w:r>
      <w:r>
        <w:rPr>
          <w:rFonts w:hint="eastAsia" w:ascii="宋体" w:hAnsi="宋体" w:cs="Arial"/>
          <w:color w:val="000000" w:themeColor="text1"/>
          <w:highlight w:val="none"/>
          <w:shd w:val="clear" w:color="auto" w:fill="FFFFFF"/>
          <w14:textFill>
            <w14:solidFill>
              <w14:schemeClr w14:val="tx1"/>
            </w14:solidFill>
          </w14:textFill>
        </w:rPr>
        <w:t>详见</w:t>
      </w:r>
      <w:r>
        <w:rPr>
          <w:rFonts w:hint="eastAsia" w:ascii="宋体" w:hAnsi="宋体" w:cs="宋体"/>
          <w:color w:val="000000" w:themeColor="text1"/>
          <w:szCs w:val="21"/>
          <w:highlight w:val="none"/>
          <w14:textFill>
            <w14:solidFill>
              <w14:schemeClr w14:val="tx1"/>
            </w14:solidFill>
          </w14:textFill>
        </w:rPr>
        <w:t>“供应商须知前附表”</w:t>
      </w:r>
      <w:r>
        <w:rPr>
          <w:rFonts w:hint="eastAsia" w:ascii="宋体" w:hAnsi="宋体" w:cs="宋体"/>
          <w:color w:val="000000" w:themeColor="text1"/>
          <w:highlight w:val="none"/>
          <w14:textFill>
            <w14:solidFill>
              <w14:schemeClr w14:val="tx1"/>
            </w14:solidFill>
          </w14:textFill>
        </w:rPr>
        <w:t>。具体质疑起算时间如下：</w:t>
      </w:r>
    </w:p>
    <w:p w14:paraId="322F3A3F">
      <w:pPr>
        <w:spacing w:line="360" w:lineRule="auto"/>
        <w:ind w:firstLine="42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（1）对可以质疑的磋商文件提出质疑的，为获取磋商文件之日或者</w:t>
      </w:r>
      <w:r>
        <w:rPr>
          <w:rFonts w:hint="eastAsia" w:ascii="宋体" w:hAnsi="宋体"/>
          <w:color w:val="000000" w:themeColor="text1"/>
          <w:highlight w:val="none"/>
          <w14:textFill>
            <w14:solidFill>
              <w14:schemeClr w14:val="tx1"/>
            </w14:solidFill>
          </w14:textFill>
        </w:rPr>
        <w:t>竞争性磋商公告期限届满之日</w:t>
      </w:r>
      <w:r>
        <w:rPr>
          <w:rFonts w:hint="eastAsia" w:ascii="宋体" w:hAnsi="宋体" w:cs="宋体"/>
          <w:color w:val="000000" w:themeColor="text1"/>
          <w:highlight w:val="none"/>
          <w14:textFill>
            <w14:solidFill>
              <w14:schemeClr w14:val="tx1"/>
            </w14:solidFill>
          </w14:textFill>
        </w:rPr>
        <w:t>；</w:t>
      </w:r>
    </w:p>
    <w:p w14:paraId="58DA61D2">
      <w:pPr>
        <w:spacing w:line="360" w:lineRule="auto"/>
        <w:ind w:firstLine="42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（2）对采购过程提出质疑的，为各采购程序环节结束之日；</w:t>
      </w:r>
    </w:p>
    <w:p w14:paraId="4CE79473">
      <w:pPr>
        <w:spacing w:line="360" w:lineRule="auto"/>
        <w:ind w:firstLine="42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（3）对成交结果提出质疑的，为成交结果公告期限届满之日。</w:t>
      </w:r>
    </w:p>
    <w:p w14:paraId="6B36CD7A">
      <w:pPr>
        <w:spacing w:line="360" w:lineRule="auto"/>
        <w:ind w:firstLine="42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3075A906">
      <w:pPr>
        <w:spacing w:line="360" w:lineRule="auto"/>
        <w:ind w:firstLine="42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.4 供应商提出质疑应当提交质疑函和必要的证明材料，针对同一采购程序环节的质疑必须在法定质疑期内一次性提出。质疑函应当包括下列内容</w:t>
      </w:r>
      <w:r>
        <w:rPr>
          <w:rFonts w:hint="eastAsia" w:hAnsi="宋体"/>
          <w:bCs/>
          <w:color w:val="000000" w:themeColor="text1"/>
          <w:highlight w:val="none"/>
          <w14:textFill>
            <w14:solidFill>
              <w14:schemeClr w14:val="tx1"/>
            </w14:solidFill>
          </w14:textFill>
        </w:rPr>
        <w:t>（质疑函格式后附）</w:t>
      </w:r>
      <w:r>
        <w:rPr>
          <w:rFonts w:hint="eastAsia" w:ascii="宋体" w:hAnsi="宋体" w:cs="宋体"/>
          <w:color w:val="000000" w:themeColor="text1"/>
          <w:highlight w:val="none"/>
          <w14:textFill>
            <w14:solidFill>
              <w14:schemeClr w14:val="tx1"/>
            </w14:solidFill>
          </w14:textFill>
        </w:rPr>
        <w:t>：</w:t>
      </w:r>
    </w:p>
    <w:p w14:paraId="2CE20DA4">
      <w:pPr>
        <w:spacing w:line="360" w:lineRule="auto"/>
        <w:ind w:firstLine="42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（1）供应商的姓名或者名称、地址、邮编、联系人及联系电话；</w:t>
      </w:r>
    </w:p>
    <w:p w14:paraId="77322AD6">
      <w:pPr>
        <w:spacing w:line="360" w:lineRule="auto"/>
        <w:ind w:firstLine="42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（2）质疑项目的名称、编号；</w:t>
      </w:r>
    </w:p>
    <w:p w14:paraId="5AA240E9">
      <w:pPr>
        <w:spacing w:line="360" w:lineRule="auto"/>
        <w:ind w:firstLine="42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（3）具体、明确的质疑事项和与质疑事项相关的请求；</w:t>
      </w:r>
    </w:p>
    <w:p w14:paraId="1DA11D83">
      <w:pPr>
        <w:spacing w:line="360" w:lineRule="auto"/>
        <w:ind w:firstLine="42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（4）事实依据；</w:t>
      </w:r>
    </w:p>
    <w:p w14:paraId="48F5EF86">
      <w:pPr>
        <w:spacing w:line="360" w:lineRule="auto"/>
        <w:ind w:firstLine="42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（5）必要的法律依据；</w:t>
      </w:r>
    </w:p>
    <w:p w14:paraId="1DF2C5B8">
      <w:pPr>
        <w:spacing w:line="360" w:lineRule="auto"/>
        <w:ind w:firstLine="42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（6）提出质疑的日期。</w:t>
      </w:r>
    </w:p>
    <w:p w14:paraId="0597D5C0">
      <w:pPr>
        <w:spacing w:line="360" w:lineRule="auto"/>
        <w:ind w:firstLine="42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供应商为自然人的，应当由本人签字；供应商为法人或者其他组织的，应当由法定代表人、主要负责人，或者其委托代理人签字或者盖章，并加盖公章。</w:t>
      </w:r>
    </w:p>
    <w:p w14:paraId="2CEFD92E">
      <w:pPr>
        <w:spacing w:line="360" w:lineRule="auto"/>
        <w:ind w:firstLine="42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r>
        <w:rPr>
          <w:rFonts w:ascii="宋体" w:hAnsi="宋体" w:cs="宋体"/>
          <w:color w:val="000000" w:themeColor="text1"/>
          <w:highlight w:val="none"/>
          <w14:textFill>
            <w14:solidFill>
              <w14:schemeClr w14:val="tx1"/>
            </w14:solidFill>
          </w14:textFill>
        </w:rPr>
        <w:t>1.5</w:t>
      </w:r>
      <w:r>
        <w:rPr>
          <w:rFonts w:hint="eastAsia" w:ascii="宋体" w:hAnsi="宋体" w:cs="宋体"/>
          <w:color w:val="000000" w:themeColor="text1"/>
          <w:highlight w:val="none"/>
          <w14:textFill>
            <w14:solidFill>
              <w14:schemeClr w14:val="tx1"/>
            </w14:solidFill>
          </w14:textFill>
        </w:rPr>
        <w:t>采购人、采购代理机构认为供应商质疑不成立，或者成立但未对成交结果构成影响的，继续开展采购活动；认为供应商质疑成立且影响或者可能影响成交结果的，按照下列情况处理：</w:t>
      </w:r>
    </w:p>
    <w:p w14:paraId="086B768E">
      <w:pPr>
        <w:spacing w:line="360" w:lineRule="auto"/>
        <w:ind w:firstLine="42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（一）对采购文件提出的质疑，依法通过澄清或者修改可以继续开展采购活动的，澄清或者修改采购文件后继续开展采购活动；否则应当修改采购文件后重新开展采购活动。</w:t>
      </w:r>
    </w:p>
    <w:p w14:paraId="1DAFEBF2">
      <w:pPr>
        <w:spacing w:line="360" w:lineRule="auto"/>
        <w:ind w:firstLine="42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（二）对采购过程或者成交结果提出的质疑，合格供应商符合法定数量时，可以从合格的成交候选人中另行确定成交供应商的，应当依法另行确定成交供应商；否则应当重新开展采购活动。</w:t>
      </w:r>
    </w:p>
    <w:p w14:paraId="00FB6BE6">
      <w:pPr>
        <w:spacing w:line="360" w:lineRule="auto"/>
        <w:ind w:firstLine="42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质疑答复导致成交结果改变的，采购人或者采购代理机构应当将有关情况书面报告本级财政部门。</w:t>
      </w:r>
    </w:p>
    <w:p w14:paraId="486706E2">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31</w:t>
      </w: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337FEC03">
      <w:pPr>
        <w:spacing w:line="360" w:lineRule="auto"/>
        <w:ind w:firstLine="482"/>
        <w:rPr>
          <w:rFonts w:hint="eastAsia"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32</w:t>
      </w:r>
      <w:r>
        <w:rPr>
          <w:rFonts w:hint="eastAsia" w:ascii="黑体" w:hAnsi="黑体" w:eastAsia="黑体" w:cs="宋体"/>
          <w:b/>
          <w:bCs/>
          <w:color w:val="000000" w:themeColor="text1"/>
          <w:sz w:val="24"/>
          <w:highlight w:val="none"/>
          <w14:textFill>
            <w14:solidFill>
              <w14:schemeClr w14:val="tx1"/>
            </w14:solidFill>
          </w14:textFill>
        </w:rPr>
        <w:t>.其他内容</w:t>
      </w:r>
    </w:p>
    <w:p w14:paraId="4D8E0136">
      <w:pPr>
        <w:tabs>
          <w:tab w:val="left" w:pos="2835"/>
        </w:tabs>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32</w:t>
      </w:r>
      <w:r>
        <w:rPr>
          <w:rFonts w:hint="eastAsia" w:ascii="宋体" w:hAnsi="宋体" w:cs="宋体"/>
          <w:color w:val="000000" w:themeColor="text1"/>
          <w:szCs w:val="21"/>
          <w:highlight w:val="none"/>
          <w14:textFill>
            <w14:solidFill>
              <w14:schemeClr w14:val="tx1"/>
            </w14:solidFill>
          </w14:textFill>
        </w:rPr>
        <w:t>.1代理服务收取标准及缴费账户详见“供应商须知前附表”。</w:t>
      </w:r>
    </w:p>
    <w:p w14:paraId="5BD15174">
      <w:pPr>
        <w:spacing w:line="360" w:lineRule="auto"/>
        <w:ind w:firstLine="482"/>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3</w:t>
      </w:r>
      <w:r>
        <w:rPr>
          <w:rFonts w:ascii="黑体" w:hAnsi="黑体" w:eastAsia="黑体" w:cs="宋体"/>
          <w:b/>
          <w:bCs/>
          <w:color w:val="000000" w:themeColor="text1"/>
          <w:sz w:val="24"/>
          <w:highlight w:val="none"/>
          <w14:textFill>
            <w14:solidFill>
              <w14:schemeClr w14:val="tx1"/>
            </w14:solidFill>
          </w14:textFill>
        </w:rPr>
        <w:t>3.需要补充的其他内容</w:t>
      </w:r>
    </w:p>
    <w:p w14:paraId="082EAB02">
      <w:pPr>
        <w:pStyle w:val="24"/>
        <w:spacing w:line="360" w:lineRule="auto"/>
        <w:ind w:firstLine="420"/>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3</w:t>
      </w:r>
      <w:r>
        <w:rPr>
          <w:rFonts w:hAnsi="宋体" w:cs="宋体"/>
          <w:color w:val="000000" w:themeColor="text1"/>
          <w:sz w:val="21"/>
          <w:highlight w:val="none"/>
          <w14:textFill>
            <w14:solidFill>
              <w14:schemeClr w14:val="tx1"/>
            </w14:solidFill>
          </w14:textFill>
        </w:rPr>
        <w:t>3.1</w:t>
      </w:r>
      <w:r>
        <w:rPr>
          <w:rFonts w:hint="eastAsia" w:hAnsi="宋体" w:cs="宋体"/>
          <w:color w:val="000000" w:themeColor="text1"/>
          <w:sz w:val="21"/>
          <w:highlight w:val="none"/>
          <w14:textFill>
            <w14:solidFill>
              <w14:schemeClr w14:val="tx1"/>
            </w14:solidFill>
          </w14:textFill>
        </w:rPr>
        <w:t>本磋商文件解释规则详见“供应商须知前附表”。</w:t>
      </w:r>
    </w:p>
    <w:p w14:paraId="0163135E">
      <w:pPr>
        <w:pStyle w:val="24"/>
        <w:spacing w:line="360" w:lineRule="auto"/>
        <w:ind w:firstLine="420"/>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33.2农民工工资保证金见“供应商须知前附表”。</w:t>
      </w:r>
    </w:p>
    <w:p w14:paraId="50EAB3FF">
      <w:pPr>
        <w:pStyle w:val="24"/>
        <w:spacing w:line="360" w:lineRule="auto"/>
        <w:ind w:firstLine="420"/>
        <w:rPr>
          <w:rFonts w:hint="eastAsia" w:hAnsi="宋体" w:cs="宋体"/>
          <w:color w:val="000000" w:themeColor="text1"/>
          <w:sz w:val="21"/>
          <w:highlight w:val="none"/>
          <w14:textFill>
            <w14:solidFill>
              <w14:schemeClr w14:val="tx1"/>
            </w14:solidFill>
          </w14:textFill>
        </w:rPr>
      </w:pPr>
      <w:r>
        <w:rPr>
          <w:rFonts w:hAnsi="宋体" w:cs="宋体"/>
          <w:color w:val="000000" w:themeColor="text1"/>
          <w:sz w:val="21"/>
          <w:highlight w:val="none"/>
          <w14:textFill>
            <w14:solidFill>
              <w14:schemeClr w14:val="tx1"/>
            </w14:solidFill>
          </w14:textFill>
        </w:rPr>
        <w:t>33.</w:t>
      </w:r>
      <w:r>
        <w:rPr>
          <w:rFonts w:hint="eastAsia" w:hAnsi="宋体" w:cs="宋体"/>
          <w:color w:val="000000" w:themeColor="text1"/>
          <w:sz w:val="21"/>
          <w:highlight w:val="none"/>
          <w14:textFill>
            <w14:solidFill>
              <w14:schemeClr w14:val="tx1"/>
            </w14:solidFill>
          </w14:textFill>
        </w:rPr>
        <w:t>3 其他事项详见“供应商须知前附表”。</w:t>
      </w:r>
    </w:p>
    <w:p w14:paraId="570815FA">
      <w:pPr>
        <w:pStyle w:val="24"/>
        <w:spacing w:line="360" w:lineRule="auto"/>
        <w:ind w:firstLine="420"/>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3</w:t>
      </w:r>
      <w:r>
        <w:rPr>
          <w:rFonts w:hAnsi="宋体" w:cs="宋体"/>
          <w:color w:val="000000" w:themeColor="text1"/>
          <w:sz w:val="21"/>
          <w:highlight w:val="none"/>
          <w14:textFill>
            <w14:solidFill>
              <w14:schemeClr w14:val="tx1"/>
            </w14:solidFill>
          </w14:textFill>
        </w:rPr>
        <w:t>3.</w:t>
      </w:r>
      <w:r>
        <w:rPr>
          <w:rFonts w:hint="eastAsia" w:hAnsi="宋体" w:cs="宋体"/>
          <w:color w:val="000000" w:themeColor="text1"/>
          <w:sz w:val="21"/>
          <w:highlight w:val="none"/>
          <w14:textFill>
            <w14:solidFill>
              <w14:schemeClr w14:val="tx1"/>
            </w14:solidFill>
          </w14:textFill>
        </w:rPr>
        <w:t>4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6C40030A">
      <w:pPr>
        <w:pStyle w:val="24"/>
        <w:spacing w:line="360" w:lineRule="auto"/>
        <w:ind w:firstLine="420"/>
        <w:contextualSpacing/>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（1）在货物采购项目中，货物由中小企业制造，即货物由中小企业生产且使用该中小企业商号或者注册商标，不对其中涉及的工程承建商和服务的承接商作出要求；</w:t>
      </w:r>
    </w:p>
    <w:p w14:paraId="6EC1940F">
      <w:pPr>
        <w:pStyle w:val="24"/>
        <w:spacing w:line="360" w:lineRule="auto"/>
        <w:ind w:firstLine="420"/>
        <w:contextualSpacing/>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（2）在工程采购项目中，工程由中小企业承建，即工程施工单位为中小企业，不对其中涉及的货物的制造商和服务的承接商作出要求；</w:t>
      </w:r>
    </w:p>
    <w:p w14:paraId="135A065A">
      <w:pPr>
        <w:pStyle w:val="24"/>
        <w:spacing w:line="360" w:lineRule="auto"/>
        <w:ind w:firstLine="420"/>
        <w:contextualSpacing/>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（3）在服务采购项目中，服务由中小企业承接，即提供服务的人员为中小企业依照《中华人民共和国劳动合同法》订立劳动合同的从业人员，不对其中涉及的货物的制造商和工程承建商作出要求。</w:t>
      </w:r>
    </w:p>
    <w:p w14:paraId="7FB26AC1">
      <w:pPr>
        <w:pStyle w:val="24"/>
        <w:spacing w:line="360" w:lineRule="auto"/>
        <w:ind w:firstLine="420"/>
        <w:contextualSpacing/>
        <w:rPr>
          <w:rFonts w:hint="eastAsia" w:hAnsi="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在货物采购项目中，供应商提供的货物既有中小企业制造货物，也有大型企业制造货物的，不享受本磋商文件规定的中小企业扶持政策。以联合体形式参加政府采购活动，联合体各方均为</w:t>
      </w:r>
      <w:r>
        <w:rPr>
          <w:rFonts w:hint="eastAsia" w:hAnsi="宋体"/>
          <w:color w:val="000000" w:themeColor="text1"/>
          <w:sz w:val="21"/>
          <w:highlight w:val="none"/>
          <w14:textFill>
            <w14:solidFill>
              <w14:schemeClr w14:val="tx1"/>
            </w14:solidFill>
          </w14:textFill>
        </w:rPr>
        <w:t>中小企业的，联合体视同中小企业。其中，联合体各方均为小微企业的，联合体视同小微企业。</w:t>
      </w:r>
    </w:p>
    <w:p w14:paraId="7AB679ED">
      <w:pPr>
        <w:pStyle w:val="24"/>
        <w:spacing w:line="360" w:lineRule="auto"/>
        <w:ind w:firstLine="420"/>
        <w:contextualSpacing/>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依据本磋商文件规定享受扶持政策获得政府采购合同的，小微企业不得将合同分包给大中型企业，中型企业不得将合同分包给大型企业。</w:t>
      </w:r>
    </w:p>
    <w:p w14:paraId="45707734">
      <w:pPr>
        <w:pStyle w:val="24"/>
        <w:spacing w:before="340" w:after="340" w:line="360" w:lineRule="auto"/>
        <w:ind w:firstLine="402"/>
        <w:jc w:val="center"/>
        <w:rPr>
          <w:b/>
          <w:color w:val="000000" w:themeColor="text1"/>
          <w:sz w:val="44"/>
          <w:szCs w:val="44"/>
          <w:highlight w:val="none"/>
          <w14:textFill>
            <w14:solidFill>
              <w14:schemeClr w14:val="tx1"/>
            </w14:solidFill>
          </w14:textFill>
        </w:rPr>
      </w:pPr>
      <w:r>
        <w:rPr>
          <w:rFonts w:hAnsi="宋体"/>
          <w:b/>
          <w:color w:val="000000" w:themeColor="text1"/>
          <w:highlight w:val="none"/>
          <w14:textFill>
            <w14:solidFill>
              <w14:schemeClr w14:val="tx1"/>
            </w14:solidFill>
          </w14:textFill>
        </w:rPr>
        <w:br w:type="page" w:clear="all"/>
      </w:r>
      <w:bookmarkStart w:id="72" w:name="_Toc74323458"/>
      <w:r>
        <w:rPr>
          <w:rFonts w:hint="eastAsia"/>
          <w:b/>
          <w:color w:val="000000" w:themeColor="text1"/>
          <w:sz w:val="44"/>
          <w:szCs w:val="44"/>
          <w:highlight w:val="none"/>
          <w14:textFill>
            <w14:solidFill>
              <w14:schemeClr w14:val="tx1"/>
            </w14:solidFill>
          </w14:textFill>
        </w:rPr>
        <w:t>第三章 采购需求</w:t>
      </w:r>
      <w:bookmarkEnd w:id="72"/>
    </w:p>
    <w:p w14:paraId="0699D458">
      <w:pPr>
        <w:spacing w:line="360"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说明：</w:t>
      </w:r>
    </w:p>
    <w:p w14:paraId="5673EE43">
      <w:pPr>
        <w:spacing w:line="360" w:lineRule="auto"/>
        <w:ind w:firstLine="42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 为落实政府采购政策需满足的要求</w:t>
      </w:r>
      <w:r>
        <w:rPr>
          <w:rFonts w:hint="eastAsia" w:ascii="宋体" w:hAnsi="宋体" w:cs="宋体"/>
          <w:color w:val="000000" w:themeColor="text1"/>
          <w:szCs w:val="21"/>
          <w:highlight w:val="none"/>
          <w14:textFill>
            <w14:solidFill>
              <w14:schemeClr w14:val="tx1"/>
            </w14:solidFill>
          </w14:textFill>
        </w:rPr>
        <w:t>：</w:t>
      </w:r>
    </w:p>
    <w:p w14:paraId="5A585347">
      <w:pPr>
        <w:spacing w:line="360" w:lineRule="auto"/>
        <w:ind w:firstLine="424"/>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（1）政府采购促进中小企业发展。</w:t>
      </w:r>
    </w:p>
    <w:p w14:paraId="097FAF5A">
      <w:pPr>
        <w:spacing w:line="360" w:lineRule="auto"/>
        <w:ind w:firstLine="424"/>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）政府采购促进残疾人就业政策。</w:t>
      </w:r>
    </w:p>
    <w:p w14:paraId="0276BA09">
      <w:pPr>
        <w:spacing w:line="360" w:lineRule="auto"/>
        <w:ind w:firstLine="424"/>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）政府采购支持监狱企业发展。</w:t>
      </w:r>
    </w:p>
    <w:p w14:paraId="1FCB9070">
      <w:pPr>
        <w:spacing w:line="360" w:lineRule="auto"/>
        <w:ind w:firstLine="424"/>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 “实质性要求”是指采购需求中带“▲”的条款或者不能负偏离的条款或者已经指明不满足响应文件按无效处理的条款。</w:t>
      </w:r>
    </w:p>
    <w:p w14:paraId="5F70CFC3">
      <w:pPr>
        <w:spacing w:line="360" w:lineRule="auto"/>
        <w:ind w:firstLine="424"/>
        <w:jc w:val="left"/>
        <w:rPr>
          <w:rFonts w:hint="eastAsia" w:ascii="宋体" w:hAnsi="宋体" w:cs="Arial"/>
          <w:bCs/>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hint="eastAsia"/>
          <w:color w:val="000000" w:themeColor="text1"/>
          <w:highlight w:val="none"/>
          <w14:textFill>
            <w14:solidFill>
              <w14:schemeClr w14:val="tx1"/>
            </w14:solidFill>
          </w14:textFill>
        </w:rPr>
        <w:t>供应商必须自行为其竞标产品侵犯他人的知识产权或者专利成果的行为承担相应法律责任。</w:t>
      </w:r>
    </w:p>
    <w:tbl>
      <w:tblPr>
        <w:tblStyle w:val="45"/>
        <w:tblW w:w="953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7"/>
        <w:gridCol w:w="1521"/>
        <w:gridCol w:w="283"/>
        <w:gridCol w:w="828"/>
        <w:gridCol w:w="873"/>
        <w:gridCol w:w="5298"/>
      </w:tblGrid>
      <w:tr w14:paraId="55BFD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727" w:type="dxa"/>
            <w:noWrap w:val="0"/>
            <w:vAlign w:val="center"/>
          </w:tcPr>
          <w:p w14:paraId="05DF49BB">
            <w:pPr>
              <w:tabs>
                <w:tab w:val="left" w:pos="180"/>
                <w:tab w:val="left" w:pos="1620"/>
              </w:tabs>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1804" w:type="dxa"/>
            <w:gridSpan w:val="2"/>
            <w:noWrap w:val="0"/>
            <w:vAlign w:val="center"/>
          </w:tcPr>
          <w:p w14:paraId="621C2EE6">
            <w:pPr>
              <w:tabs>
                <w:tab w:val="left" w:pos="180"/>
                <w:tab w:val="left" w:pos="1620"/>
              </w:tabs>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标的的名称</w:t>
            </w:r>
          </w:p>
        </w:tc>
        <w:tc>
          <w:tcPr>
            <w:tcW w:w="828" w:type="dxa"/>
            <w:noWrap w:val="0"/>
            <w:vAlign w:val="center"/>
          </w:tcPr>
          <w:p w14:paraId="6E400E96">
            <w:pPr>
              <w:tabs>
                <w:tab w:val="left" w:pos="180"/>
                <w:tab w:val="left" w:pos="1620"/>
              </w:tabs>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数量及单位</w:t>
            </w:r>
          </w:p>
        </w:tc>
        <w:tc>
          <w:tcPr>
            <w:tcW w:w="873" w:type="dxa"/>
            <w:noWrap w:val="0"/>
            <w:vAlign w:val="center"/>
          </w:tcPr>
          <w:p w14:paraId="2A7C72F3">
            <w:pPr>
              <w:tabs>
                <w:tab w:val="left" w:pos="180"/>
                <w:tab w:val="left" w:pos="1620"/>
              </w:tabs>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所属行业</w:t>
            </w:r>
          </w:p>
        </w:tc>
        <w:tc>
          <w:tcPr>
            <w:tcW w:w="5298" w:type="dxa"/>
            <w:noWrap w:val="0"/>
            <w:vAlign w:val="center"/>
          </w:tcPr>
          <w:p w14:paraId="0352A1D5">
            <w:pPr>
              <w:tabs>
                <w:tab w:val="left" w:pos="180"/>
                <w:tab w:val="left" w:pos="1620"/>
              </w:tabs>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▲技术要求</w:t>
            </w:r>
          </w:p>
        </w:tc>
      </w:tr>
      <w:tr w14:paraId="0D0C9D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5" w:hRule="atLeast"/>
          <w:jc w:val="center"/>
        </w:trPr>
        <w:tc>
          <w:tcPr>
            <w:tcW w:w="727" w:type="dxa"/>
            <w:noWrap w:val="0"/>
            <w:vAlign w:val="center"/>
          </w:tcPr>
          <w:p w14:paraId="5591925C">
            <w:pPr>
              <w:tabs>
                <w:tab w:val="left" w:pos="180"/>
                <w:tab w:val="left" w:pos="1620"/>
              </w:tabs>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1804" w:type="dxa"/>
            <w:gridSpan w:val="2"/>
            <w:noWrap w:val="0"/>
            <w:vAlign w:val="center"/>
          </w:tcPr>
          <w:p w14:paraId="4CA8C7EF">
            <w:pPr>
              <w:tabs>
                <w:tab w:val="left" w:pos="180"/>
                <w:tab w:val="left" w:pos="1620"/>
              </w:tabs>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2026年第一批扩大学前教育资源奖补资金项目平南县大安镇中心幼儿园教学楼综合楼维修、综合活动场地项目</w:t>
            </w:r>
          </w:p>
        </w:tc>
        <w:tc>
          <w:tcPr>
            <w:tcW w:w="828" w:type="dxa"/>
            <w:noWrap w:val="0"/>
            <w:vAlign w:val="center"/>
          </w:tcPr>
          <w:p w14:paraId="020B06FA">
            <w:pPr>
              <w:tabs>
                <w:tab w:val="left" w:pos="180"/>
                <w:tab w:val="left" w:pos="1620"/>
              </w:tabs>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1项</w:t>
            </w:r>
          </w:p>
        </w:tc>
        <w:tc>
          <w:tcPr>
            <w:tcW w:w="873" w:type="dxa"/>
            <w:noWrap w:val="0"/>
            <w:vAlign w:val="center"/>
          </w:tcPr>
          <w:p w14:paraId="7C174E8D">
            <w:pPr>
              <w:tabs>
                <w:tab w:val="left" w:pos="180"/>
                <w:tab w:val="left" w:pos="1620"/>
              </w:tabs>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建筑业</w:t>
            </w:r>
          </w:p>
        </w:tc>
        <w:tc>
          <w:tcPr>
            <w:tcW w:w="5298" w:type="dxa"/>
            <w:noWrap w:val="0"/>
            <w:vAlign w:val="center"/>
          </w:tcPr>
          <w:p w14:paraId="14155D79">
            <w:pPr>
              <w:pStyle w:val="337"/>
              <w:spacing w:line="360" w:lineRule="auto"/>
              <w:ind w:firstLine="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工程概况：2026年第一批扩大学前教育资源奖补资金项目平南县大安镇中心幼儿园教学楼综合楼维修、综合活动场地项目</w:t>
            </w:r>
            <w:r>
              <w:rPr>
                <w:rFonts w:hint="eastAsia" w:ascii="宋体" w:hAnsi="宋体" w:cs="宋体"/>
                <w:b w:val="0"/>
                <w:bCs/>
                <w:color w:val="000000" w:themeColor="text1"/>
                <w:szCs w:val="21"/>
                <w:highlight w:val="none"/>
                <w:lang w:val="en-US" w:eastAsia="zh-CN"/>
                <w14:textFill>
                  <w14:solidFill>
                    <w14:schemeClr w14:val="tx1"/>
                  </w14:solidFill>
                </w14:textFill>
              </w:rPr>
              <w:t>1项</w:t>
            </w:r>
            <w:r>
              <w:rPr>
                <w:rFonts w:hint="eastAsia" w:ascii="宋体" w:hAnsi="宋体" w:cs="宋体"/>
                <w:color w:val="000000" w:themeColor="text1"/>
                <w:szCs w:val="21"/>
                <w:highlight w:val="none"/>
                <w14:textFill>
                  <w14:solidFill>
                    <w14:schemeClr w14:val="tx1"/>
                  </w14:solidFill>
                </w14:textFill>
              </w:rPr>
              <w:t>。</w:t>
            </w:r>
          </w:p>
          <w:p w14:paraId="149E2B0B">
            <w:pPr>
              <w:pStyle w:val="337"/>
              <w:spacing w:line="360" w:lineRule="auto"/>
              <w:ind w:firstLine="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1.质量要求：符合国家工程质量验收规范合格标准。</w:t>
            </w:r>
          </w:p>
          <w:p w14:paraId="1EFDBD81">
            <w:pPr>
              <w:pStyle w:val="337"/>
              <w:spacing w:line="360" w:lineRule="auto"/>
              <w:ind w:firstLine="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2.安全要求:</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应遵守安全生产法律、法规的规定及国家和工程所在地工程建设安全生产有关管理规定，严格按现行安全标准组织施工。</w:t>
            </w:r>
          </w:p>
          <w:p w14:paraId="5DF2E7D5">
            <w:pPr>
              <w:pStyle w:val="337"/>
              <w:spacing w:line="360" w:lineRule="auto"/>
              <w:ind w:firstLine="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3.技术要求：本工程应该认真按照设计施工图纸的要求进行施工，同时也要严格执行国家现行行业验收标准、各专业相关的现行标准和技术规范。</w:t>
            </w:r>
          </w:p>
          <w:p w14:paraId="253CB177">
            <w:pPr>
              <w:numPr>
                <w:ilvl w:val="0"/>
                <w:numId w:val="0"/>
              </w:numPr>
              <w:spacing w:line="440" w:lineRule="exact"/>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4.需实现的功能或者目标：完成</w:t>
            </w:r>
            <w:r>
              <w:rPr>
                <w:rFonts w:hint="eastAsia" w:ascii="宋体" w:hAnsi="宋体" w:cs="宋体"/>
                <w:b w:val="0"/>
                <w:bCs/>
                <w:color w:val="000000" w:themeColor="text1"/>
                <w:szCs w:val="21"/>
                <w:highlight w:val="none"/>
                <w:lang w:eastAsia="zh-CN"/>
                <w14:textFill>
                  <w14:solidFill>
                    <w14:schemeClr w14:val="tx1"/>
                  </w14:solidFill>
                </w14:textFill>
              </w:rPr>
              <w:t>2026年第一批扩大学前教育资源奖补资金项目平南县大安镇中心幼儿园教学楼综合楼维修、综合活动场地项目</w:t>
            </w:r>
            <w:r>
              <w:rPr>
                <w:rFonts w:hint="eastAsia" w:ascii="宋体" w:hAnsi="宋体" w:cs="宋体"/>
                <w:color w:val="000000" w:themeColor="text1"/>
                <w:szCs w:val="21"/>
                <w:highlight w:val="none"/>
                <w14:textFill>
                  <w14:solidFill>
                    <w14:schemeClr w14:val="tx1"/>
                  </w14:solidFill>
                </w14:textFill>
              </w:rPr>
              <w:t>。</w:t>
            </w:r>
          </w:p>
        </w:tc>
      </w:tr>
      <w:tr w14:paraId="10D522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30" w:type="dxa"/>
            <w:gridSpan w:val="6"/>
            <w:tcBorders>
              <w:top w:val="single" w:color="auto" w:sz="4" w:space="0"/>
              <w:left w:val="single" w:color="auto" w:sz="4" w:space="0"/>
              <w:bottom w:val="single" w:color="auto" w:sz="4" w:space="0"/>
              <w:right w:val="single" w:color="auto" w:sz="4" w:space="0"/>
            </w:tcBorders>
            <w:noWrap w:val="0"/>
          </w:tcPr>
          <w:p w14:paraId="1A21D724">
            <w:pPr>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一、</w:t>
            </w:r>
            <w:r>
              <w:rPr>
                <w:rFonts w:hint="eastAsia" w:ascii="宋体" w:hAnsi="宋体"/>
                <w:b/>
                <w:color w:val="000000" w:themeColor="text1"/>
                <w:szCs w:val="21"/>
                <w:highlight w:val="none"/>
                <w14:textFill>
                  <w14:solidFill>
                    <w14:schemeClr w14:val="tx1"/>
                  </w14:solidFill>
                </w14:textFill>
              </w:rPr>
              <w:t>商务要求：</w:t>
            </w:r>
          </w:p>
        </w:tc>
      </w:tr>
      <w:tr w14:paraId="0107F4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48" w:type="dxa"/>
            <w:gridSpan w:val="2"/>
            <w:tcBorders>
              <w:top w:val="single" w:color="auto" w:sz="4" w:space="0"/>
              <w:left w:val="single" w:color="auto" w:sz="4" w:space="0"/>
              <w:bottom w:val="single" w:color="auto" w:sz="4" w:space="0"/>
              <w:right w:val="single" w:color="auto" w:sz="4" w:space="0"/>
            </w:tcBorders>
            <w:noWrap w:val="0"/>
            <w:vAlign w:val="center"/>
          </w:tcPr>
          <w:p w14:paraId="0B6BEAEC">
            <w:pPr>
              <w:spacing w:line="360" w:lineRule="auto"/>
              <w:jc w:val="center"/>
              <w:rPr>
                <w:rFonts w:hint="eastAsia" w:ascii="宋体" w:hAnsi="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计划工期</w:t>
            </w:r>
          </w:p>
        </w:tc>
        <w:tc>
          <w:tcPr>
            <w:tcW w:w="7282" w:type="dxa"/>
            <w:gridSpan w:val="4"/>
            <w:tcBorders>
              <w:top w:val="single" w:color="auto" w:sz="4" w:space="0"/>
              <w:left w:val="single" w:color="auto" w:sz="4" w:space="0"/>
              <w:bottom w:val="single" w:color="auto" w:sz="4" w:space="0"/>
              <w:right w:val="single" w:color="auto" w:sz="4" w:space="0"/>
            </w:tcBorders>
            <w:noWrap w:val="0"/>
            <w:vAlign w:val="center"/>
          </w:tcPr>
          <w:p w14:paraId="73EBF3B1">
            <w:pPr>
              <w:rPr>
                <w:rFonts w:hint="eastAsia" w:ascii="宋体" w:hAnsi="宋体" w:eastAsia="宋体" w:cs="宋体"/>
                <w:color w:val="000000" w:themeColor="text1"/>
                <w:highlight w:val="non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计划工期：</w:t>
            </w:r>
            <w:r>
              <w:rPr>
                <w:rFonts w:hint="eastAsia" w:ascii="宋体" w:hAnsi="宋体" w:cs="宋体"/>
                <w:color w:val="000000" w:themeColor="text1"/>
                <w:highlight w:val="none"/>
                <w:lang w:val="en-US" w:eastAsia="zh-CN"/>
                <w14:textFill>
                  <w14:solidFill>
                    <w14:schemeClr w14:val="tx1"/>
                  </w14:solidFill>
                </w14:textFill>
              </w:rPr>
              <w:t>45</w:t>
            </w:r>
            <w:r>
              <w:rPr>
                <w:rFonts w:hint="eastAsia" w:ascii="宋体" w:hAnsi="宋体" w:eastAsia="宋体" w:cs="宋体"/>
                <w:color w:val="000000" w:themeColor="text1"/>
                <w:highlight w:val="none"/>
                <w:lang w:val="zh-CN"/>
                <w14:textFill>
                  <w14:solidFill>
                    <w14:schemeClr w14:val="tx1"/>
                  </w14:solidFill>
                </w14:textFill>
              </w:rPr>
              <w:t>日历天</w:t>
            </w:r>
          </w:p>
          <w:p w14:paraId="73E4EDF9">
            <w:pPr>
              <w:rPr>
                <w:rFonts w:hint="eastAsia" w:ascii="宋体" w:hAnsi="宋体" w:eastAsia="宋体" w:cs="宋体"/>
                <w:color w:val="000000" w:themeColor="text1"/>
                <w:highlight w:val="none"/>
                <w:lang w:val="zh-CN"/>
                <w14:textFill>
                  <w14:solidFill>
                    <w14:schemeClr w14:val="tx1"/>
                  </w14:solidFill>
                </w14:textFill>
              </w:rPr>
            </w:pPr>
            <w:r>
              <w:rPr>
                <w:rFonts w:hint="eastAsia" w:ascii="宋体" w:hAnsi="宋体" w:eastAsia="宋体" w:cs="宋体"/>
                <w:color w:val="000000" w:themeColor="text1"/>
                <w:highlight w:val="none"/>
                <w:lang w:val="zh-CN"/>
                <w14:textFill>
                  <w14:solidFill>
                    <w14:schemeClr w14:val="tx1"/>
                  </w14:solidFill>
                </w14:textFill>
              </w:rPr>
              <w:t>计划开工日期：</w:t>
            </w:r>
            <w:r>
              <w:rPr>
                <w:rFonts w:hint="eastAsia" w:ascii="宋体" w:hAnsi="宋体" w:eastAsia="宋体" w:cs="宋体"/>
                <w:color w:val="000000" w:themeColor="text1"/>
                <w:highlight w:val="none"/>
                <w14:textFill>
                  <w14:solidFill>
                    <w14:schemeClr w14:val="tx1"/>
                  </w14:solidFill>
                </w14:textFill>
              </w:rPr>
              <w:t>202</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lang w:val="zh-CN"/>
                <w14:textFill>
                  <w14:solidFill>
                    <w14:schemeClr w14:val="tx1"/>
                  </w14:solidFill>
                </w14:textFill>
              </w:rPr>
              <w:t>年</w:t>
            </w: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lang w:val="zh-CN"/>
                <w14:textFill>
                  <w14:solidFill>
                    <w14:schemeClr w14:val="tx1"/>
                  </w14:solidFill>
                </w14:textFill>
              </w:rPr>
              <w:t>月</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lang w:val="zh-CN"/>
                <w14:textFill>
                  <w14:solidFill>
                    <w14:schemeClr w14:val="tx1"/>
                  </w14:solidFill>
                </w14:textFill>
              </w:rPr>
              <w:t>日</w:t>
            </w:r>
          </w:p>
          <w:p w14:paraId="6A701880">
            <w:pPr>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lang w:val="zh-CN"/>
                <w14:textFill>
                  <w14:solidFill>
                    <w14:schemeClr w14:val="tx1"/>
                  </w14:solidFill>
                </w14:textFill>
              </w:rPr>
              <w:t>计划交工日期：</w:t>
            </w:r>
            <w:r>
              <w:rPr>
                <w:rFonts w:hint="eastAsia" w:ascii="宋体" w:hAnsi="宋体" w:eastAsia="宋体" w:cs="宋体"/>
                <w:color w:val="000000" w:themeColor="text1"/>
                <w:highlight w:val="none"/>
                <w14:textFill>
                  <w14:solidFill>
                    <w14:schemeClr w14:val="tx1"/>
                  </w14:solidFill>
                </w14:textFill>
              </w:rPr>
              <w:t>202</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lang w:val="zh-CN"/>
                <w14:textFill>
                  <w14:solidFill>
                    <w14:schemeClr w14:val="tx1"/>
                  </w14:solidFill>
                </w14:textFill>
              </w:rPr>
              <w:t>年</w:t>
            </w:r>
            <w:r>
              <w:rPr>
                <w:rFonts w:hint="eastAsia" w:ascii="宋体" w:hAnsi="宋体" w:cs="宋体"/>
                <w:color w:val="000000" w:themeColor="text1"/>
                <w:highlight w:val="none"/>
                <w:lang w:val="en-US" w:eastAsia="zh-CN"/>
                <w14:textFill>
                  <w14:solidFill>
                    <w14:schemeClr w14:val="tx1"/>
                  </w14:solidFill>
                </w14:textFill>
              </w:rPr>
              <w:t>8</w:t>
            </w:r>
            <w:r>
              <w:rPr>
                <w:rFonts w:hint="eastAsia" w:ascii="宋体" w:hAnsi="宋体" w:eastAsia="宋体" w:cs="宋体"/>
                <w:color w:val="000000" w:themeColor="text1"/>
                <w:highlight w:val="none"/>
                <w:lang w:val="zh-CN"/>
                <w14:textFill>
                  <w14:solidFill>
                    <w14:schemeClr w14:val="tx1"/>
                  </w14:solidFill>
                </w14:textFill>
              </w:rPr>
              <w:t>月</w:t>
            </w:r>
            <w:r>
              <w:rPr>
                <w:rFonts w:hint="eastAsia" w:ascii="宋体" w:hAnsi="宋体" w:cs="宋体"/>
                <w:color w:val="000000" w:themeColor="text1"/>
                <w:highlight w:val="none"/>
                <w:lang w:val="en-US" w:eastAsia="zh-CN"/>
                <w14:textFill>
                  <w14:solidFill>
                    <w14:schemeClr w14:val="tx1"/>
                  </w14:solidFill>
                </w14:textFill>
              </w:rPr>
              <w:t>18</w:t>
            </w:r>
            <w:r>
              <w:rPr>
                <w:rFonts w:hint="eastAsia" w:ascii="宋体" w:hAnsi="宋体" w:eastAsia="宋体" w:cs="宋体"/>
                <w:color w:val="000000" w:themeColor="text1"/>
                <w:highlight w:val="none"/>
                <w:lang w:val="zh-CN"/>
                <w14:textFill>
                  <w14:solidFill>
                    <w14:schemeClr w14:val="tx1"/>
                  </w14:solidFill>
                </w14:textFill>
              </w:rPr>
              <w:t>日</w:t>
            </w:r>
          </w:p>
        </w:tc>
      </w:tr>
      <w:tr w14:paraId="4FB66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48" w:type="dxa"/>
            <w:gridSpan w:val="2"/>
            <w:tcBorders>
              <w:top w:val="single" w:color="auto" w:sz="4" w:space="0"/>
              <w:left w:val="single" w:color="auto" w:sz="4" w:space="0"/>
              <w:bottom w:val="single" w:color="auto" w:sz="4" w:space="0"/>
              <w:right w:val="single" w:color="auto" w:sz="4" w:space="0"/>
            </w:tcBorders>
            <w:noWrap w:val="0"/>
            <w:vAlign w:val="center"/>
          </w:tcPr>
          <w:p w14:paraId="1D9E5784">
            <w:pPr>
              <w:spacing w:line="360" w:lineRule="auto"/>
              <w:jc w:val="center"/>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建设地点</w:t>
            </w:r>
          </w:p>
        </w:tc>
        <w:tc>
          <w:tcPr>
            <w:tcW w:w="7282" w:type="dxa"/>
            <w:gridSpan w:val="4"/>
            <w:tcBorders>
              <w:top w:val="single" w:color="auto" w:sz="4" w:space="0"/>
              <w:left w:val="single" w:color="auto" w:sz="4" w:space="0"/>
              <w:bottom w:val="single" w:color="auto" w:sz="4" w:space="0"/>
              <w:right w:val="single" w:color="auto" w:sz="4" w:space="0"/>
            </w:tcBorders>
            <w:noWrap w:val="0"/>
            <w:vAlign w:val="center"/>
          </w:tcPr>
          <w:p w14:paraId="5E901707">
            <w:pPr>
              <w:spacing w:line="360" w:lineRule="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s="宋体"/>
                <w:b w:val="0"/>
                <w:bCs/>
                <w:color w:val="000000" w:themeColor="text1"/>
                <w:szCs w:val="21"/>
                <w:highlight w:val="none"/>
                <w14:textFill>
                  <w14:solidFill>
                    <w14:schemeClr w14:val="tx1"/>
                  </w14:solidFill>
                </w14:textFill>
              </w:rPr>
              <w:t>平南县大安镇中心幼儿园校园内</w:t>
            </w:r>
          </w:p>
        </w:tc>
      </w:tr>
      <w:tr w14:paraId="13C92A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48" w:type="dxa"/>
            <w:gridSpan w:val="2"/>
            <w:tcBorders>
              <w:top w:val="single" w:color="auto" w:sz="4" w:space="0"/>
              <w:left w:val="single" w:color="auto" w:sz="4" w:space="0"/>
              <w:bottom w:val="single" w:color="auto" w:sz="4" w:space="0"/>
              <w:right w:val="single" w:color="auto" w:sz="4" w:space="0"/>
            </w:tcBorders>
            <w:noWrap w:val="0"/>
            <w:vAlign w:val="center"/>
          </w:tcPr>
          <w:p w14:paraId="6EF75F13">
            <w:pPr>
              <w:spacing w:line="360" w:lineRule="auto"/>
              <w:jc w:val="center"/>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报价要求</w:t>
            </w:r>
          </w:p>
        </w:tc>
        <w:tc>
          <w:tcPr>
            <w:tcW w:w="7282" w:type="dxa"/>
            <w:gridSpan w:val="4"/>
            <w:tcBorders>
              <w:top w:val="single" w:color="auto" w:sz="4" w:space="0"/>
              <w:left w:val="single" w:color="auto" w:sz="4" w:space="0"/>
              <w:bottom w:val="single" w:color="auto" w:sz="4" w:space="0"/>
              <w:right w:val="single" w:color="auto" w:sz="4" w:space="0"/>
            </w:tcBorders>
            <w:noWrap w:val="0"/>
            <w:vAlign w:val="center"/>
          </w:tcPr>
          <w:p w14:paraId="45E09556">
            <w:pPr>
              <w:spacing w:line="360" w:lineRule="auto"/>
              <w:rPr>
                <w:rFonts w:hint="eastAsia" w:ascii="宋体" w:hAnsi="宋体" w:cs="宋体"/>
                <w:b w:val="0"/>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lang w:eastAsia="zh-CN"/>
                <w14:textFill>
                  <w14:solidFill>
                    <w14:schemeClr w14:val="tx1"/>
                  </w14:solidFill>
                </w14:textFill>
              </w:rPr>
              <w:t>本项目计价方式为固定总价；</w:t>
            </w:r>
            <w:r>
              <w:rPr>
                <w:rFonts w:hint="eastAsia" w:ascii="宋体" w:hAnsi="宋体" w:cs="宋体"/>
                <w:b/>
                <w:bCs/>
                <w:color w:val="000000" w:themeColor="text1"/>
                <w:szCs w:val="21"/>
                <w:highlight w:val="none"/>
                <w14:textFill>
                  <w14:solidFill>
                    <w14:schemeClr w14:val="tx1"/>
                  </w14:solidFill>
                </w14:textFill>
              </w:rPr>
              <w:t>竞标报价是履行合同的最终价格，包括了为实施和完成合同工程所需的劳务、材料、机械、质检（自检）、安装、缺陷修复、管理、保险、税费、利润等费用，以及合同明示或暗示的所有责任、义务和一般风险。</w:t>
            </w:r>
          </w:p>
        </w:tc>
      </w:tr>
      <w:tr w14:paraId="0337F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48" w:type="dxa"/>
            <w:gridSpan w:val="2"/>
            <w:tcBorders>
              <w:top w:val="single" w:color="auto" w:sz="4" w:space="0"/>
              <w:left w:val="single" w:color="auto" w:sz="4" w:space="0"/>
              <w:bottom w:val="single" w:color="auto" w:sz="4" w:space="0"/>
              <w:right w:val="single" w:color="auto" w:sz="4" w:space="0"/>
            </w:tcBorders>
            <w:noWrap w:val="0"/>
            <w:vAlign w:val="center"/>
          </w:tcPr>
          <w:p w14:paraId="49CAAE5E">
            <w:pPr>
              <w:spacing w:line="360" w:lineRule="auto"/>
              <w:jc w:val="center"/>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合同签订时间</w:t>
            </w:r>
          </w:p>
        </w:tc>
        <w:tc>
          <w:tcPr>
            <w:tcW w:w="7282" w:type="dxa"/>
            <w:gridSpan w:val="4"/>
            <w:tcBorders>
              <w:top w:val="single" w:color="auto" w:sz="4" w:space="0"/>
              <w:left w:val="single" w:color="auto" w:sz="4" w:space="0"/>
              <w:bottom w:val="single" w:color="auto" w:sz="4" w:space="0"/>
              <w:right w:val="single" w:color="auto" w:sz="4" w:space="0"/>
            </w:tcBorders>
            <w:noWrap w:val="0"/>
            <w:vAlign w:val="center"/>
          </w:tcPr>
          <w:p w14:paraId="7F901D5E">
            <w:pPr>
              <w:spacing w:line="360" w:lineRule="auto"/>
              <w:rPr>
                <w:rFonts w:hint="eastAsia"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自成交通知书发出之日起25日内</w:t>
            </w:r>
          </w:p>
        </w:tc>
      </w:tr>
      <w:tr w14:paraId="51AEEF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atLeast"/>
          <w:jc w:val="center"/>
        </w:trPr>
        <w:tc>
          <w:tcPr>
            <w:tcW w:w="2248" w:type="dxa"/>
            <w:gridSpan w:val="2"/>
            <w:tcBorders>
              <w:top w:val="single" w:color="auto" w:sz="4" w:space="0"/>
              <w:left w:val="single" w:color="auto" w:sz="4" w:space="0"/>
              <w:bottom w:val="single" w:color="auto" w:sz="4" w:space="0"/>
              <w:right w:val="single" w:color="auto" w:sz="4" w:space="0"/>
            </w:tcBorders>
            <w:noWrap w:val="0"/>
            <w:vAlign w:val="center"/>
          </w:tcPr>
          <w:p w14:paraId="292F982B">
            <w:pPr>
              <w:spacing w:line="360" w:lineRule="auto"/>
              <w:jc w:val="center"/>
              <w:rPr>
                <w:rFonts w:hint="eastAsia" w:ascii="宋体" w:hAnsi="宋体"/>
                <w:b/>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付款条件（进度和方式）</w:t>
            </w:r>
          </w:p>
        </w:tc>
        <w:tc>
          <w:tcPr>
            <w:tcW w:w="7282"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21ED7A19">
            <w:pPr>
              <w:spacing w:line="360" w:lineRule="auto"/>
              <w:rPr>
                <w:rFonts w:hint="eastAsia" w:ascii="宋体" w:hAnsi="宋体" w:eastAsia="宋体" w:cs="Times New Roman"/>
                <w:b/>
                <w:color w:val="000000" w:themeColor="text1"/>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合同签订后，施工单位进场开工，工程预付款支付至合同总价的30%</w:t>
            </w:r>
            <w:r>
              <w:rPr>
                <w:rFonts w:hint="eastAsia"/>
                <w:color w:val="000000" w:themeColor="text1"/>
                <w:highlight w:val="none"/>
                <w14:textFill>
                  <w14:solidFill>
                    <w14:schemeClr w14:val="tx1"/>
                  </w14:solidFill>
                </w14:textFill>
              </w:rPr>
              <w:t>（扣除安全文明施工费）</w:t>
            </w:r>
            <w:r>
              <w:rPr>
                <w:rFonts w:hint="eastAsia" w:ascii="宋体" w:hAnsi="宋体"/>
                <w:color w:val="000000" w:themeColor="text1"/>
                <w:szCs w:val="21"/>
                <w:highlight w:val="none"/>
                <w14:textFill>
                  <w14:solidFill>
                    <w14:schemeClr w14:val="tx1"/>
                  </w14:solidFill>
                </w14:textFill>
              </w:rPr>
              <w:t>，按工程进度拨付工程进度款，工程量达到60%时工程进度款拨付至合同价款的50%（扣除前期支付的30%工程预付款，本次实际支付进度款为合同金额的20%），工程完工后支付至合同价款的</w:t>
            </w:r>
            <w:r>
              <w:rPr>
                <w:rFonts w:hint="eastAsia" w:ascii="宋体" w:hAnsi="宋体"/>
                <w:color w:val="000000" w:themeColor="text1"/>
                <w:szCs w:val="21"/>
                <w:highlight w:val="none"/>
                <w:lang w:eastAsia="zh-CN"/>
                <w14:textFill>
                  <w14:solidFill>
                    <w14:schemeClr w14:val="tx1"/>
                  </w14:solidFill>
                </w14:textFill>
              </w:rPr>
              <w:t>80%</w:t>
            </w:r>
            <w:r>
              <w:rPr>
                <w:rFonts w:hint="eastAsia" w:ascii="宋体" w:hAnsi="宋体"/>
                <w:color w:val="000000" w:themeColor="text1"/>
                <w:szCs w:val="21"/>
                <w:highlight w:val="none"/>
                <w14:textFill>
                  <w14:solidFill>
                    <w14:schemeClr w14:val="tx1"/>
                  </w14:solidFill>
                </w14:textFill>
              </w:rPr>
              <w:t>，经结算审计后支付至</w:t>
            </w:r>
            <w:r>
              <w:rPr>
                <w:rFonts w:hint="eastAsia" w:ascii="宋体" w:hAnsi="宋体"/>
                <w:color w:val="000000" w:themeColor="text1"/>
                <w:szCs w:val="21"/>
                <w:highlight w:val="none"/>
                <w:lang w:eastAsia="zh-CN"/>
                <w14:textFill>
                  <w14:solidFill>
                    <w14:schemeClr w14:val="tx1"/>
                  </w14:solidFill>
                </w14:textFill>
              </w:rPr>
              <w:t>结算总价的100%</w:t>
            </w:r>
            <w:r>
              <w:rPr>
                <w:rFonts w:hint="eastAsia" w:ascii="宋体" w:hAnsi="宋体"/>
                <w:color w:val="000000" w:themeColor="text1"/>
                <w:szCs w:val="21"/>
                <w:highlight w:val="none"/>
                <w14:textFill>
                  <w14:solidFill>
                    <w14:schemeClr w14:val="tx1"/>
                  </w14:solidFill>
                </w14:textFill>
              </w:rPr>
              <w:t>。质量保证金总额为</w:t>
            </w:r>
            <w:r>
              <w:rPr>
                <w:rFonts w:hint="eastAsia" w:ascii="宋体" w:hAnsi="宋体"/>
                <w:color w:val="000000" w:themeColor="text1"/>
                <w:szCs w:val="21"/>
                <w:highlight w:val="none"/>
                <w:lang w:eastAsia="zh-CN"/>
                <w14:textFill>
                  <w14:solidFill>
                    <w14:schemeClr w14:val="tx1"/>
                  </w14:solidFill>
                </w14:textFill>
              </w:rPr>
              <w:t>结算总价</w:t>
            </w:r>
            <w:r>
              <w:rPr>
                <w:rFonts w:hint="eastAsia" w:ascii="宋体" w:hAnsi="宋体"/>
                <w:color w:val="000000" w:themeColor="text1"/>
                <w:szCs w:val="21"/>
                <w:highlight w:val="none"/>
                <w14:textFill>
                  <w14:solidFill>
                    <w14:schemeClr w14:val="tx1"/>
                  </w14:solidFill>
                </w14:textFill>
              </w:rPr>
              <w:t>的3%，</w:t>
            </w:r>
            <w:r>
              <w:rPr>
                <w:rFonts w:hint="eastAsia" w:ascii="宋体" w:hAnsi="宋体"/>
                <w:color w:val="000000" w:themeColor="text1"/>
                <w:szCs w:val="21"/>
                <w:highlight w:val="none"/>
                <w:lang w:eastAsia="zh-CN"/>
                <w14:textFill>
                  <w14:solidFill>
                    <w14:schemeClr w14:val="tx1"/>
                  </w14:solidFill>
                </w14:textFill>
              </w:rPr>
              <w:t>成交供应商</w:t>
            </w:r>
            <w:r>
              <w:rPr>
                <w:rFonts w:hint="eastAsia" w:ascii="宋体" w:hAnsi="宋体"/>
                <w:color w:val="000000" w:themeColor="text1"/>
                <w:szCs w:val="21"/>
                <w:highlight w:val="none"/>
                <w14:textFill>
                  <w14:solidFill>
                    <w14:schemeClr w14:val="tx1"/>
                  </w14:solidFill>
                </w14:textFill>
              </w:rPr>
              <w:t>按照</w:t>
            </w:r>
            <w:r>
              <w:rPr>
                <w:rFonts w:hint="eastAsia" w:ascii="宋体" w:hAnsi="宋体"/>
                <w:color w:val="000000" w:themeColor="text1"/>
                <w:szCs w:val="21"/>
                <w:highlight w:val="none"/>
                <w:lang w:eastAsia="zh-CN"/>
                <w14:textFill>
                  <w14:solidFill>
                    <w14:schemeClr w14:val="tx1"/>
                  </w14:solidFill>
                </w14:textFill>
              </w:rPr>
              <w:t>结算总价</w:t>
            </w:r>
            <w:r>
              <w:rPr>
                <w:rFonts w:hint="eastAsia" w:ascii="宋体" w:hAnsi="宋体"/>
                <w:color w:val="000000" w:themeColor="text1"/>
                <w:szCs w:val="21"/>
                <w:highlight w:val="none"/>
                <w14:textFill>
                  <w14:solidFill>
                    <w14:schemeClr w14:val="tx1"/>
                  </w14:solidFill>
                </w14:textFill>
              </w:rPr>
              <w:t>的3%提供质保保函或缴纳质量保证金到</w:t>
            </w:r>
            <w:r>
              <w:rPr>
                <w:rFonts w:hint="eastAsia" w:ascii="宋体" w:hAnsi="宋体"/>
                <w:color w:val="000000" w:themeColor="text1"/>
                <w:szCs w:val="21"/>
                <w:highlight w:val="none"/>
                <w:lang w:eastAsia="zh-CN"/>
                <w14:textFill>
                  <w14:solidFill>
                    <w14:schemeClr w14:val="tx1"/>
                  </w14:solidFill>
                </w14:textFill>
              </w:rPr>
              <w:t>采购人</w:t>
            </w:r>
            <w:r>
              <w:rPr>
                <w:rFonts w:hint="eastAsia" w:ascii="宋体" w:hAnsi="宋体"/>
                <w:color w:val="000000" w:themeColor="text1"/>
                <w:szCs w:val="21"/>
                <w:highlight w:val="none"/>
                <w14:textFill>
                  <w14:solidFill>
                    <w14:schemeClr w14:val="tx1"/>
                  </w14:solidFill>
                </w14:textFill>
              </w:rPr>
              <w:t>指定的账户后工程款可支付至100%</w:t>
            </w:r>
            <w:r>
              <w:rPr>
                <w:rFonts w:hint="eastAsia" w:ascii="宋体" w:hAnsi="宋体"/>
                <w:color w:val="000000" w:themeColor="text1"/>
                <w:szCs w:val="21"/>
                <w:highlight w:val="none"/>
                <w:lang w:eastAsia="zh-CN"/>
                <w14:textFill>
                  <w14:solidFill>
                    <w14:schemeClr w14:val="tx1"/>
                  </w14:solidFill>
                </w14:textFill>
              </w:rPr>
              <w:t>，质量保证金待工程缺陷责任期满后成交供应商无违约行为发生的情况下，由成交供应商提出申请，采购人在7个工作日内无息返还。</w:t>
            </w:r>
          </w:p>
        </w:tc>
      </w:tr>
      <w:tr w14:paraId="361125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30" w:type="dxa"/>
            <w:gridSpan w:val="6"/>
            <w:tcBorders>
              <w:top w:val="single" w:color="auto" w:sz="4" w:space="0"/>
              <w:left w:val="single" w:color="auto" w:sz="4" w:space="0"/>
              <w:bottom w:val="single" w:color="auto" w:sz="4" w:space="0"/>
              <w:right w:val="single" w:color="auto" w:sz="4" w:space="0"/>
            </w:tcBorders>
            <w:noWrap w:val="0"/>
            <w:vAlign w:val="center"/>
          </w:tcPr>
          <w:p w14:paraId="20D7EB41">
            <w:pPr>
              <w:spacing w:line="360" w:lineRule="auto"/>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 xml:space="preserve">二、与实现项目目标相关的其他要求 </w:t>
            </w:r>
          </w:p>
        </w:tc>
      </w:tr>
      <w:tr w14:paraId="638D29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30" w:type="dxa"/>
            <w:gridSpan w:val="6"/>
            <w:tcBorders>
              <w:top w:val="single" w:color="auto" w:sz="4" w:space="0"/>
              <w:left w:val="single" w:color="auto" w:sz="4" w:space="0"/>
              <w:bottom w:val="single" w:color="auto" w:sz="4" w:space="0"/>
              <w:right w:val="single" w:color="auto" w:sz="4" w:space="0"/>
            </w:tcBorders>
            <w:noWrap w:val="0"/>
            <w:vAlign w:val="center"/>
          </w:tcPr>
          <w:p w14:paraId="390CFDCE">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（一）供应商的履约能力要求</w:t>
            </w:r>
          </w:p>
        </w:tc>
      </w:tr>
      <w:tr w14:paraId="7FA037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48" w:type="dxa"/>
            <w:gridSpan w:val="2"/>
            <w:tcBorders>
              <w:top w:val="single" w:color="auto" w:sz="4" w:space="0"/>
              <w:left w:val="single" w:color="auto" w:sz="4" w:space="0"/>
              <w:bottom w:val="single" w:color="auto" w:sz="4" w:space="0"/>
              <w:right w:val="single" w:color="auto" w:sz="4" w:space="0"/>
            </w:tcBorders>
            <w:noWrap w:val="0"/>
            <w:vAlign w:val="center"/>
          </w:tcPr>
          <w:p w14:paraId="2980AD57">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管理体系要求</w:t>
            </w:r>
          </w:p>
        </w:tc>
        <w:tc>
          <w:tcPr>
            <w:tcW w:w="7282" w:type="dxa"/>
            <w:gridSpan w:val="4"/>
            <w:tcBorders>
              <w:top w:val="single" w:color="auto" w:sz="4" w:space="0"/>
              <w:left w:val="single" w:color="auto" w:sz="4" w:space="0"/>
              <w:bottom w:val="single" w:color="auto" w:sz="4" w:space="0"/>
              <w:right w:val="single" w:color="auto" w:sz="4" w:space="0"/>
            </w:tcBorders>
            <w:noWrap w:val="0"/>
            <w:vAlign w:val="center"/>
          </w:tcPr>
          <w:p w14:paraId="7D8D8233">
            <w:pPr>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无</w:t>
            </w:r>
          </w:p>
        </w:tc>
      </w:tr>
      <w:tr w14:paraId="780243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48" w:type="dxa"/>
            <w:gridSpan w:val="2"/>
            <w:tcBorders>
              <w:top w:val="single" w:color="auto" w:sz="4" w:space="0"/>
              <w:left w:val="single" w:color="auto" w:sz="4" w:space="0"/>
              <w:bottom w:val="single" w:color="auto" w:sz="4" w:space="0"/>
              <w:right w:val="single" w:color="auto" w:sz="4" w:space="0"/>
            </w:tcBorders>
            <w:noWrap w:val="0"/>
            <w:vAlign w:val="center"/>
          </w:tcPr>
          <w:p w14:paraId="1F496E7C">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业绩要求</w:t>
            </w:r>
          </w:p>
        </w:tc>
        <w:tc>
          <w:tcPr>
            <w:tcW w:w="7282" w:type="dxa"/>
            <w:gridSpan w:val="4"/>
            <w:tcBorders>
              <w:top w:val="single" w:color="auto" w:sz="4" w:space="0"/>
              <w:left w:val="single" w:color="auto" w:sz="4" w:space="0"/>
              <w:bottom w:val="single" w:color="auto" w:sz="4" w:space="0"/>
              <w:right w:val="single" w:color="auto" w:sz="4" w:space="0"/>
            </w:tcBorders>
            <w:noWrap w:val="0"/>
            <w:vAlign w:val="center"/>
          </w:tcPr>
          <w:p w14:paraId="57444438">
            <w:pPr>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无</w:t>
            </w:r>
          </w:p>
        </w:tc>
      </w:tr>
      <w:tr w14:paraId="4AB675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30" w:type="dxa"/>
            <w:gridSpan w:val="6"/>
            <w:tcBorders>
              <w:top w:val="single" w:color="auto" w:sz="4" w:space="0"/>
              <w:left w:val="single" w:color="auto" w:sz="4" w:space="0"/>
              <w:bottom w:val="single" w:color="auto" w:sz="4" w:space="0"/>
              <w:right w:val="single" w:color="auto" w:sz="4" w:space="0"/>
            </w:tcBorders>
            <w:noWrap w:val="0"/>
            <w:vAlign w:val="center"/>
          </w:tcPr>
          <w:p w14:paraId="47493D57">
            <w:pPr>
              <w:tabs>
                <w:tab w:val="left" w:pos="180"/>
                <w:tab w:val="left" w:pos="1620"/>
              </w:tabs>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（二）验收标准</w:t>
            </w:r>
          </w:p>
        </w:tc>
      </w:tr>
      <w:tr w14:paraId="54FE8A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30" w:type="dxa"/>
            <w:gridSpan w:val="6"/>
            <w:tcBorders>
              <w:top w:val="single" w:color="auto" w:sz="4" w:space="0"/>
              <w:left w:val="single" w:color="auto" w:sz="4" w:space="0"/>
              <w:bottom w:val="single" w:color="auto" w:sz="4" w:space="0"/>
              <w:right w:val="single" w:color="auto" w:sz="4" w:space="0"/>
            </w:tcBorders>
            <w:noWrap w:val="0"/>
            <w:vAlign w:val="center"/>
          </w:tcPr>
          <w:p w14:paraId="3A280100">
            <w:pPr>
              <w:tabs>
                <w:tab w:val="left" w:pos="180"/>
                <w:tab w:val="left" w:pos="1620"/>
              </w:tabs>
              <w:spacing w:line="360" w:lineRule="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符合现行国家相关标准、行业标准、地方标准或者其他标准、规范</w:t>
            </w:r>
            <w:r>
              <w:rPr>
                <w:rFonts w:hint="eastAsia" w:ascii="宋体" w:hAnsi="宋体"/>
                <w:color w:val="000000" w:themeColor="text1"/>
                <w:szCs w:val="21"/>
                <w:highlight w:val="none"/>
                <w:lang w:eastAsia="zh-CN"/>
                <w14:textFill>
                  <w14:solidFill>
                    <w14:schemeClr w14:val="tx1"/>
                  </w14:solidFill>
                </w14:textFill>
              </w:rPr>
              <w:t>。</w:t>
            </w:r>
          </w:p>
        </w:tc>
      </w:tr>
      <w:tr w14:paraId="7E6D1C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30" w:type="dxa"/>
            <w:gridSpan w:val="6"/>
            <w:tcBorders>
              <w:top w:val="single" w:color="auto" w:sz="4" w:space="0"/>
              <w:left w:val="single" w:color="auto" w:sz="4" w:space="0"/>
              <w:bottom w:val="single" w:color="auto" w:sz="4" w:space="0"/>
              <w:right w:val="single" w:color="auto" w:sz="4" w:space="0"/>
            </w:tcBorders>
            <w:noWrap w:val="0"/>
            <w:vAlign w:val="center"/>
          </w:tcPr>
          <w:p w14:paraId="0D5E4090">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（三）其他要求</w:t>
            </w:r>
          </w:p>
        </w:tc>
      </w:tr>
      <w:tr w14:paraId="5269F4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30" w:type="dxa"/>
            <w:gridSpan w:val="6"/>
            <w:tcBorders>
              <w:top w:val="single" w:color="auto" w:sz="4" w:space="0"/>
              <w:left w:val="single" w:color="auto" w:sz="4" w:space="0"/>
              <w:bottom w:val="single" w:color="auto" w:sz="4" w:space="0"/>
              <w:right w:val="single" w:color="auto" w:sz="4" w:space="0"/>
            </w:tcBorders>
            <w:noWrap w:val="0"/>
            <w:vAlign w:val="center"/>
          </w:tcPr>
          <w:p w14:paraId="057C1EB2">
            <w:pPr>
              <w:tabs>
                <w:tab w:val="left" w:pos="180"/>
                <w:tab w:val="left" w:pos="1620"/>
              </w:tabs>
              <w:spacing w:line="360" w:lineRule="auto"/>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b/>
                <w:bCs/>
                <w:color w:val="000000" w:themeColor="text1"/>
                <w:highlight w:val="none"/>
                <w:lang w:eastAsia="zh-CN"/>
                <w14:textFill>
                  <w14:solidFill>
                    <w14:schemeClr w14:val="tx1"/>
                  </w14:solidFill>
                </w14:textFill>
              </w:rPr>
              <w:t>响应文件中提供</w:t>
            </w:r>
            <w:r>
              <w:rPr>
                <w:rFonts w:hint="eastAsia"/>
                <w:b/>
                <w:bCs/>
                <w:color w:val="000000" w:themeColor="text1"/>
                <w:highlight w:val="none"/>
                <w14:textFill>
                  <w14:solidFill>
                    <w14:schemeClr w14:val="tx1"/>
                  </w14:solidFill>
                </w14:textFill>
              </w:rPr>
              <w:t>施工员、质量员、材料员的培训证书复印件或扫描件</w:t>
            </w:r>
            <w:r>
              <w:rPr>
                <w:rFonts w:hint="eastAsia"/>
                <w:b/>
                <w:bCs/>
                <w:color w:val="000000" w:themeColor="text1"/>
                <w:highlight w:val="none"/>
                <w:lang w:eastAsia="zh-CN"/>
                <w14:textFill>
                  <w14:solidFill>
                    <w14:schemeClr w14:val="tx1"/>
                  </w14:solidFill>
                </w14:textFill>
              </w:rPr>
              <w:t>。</w:t>
            </w:r>
          </w:p>
        </w:tc>
      </w:tr>
    </w:tbl>
    <w:p w14:paraId="6176B996">
      <w:pPr>
        <w:tabs>
          <w:tab w:val="left" w:pos="180"/>
          <w:tab w:val="left" w:pos="1620"/>
        </w:tabs>
        <w:spacing w:line="360" w:lineRule="auto"/>
        <w:ind w:firstLine="422"/>
        <w:rPr>
          <w:rFonts w:hint="eastAsia" w:ascii="宋体" w:hAnsi="宋体" w:cs="宋体"/>
          <w:b/>
          <w:bCs/>
          <w:color w:val="000000" w:themeColor="text1"/>
          <w:szCs w:val="21"/>
          <w:highlight w:val="none"/>
          <w14:textFill>
            <w14:solidFill>
              <w14:schemeClr w14:val="tx1"/>
            </w14:solidFill>
          </w14:textFill>
        </w:rPr>
      </w:pPr>
    </w:p>
    <w:p w14:paraId="469F292A">
      <w:pPr>
        <w:tabs>
          <w:tab w:val="left" w:pos="180"/>
          <w:tab w:val="left" w:pos="1620"/>
        </w:tabs>
        <w:spacing w:line="360" w:lineRule="auto"/>
        <w:ind w:firstLine="422"/>
        <w:rPr>
          <w:rFonts w:hint="eastAsia" w:ascii="宋体" w:hAnsi="宋体" w:cs="宋体"/>
          <w:b/>
          <w:bCs/>
          <w:color w:val="000000" w:themeColor="text1"/>
          <w:szCs w:val="21"/>
          <w:highlight w:val="none"/>
          <w14:textFill>
            <w14:solidFill>
              <w14:schemeClr w14:val="tx1"/>
            </w14:solidFill>
          </w14:textFill>
        </w:rPr>
      </w:pPr>
    </w:p>
    <w:p w14:paraId="62FB0C6B">
      <w:pPr>
        <w:tabs>
          <w:tab w:val="left" w:pos="180"/>
          <w:tab w:val="left" w:pos="1620"/>
        </w:tabs>
        <w:spacing w:line="360" w:lineRule="auto"/>
        <w:ind w:firstLine="422"/>
        <w:rPr>
          <w:rFonts w:hint="eastAsia" w:ascii="宋体" w:hAnsi="宋体" w:cs="宋体"/>
          <w:b/>
          <w:bCs/>
          <w:color w:val="000000" w:themeColor="text1"/>
          <w:szCs w:val="21"/>
          <w:highlight w:val="none"/>
          <w14:textFill>
            <w14:solidFill>
              <w14:schemeClr w14:val="tx1"/>
            </w14:solidFill>
          </w14:textFill>
        </w:rPr>
      </w:pPr>
    </w:p>
    <w:p w14:paraId="54184EBE">
      <w:pPr>
        <w:pStyle w:val="24"/>
        <w:spacing w:before="340" w:after="340" w:line="360" w:lineRule="auto"/>
        <w:ind w:firstLine="402"/>
        <w:jc w:val="center"/>
        <w:rPr>
          <w:color w:val="000000" w:themeColor="text1"/>
          <w:highlight w:val="none"/>
          <w14:textFill>
            <w14:solidFill>
              <w14:schemeClr w14:val="tx1"/>
            </w14:solidFill>
          </w14:textFill>
        </w:rPr>
      </w:pPr>
      <w:r>
        <w:rPr>
          <w:rFonts w:hAnsi="宋体" w:cs="宋体"/>
          <w:b/>
          <w:bCs/>
          <w:color w:val="000000" w:themeColor="text1"/>
          <w:highlight w:val="none"/>
          <w14:textFill>
            <w14:solidFill>
              <w14:schemeClr w14:val="tx1"/>
            </w14:solidFill>
          </w14:textFill>
        </w:rPr>
        <w:br w:type="page" w:clear="all"/>
      </w:r>
      <w:bookmarkStart w:id="73" w:name="_Toc74323459"/>
      <w:r>
        <w:rPr>
          <w:rFonts w:hint="eastAsia"/>
          <w:b/>
          <w:color w:val="000000" w:themeColor="text1"/>
          <w:sz w:val="44"/>
          <w:szCs w:val="44"/>
          <w:highlight w:val="none"/>
          <w14:textFill>
            <w14:solidFill>
              <w14:schemeClr w14:val="tx1"/>
            </w14:solidFill>
          </w14:textFill>
        </w:rPr>
        <w:t>第四章  评审程序、评审方法和评审标准</w:t>
      </w:r>
      <w:bookmarkEnd w:id="73"/>
    </w:p>
    <w:p w14:paraId="4391C21D">
      <w:pPr>
        <w:spacing w:line="360" w:lineRule="auto"/>
        <w:jc w:val="center"/>
        <w:rPr>
          <w:rFonts w:hint="eastAsia"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一、评审程序和评审方法</w:t>
      </w:r>
    </w:p>
    <w:p w14:paraId="49D0AC60">
      <w:pPr>
        <w:spacing w:line="360" w:lineRule="auto"/>
        <w:ind w:firstLine="354"/>
        <w:jc w:val="left"/>
        <w:rPr>
          <w:rFonts w:hint="eastAsia"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1</w:t>
      </w:r>
      <w:r>
        <w:rPr>
          <w:rFonts w:hint="eastAsia" w:ascii="黑体" w:hAnsi="黑体" w:eastAsia="黑体" w:cs="宋体"/>
          <w:b/>
          <w:bCs/>
          <w:color w:val="000000" w:themeColor="text1"/>
          <w:sz w:val="24"/>
          <w:highlight w:val="none"/>
          <w14:textFill>
            <w14:solidFill>
              <w14:schemeClr w14:val="tx1"/>
            </w14:solidFill>
          </w14:textFill>
        </w:rPr>
        <w:t>.资格审查</w:t>
      </w:r>
    </w:p>
    <w:p w14:paraId="6571B08B">
      <w:pPr>
        <w:spacing w:line="360" w:lineRule="auto"/>
        <w:ind w:firstLine="420"/>
        <w:rPr>
          <w:rFonts w:hint="eastAsia" w:ascii="宋体" w:hAnsi="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响应文件开启后，磋商小组依法对供应商的资格证明文件进行审查。</w:t>
      </w:r>
    </w:p>
    <w:p w14:paraId="558EC43F">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w:t>
      </w:r>
      <w:r>
        <w:rPr>
          <w:rFonts w:hint="eastAsia"/>
          <w:color w:val="000000" w:themeColor="text1"/>
          <w:highlight w:val="none"/>
          <w14:textFill>
            <w14:solidFill>
              <w14:schemeClr w14:val="tx1"/>
            </w14:solidFill>
          </w14:textFill>
        </w:rPr>
        <w:t>磋商小组</w:t>
      </w:r>
      <w:r>
        <w:rPr>
          <w:rFonts w:hint="eastAsia" w:ascii="宋体" w:hAnsi="宋体" w:cs="宋体"/>
          <w:color w:val="000000" w:themeColor="text1"/>
          <w:szCs w:val="21"/>
          <w:highlight w:val="none"/>
          <w14:textFill>
            <w14:solidFill>
              <w14:schemeClr w14:val="tx1"/>
            </w14:solidFill>
          </w14:textFill>
        </w:rPr>
        <w:t>在资格审查结束前，对供应商进行信用查询。</w:t>
      </w:r>
    </w:p>
    <w:p w14:paraId="610B9979">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（1）查询渠道：广西政府采购云平台“信用中国”网站（www.creditchina.gov.cn）、中国政府采购网（www.ccgp.gov.cn）链接入口。</w:t>
      </w:r>
    </w:p>
    <w:p w14:paraId="150BA913">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（2）信用查询截止时点：资格审查结束前。</w:t>
      </w:r>
    </w:p>
    <w:p w14:paraId="7B6209E0">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（3）查询记录和证据留存方式：在查询网站中直接查询，截图另存为电子文档作为评审资料保存。</w:t>
      </w:r>
    </w:p>
    <w:p w14:paraId="7B21DD9E">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w:t>
      </w:r>
      <w:r>
        <w:rPr>
          <w:rFonts w:hint="eastAsia" w:ascii="宋体" w:hAnsi="宋体"/>
          <w:color w:val="000000" w:themeColor="text1"/>
          <w:szCs w:val="21"/>
          <w:highlight w:val="none"/>
          <w14:textFill>
            <w14:solidFill>
              <w14:schemeClr w14:val="tx1"/>
            </w14:solidFill>
          </w14:textFill>
        </w:rPr>
        <w:t>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r>
        <w:rPr>
          <w:rFonts w:hint="eastAsia" w:ascii="宋体" w:hAnsi="宋体" w:cs="宋体"/>
          <w:color w:val="000000" w:themeColor="text1"/>
          <w:szCs w:val="21"/>
          <w:highlight w:val="none"/>
          <w14:textFill>
            <w14:solidFill>
              <w14:schemeClr w14:val="tx1"/>
            </w14:solidFill>
          </w14:textFill>
        </w:rPr>
        <w:t>。</w:t>
      </w:r>
    </w:p>
    <w:p w14:paraId="5D3FF15B">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.2资格审查标准为本磋商文件中载明对供应商资格要求的条件。资格审查采用合格制，凡符合磋商文件规定的供应商资格要求的响应文件均通过资格审查。</w:t>
      </w:r>
    </w:p>
    <w:p w14:paraId="791B0CBE">
      <w:pPr>
        <w:spacing w:line="360" w:lineRule="auto"/>
        <w:ind w:firstLine="422"/>
        <w:rPr>
          <w:rFonts w:hint="eastAsia" w:ascii="宋体" w:hAnsi="宋体" w:cs="宋体"/>
          <w:b/>
          <w:bCs/>
          <w:color w:val="000000" w:themeColor="text1"/>
          <w:szCs w:val="21"/>
          <w:highlight w:val="none"/>
          <w14:textFill>
            <w14:solidFill>
              <w14:schemeClr w14:val="tx1"/>
            </w14:solidFill>
          </w14:textFill>
        </w:rPr>
      </w:pPr>
      <w:r>
        <w:rPr>
          <w:rFonts w:ascii="宋体" w:hAnsi="宋体" w:cs="宋体"/>
          <w:b/>
          <w:bCs/>
          <w:color w:val="000000" w:themeColor="text1"/>
          <w:szCs w:val="21"/>
          <w:highlight w:val="none"/>
          <w14:textFill>
            <w14:solidFill>
              <w14:schemeClr w14:val="tx1"/>
            </w14:solidFill>
          </w14:textFill>
        </w:rPr>
        <w:t>1</w:t>
      </w:r>
      <w:r>
        <w:rPr>
          <w:rFonts w:hint="eastAsia" w:ascii="宋体" w:hAnsi="宋体" w:cs="宋体"/>
          <w:b/>
          <w:bCs/>
          <w:color w:val="000000" w:themeColor="text1"/>
          <w:szCs w:val="21"/>
          <w:highlight w:val="none"/>
          <w14:textFill>
            <w14:solidFill>
              <w14:schemeClr w14:val="tx1"/>
            </w14:solidFill>
          </w14:textFill>
        </w:rPr>
        <w:t>.3供应商有下列情形之一的，资格审查不通过，其响应文件按无效处理：</w:t>
      </w:r>
    </w:p>
    <w:p w14:paraId="1DC4C951">
      <w:pPr>
        <w:spacing w:line="360" w:lineRule="auto"/>
        <w:ind w:firstLine="422"/>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w:t>
      </w:r>
      <w:r>
        <w:rPr>
          <w:rFonts w:ascii="宋体" w:hAnsi="宋体" w:cs="宋体"/>
          <w:b/>
          <w:bCs/>
          <w:color w:val="000000" w:themeColor="text1"/>
          <w:szCs w:val="21"/>
          <w:highlight w:val="none"/>
          <w14:textFill>
            <w14:solidFill>
              <w14:schemeClr w14:val="tx1"/>
            </w14:solidFill>
          </w14:textFill>
        </w:rPr>
        <w:t>1</w:t>
      </w:r>
      <w:r>
        <w:rPr>
          <w:rFonts w:hint="eastAsia" w:ascii="宋体" w:hAnsi="宋体" w:cs="宋体"/>
          <w:b/>
          <w:bCs/>
          <w:color w:val="000000" w:themeColor="text1"/>
          <w:szCs w:val="21"/>
          <w:highlight w:val="none"/>
          <w14:textFill>
            <w14:solidFill>
              <w14:schemeClr w14:val="tx1"/>
            </w14:solidFill>
          </w14:textFill>
        </w:rPr>
        <w:t>）不具备磋商文件中规定的资格要求的；</w:t>
      </w:r>
    </w:p>
    <w:p w14:paraId="216BD84F">
      <w:pPr>
        <w:spacing w:line="360" w:lineRule="auto"/>
        <w:ind w:firstLine="422"/>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（2）未按磋商文件规定的方式获取本磋商文件的供应商；</w:t>
      </w:r>
    </w:p>
    <w:p w14:paraId="415604CC">
      <w:pPr>
        <w:spacing w:line="360" w:lineRule="auto"/>
        <w:ind w:firstLine="422"/>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w:t>
      </w:r>
      <w:r>
        <w:rPr>
          <w:rFonts w:ascii="宋体" w:hAnsi="宋体" w:cs="宋体"/>
          <w:b/>
          <w:bCs/>
          <w:color w:val="000000" w:themeColor="text1"/>
          <w:szCs w:val="21"/>
          <w:highlight w:val="none"/>
          <w14:textFill>
            <w14:solidFill>
              <w14:schemeClr w14:val="tx1"/>
            </w14:solidFill>
          </w14:textFill>
        </w:rPr>
        <w:t>3</w:t>
      </w:r>
      <w:r>
        <w:rPr>
          <w:rFonts w:hint="eastAsia" w:ascii="宋体" w:hAnsi="宋体" w:cs="宋体"/>
          <w:b/>
          <w:bCs/>
          <w:color w:val="000000" w:themeColor="text1"/>
          <w:szCs w:val="21"/>
          <w:highlight w:val="none"/>
          <w14:textFill>
            <w14:solidFill>
              <w14:schemeClr w14:val="tx1"/>
            </w14:solidFill>
          </w14:textFill>
        </w:rPr>
        <w:t>）响应文件的资格证明文件缺少任一项“供应商须知前附表”资格证明文件规定的“必须提供”的文件资料的；</w:t>
      </w:r>
    </w:p>
    <w:p w14:paraId="1C02E57F">
      <w:pPr>
        <w:spacing w:line="360" w:lineRule="auto"/>
        <w:ind w:firstLine="422"/>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w:t>
      </w:r>
      <w:r>
        <w:rPr>
          <w:rFonts w:ascii="宋体" w:hAnsi="宋体" w:cs="宋体"/>
          <w:b/>
          <w:bCs/>
          <w:color w:val="000000" w:themeColor="text1"/>
          <w:szCs w:val="21"/>
          <w:highlight w:val="none"/>
          <w14:textFill>
            <w14:solidFill>
              <w14:schemeClr w14:val="tx1"/>
            </w14:solidFill>
          </w14:textFill>
        </w:rPr>
        <w:t>4</w:t>
      </w:r>
      <w:r>
        <w:rPr>
          <w:rFonts w:hint="eastAsia" w:ascii="宋体" w:hAnsi="宋体" w:cs="宋体"/>
          <w:b/>
          <w:bCs/>
          <w:color w:val="000000" w:themeColor="text1"/>
          <w:szCs w:val="21"/>
          <w:highlight w:val="none"/>
          <w14:textFill>
            <w14:solidFill>
              <w14:schemeClr w14:val="tx1"/>
            </w14:solidFill>
          </w14:textFill>
        </w:rPr>
        <w:t>）响应文件中的资格证明文件出现任一项不符合“供应商须知前附表”资格证明文件规定的“必须提供”的文件资料要求或者无效的；</w:t>
      </w:r>
    </w:p>
    <w:p w14:paraId="362AF561">
      <w:pPr>
        <w:spacing w:line="360" w:lineRule="auto"/>
        <w:ind w:firstLine="422"/>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w:t>
      </w:r>
      <w:r>
        <w:rPr>
          <w:rFonts w:ascii="宋体" w:hAnsi="宋体" w:cs="宋体"/>
          <w:b/>
          <w:bCs/>
          <w:color w:val="000000" w:themeColor="text1"/>
          <w:szCs w:val="21"/>
          <w:highlight w:val="none"/>
          <w14:textFill>
            <w14:solidFill>
              <w14:schemeClr w14:val="tx1"/>
            </w14:solidFill>
          </w14:textFill>
        </w:rPr>
        <w:t>5</w:t>
      </w:r>
      <w:r>
        <w:rPr>
          <w:rFonts w:hint="eastAsia" w:ascii="宋体" w:hAnsi="宋体" w:cs="宋体"/>
          <w:b/>
          <w:bCs/>
          <w:color w:val="000000" w:themeColor="text1"/>
          <w:szCs w:val="21"/>
          <w:highlight w:val="none"/>
          <w14:textFill>
            <w14:solidFill>
              <w14:schemeClr w14:val="tx1"/>
            </w14:solidFill>
          </w14:textFill>
        </w:rPr>
        <w:t>）同一合同项下的不同供应商，单位负责人为同一人或者存在直接控股、管理关系的；为本项目提供过整体设计、规范编制或者项目管理、监理、检测等服务的供应商，再参加该采购项目的其他采购活动的。</w:t>
      </w:r>
    </w:p>
    <w:p w14:paraId="29146594">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.4通过资格审查的合格供应商不足3家的，不得进入符合性审查环节，</w:t>
      </w:r>
      <w:r>
        <w:rPr>
          <w:rFonts w:hint="eastAsia" w:ascii="宋体" w:hAnsi="宋体"/>
          <w:color w:val="000000" w:themeColor="text1"/>
          <w:szCs w:val="21"/>
          <w:highlight w:val="none"/>
          <w14:textFill>
            <w14:solidFill>
              <w14:schemeClr w14:val="tx1"/>
            </w14:solidFill>
          </w14:textFill>
        </w:rPr>
        <w:t>应当重新开展采购活动。</w:t>
      </w:r>
    </w:p>
    <w:p w14:paraId="0E89A25B">
      <w:pPr>
        <w:spacing w:line="360" w:lineRule="auto"/>
        <w:ind w:firstLine="482"/>
        <w:rPr>
          <w:rFonts w:hint="eastAsia"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2</w:t>
      </w:r>
      <w:r>
        <w:rPr>
          <w:rFonts w:hint="eastAsia" w:ascii="黑体" w:hAnsi="黑体" w:eastAsia="黑体" w:cs="宋体"/>
          <w:b/>
          <w:bCs/>
          <w:color w:val="000000" w:themeColor="text1"/>
          <w:sz w:val="24"/>
          <w:highlight w:val="none"/>
          <w14:textFill>
            <w14:solidFill>
              <w14:schemeClr w14:val="tx1"/>
            </w14:solidFill>
          </w14:textFill>
        </w:rPr>
        <w:t>.符合性审查</w:t>
      </w:r>
    </w:p>
    <w:p w14:paraId="51262A64">
      <w:pPr>
        <w:spacing w:line="360" w:lineRule="auto"/>
        <w:ind w:firstLine="420"/>
        <w:rPr>
          <w:rFonts w:hint="eastAsia" w:ascii="宋体" w:hAnsi="宋体" w:cs="宋体"/>
          <w:color w:val="000000" w:themeColor="text1"/>
          <w:szCs w:val="21"/>
          <w:highlight w:val="none"/>
          <w14:textFill>
            <w14:solidFill>
              <w14:schemeClr w14:val="tx1"/>
            </w14:solidFill>
          </w14:textFill>
        </w:rPr>
      </w:pPr>
      <w:bookmarkStart w:id="74" w:name="_Hlk42528882"/>
      <w:r>
        <w:rPr>
          <w:rFonts w:ascii="宋体" w:hAnsi="宋体" w:cs="宋体"/>
          <w:color w:val="000000" w:themeColor="text1"/>
          <w:szCs w:val="21"/>
          <w:highlight w:val="none"/>
          <w14:textFill>
            <w14:solidFill>
              <w14:schemeClr w14:val="tx1"/>
            </w14:solidFill>
          </w14:textFill>
        </w:rPr>
        <w:t>2.1</w:t>
      </w:r>
      <w:r>
        <w:rPr>
          <w:rFonts w:hint="eastAsia" w:ascii="宋体" w:hAnsi="宋体" w:cs="宋体"/>
          <w:color w:val="000000" w:themeColor="text1"/>
          <w:szCs w:val="21"/>
          <w:highlight w:val="none"/>
          <w14:textFill>
            <w14:solidFill>
              <w14:schemeClr w14:val="tx1"/>
            </w14:solidFill>
          </w14:textFill>
        </w:rPr>
        <w:t>磋商小组对</w:t>
      </w:r>
      <w:r>
        <w:rPr>
          <w:rFonts w:hint="eastAsia" w:ascii="宋体" w:hAnsi="宋体"/>
          <w:color w:val="000000" w:themeColor="text1"/>
          <w:szCs w:val="21"/>
          <w:highlight w:val="none"/>
          <w14:textFill>
            <w14:solidFill>
              <w14:schemeClr w14:val="tx1"/>
            </w14:solidFill>
          </w14:textFill>
        </w:rPr>
        <w:t>通过资格审查的合格供应商</w:t>
      </w:r>
      <w:r>
        <w:rPr>
          <w:rFonts w:hint="eastAsia" w:ascii="宋体" w:hAnsi="宋体" w:cs="宋体"/>
          <w:color w:val="000000" w:themeColor="text1"/>
          <w:szCs w:val="21"/>
          <w:highlight w:val="none"/>
          <w14:textFill>
            <w14:solidFill>
              <w14:schemeClr w14:val="tx1"/>
            </w14:solidFill>
          </w14:textFill>
        </w:rPr>
        <w:t>的响应文件的竞标报价、商务、技术等实质性要求进行符合性审查，以确定其是否满足磋商文件的实质性要求。</w:t>
      </w:r>
      <w:bookmarkEnd w:id="74"/>
    </w:p>
    <w:p w14:paraId="4035140C">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2.2</w:t>
      </w:r>
      <w:r>
        <w:rPr>
          <w:rFonts w:hint="eastAsia" w:ascii="宋体" w:hAnsi="宋体" w:cs="宋体"/>
          <w:color w:val="000000" w:themeColor="text1"/>
          <w:szCs w:val="21"/>
          <w:highlight w:val="none"/>
          <w14:textFill>
            <w14:solidFill>
              <w14:schemeClr w14:val="tx1"/>
            </w14:solidFill>
          </w14:textFill>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F4EE268">
      <w:pPr>
        <w:spacing w:line="360" w:lineRule="auto"/>
        <w:ind w:firstLine="420"/>
        <w:rPr>
          <w:rFonts w:hint="eastAsia" w:ascii="宋体" w:hAnsi="宋体" w:cs="宋体"/>
          <w:color w:val="000000" w:themeColor="text1"/>
          <w:spacing w:val="-6"/>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磋商小组要求供应商澄清、说明或者更正响应文件应当以电子澄清函形式作出。供应商的澄清、说明或者更正应当</w:t>
      </w:r>
      <w:r>
        <w:rPr>
          <w:rFonts w:hint="eastAsia" w:ascii="宋体" w:hAnsi="宋体" w:cs="宋体"/>
          <w:color w:val="000000" w:themeColor="text1"/>
          <w:szCs w:val="21"/>
          <w:highlight w:val="none"/>
          <w:lang w:eastAsia="zh-CN"/>
          <w14:textFill>
            <w14:solidFill>
              <w14:schemeClr w14:val="tx1"/>
            </w14:solidFill>
          </w14:textFill>
        </w:rPr>
        <w:t>以</w:t>
      </w:r>
      <w:r>
        <w:rPr>
          <w:rFonts w:hint="eastAsia" w:ascii="宋体" w:hAnsi="宋体" w:cs="宋体"/>
          <w:color w:val="000000" w:themeColor="text1"/>
          <w:szCs w:val="21"/>
          <w:highlight w:val="none"/>
          <w14:textFill>
            <w14:solidFill>
              <w14:schemeClr w14:val="tx1"/>
            </w14:solidFill>
          </w14:textFill>
        </w:rPr>
        <w:t>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w:t>
      </w:r>
      <w:r>
        <w:rPr>
          <w:rFonts w:hint="eastAsia" w:hAnsi="宋体"/>
          <w:color w:val="000000" w:themeColor="text1"/>
          <w:highlight w:val="none"/>
          <w14:textFill>
            <w14:solidFill>
              <w14:schemeClr w14:val="tx1"/>
            </w14:solidFill>
          </w14:textFill>
        </w:rPr>
        <w:t>签章</w:t>
      </w:r>
      <w:r>
        <w:rPr>
          <w:rFonts w:hint="eastAsia" w:ascii="宋体" w:hAnsi="宋体" w:cs="宋体"/>
          <w:color w:val="000000" w:themeColor="text1"/>
          <w:spacing w:val="-6"/>
          <w:szCs w:val="21"/>
          <w:highlight w:val="none"/>
          <w14:textFill>
            <w14:solidFill>
              <w14:schemeClr w14:val="tx1"/>
            </w14:solidFill>
          </w14:textFill>
        </w:rPr>
        <w:t>。</w:t>
      </w:r>
    </w:p>
    <w:p w14:paraId="205085A7">
      <w:pPr>
        <w:spacing w:line="360" w:lineRule="auto"/>
        <w:ind w:firstLine="420"/>
        <w:rPr>
          <w:rFonts w:hint="eastAsia" w:ascii="宋体" w:hAnsi="宋体" w:cs="宋体"/>
          <w:color w:val="000000" w:themeColor="text1"/>
          <w:spacing w:val="-6"/>
          <w:szCs w:val="21"/>
          <w:highlight w:val="non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14:paraId="4C24114A">
      <w:pPr>
        <w:spacing w:line="360" w:lineRule="auto"/>
        <w:ind w:firstLine="396"/>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pacing w:val="-6"/>
          <w:szCs w:val="21"/>
          <w:highlight w:val="none"/>
          <w14:textFill>
            <w14:solidFill>
              <w14:schemeClr w14:val="tx1"/>
            </w14:solidFill>
          </w14:textFill>
        </w:rPr>
        <w:t>2.4</w:t>
      </w:r>
      <w:r>
        <w:rPr>
          <w:rFonts w:hint="eastAsia" w:ascii="宋体" w:hAnsi="宋体" w:cs="宋体"/>
          <w:color w:val="000000" w:themeColor="text1"/>
          <w:szCs w:val="21"/>
          <w:highlight w:val="none"/>
          <w14:textFill>
            <w14:solidFill>
              <w14:schemeClr w14:val="tx1"/>
            </w14:solidFill>
          </w14:textFill>
        </w:rPr>
        <w:t xml:space="preserve">首次响应文件报价出现前后不一致的，按照下列规定修正： </w:t>
      </w:r>
    </w:p>
    <w:p w14:paraId="1EB81183">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（1）响应文件中报价表内容与响应文件中相应内容不一致的，以报价表为准；</w:t>
      </w:r>
    </w:p>
    <w:p w14:paraId="168488F6">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（2）大写金额和小写金额不一致的，以大写金额为准；</w:t>
      </w:r>
    </w:p>
    <w:p w14:paraId="75870BF2">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（3）单价金额小数点或者百分比有明显错位的，以报价表的总价为准，并修改单价；</w:t>
      </w:r>
    </w:p>
    <w:p w14:paraId="58E24729">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（4）总价金额与按单价汇总金额不一致的，以单价金额计算结果为准。</w:t>
      </w:r>
    </w:p>
    <w:p w14:paraId="7BD0E0A9">
      <w:pPr>
        <w:spacing w:line="360" w:lineRule="auto"/>
        <w:ind w:firstLine="422"/>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同时出现两种以上不一致的，按照以上（1）-（4）规定的顺序逐条进行修正。修正后的报价经供应商确认后产生约束力，供应商不确认的，其响应文件按无效处理。</w:t>
      </w:r>
    </w:p>
    <w:p w14:paraId="17479B66">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商务技术报价评审</w:t>
      </w:r>
    </w:p>
    <w:p w14:paraId="31215007">
      <w:pPr>
        <w:spacing w:line="360" w:lineRule="auto"/>
        <w:ind w:firstLine="422"/>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在评审时，如发现下列情形之一的，将被视为响应文件无效处理：</w:t>
      </w:r>
    </w:p>
    <w:p w14:paraId="6607EA51">
      <w:pPr>
        <w:spacing w:line="360" w:lineRule="auto"/>
        <w:ind w:firstLine="422"/>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（1）商务技术评审</w:t>
      </w:r>
    </w:p>
    <w:p w14:paraId="58B51418">
      <w:pPr>
        <w:spacing w:line="360" w:lineRule="auto"/>
        <w:ind w:firstLine="422"/>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1）响应文件未按磋商文件要求签署、盖章的；</w:t>
      </w:r>
    </w:p>
    <w:p w14:paraId="35D0C16C">
      <w:pPr>
        <w:spacing w:line="360" w:lineRule="auto"/>
        <w:ind w:firstLine="422"/>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 xml:space="preserve">2）委托代理人未能出具有效身份证或者出具的身份证与授权委托书中的信息不符的； </w:t>
      </w:r>
    </w:p>
    <w:p w14:paraId="24992ADF">
      <w:pPr>
        <w:spacing w:line="360" w:lineRule="auto"/>
        <w:ind w:firstLine="422"/>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3）提交的磋商保证金无效的或者未按照磋商文件的规定提交磋商保证金的；</w:t>
      </w:r>
    </w:p>
    <w:p w14:paraId="230E704D">
      <w:pPr>
        <w:spacing w:line="360" w:lineRule="auto"/>
        <w:ind w:firstLine="422"/>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4）响应文件未提供任一项“供应商须知前附表”商务技术文件中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“必须提供”或者“委托时必须提供”文件资料要求的规定或者提供的商务技术文件无效的。</w:t>
      </w:r>
    </w:p>
    <w:p w14:paraId="7BF6F1CA">
      <w:pPr>
        <w:spacing w:line="360" w:lineRule="auto"/>
        <w:ind w:firstLine="422"/>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5）商务要求允许负偏离的条款数超过“供应商须知前附表”规定项数的；</w:t>
      </w:r>
    </w:p>
    <w:p w14:paraId="4BA6DEF3">
      <w:pPr>
        <w:spacing w:line="360" w:lineRule="auto"/>
        <w:ind w:firstLine="422"/>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6）未对竞标有效期作出响应或者响应文件承诺的竞标有效期不满足磋商文件要求的；</w:t>
      </w:r>
    </w:p>
    <w:p w14:paraId="5BC3E0D3">
      <w:pPr>
        <w:spacing w:line="360" w:lineRule="auto"/>
        <w:ind w:firstLine="422"/>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7）响应文件的实质性内容未使用中文表述、使用计量单位不符合磋商文件要求的；</w:t>
      </w:r>
    </w:p>
    <w:p w14:paraId="0494E29C">
      <w:pPr>
        <w:spacing w:line="360" w:lineRule="auto"/>
        <w:ind w:firstLine="422"/>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8）响应文件中的文件资料因填写不齐全或者内容虚假或者出现其他情形而导致被磋商小组认定无效的；</w:t>
      </w:r>
    </w:p>
    <w:p w14:paraId="5EC639FC">
      <w:pPr>
        <w:spacing w:line="360" w:lineRule="auto"/>
        <w:ind w:firstLine="422"/>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9）响应文件含有采购人不能接受的附加条件的；</w:t>
      </w:r>
    </w:p>
    <w:p w14:paraId="75AB650A">
      <w:pPr>
        <w:spacing w:line="360" w:lineRule="auto"/>
        <w:ind w:firstLine="422"/>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10）属于“供应商须知正文”第7.</w:t>
      </w:r>
      <w:r>
        <w:rPr>
          <w:rFonts w:ascii="宋体" w:hAnsi="宋体" w:cs="宋体"/>
          <w:b/>
          <w:color w:val="000000" w:themeColor="text1"/>
          <w:szCs w:val="21"/>
          <w:highlight w:val="none"/>
          <w14:textFill>
            <w14:solidFill>
              <w14:schemeClr w14:val="tx1"/>
            </w14:solidFill>
          </w14:textFill>
        </w:rPr>
        <w:t>5</w:t>
      </w:r>
      <w:r>
        <w:rPr>
          <w:rFonts w:hint="eastAsia" w:ascii="宋体" w:hAnsi="宋体" w:cs="宋体"/>
          <w:b/>
          <w:color w:val="000000" w:themeColor="text1"/>
          <w:szCs w:val="21"/>
          <w:highlight w:val="none"/>
          <w14:textFill>
            <w14:solidFill>
              <w14:schemeClr w14:val="tx1"/>
            </w14:solidFill>
          </w14:textFill>
        </w:rPr>
        <w:t>条供应商相互串通竞标情形的；</w:t>
      </w:r>
    </w:p>
    <w:p w14:paraId="4B50316F">
      <w:pPr>
        <w:spacing w:line="360" w:lineRule="auto"/>
        <w:ind w:firstLine="422"/>
        <w:rPr>
          <w:rFonts w:hint="eastAsia" w:ascii="宋体" w:hAnsi="宋体" w:cs="宋体"/>
          <w:b/>
          <w:color w:val="000000" w:themeColor="text1"/>
          <w:szCs w:val="21"/>
          <w:highlight w:val="none"/>
          <w14:textFill>
            <w14:solidFill>
              <w14:schemeClr w14:val="tx1"/>
            </w14:solidFill>
          </w14:textFill>
        </w:rPr>
      </w:pPr>
      <w:r>
        <w:rPr>
          <w:rFonts w:ascii="宋体" w:hAnsi="宋体" w:cs="宋体"/>
          <w:b/>
          <w:color w:val="000000" w:themeColor="text1"/>
          <w:szCs w:val="21"/>
          <w:highlight w:val="none"/>
          <w14:textFill>
            <w14:solidFill>
              <w14:schemeClr w14:val="tx1"/>
            </w14:solidFill>
          </w14:textFill>
        </w:rPr>
        <w:t>1</w:t>
      </w:r>
      <w:r>
        <w:rPr>
          <w:rFonts w:hint="eastAsia" w:ascii="宋体" w:hAnsi="宋体" w:cs="宋体"/>
          <w:b/>
          <w:color w:val="000000" w:themeColor="text1"/>
          <w:szCs w:val="21"/>
          <w:highlight w:val="none"/>
          <w14:textFill>
            <w14:solidFill>
              <w14:schemeClr w14:val="tx1"/>
            </w14:solidFill>
          </w14:textFill>
        </w:rPr>
        <w:t>1）技术要求允许负偏离的条款数超过“供应商须知前附表”规定项数的；</w:t>
      </w:r>
    </w:p>
    <w:p w14:paraId="5E855274">
      <w:pPr>
        <w:spacing w:line="360" w:lineRule="auto"/>
        <w:ind w:firstLine="422"/>
        <w:rPr>
          <w:rFonts w:hint="eastAsia" w:ascii="宋体" w:hAnsi="宋体" w:cs="宋体"/>
          <w:b/>
          <w:color w:val="000000" w:themeColor="text1"/>
          <w:szCs w:val="21"/>
          <w:highlight w:val="none"/>
          <w14:textFill>
            <w14:solidFill>
              <w14:schemeClr w14:val="tx1"/>
            </w14:solidFill>
          </w14:textFill>
        </w:rPr>
      </w:pPr>
      <w:r>
        <w:rPr>
          <w:rFonts w:ascii="宋体" w:hAnsi="宋体" w:cs="宋体"/>
          <w:b/>
          <w:color w:val="000000" w:themeColor="text1"/>
          <w:szCs w:val="21"/>
          <w:highlight w:val="none"/>
          <w14:textFill>
            <w14:solidFill>
              <w14:schemeClr w14:val="tx1"/>
            </w14:solidFill>
          </w14:textFill>
        </w:rPr>
        <w:t>1</w:t>
      </w:r>
      <w:r>
        <w:rPr>
          <w:rFonts w:hint="eastAsia" w:ascii="宋体" w:hAnsi="宋体" w:cs="宋体"/>
          <w:b/>
          <w:color w:val="000000" w:themeColor="text1"/>
          <w:szCs w:val="21"/>
          <w:highlight w:val="none"/>
          <w14:textFill>
            <w14:solidFill>
              <w14:schemeClr w14:val="tx1"/>
            </w14:solidFill>
          </w14:textFill>
        </w:rPr>
        <w:t>2）虚假竞标，或者出现其他情形而导致被磋商小组认定无效的；</w:t>
      </w:r>
    </w:p>
    <w:p w14:paraId="3BB911E5">
      <w:pPr>
        <w:spacing w:line="360" w:lineRule="auto"/>
        <w:ind w:firstLine="422"/>
        <w:rPr>
          <w:rFonts w:hint="eastAsia" w:ascii="宋体" w:hAnsi="宋体" w:cs="宋体"/>
          <w:b/>
          <w:color w:val="000000" w:themeColor="text1"/>
          <w:szCs w:val="21"/>
          <w:highlight w:val="none"/>
          <w14:textFill>
            <w14:solidFill>
              <w14:schemeClr w14:val="tx1"/>
            </w14:solidFill>
          </w14:textFill>
        </w:rPr>
      </w:pPr>
      <w:r>
        <w:rPr>
          <w:rFonts w:ascii="宋体" w:hAnsi="宋体" w:cs="宋体"/>
          <w:b/>
          <w:color w:val="000000" w:themeColor="text1"/>
          <w:szCs w:val="21"/>
          <w:highlight w:val="none"/>
          <w14:textFill>
            <w14:solidFill>
              <w14:schemeClr w14:val="tx1"/>
            </w14:solidFill>
          </w14:textFill>
        </w:rPr>
        <w:t>1</w:t>
      </w:r>
      <w:r>
        <w:rPr>
          <w:rFonts w:hint="eastAsia" w:ascii="宋体" w:hAnsi="宋体" w:cs="宋体"/>
          <w:b/>
          <w:color w:val="000000" w:themeColor="text1"/>
          <w:szCs w:val="21"/>
          <w:highlight w:val="none"/>
          <w14:textFill>
            <w14:solidFill>
              <w14:schemeClr w14:val="tx1"/>
            </w14:solidFill>
          </w14:textFill>
        </w:rPr>
        <w:t>3）</w:t>
      </w:r>
      <w:bookmarkStart w:id="75" w:name="_Hlk71704147"/>
      <w:r>
        <w:rPr>
          <w:rFonts w:hint="eastAsia" w:ascii="宋体" w:hAnsi="宋体" w:cs="宋体"/>
          <w:b/>
          <w:color w:val="000000" w:themeColor="text1"/>
          <w:szCs w:val="21"/>
          <w:highlight w:val="none"/>
          <w14:textFill>
            <w14:solidFill>
              <w14:schemeClr w14:val="tx1"/>
            </w14:solidFill>
          </w14:textFill>
        </w:rPr>
        <w:t>磋商文件未载明允许提供备选（替代）竞标方案或明确不允许提供备选（替代）竞标方案时，供应商提供了备选（替代）竞标方案的；</w:t>
      </w:r>
      <w:bookmarkEnd w:id="75"/>
    </w:p>
    <w:p w14:paraId="45F04B4B">
      <w:pPr>
        <w:spacing w:line="360" w:lineRule="auto"/>
        <w:ind w:firstLine="422"/>
        <w:rPr>
          <w:rFonts w:hint="eastAsia" w:ascii="宋体" w:hAnsi="宋体" w:cs="宋体"/>
          <w:b/>
          <w:color w:val="000000" w:themeColor="text1"/>
          <w:szCs w:val="21"/>
          <w:highlight w:val="none"/>
          <w14:textFill>
            <w14:solidFill>
              <w14:schemeClr w14:val="tx1"/>
            </w14:solidFill>
          </w14:textFill>
        </w:rPr>
      </w:pPr>
      <w:r>
        <w:rPr>
          <w:rFonts w:ascii="宋体" w:hAnsi="宋体" w:cs="宋体"/>
          <w:b/>
          <w:color w:val="000000" w:themeColor="text1"/>
          <w:szCs w:val="21"/>
          <w:highlight w:val="none"/>
          <w14:textFill>
            <w14:solidFill>
              <w14:schemeClr w14:val="tx1"/>
            </w14:solidFill>
          </w14:textFill>
        </w:rPr>
        <w:t>1</w:t>
      </w:r>
      <w:r>
        <w:rPr>
          <w:rFonts w:hint="eastAsia" w:ascii="宋体" w:hAnsi="宋体" w:cs="宋体"/>
          <w:b/>
          <w:color w:val="000000" w:themeColor="text1"/>
          <w:szCs w:val="21"/>
          <w:highlight w:val="none"/>
          <w14:textFill>
            <w14:solidFill>
              <w14:schemeClr w14:val="tx1"/>
            </w14:solidFill>
          </w14:textFill>
        </w:rPr>
        <w:t>4）响应文件标注的项目名称或者项目编号与磋商文件标注的项目名称或者项目编号不一致的；</w:t>
      </w:r>
    </w:p>
    <w:p w14:paraId="2E855291">
      <w:pPr>
        <w:spacing w:line="360" w:lineRule="auto"/>
        <w:ind w:firstLine="422"/>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15）</w:t>
      </w:r>
      <w:r>
        <w:rPr>
          <w:rFonts w:hint="eastAsia" w:ascii="宋体" w:hAnsi="宋体"/>
          <w:b/>
          <w:color w:val="000000" w:themeColor="text1"/>
          <w:szCs w:val="21"/>
          <w:highlight w:val="none"/>
          <w14:textFill>
            <w14:solidFill>
              <w14:schemeClr w14:val="tx1"/>
            </w14:solidFill>
          </w14:textFill>
        </w:rPr>
        <w:t>竞争性磋商文件明确不允许分包，响应文件拟分包的；</w:t>
      </w:r>
    </w:p>
    <w:p w14:paraId="4BBD41BE">
      <w:pPr>
        <w:spacing w:line="360" w:lineRule="auto"/>
        <w:ind w:firstLine="422"/>
        <w:rPr>
          <w:rFonts w:hint="eastAsia" w:ascii="宋体" w:hAnsi="宋体" w:cs="宋体"/>
          <w:b/>
          <w:color w:val="000000" w:themeColor="text1"/>
          <w:szCs w:val="21"/>
          <w:highlight w:val="none"/>
          <w14:textFill>
            <w14:solidFill>
              <w14:schemeClr w14:val="tx1"/>
            </w14:solidFill>
          </w14:textFill>
        </w:rPr>
      </w:pPr>
      <w:r>
        <w:rPr>
          <w:rFonts w:ascii="宋体" w:hAnsi="宋体" w:cs="宋体"/>
          <w:b/>
          <w:color w:val="000000" w:themeColor="text1"/>
          <w:szCs w:val="21"/>
          <w:highlight w:val="none"/>
          <w14:textFill>
            <w14:solidFill>
              <w14:schemeClr w14:val="tx1"/>
            </w14:solidFill>
          </w14:textFill>
        </w:rPr>
        <w:t>1</w:t>
      </w:r>
      <w:r>
        <w:rPr>
          <w:rFonts w:hint="eastAsia" w:ascii="宋体" w:hAnsi="宋体" w:cs="宋体"/>
          <w:b/>
          <w:color w:val="000000" w:themeColor="text1"/>
          <w:szCs w:val="21"/>
          <w:highlight w:val="none"/>
          <w14:textFill>
            <w14:solidFill>
              <w14:schemeClr w14:val="tx1"/>
            </w14:solidFill>
          </w14:textFill>
        </w:rPr>
        <w:t>6）未响应磋商文件实质性要求的；</w:t>
      </w:r>
    </w:p>
    <w:p w14:paraId="368FF149">
      <w:pPr>
        <w:spacing w:line="360" w:lineRule="auto"/>
        <w:ind w:firstLine="422"/>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17）法律、法规和磋商文件规定的其他无效情形。</w:t>
      </w:r>
    </w:p>
    <w:p w14:paraId="4B286080">
      <w:pPr>
        <w:spacing w:line="360" w:lineRule="auto"/>
        <w:ind w:firstLine="422"/>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w:t>
      </w:r>
      <w:r>
        <w:rPr>
          <w:rFonts w:ascii="宋体" w:hAnsi="宋体" w:cs="宋体"/>
          <w:b/>
          <w:color w:val="000000" w:themeColor="text1"/>
          <w:szCs w:val="21"/>
          <w:highlight w:val="none"/>
          <w14:textFill>
            <w14:solidFill>
              <w14:schemeClr w14:val="tx1"/>
            </w14:solidFill>
          </w14:textFill>
        </w:rPr>
        <w:t>2</w:t>
      </w:r>
      <w:r>
        <w:rPr>
          <w:rFonts w:hint="eastAsia" w:ascii="宋体" w:hAnsi="宋体" w:cs="宋体"/>
          <w:b/>
          <w:color w:val="000000" w:themeColor="text1"/>
          <w:szCs w:val="21"/>
          <w:highlight w:val="none"/>
          <w14:textFill>
            <w14:solidFill>
              <w14:schemeClr w14:val="tx1"/>
            </w14:solidFill>
          </w14:textFill>
        </w:rPr>
        <w:t>）报价评审</w:t>
      </w:r>
    </w:p>
    <w:p w14:paraId="670AE650">
      <w:pPr>
        <w:spacing w:line="360" w:lineRule="auto"/>
        <w:ind w:firstLine="422"/>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1）响应文件未提供“供应商须知前附表” 报价文件中规定的“竞标报价表”的；</w:t>
      </w:r>
    </w:p>
    <w:p w14:paraId="283286C5">
      <w:pPr>
        <w:spacing w:line="360" w:lineRule="auto"/>
        <w:ind w:firstLine="422"/>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2）未采用人民币报价或者未按照磋商文件标明的币种报价的；</w:t>
      </w:r>
    </w:p>
    <w:p w14:paraId="35690923">
      <w:pPr>
        <w:spacing w:line="360" w:lineRule="auto"/>
        <w:ind w:firstLine="422"/>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14:paraId="199047D4">
      <w:pPr>
        <w:spacing w:line="360" w:lineRule="auto"/>
        <w:ind w:firstLine="422"/>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4）竞标报价（包含首次报价、最后报价）超过所竞标分标规定的采购预算金额或者最高限价的（如本项目公布了最高限价）；</w:t>
      </w:r>
      <w:bookmarkStart w:id="76" w:name="_Hlk42596405"/>
      <w:r>
        <w:rPr>
          <w:rFonts w:hint="eastAsia" w:ascii="宋体" w:hAnsi="宋体" w:cs="宋体"/>
          <w:b/>
          <w:color w:val="000000" w:themeColor="text1"/>
          <w:szCs w:val="21"/>
          <w:highlight w:val="none"/>
          <w14:textFill>
            <w14:solidFill>
              <w14:schemeClr w14:val="tx1"/>
            </w14:solidFill>
          </w14:textFill>
        </w:rPr>
        <w:t>竞标报价（包含首次报价、最后报价）</w:t>
      </w:r>
      <w:bookmarkEnd w:id="76"/>
      <w:bookmarkStart w:id="77" w:name="_Hlk42596276"/>
      <w:r>
        <w:rPr>
          <w:rFonts w:hint="eastAsia" w:ascii="宋体" w:hAnsi="宋体" w:cs="宋体"/>
          <w:b/>
          <w:color w:val="000000" w:themeColor="text1"/>
          <w:szCs w:val="21"/>
          <w:highlight w:val="none"/>
          <w14:textFill>
            <w14:solidFill>
              <w14:schemeClr w14:val="tx1"/>
            </w14:solidFill>
          </w14:textFill>
        </w:rPr>
        <w:t>超过磋商文件分项采购预算金额或者最高限价的</w:t>
      </w:r>
      <w:bookmarkEnd w:id="77"/>
      <w:r>
        <w:rPr>
          <w:rFonts w:hint="eastAsia" w:ascii="宋体" w:hAnsi="宋体" w:cs="宋体"/>
          <w:b/>
          <w:color w:val="000000" w:themeColor="text1"/>
          <w:szCs w:val="21"/>
          <w:highlight w:val="none"/>
          <w14:textFill>
            <w14:solidFill>
              <w14:schemeClr w14:val="tx1"/>
            </w14:solidFill>
          </w14:textFill>
        </w:rPr>
        <w:t>（如本项目有要求并公布了分项采购预算金额或者最高限价）；</w:t>
      </w:r>
    </w:p>
    <w:p w14:paraId="4F2047C3">
      <w:pPr>
        <w:spacing w:line="360" w:lineRule="auto"/>
        <w:ind w:firstLine="422"/>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采购预算金额或者最高限价的（如本项目有要求并公布了分项采购预算金额或者最高限价）。</w:t>
      </w:r>
    </w:p>
    <w:p w14:paraId="246DE313">
      <w:pPr>
        <w:spacing w:line="360" w:lineRule="auto"/>
        <w:ind w:firstLine="422"/>
        <w:rPr>
          <w:rFonts w:hint="eastAsia" w:ascii="宋体" w:hAnsi="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6）</w:t>
      </w:r>
      <w:r>
        <w:rPr>
          <w:rFonts w:hint="eastAsia" w:ascii="宋体" w:hAnsi="宋体"/>
          <w:b/>
          <w:color w:val="000000" w:themeColor="text1"/>
          <w:szCs w:val="21"/>
          <w:highlight w:val="none"/>
          <w14:textFill>
            <w14:solidFill>
              <w14:schemeClr w14:val="tx1"/>
            </w14:solidFill>
          </w14:textFill>
        </w:rPr>
        <w:t>响应文件响应的标的数量及单位与竞争性磋商采购文件要求实质性不一致的；</w:t>
      </w:r>
    </w:p>
    <w:p w14:paraId="26AD2493">
      <w:pPr>
        <w:spacing w:line="360" w:lineRule="auto"/>
        <w:ind w:firstLine="422"/>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7）未响应磋商文件实质性要求的。</w:t>
      </w:r>
    </w:p>
    <w:p w14:paraId="6E5D7BAD">
      <w:pPr>
        <w:spacing w:line="360" w:lineRule="auto"/>
        <w:ind w:firstLine="422"/>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8）安全文明施工费和规费、增值税不按广西区费用定额及造价管理相关文件规定报价的（园林绿化及仿古建筑工程除外）；</w:t>
      </w:r>
    </w:p>
    <w:p w14:paraId="4EF86C96">
      <w:pPr>
        <w:spacing w:line="360" w:lineRule="auto"/>
        <w:ind w:firstLine="422"/>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9）供应商已标价工程量清单的项目编码（12位）、计量单位、工程量任何一处与工程量清单不一致的；</w:t>
      </w:r>
    </w:p>
    <w:p w14:paraId="53462325">
      <w:pPr>
        <w:spacing w:line="360" w:lineRule="auto"/>
        <w:ind w:firstLine="422"/>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10）供应商已标价工程量清单的项目名称或项目特征与工程量清单不一致，磋商小组要求澄清、说明或补正，但供应商拒绝澄清、说明或补正的；（注：适用于房屋建筑和市政工程项目，其他类型项目时请删除该条款并调整序号）</w:t>
      </w:r>
    </w:p>
    <w:p w14:paraId="46F0C65B">
      <w:pPr>
        <w:spacing w:line="360" w:lineRule="auto"/>
        <w:ind w:firstLine="422"/>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11）设有暂估价、暂列金额的，竞标时未按工程量清单给出的暂估价总价、暂列金额总价计入竞标总报价中的；</w:t>
      </w:r>
    </w:p>
    <w:p w14:paraId="3757C691">
      <w:pPr>
        <w:spacing w:line="360" w:lineRule="auto"/>
        <w:ind w:firstLine="422"/>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12）供应商对工程量清单内容进行增减或对竞标范围进行调整的；</w:t>
      </w:r>
    </w:p>
    <w:p w14:paraId="77153DBD">
      <w:pPr>
        <w:spacing w:line="360" w:lineRule="auto"/>
        <w:ind w:firstLine="422"/>
        <w:rPr>
          <w:rFonts w:ascii="宋体" w:hAnsi="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13）</w:t>
      </w:r>
      <w:r>
        <w:rPr>
          <w:rFonts w:hint="eastAsia" w:ascii="宋体" w:hAnsi="宋体"/>
          <w:b/>
          <w:color w:val="000000" w:themeColor="text1"/>
          <w:szCs w:val="21"/>
          <w:highlight w:val="none"/>
          <w14:textFill>
            <w14:solidFill>
              <w14:schemeClr w14:val="tx1"/>
            </w14:solidFill>
          </w14:textFill>
        </w:rPr>
        <w:t>响应文件响应的标的数量及单位与竞争性磋商采购文件要求实质性不一致的；</w:t>
      </w:r>
    </w:p>
    <w:p w14:paraId="714A9E71">
      <w:pPr>
        <w:spacing w:line="360" w:lineRule="auto"/>
        <w:ind w:firstLine="422"/>
        <w:rPr>
          <w:rFonts w:ascii="宋体" w:hAnsi="宋体"/>
          <w:b/>
          <w:color w:val="000000" w:themeColor="text1"/>
          <w:szCs w:val="21"/>
          <w:highlight w:val="none"/>
          <w14:textFill>
            <w14:solidFill>
              <w14:schemeClr w14:val="tx1"/>
            </w14:solidFill>
          </w14:textFill>
        </w:rPr>
      </w:pPr>
      <w:bookmarkStart w:id="78" w:name="_Hlk188371373"/>
      <w:r>
        <w:rPr>
          <w:rFonts w:hint="eastAsia" w:ascii="宋体" w:hAnsi="宋体"/>
          <w:b/>
          <w:color w:val="000000" w:themeColor="text1"/>
          <w:szCs w:val="21"/>
          <w:highlight w:val="none"/>
          <w14:textFill>
            <w14:solidFill>
              <w14:schemeClr w14:val="tx1"/>
            </w14:solidFill>
          </w14:textFill>
        </w:rPr>
        <w:t>14）竞标函附录的承诺</w:t>
      </w:r>
      <w:bookmarkStart w:id="79" w:name="_Hlk188372203"/>
      <w:r>
        <w:rPr>
          <w:rFonts w:hint="eastAsia" w:ascii="宋体" w:hAnsi="宋体"/>
          <w:b/>
          <w:color w:val="000000" w:themeColor="text1"/>
          <w:szCs w:val="21"/>
          <w:highlight w:val="none"/>
          <w14:textFill>
            <w14:solidFill>
              <w14:schemeClr w14:val="tx1"/>
            </w14:solidFill>
          </w14:textFill>
        </w:rPr>
        <w:t>不</w:t>
      </w:r>
      <w:bookmarkEnd w:id="79"/>
      <w:r>
        <w:rPr>
          <w:rFonts w:hint="eastAsia" w:ascii="宋体" w:hAnsi="宋体"/>
          <w:b/>
          <w:color w:val="000000" w:themeColor="text1"/>
          <w:szCs w:val="21"/>
          <w:highlight w:val="none"/>
          <w14:textFill>
            <w14:solidFill>
              <w14:schemeClr w14:val="tx1"/>
            </w14:solidFill>
          </w14:textFill>
        </w:rPr>
        <w:t>符合磋商文件规定的；</w:t>
      </w:r>
      <w:bookmarkEnd w:id="78"/>
    </w:p>
    <w:p w14:paraId="728865E0">
      <w:pPr>
        <w:spacing w:line="360" w:lineRule="auto"/>
        <w:ind w:firstLine="422"/>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15）</w:t>
      </w:r>
      <w:bookmarkStart w:id="80" w:name="_Hlk220404454"/>
      <w:r>
        <w:rPr>
          <w:rFonts w:hint="eastAsia" w:ascii="宋体" w:hAnsi="宋体"/>
          <w:b/>
          <w:color w:val="000000" w:themeColor="text1"/>
          <w:szCs w:val="21"/>
          <w:highlight w:val="none"/>
          <w14:textFill>
            <w14:solidFill>
              <w14:schemeClr w14:val="tx1"/>
            </w14:solidFill>
          </w14:textFill>
        </w:rPr>
        <w:t>磋商小组启动异常低价响应审查后，供应商不能提供书面说明、证明材料，或者提供的书面说明、证明材料不能证明其报价合理性的</w:t>
      </w:r>
      <w:bookmarkEnd w:id="80"/>
      <w:r>
        <w:rPr>
          <w:rFonts w:hint="eastAsia" w:ascii="宋体" w:hAnsi="宋体"/>
          <w:b/>
          <w:color w:val="000000" w:themeColor="text1"/>
          <w:szCs w:val="21"/>
          <w:highlight w:val="none"/>
          <w14:textFill>
            <w14:solidFill>
              <w14:schemeClr w14:val="tx1"/>
            </w14:solidFill>
          </w14:textFill>
        </w:rPr>
        <w:t>；</w:t>
      </w:r>
    </w:p>
    <w:p w14:paraId="55745A4A">
      <w:pPr>
        <w:spacing w:line="360" w:lineRule="auto"/>
        <w:ind w:firstLine="422"/>
        <w:rPr>
          <w:rFonts w:ascii="宋体" w:hAnsi="宋体" w:cs="宋体"/>
          <w:color w:val="000000" w:themeColor="text1"/>
          <w:szCs w:val="21"/>
          <w:highlight w:val="none"/>
          <w14:textFill>
            <w14:solidFill>
              <w14:schemeClr w14:val="tx1"/>
            </w14:solidFill>
          </w14:textFill>
        </w:rPr>
      </w:pPr>
      <w:r>
        <w:rPr>
          <w:rFonts w:ascii="宋体" w:hAnsi="宋体" w:cs="宋体"/>
          <w:b/>
          <w:color w:val="000000" w:themeColor="text1"/>
          <w:szCs w:val="21"/>
          <w:highlight w:val="none"/>
          <w14:textFill>
            <w14:solidFill>
              <w14:schemeClr w14:val="tx1"/>
            </w14:solidFill>
          </w14:textFill>
        </w:rPr>
        <w:t>1</w:t>
      </w:r>
      <w:r>
        <w:rPr>
          <w:rFonts w:hint="eastAsia" w:ascii="宋体" w:hAnsi="宋体" w:cs="宋体"/>
          <w:b/>
          <w:color w:val="000000" w:themeColor="text1"/>
          <w:szCs w:val="21"/>
          <w:highlight w:val="none"/>
          <w14:textFill>
            <w14:solidFill>
              <w14:schemeClr w14:val="tx1"/>
            </w14:solidFill>
          </w14:textFill>
        </w:rPr>
        <w:t>6）未响应磋商文件实质性要求的。</w:t>
      </w:r>
    </w:p>
    <w:p w14:paraId="5B60D89E">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2.6</w:t>
      </w:r>
      <w:r>
        <w:rPr>
          <w:rFonts w:hint="eastAsia" w:ascii="宋体" w:hAnsi="宋体" w:cs="宋体"/>
          <w:color w:val="000000" w:themeColor="text1"/>
          <w:szCs w:val="21"/>
          <w:highlight w:val="none"/>
          <w14:textFill>
            <w14:solidFill>
              <w14:schemeClr w14:val="tx1"/>
            </w14:solidFill>
          </w14:textFill>
        </w:rPr>
        <w:t>磋商小组对响应文件进行评审，未实质性响应磋商文件的响应文件按无效处理，磋商小组应当将资格和符合性不通过的情况告知有关供应商。</w:t>
      </w:r>
    </w:p>
    <w:p w14:paraId="2D630E99">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2.7</w:t>
      </w:r>
      <w:r>
        <w:rPr>
          <w:rFonts w:hint="eastAsia" w:ascii="宋体" w:hAnsi="宋体"/>
          <w:color w:val="000000" w:themeColor="text1"/>
          <w:szCs w:val="21"/>
          <w:highlight w:val="none"/>
          <w14:textFill>
            <w14:solidFill>
              <w14:schemeClr w14:val="tx1"/>
            </w14:solidFill>
          </w14:textFill>
        </w:rPr>
        <w:t>通过符合性审查的合格供应商不足3家的，不得进入磋商环节，应当重新开展采购活动。</w:t>
      </w:r>
    </w:p>
    <w:p w14:paraId="4C33DE52">
      <w:pPr>
        <w:spacing w:line="360" w:lineRule="auto"/>
        <w:ind w:firstLine="482"/>
        <w:rPr>
          <w:rFonts w:hint="eastAsia"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3</w:t>
      </w:r>
      <w:r>
        <w:rPr>
          <w:rFonts w:hint="eastAsia" w:ascii="黑体" w:hAnsi="黑体" w:eastAsia="黑体" w:cs="宋体"/>
          <w:b/>
          <w:bCs/>
          <w:color w:val="000000" w:themeColor="text1"/>
          <w:sz w:val="24"/>
          <w:highlight w:val="none"/>
          <w14:textFill>
            <w14:solidFill>
              <w14:schemeClr w14:val="tx1"/>
            </w14:solidFill>
          </w14:textFill>
        </w:rPr>
        <w:t>.磋商程序</w:t>
      </w:r>
    </w:p>
    <w:p w14:paraId="7CE4C85A">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磋商小组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处理。</w:t>
      </w:r>
    </w:p>
    <w:p w14:paraId="6FE7195B">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3.2</w:t>
      </w:r>
      <w:r>
        <w:rPr>
          <w:rFonts w:hint="eastAsia" w:ascii="宋体" w:hAnsi="宋体" w:cs="宋体"/>
          <w:color w:val="000000" w:themeColor="text1"/>
          <w:szCs w:val="21"/>
          <w:highlight w:val="none"/>
          <w14:textFill>
            <w14:solidFill>
              <w14:schemeClr w14:val="tx1"/>
            </w14:solidFill>
          </w14:textFill>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0FC4B139">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3.3</w:t>
      </w:r>
      <w:r>
        <w:rPr>
          <w:rFonts w:hint="eastAsia" w:ascii="宋体" w:hAnsi="宋体" w:cs="宋体"/>
          <w:color w:val="000000" w:themeColor="text1"/>
          <w:szCs w:val="21"/>
          <w:highlight w:val="none"/>
          <w14:textFill>
            <w14:solidFill>
              <w14:schemeClr w14:val="tx1"/>
            </w14:solidFill>
          </w14:textFill>
        </w:rPr>
        <w:t>对磋商文件作出的实质性变动是磋商文件的有效组成部分，由磋商小组及时以电子澄清函形式同时通知所有参加磋商的供应商。</w:t>
      </w:r>
    </w:p>
    <w:p w14:paraId="07CF803F">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3.4</w:t>
      </w:r>
      <w:r>
        <w:rPr>
          <w:rFonts w:hint="eastAsia" w:ascii="宋体" w:hAnsi="宋体" w:cs="宋体"/>
          <w:color w:val="000000" w:themeColor="text1"/>
          <w:szCs w:val="21"/>
          <w:highlight w:val="none"/>
          <w14:textFill>
            <w14:solidFill>
              <w14:schemeClr w14:val="tx1"/>
            </w14:solidFill>
          </w14:textFill>
        </w:rPr>
        <w:t>供应商必须按照磋商文件的变动情况和磋商小组的要求以回函的形式重新提交响应文件，并加盖电子签章。参加磋商的供应商未在规定时间内重新提交响应文件的，视同退出磋商，其响应文件按无效处理。</w:t>
      </w:r>
    </w:p>
    <w:p w14:paraId="3E77AEA1">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3.5</w:t>
      </w:r>
      <w:r>
        <w:rPr>
          <w:rFonts w:hint="eastAsia" w:ascii="宋体" w:hAnsi="宋体" w:cs="宋体"/>
          <w:color w:val="000000" w:themeColor="text1"/>
          <w:szCs w:val="21"/>
          <w:highlight w:val="none"/>
          <w14:textFill>
            <w14:solidFill>
              <w14:schemeClr w14:val="tx1"/>
            </w14:solidFill>
          </w14:textFill>
        </w:rPr>
        <w:t>磋商中，磋商的任何一方不得透露与磋商有关的其他供应商的技术资料、价格和其他信息</w:t>
      </w:r>
      <w:r>
        <w:rPr>
          <w:rFonts w:hint="eastAsia" w:ascii="宋体" w:hAnsi="宋体" w:cs="宋体"/>
          <w:color w:val="000000" w:themeColor="text1"/>
          <w:spacing w:val="-6"/>
          <w:szCs w:val="21"/>
          <w:highlight w:val="none"/>
          <w14:textFill>
            <w14:solidFill>
              <w14:schemeClr w14:val="tx1"/>
            </w14:solidFill>
          </w14:textFill>
        </w:rPr>
        <w:t>。</w:t>
      </w:r>
    </w:p>
    <w:p w14:paraId="107323BE">
      <w:pPr>
        <w:widowControl/>
        <w:tabs>
          <w:tab w:val="left" w:pos="540"/>
        </w:tabs>
        <w:spacing w:line="360" w:lineRule="auto"/>
        <w:ind w:firstLine="420"/>
        <w:jc w:val="left"/>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3.6</w:t>
      </w:r>
      <w:r>
        <w:rPr>
          <w:rFonts w:hint="eastAsia" w:ascii="宋体" w:hAnsi="宋体" w:cs="宋体"/>
          <w:color w:val="000000" w:themeColor="text1"/>
          <w:szCs w:val="21"/>
          <w:highlight w:val="none"/>
          <w14:textFill>
            <w14:solidFill>
              <w14:schemeClr w14:val="tx1"/>
            </w14:solidFill>
          </w14:textFill>
        </w:rPr>
        <w:t>采购代理机构对磋商过程和磋商内容进行记录。</w:t>
      </w:r>
    </w:p>
    <w:p w14:paraId="2C2EEDEA">
      <w:pPr>
        <w:widowControl/>
        <w:tabs>
          <w:tab w:val="left" w:pos="540"/>
        </w:tabs>
        <w:spacing w:line="360" w:lineRule="auto"/>
        <w:ind w:firstLine="42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ascii="宋体" w:hAnsi="宋体" w:cs="宋体"/>
          <w:color w:val="000000" w:themeColor="text1"/>
          <w:szCs w:val="21"/>
          <w:highlight w:val="none"/>
          <w14:textFill>
            <w14:solidFill>
              <w14:schemeClr w14:val="tx1"/>
            </w14:solidFill>
          </w14:textFill>
        </w:rPr>
        <w:t>.7</w:t>
      </w:r>
      <w:r>
        <w:rPr>
          <w:color w:val="000000" w:themeColor="text1"/>
          <w:highlight w:val="none"/>
          <w14:textFill>
            <w14:solidFill>
              <w14:schemeClr w14:val="tx1"/>
            </w14:solidFill>
          </w14:textFill>
        </w:rPr>
        <w:t>根据《</w:t>
      </w:r>
      <w:r>
        <w:rPr>
          <w:rFonts w:ascii="宋体" w:hAnsi="宋体"/>
          <w:color w:val="000000" w:themeColor="text1"/>
          <w:highlight w:val="none"/>
          <w14:textFill>
            <w14:solidFill>
              <w14:schemeClr w14:val="tx1"/>
            </w14:solidFill>
          </w14:textFill>
        </w:rPr>
        <w:t>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1F6A0533">
      <w:pPr>
        <w:tabs>
          <w:tab w:val="left" w:pos="2835"/>
        </w:tabs>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3.8除</w:t>
      </w:r>
      <w:r>
        <w:rPr>
          <w:rFonts w:ascii="宋体" w:hAnsi="宋体"/>
          <w:color w:val="000000" w:themeColor="text1"/>
          <w:highlight w:val="none"/>
          <w14:textFill>
            <w14:solidFill>
              <w14:schemeClr w14:val="tx1"/>
            </w14:solidFill>
          </w14:textFill>
        </w:rPr>
        <w:t>本章第3.7条</w:t>
      </w:r>
      <w:r>
        <w:rPr>
          <w:rFonts w:hint="eastAsia" w:ascii="宋体" w:hAnsi="宋体"/>
          <w:color w:val="000000" w:themeColor="text1"/>
          <w:highlight w:val="none"/>
          <w14:textFill>
            <w14:solidFill>
              <w14:schemeClr w14:val="tx1"/>
            </w14:solidFill>
          </w14:textFill>
        </w:rPr>
        <w:t>规定的</w:t>
      </w:r>
      <w:r>
        <w:rPr>
          <w:rFonts w:ascii="宋体" w:hAnsi="宋体"/>
          <w:color w:val="000000" w:themeColor="text1"/>
          <w:highlight w:val="none"/>
          <w14:textFill>
            <w14:solidFill>
              <w14:schemeClr w14:val="tx1"/>
            </w14:solidFill>
          </w14:textFill>
        </w:rPr>
        <w:t>情形</w:t>
      </w:r>
      <w:r>
        <w:rPr>
          <w:rFonts w:hint="eastAsia" w:ascii="宋体" w:hAnsi="宋体"/>
          <w:color w:val="000000" w:themeColor="text1"/>
          <w:highlight w:val="none"/>
          <w14:textFill>
            <w14:solidFill>
              <w14:schemeClr w14:val="tx1"/>
            </w14:solidFill>
          </w14:textFill>
        </w:rPr>
        <w:t>外，</w:t>
      </w:r>
      <w:r>
        <w:rPr>
          <w:rFonts w:hint="eastAsia" w:ascii="宋体" w:hAnsi="宋体"/>
          <w:color w:val="000000" w:themeColor="text1"/>
          <w:szCs w:val="21"/>
          <w:highlight w:val="none"/>
          <w14:textFill>
            <w14:solidFill>
              <w14:schemeClr w14:val="tx1"/>
            </w14:solidFill>
          </w14:textFill>
        </w:rPr>
        <w:t>对磋商过程提交的响应文件进行有效性、完整性和响应程度审查，通过审查的合格供应商不足3家的，应当重新开展采购活动。</w:t>
      </w:r>
    </w:p>
    <w:p w14:paraId="41562B2D">
      <w:pPr>
        <w:spacing w:line="360" w:lineRule="auto"/>
        <w:ind w:firstLine="482"/>
        <w:rPr>
          <w:rFonts w:hint="eastAsia" w:ascii="宋体" w:hAnsi="宋体" w:cs="宋体"/>
          <w:color w:val="000000" w:themeColor="text1"/>
          <w:szCs w:val="21"/>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4.</w:t>
      </w:r>
      <w:r>
        <w:rPr>
          <w:rFonts w:hint="eastAsia" w:ascii="黑体" w:hAnsi="黑体" w:eastAsia="黑体" w:cs="宋体"/>
          <w:b/>
          <w:bCs/>
          <w:color w:val="000000" w:themeColor="text1"/>
          <w:sz w:val="24"/>
          <w:highlight w:val="none"/>
          <w14:textFill>
            <w14:solidFill>
              <w14:schemeClr w14:val="tx1"/>
            </w14:solidFill>
          </w14:textFill>
        </w:rPr>
        <w:t xml:space="preserve"> 最后报价</w:t>
      </w:r>
    </w:p>
    <w:p w14:paraId="21C33949">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磋商文件能够详细列明采购标的的技术、服务要求的，磋商结束后，磋商小组应当要求所有继续参加磋商的供应商在规定时间内在广西政府采购云平台开标大厅提交加盖供应商电子签章的最后报价，除本章第</w:t>
      </w:r>
      <w:r>
        <w:rPr>
          <w:rFonts w:ascii="宋体" w:hAnsi="宋体" w:cs="宋体"/>
          <w:color w:val="000000" w:themeColor="text1"/>
          <w:szCs w:val="21"/>
          <w:highlight w:val="none"/>
          <w14:textFill>
            <w14:solidFill>
              <w14:schemeClr w14:val="tx1"/>
            </w14:solidFill>
          </w14:textFill>
        </w:rPr>
        <w:t>4.3</w:t>
      </w:r>
      <w:r>
        <w:rPr>
          <w:rFonts w:hint="eastAsia" w:ascii="宋体" w:hAnsi="宋体" w:cs="宋体"/>
          <w:color w:val="000000" w:themeColor="text1"/>
          <w:szCs w:val="21"/>
          <w:highlight w:val="none"/>
          <w14:textFill>
            <w14:solidFill>
              <w14:schemeClr w14:val="tx1"/>
            </w14:solidFill>
          </w14:textFill>
        </w:rPr>
        <w:t>条规定的情形外，提交最后报价的供应商不得少于3家，否则应当重新</w:t>
      </w:r>
      <w:r>
        <w:rPr>
          <w:rFonts w:hint="eastAsia" w:ascii="宋体" w:hAnsi="宋体"/>
          <w:color w:val="000000" w:themeColor="text1"/>
          <w:szCs w:val="21"/>
          <w:highlight w:val="none"/>
          <w14:textFill>
            <w14:solidFill>
              <w14:schemeClr w14:val="tx1"/>
            </w14:solidFill>
          </w14:textFill>
        </w:rPr>
        <w:t>开展采购活动</w:t>
      </w:r>
      <w:r>
        <w:rPr>
          <w:rFonts w:hint="eastAsia" w:ascii="宋体" w:hAnsi="宋体" w:cs="宋体"/>
          <w:color w:val="000000" w:themeColor="text1"/>
          <w:szCs w:val="21"/>
          <w:highlight w:val="none"/>
          <w14:textFill>
            <w14:solidFill>
              <w14:schemeClr w14:val="tx1"/>
            </w14:solidFill>
          </w14:textFill>
        </w:rPr>
        <w:t>。</w:t>
      </w:r>
    </w:p>
    <w:p w14:paraId="5AC28B4C">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广西政府采购云平台开标大厅提交最后报价。</w:t>
      </w:r>
    </w:p>
    <w:p w14:paraId="245CE680">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4.3</w:t>
      </w:r>
      <w:r>
        <w:rPr>
          <w:rFonts w:hint="eastAsia" w:ascii="宋体" w:hAnsi="宋体" w:cs="宋体"/>
          <w:color w:val="000000" w:themeColor="text1"/>
          <w:szCs w:val="21"/>
          <w:highlight w:val="none"/>
          <w14:textFill>
            <w14:solidFill>
              <w14:schemeClr w14:val="tx1"/>
            </w14:solidFill>
          </w14:textFill>
        </w:rPr>
        <w:t xml:space="preserve"> 最后报价是供应商响应文件的有效组成部分。</w:t>
      </w:r>
    </w:p>
    <w:p w14:paraId="1B039538">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符合《政府采购竞争性磋商采购方式管理暂行办法》（财库〔2014〕214号）第三条第四项“市场竞争不充分的科研项目，以及需要扶持的科技成果转化项目”和</w:t>
      </w:r>
      <w:r>
        <w:rPr>
          <w:color w:val="000000" w:themeColor="text1"/>
          <w:highlight w:val="none"/>
          <w14:textFill>
            <w14:solidFill>
              <w14:schemeClr w14:val="tx1"/>
            </w14:solidFill>
          </w14:textFill>
        </w:rPr>
        <w:t>本章</w:t>
      </w:r>
      <w:r>
        <w:rPr>
          <w:rFonts w:ascii="宋体" w:hAnsi="宋体"/>
          <w:color w:val="000000" w:themeColor="text1"/>
          <w:highlight w:val="none"/>
          <w14:textFill>
            <w14:solidFill>
              <w14:schemeClr w14:val="tx1"/>
            </w14:solidFill>
          </w14:textFill>
        </w:rPr>
        <w:t>第3.7条</w:t>
      </w:r>
      <w:r>
        <w:rPr>
          <w:rFonts w:hint="eastAsia" w:ascii="宋体" w:hAnsi="宋体" w:cs="宋体"/>
          <w:color w:val="000000" w:themeColor="text1"/>
          <w:szCs w:val="21"/>
          <w:highlight w:val="none"/>
          <w14:textFill>
            <w14:solidFill>
              <w14:schemeClr w14:val="tx1"/>
            </w14:solidFill>
          </w14:textFill>
        </w:rPr>
        <w:t>规定</w:t>
      </w:r>
      <w:r>
        <w:rPr>
          <w:color w:val="000000" w:themeColor="text1"/>
          <w:highlight w:val="none"/>
          <w14:textFill>
            <w14:solidFill>
              <w14:schemeClr w14:val="tx1"/>
            </w14:solidFill>
          </w14:textFill>
        </w:rPr>
        <w:t>情形的，</w:t>
      </w:r>
      <w:r>
        <w:rPr>
          <w:rFonts w:hint="eastAsia" w:ascii="宋体" w:hAnsi="宋体" w:cs="宋体"/>
          <w:color w:val="000000" w:themeColor="text1"/>
          <w:szCs w:val="21"/>
          <w:highlight w:val="none"/>
          <w14:textFill>
            <w14:solidFill>
              <w14:schemeClr w14:val="tx1"/>
            </w14:solidFill>
          </w14:textFill>
        </w:rPr>
        <w:t>提交最后报价的供应商可以为2家。</w:t>
      </w:r>
    </w:p>
    <w:p w14:paraId="73803B37">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4.4</w:t>
      </w:r>
      <w:r>
        <w:rPr>
          <w:rFonts w:hint="eastAsia" w:ascii="宋体" w:hAnsi="宋体" w:cs="宋体"/>
          <w:color w:val="000000" w:themeColor="text1"/>
          <w:szCs w:val="21"/>
          <w:highlight w:val="none"/>
          <w14:textFill>
            <w14:solidFill>
              <w14:schemeClr w14:val="tx1"/>
            </w14:solidFill>
          </w14:textFill>
        </w:rPr>
        <w:t>已经提交响应文件的供应商，在提交最后报价之前，可以根据磋商情况退出磋商，退出磋商的供应商的响应文件按无效处理。采购人、采购代理机构将退还退出磋商的供应商的保证金。</w:t>
      </w:r>
    </w:p>
    <w:p w14:paraId="196C9DD3">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4.5</w:t>
      </w:r>
      <w:r>
        <w:rPr>
          <w:rFonts w:hint="eastAsia" w:ascii="宋体" w:hAnsi="宋体" w:cs="宋体"/>
          <w:color w:val="000000" w:themeColor="text1"/>
          <w:szCs w:val="21"/>
          <w:highlight w:val="none"/>
          <w14:textFill>
            <w14:solidFill>
              <w14:schemeClr w14:val="tx1"/>
            </w14:solidFill>
          </w14:textFill>
        </w:rPr>
        <w:t>供应商未在规定时间内提交最后报价的，视同退出磋商，其响应文件按无效处理。</w:t>
      </w:r>
    </w:p>
    <w:p w14:paraId="76EF7068">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4.6</w:t>
      </w:r>
      <w:r>
        <w:rPr>
          <w:rFonts w:hint="eastAsia" w:ascii="宋体" w:hAnsi="宋体" w:cs="宋体"/>
          <w:color w:val="000000" w:themeColor="text1"/>
          <w:szCs w:val="21"/>
          <w:highlight w:val="none"/>
          <w14:textFill>
            <w14:solidFill>
              <w14:schemeClr w14:val="tx1"/>
            </w14:solidFill>
          </w14:textFill>
        </w:rPr>
        <w:t>最后报价统一开启后，磋商小组对最后报价进行有效性、完整性和响应程度的审查。</w:t>
      </w:r>
    </w:p>
    <w:p w14:paraId="5AB82DEE">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4.7</w:t>
      </w:r>
      <w:r>
        <w:rPr>
          <w:rFonts w:hint="eastAsia" w:ascii="宋体" w:hAnsi="宋体" w:cs="宋体"/>
          <w:color w:val="000000" w:themeColor="text1"/>
          <w:szCs w:val="21"/>
          <w:highlight w:val="none"/>
          <w14:textFill>
            <w14:solidFill>
              <w14:schemeClr w14:val="tx1"/>
            </w14:solidFill>
          </w14:textFill>
        </w:rPr>
        <w:t>最后报价出现前后不一致的，按照本章第</w:t>
      </w:r>
      <w:r>
        <w:rPr>
          <w:rFonts w:ascii="宋体" w:hAnsi="宋体" w:cs="宋体"/>
          <w:color w:val="000000" w:themeColor="text1"/>
          <w:szCs w:val="21"/>
          <w:highlight w:val="none"/>
          <w14:textFill>
            <w14:solidFill>
              <w14:schemeClr w14:val="tx1"/>
            </w14:solidFill>
          </w14:textFill>
        </w:rPr>
        <w:t>2.4</w:t>
      </w:r>
      <w:r>
        <w:rPr>
          <w:rFonts w:hint="eastAsia" w:ascii="宋体" w:hAnsi="宋体" w:cs="宋体"/>
          <w:color w:val="000000" w:themeColor="text1"/>
          <w:szCs w:val="21"/>
          <w:highlight w:val="none"/>
          <w14:textFill>
            <w14:solidFill>
              <w14:schemeClr w14:val="tx1"/>
            </w14:solidFill>
          </w14:textFill>
        </w:rPr>
        <w:t xml:space="preserve">条的规定修正。 </w:t>
      </w:r>
    </w:p>
    <w:p w14:paraId="66C6EFE1">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4.8</w:t>
      </w:r>
      <w:r>
        <w:rPr>
          <w:rFonts w:hint="eastAsia" w:ascii="宋体" w:hAnsi="宋体" w:cs="宋体"/>
          <w:color w:val="000000" w:themeColor="text1"/>
          <w:szCs w:val="21"/>
          <w:highlight w:val="none"/>
          <w14:textFill>
            <w14:solidFill>
              <w14:schemeClr w14:val="tx1"/>
            </w14:solidFill>
          </w14:textFill>
        </w:rPr>
        <w:t>修正后的报价出现下列情形的，按无效响应处理：</w:t>
      </w:r>
    </w:p>
    <w:p w14:paraId="78ED8492">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（1）供应商不确认的（全流程电子化评标采取在线确认）；</w:t>
      </w:r>
    </w:p>
    <w:p w14:paraId="4B03BC37">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（2）经供应商确认修正后的竞标报价（包含首次报价、最后报价）超过所竞标分标规定的采购预算金额或者最高限价的（如本项目公布了最高限价）；</w:t>
      </w:r>
    </w:p>
    <w:p w14:paraId="69586876">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（3）经供应商确认修正后的竞标报价（包含首次报价、最后报价）超过分项采购预算金额或者最高限价的（如本项目公布了最高限价）。</w:t>
      </w:r>
    </w:p>
    <w:p w14:paraId="427D10A9">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4.9</w:t>
      </w:r>
      <w:r>
        <w:rPr>
          <w:rFonts w:hint="eastAsia" w:ascii="宋体" w:hAnsi="宋体" w:cs="宋体"/>
          <w:color w:val="000000" w:themeColor="text1"/>
          <w:szCs w:val="21"/>
          <w:highlight w:val="none"/>
          <w14:textFill>
            <w14:solidFill>
              <w14:schemeClr w14:val="tx1"/>
            </w14:solidFill>
          </w14:textFill>
        </w:rPr>
        <w:t>经供应商确认修正后的最后报价作为评审及签订合同的依据。</w:t>
      </w:r>
    </w:p>
    <w:p w14:paraId="09518475">
      <w:pPr>
        <w:spacing w:line="360" w:lineRule="auto"/>
        <w:ind w:firstLine="424"/>
        <w:jc w:val="left"/>
        <w:rPr>
          <w:rFonts w:hint="eastAsia" w:ascii="宋体" w:hAnsi="宋体"/>
          <w:color w:val="000000" w:themeColor="text1"/>
          <w:spacing w:val="-6"/>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4.10</w:t>
      </w:r>
      <w:r>
        <w:rPr>
          <w:rFonts w:hint="eastAsia" w:ascii="宋体" w:hAnsi="宋体"/>
          <w:color w:val="000000" w:themeColor="text1"/>
          <w:szCs w:val="21"/>
          <w:highlight w:val="none"/>
          <w14:textFill>
            <w14:solidFill>
              <w14:schemeClr w14:val="tx1"/>
            </w14:solidFill>
          </w14:textFill>
        </w:rPr>
        <w:t>异常低价响应审查</w:t>
      </w:r>
    </w:p>
    <w:p w14:paraId="395F3165">
      <w:pPr>
        <w:spacing w:line="360" w:lineRule="auto"/>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（1）磋商小组在评审中发现下列情形之一的，应当启动异常低价响应审查程序：</w:t>
      </w:r>
    </w:p>
    <w:p w14:paraId="01517C5F">
      <w:pPr>
        <w:spacing w:line="360" w:lineRule="auto"/>
        <w:ind w:firstLine="42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①</w:t>
      </w:r>
      <w:r>
        <w:rPr>
          <w:color w:val="000000" w:themeColor="text1"/>
          <w:highlight w:val="none"/>
          <w14:textFill>
            <w14:solidFill>
              <w14:schemeClr w14:val="tx1"/>
            </w14:solidFill>
          </w14:textFill>
        </w:rPr>
        <w:t>竞标报价</w:t>
      </w:r>
      <w:r>
        <w:rPr>
          <w:rFonts w:hint="eastAsia" w:ascii="宋体" w:hAnsi="宋体"/>
          <w:color w:val="000000" w:themeColor="text1"/>
          <w:szCs w:val="21"/>
          <w:highlight w:val="none"/>
          <w14:textFill>
            <w14:solidFill>
              <w14:schemeClr w14:val="tx1"/>
            </w14:solidFill>
          </w14:textFill>
        </w:rPr>
        <w:t>低于全部通过符合性审查供应商</w:t>
      </w:r>
      <w:r>
        <w:rPr>
          <w:color w:val="000000" w:themeColor="text1"/>
          <w:highlight w:val="none"/>
          <w14:textFill>
            <w14:solidFill>
              <w14:schemeClr w14:val="tx1"/>
            </w14:solidFill>
          </w14:textFill>
        </w:rPr>
        <w:t>竞标报价</w:t>
      </w:r>
      <w:r>
        <w:rPr>
          <w:rFonts w:hint="eastAsia" w:ascii="宋体" w:hAnsi="宋体"/>
          <w:color w:val="000000" w:themeColor="text1"/>
          <w:szCs w:val="21"/>
          <w:highlight w:val="none"/>
          <w14:textFill>
            <w14:solidFill>
              <w14:schemeClr w14:val="tx1"/>
            </w14:solidFill>
          </w14:textFill>
        </w:rPr>
        <w:t>平均值</w:t>
      </w:r>
      <w:r>
        <w:rPr>
          <w:rFonts w:hint="eastAsia" w:ascii="宋体" w:hAnsi="宋体"/>
          <w:color w:val="000000" w:themeColor="text1"/>
          <w:szCs w:val="21"/>
          <w:highlight w:val="none"/>
          <w:u w:val="single"/>
          <w:lang w:val="en-US" w:eastAsia="zh-CN"/>
          <w14:textFill>
            <w14:solidFill>
              <w14:schemeClr w14:val="tx1"/>
            </w14:solidFill>
          </w14:textFill>
        </w:rPr>
        <w:t>65%</w:t>
      </w:r>
      <w:r>
        <w:rPr>
          <w:rFonts w:hint="eastAsia" w:ascii="宋体" w:hAnsi="宋体"/>
          <w:color w:val="000000" w:themeColor="text1"/>
          <w:szCs w:val="21"/>
          <w:highlight w:val="none"/>
          <w14:textFill>
            <w14:solidFill>
              <w14:schemeClr w14:val="tx1"/>
            </w14:solidFill>
          </w14:textFill>
        </w:rPr>
        <w:t>的，即</w:t>
      </w:r>
      <w:r>
        <w:rPr>
          <w:color w:val="000000" w:themeColor="text1"/>
          <w:highlight w:val="none"/>
          <w14:textFill>
            <w14:solidFill>
              <w14:schemeClr w14:val="tx1"/>
            </w14:solidFill>
          </w14:textFill>
        </w:rPr>
        <w:t>竞标报价</w:t>
      </w:r>
      <w:r>
        <w:rPr>
          <w:rFonts w:hint="eastAsia" w:ascii="宋体" w:hAnsi="宋体"/>
          <w:color w:val="000000" w:themeColor="text1"/>
          <w:szCs w:val="21"/>
          <w:highlight w:val="none"/>
          <w14:textFill>
            <w14:solidFill>
              <w14:schemeClr w14:val="tx1"/>
            </w14:solidFill>
          </w14:textFill>
        </w:rPr>
        <w:t>＜全部通过符合性审查供应商</w:t>
      </w:r>
      <w:r>
        <w:rPr>
          <w:color w:val="000000" w:themeColor="text1"/>
          <w:highlight w:val="none"/>
          <w14:textFill>
            <w14:solidFill>
              <w14:schemeClr w14:val="tx1"/>
            </w14:solidFill>
          </w14:textFill>
        </w:rPr>
        <w:t>竞标报价</w:t>
      </w:r>
      <w:r>
        <w:rPr>
          <w:rFonts w:hint="eastAsia" w:ascii="宋体" w:hAnsi="宋体"/>
          <w:color w:val="000000" w:themeColor="text1"/>
          <w:szCs w:val="21"/>
          <w:highlight w:val="none"/>
          <w14:textFill>
            <w14:solidFill>
              <w14:schemeClr w14:val="tx1"/>
            </w14:solidFill>
          </w14:textFill>
        </w:rPr>
        <w:t>平均值×</w:t>
      </w:r>
      <w:r>
        <w:rPr>
          <w:rFonts w:hint="eastAsia" w:ascii="宋体" w:hAnsi="宋体"/>
          <w:color w:val="000000" w:themeColor="text1"/>
          <w:szCs w:val="21"/>
          <w:highlight w:val="none"/>
          <w:u w:val="single"/>
          <w:lang w:val="en-US" w:eastAsia="zh-CN"/>
          <w14:textFill>
            <w14:solidFill>
              <w14:schemeClr w14:val="tx1"/>
            </w14:solidFill>
          </w14:textFill>
        </w:rPr>
        <w:t>65%</w:t>
      </w:r>
      <w:r>
        <w:rPr>
          <w:rFonts w:hint="eastAsia" w:ascii="宋体" w:hAnsi="宋体"/>
          <w:color w:val="000000" w:themeColor="text1"/>
          <w:szCs w:val="21"/>
          <w:highlight w:val="none"/>
          <w14:textFill>
            <w14:solidFill>
              <w14:schemeClr w14:val="tx1"/>
            </w14:solidFill>
          </w14:textFill>
        </w:rPr>
        <w:t>；</w:t>
      </w:r>
    </w:p>
    <w:p w14:paraId="2BBE71C8">
      <w:pPr>
        <w:spacing w:line="360" w:lineRule="auto"/>
        <w:ind w:firstLine="42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②</w:t>
      </w:r>
      <w:r>
        <w:rPr>
          <w:color w:val="000000" w:themeColor="text1"/>
          <w:highlight w:val="none"/>
          <w14:textFill>
            <w14:solidFill>
              <w14:schemeClr w14:val="tx1"/>
            </w14:solidFill>
          </w14:textFill>
        </w:rPr>
        <w:t>竞标报价</w:t>
      </w:r>
      <w:r>
        <w:rPr>
          <w:rFonts w:hint="eastAsia" w:ascii="宋体" w:hAnsi="宋体"/>
          <w:color w:val="000000" w:themeColor="text1"/>
          <w:szCs w:val="21"/>
          <w:highlight w:val="none"/>
          <w14:textFill>
            <w14:solidFill>
              <w14:schemeClr w14:val="tx1"/>
            </w14:solidFill>
          </w14:textFill>
        </w:rPr>
        <w:t>低于通过符合性审查的次低报价供应商</w:t>
      </w:r>
      <w:r>
        <w:rPr>
          <w:color w:val="000000" w:themeColor="text1"/>
          <w:highlight w:val="none"/>
          <w14:textFill>
            <w14:solidFill>
              <w14:schemeClr w14:val="tx1"/>
            </w14:solidFill>
          </w14:textFill>
        </w:rPr>
        <w:t>竞标报价</w:t>
      </w:r>
      <w:r>
        <w:rPr>
          <w:rFonts w:hint="eastAsia" w:ascii="宋体" w:hAnsi="宋体"/>
          <w:color w:val="000000" w:themeColor="text1"/>
          <w:szCs w:val="21"/>
          <w:highlight w:val="none"/>
          <w:u w:val="single"/>
          <w:lang w:val="en-US" w:eastAsia="zh-CN"/>
          <w14:textFill>
            <w14:solidFill>
              <w14:schemeClr w14:val="tx1"/>
            </w14:solidFill>
          </w14:textFill>
        </w:rPr>
        <w:t>65%</w:t>
      </w:r>
      <w:r>
        <w:rPr>
          <w:rFonts w:hint="eastAsia" w:ascii="宋体" w:hAnsi="宋体"/>
          <w:color w:val="000000" w:themeColor="text1"/>
          <w:szCs w:val="21"/>
          <w:highlight w:val="none"/>
          <w14:textFill>
            <w14:solidFill>
              <w14:schemeClr w14:val="tx1"/>
            </w14:solidFill>
          </w14:textFill>
        </w:rPr>
        <w:t>的，即</w:t>
      </w:r>
      <w:r>
        <w:rPr>
          <w:color w:val="000000" w:themeColor="text1"/>
          <w:highlight w:val="none"/>
          <w14:textFill>
            <w14:solidFill>
              <w14:schemeClr w14:val="tx1"/>
            </w14:solidFill>
          </w14:textFill>
        </w:rPr>
        <w:t>竞标报价</w:t>
      </w:r>
      <w:r>
        <w:rPr>
          <w:rFonts w:hint="eastAsia" w:ascii="宋体" w:hAnsi="宋体"/>
          <w:color w:val="000000" w:themeColor="text1"/>
          <w:szCs w:val="21"/>
          <w:highlight w:val="none"/>
          <w14:textFill>
            <w14:solidFill>
              <w14:schemeClr w14:val="tx1"/>
            </w14:solidFill>
          </w14:textFill>
        </w:rPr>
        <w:t>＜通过符合性审查的次低报价供应商</w:t>
      </w:r>
      <w:r>
        <w:rPr>
          <w:color w:val="000000" w:themeColor="text1"/>
          <w:highlight w:val="none"/>
          <w14:textFill>
            <w14:solidFill>
              <w14:schemeClr w14:val="tx1"/>
            </w14:solidFill>
          </w14:textFill>
        </w:rPr>
        <w:t>竞标报价</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u w:val="single"/>
          <w:lang w:val="en-US" w:eastAsia="zh-CN"/>
          <w14:textFill>
            <w14:solidFill>
              <w14:schemeClr w14:val="tx1"/>
            </w14:solidFill>
          </w14:textFill>
        </w:rPr>
        <w:t>65%</w:t>
      </w:r>
      <w:r>
        <w:rPr>
          <w:rFonts w:hint="eastAsia" w:ascii="宋体" w:hAnsi="宋体"/>
          <w:color w:val="000000" w:themeColor="text1"/>
          <w:szCs w:val="21"/>
          <w:highlight w:val="none"/>
          <w14:textFill>
            <w14:solidFill>
              <w14:schemeClr w14:val="tx1"/>
            </w14:solidFill>
          </w14:textFill>
        </w:rPr>
        <w:t>；</w:t>
      </w:r>
    </w:p>
    <w:p w14:paraId="76C2766A">
      <w:pPr>
        <w:spacing w:line="360" w:lineRule="auto"/>
        <w:ind w:firstLine="42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③</w:t>
      </w:r>
      <w:r>
        <w:rPr>
          <w:color w:val="000000" w:themeColor="text1"/>
          <w:highlight w:val="none"/>
          <w14:textFill>
            <w14:solidFill>
              <w14:schemeClr w14:val="tx1"/>
            </w14:solidFill>
          </w14:textFill>
        </w:rPr>
        <w:t>竞标报价</w:t>
      </w:r>
      <w:r>
        <w:rPr>
          <w:rFonts w:hint="eastAsia" w:ascii="宋体" w:hAnsi="宋体"/>
          <w:color w:val="000000" w:themeColor="text1"/>
          <w:szCs w:val="21"/>
          <w:highlight w:val="none"/>
          <w14:textFill>
            <w14:solidFill>
              <w14:schemeClr w14:val="tx1"/>
            </w14:solidFill>
          </w14:textFill>
        </w:rPr>
        <w:t>低于采购项目最高限价</w:t>
      </w:r>
      <w:r>
        <w:rPr>
          <w:rFonts w:hint="eastAsia" w:ascii="宋体" w:hAnsi="宋体"/>
          <w:color w:val="000000" w:themeColor="text1"/>
          <w:szCs w:val="21"/>
          <w:highlight w:val="none"/>
          <w:u w:val="single"/>
          <w:lang w:val="en-US" w:eastAsia="zh-CN"/>
          <w14:textFill>
            <w14:solidFill>
              <w14:schemeClr w14:val="tx1"/>
            </w14:solidFill>
          </w14:textFill>
        </w:rPr>
        <w:t>65%</w:t>
      </w:r>
      <w:r>
        <w:rPr>
          <w:rFonts w:hint="eastAsia" w:ascii="宋体" w:hAnsi="宋体"/>
          <w:color w:val="000000" w:themeColor="text1"/>
          <w:szCs w:val="21"/>
          <w:highlight w:val="none"/>
          <w14:textFill>
            <w14:solidFill>
              <w14:schemeClr w14:val="tx1"/>
            </w14:solidFill>
          </w14:textFill>
        </w:rPr>
        <w:t>的，即</w:t>
      </w:r>
      <w:r>
        <w:rPr>
          <w:color w:val="000000" w:themeColor="text1"/>
          <w:highlight w:val="none"/>
          <w14:textFill>
            <w14:solidFill>
              <w14:schemeClr w14:val="tx1"/>
            </w14:solidFill>
          </w14:textFill>
        </w:rPr>
        <w:t>竞标报价</w:t>
      </w:r>
      <w:r>
        <w:rPr>
          <w:rFonts w:hint="eastAsia" w:ascii="宋体" w:hAnsi="宋体"/>
          <w:color w:val="000000" w:themeColor="text1"/>
          <w:szCs w:val="21"/>
          <w:highlight w:val="none"/>
          <w14:textFill>
            <w14:solidFill>
              <w14:schemeClr w14:val="tx1"/>
            </w14:solidFill>
          </w14:textFill>
        </w:rPr>
        <w:t>＜采购项目最高限价×</w:t>
      </w:r>
      <w:r>
        <w:rPr>
          <w:rFonts w:hint="eastAsia" w:ascii="宋体" w:hAnsi="宋体"/>
          <w:color w:val="000000" w:themeColor="text1"/>
          <w:szCs w:val="21"/>
          <w:highlight w:val="none"/>
          <w:u w:val="single"/>
          <w:lang w:val="en-US" w:eastAsia="zh-CN"/>
          <w14:textFill>
            <w14:solidFill>
              <w14:schemeClr w14:val="tx1"/>
            </w14:solidFill>
          </w14:textFill>
        </w:rPr>
        <w:t>65%</w:t>
      </w:r>
      <w:r>
        <w:rPr>
          <w:rFonts w:hint="eastAsia" w:ascii="宋体" w:hAnsi="宋体"/>
          <w:color w:val="000000" w:themeColor="text1"/>
          <w:szCs w:val="21"/>
          <w:highlight w:val="none"/>
          <w14:textFill>
            <w14:solidFill>
              <w14:schemeClr w14:val="tx1"/>
            </w14:solidFill>
          </w14:textFill>
        </w:rPr>
        <w:t>；</w:t>
      </w:r>
    </w:p>
    <w:p w14:paraId="5EBCEC90">
      <w:pPr>
        <w:spacing w:line="360" w:lineRule="auto"/>
        <w:ind w:firstLine="42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④磋商小组基于专业判断，认为供应商报价过低，有可能影响产品质量或者不能诚信履约的其他情形。</w:t>
      </w:r>
    </w:p>
    <w:p w14:paraId="1DBF7B95">
      <w:pPr>
        <w:spacing w:line="360" w:lineRule="auto"/>
        <w:ind w:firstLine="42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③项情形，供应商已随响应文件一并提交相关书面说明及必要的证明材料的，可不再重复提交。</w:t>
      </w:r>
    </w:p>
    <w:p w14:paraId="504A52C9">
      <w:pPr>
        <w:spacing w:line="360" w:lineRule="auto"/>
        <w:ind w:firstLine="42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磋商小组依据专业经验，参考同类项目中标（成交）价格、类似产品市场价格水平、行业人工费用标准、国家有关部门指导行业协会发布的行业平均成本等情况，对报价合理性进行判断。</w:t>
      </w:r>
      <w:r>
        <w:rPr>
          <w:rFonts w:hint="eastAsia" w:ascii="宋体" w:hAnsi="宋体"/>
          <w:b/>
          <w:color w:val="000000" w:themeColor="text1"/>
          <w:szCs w:val="21"/>
          <w:highlight w:val="none"/>
          <w14:textFill>
            <w14:solidFill>
              <w14:schemeClr w14:val="tx1"/>
            </w14:solidFill>
          </w14:textFill>
        </w:rPr>
        <w:t>相关供应商不能提供书面说明、证明材料，或者提供的书面说明、证明材料不能证明其报价合理性的，磋商小组应当将其作为无效响应处理。</w:t>
      </w:r>
    </w:p>
    <w:p w14:paraId="22DD1EE8">
      <w:pPr>
        <w:spacing w:line="360" w:lineRule="auto"/>
        <w:ind w:firstLine="42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14:paraId="6884D5C4">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异常低价响应审查的启动原因、审查意见和审查结果应当在评审报告中记录，并随供应商提供的相关书面说明及证明材料，以及磋商小组有关互联网浏览、查询历史一并归档。</w:t>
      </w:r>
    </w:p>
    <w:p w14:paraId="6AA7895D">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4.11供应商出现最后报价按无效响应处理或者响应文件按无效处理时</w:t>
      </w:r>
      <w:r>
        <w:rPr>
          <w:rFonts w:hint="eastAsia" w:ascii="宋体" w:hAnsi="宋体"/>
          <w:color w:val="000000" w:themeColor="text1"/>
          <w:szCs w:val="21"/>
          <w:highlight w:val="none"/>
          <w14:textFill>
            <w14:solidFill>
              <w14:schemeClr w14:val="tx1"/>
            </w14:solidFill>
          </w14:textFill>
        </w:rPr>
        <w:t>，磋商小组应当告知有关供应商</w:t>
      </w:r>
      <w:r>
        <w:rPr>
          <w:rFonts w:hint="eastAsia" w:ascii="宋体" w:hAnsi="宋体" w:cs="宋体"/>
          <w:color w:val="000000" w:themeColor="text1"/>
          <w:szCs w:val="21"/>
          <w:highlight w:val="none"/>
          <w14:textFill>
            <w14:solidFill>
              <w14:schemeClr w14:val="tx1"/>
            </w14:solidFill>
          </w14:textFill>
        </w:rPr>
        <w:t>。</w:t>
      </w:r>
    </w:p>
    <w:p w14:paraId="5ABE1841">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2最后报价结束后，磋商小组不得再与供应商进行任何形式的商谈。</w:t>
      </w:r>
    </w:p>
    <w:p w14:paraId="5FDE53E4">
      <w:pPr>
        <w:spacing w:line="360" w:lineRule="auto"/>
        <w:ind w:firstLine="482"/>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5</w:t>
      </w:r>
      <w:r>
        <w:rPr>
          <w:rFonts w:ascii="黑体" w:hAnsi="黑体" w:eastAsia="黑体" w:cs="宋体"/>
          <w:b/>
          <w:bCs/>
          <w:color w:val="000000" w:themeColor="text1"/>
          <w:sz w:val="24"/>
          <w:highlight w:val="none"/>
          <w14:textFill>
            <w14:solidFill>
              <w14:schemeClr w14:val="tx1"/>
            </w14:solidFill>
          </w14:textFill>
        </w:rPr>
        <w:t>.</w:t>
      </w:r>
      <w:r>
        <w:rPr>
          <w:rFonts w:hint="eastAsia" w:ascii="黑体" w:hAnsi="黑体" w:eastAsia="黑体" w:cs="宋体"/>
          <w:b/>
          <w:bCs/>
          <w:color w:val="000000" w:themeColor="text1"/>
          <w:sz w:val="24"/>
          <w:highlight w:val="none"/>
          <w14:textFill>
            <w14:solidFill>
              <w14:schemeClr w14:val="tx1"/>
            </w14:solidFill>
          </w14:textFill>
        </w:rPr>
        <w:t>比较与评价</w:t>
      </w:r>
    </w:p>
    <w:p w14:paraId="6F453482">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5.1</w:t>
      </w:r>
      <w:r>
        <w:rPr>
          <w:rFonts w:hint="eastAsia" w:ascii="宋体" w:hAnsi="宋体" w:cs="宋体"/>
          <w:color w:val="000000" w:themeColor="text1"/>
          <w:szCs w:val="21"/>
          <w:highlight w:val="none"/>
          <w14:textFill>
            <w14:solidFill>
              <w14:schemeClr w14:val="tx1"/>
            </w14:solidFill>
          </w14:textFill>
        </w:rPr>
        <w:t>评审方法：综合评分法。</w:t>
      </w:r>
    </w:p>
    <w:p w14:paraId="4CFC4188">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5.2</w:t>
      </w:r>
      <w:r>
        <w:rPr>
          <w:rFonts w:hint="eastAsia" w:ascii="宋体" w:hAnsi="宋体" w:cs="宋体"/>
          <w:color w:val="000000" w:themeColor="text1"/>
          <w:szCs w:val="21"/>
          <w:highlight w:val="none"/>
          <w14:textFill>
            <w14:solidFill>
              <w14:schemeClr w14:val="tx1"/>
            </w14:solidFill>
          </w14:textFill>
        </w:rPr>
        <w:t>经磋商确定最终采购需求和提交最后报价的供应商后，由磋商小组采用综合评分法对提交最后报价的供应商的响应文件和最后报价进行综合评分。</w:t>
      </w:r>
    </w:p>
    <w:p w14:paraId="046AE43D">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5.3</w:t>
      </w:r>
      <w:r>
        <w:rPr>
          <w:rFonts w:hint="eastAsia" w:ascii="宋体" w:hAnsi="宋体" w:cs="宋体"/>
          <w:color w:val="000000" w:themeColor="text1"/>
          <w:szCs w:val="21"/>
          <w:highlight w:val="none"/>
          <w14:textFill>
            <w14:solidFill>
              <w14:schemeClr w14:val="tx1"/>
            </w14:solidFill>
          </w14:textFill>
        </w:rPr>
        <w:t>评审时，磋商小组各成员应当独立对每个有效响应的文件进行评价、打分，然后汇总每个供应商每项评分因素的得分。</w:t>
      </w:r>
    </w:p>
    <w:p w14:paraId="13C2A5DF">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（1）磋商小组按照磋商文件中规定的评审标准计算各供应商的报价得分。项目评审过程中，不得去掉最后报价中的最高报价和最低报价。</w:t>
      </w:r>
    </w:p>
    <w:p w14:paraId="2D6207D9">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（2）各供应商的得分为磋商小组所有成员的有效评分的算术平均数。</w:t>
      </w:r>
    </w:p>
    <w:p w14:paraId="24D3CD46">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5.4</w:t>
      </w:r>
      <w:r>
        <w:rPr>
          <w:rFonts w:hint="eastAsia" w:ascii="宋体" w:hAnsi="宋体" w:cs="宋体"/>
          <w:color w:val="000000" w:themeColor="text1"/>
          <w:szCs w:val="21"/>
          <w:highlight w:val="none"/>
          <w14:textFill>
            <w14:solidFill>
              <w14:schemeClr w14:val="tx1"/>
            </w14:solidFill>
          </w14:textFill>
        </w:rPr>
        <w:t>评审价为供应商的最后报价进行政策性扣除后的价格，评审价只是作为评审时使用。最终成交供应商的成交金额等于最后报价（如有修正，以确认修正后的最后报价为准）。</w:t>
      </w:r>
    </w:p>
    <w:p w14:paraId="6C76CE2B">
      <w:pPr>
        <w:spacing w:line="360" w:lineRule="auto"/>
        <w:ind w:firstLine="482"/>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6. 成交供应商推荐原则</w:t>
      </w:r>
    </w:p>
    <w:p w14:paraId="17B2A27D">
      <w:pPr>
        <w:spacing w:line="360" w:lineRule="auto"/>
        <w:ind w:firstLine="420"/>
        <w:rPr>
          <w:rFonts w:hint="eastAsia"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w:t>
      </w: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由磋商小组根据综合评分情况，按照评审得分由高到低顺序推荐3名以上成交候选供应商，并编写评审报告，</w:t>
      </w:r>
      <w:r>
        <w:rPr>
          <w:rFonts w:hint="eastAsia" w:ascii="宋体" w:hAnsi="宋体" w:cs="宋体"/>
          <w:color w:val="000000" w:themeColor="text1"/>
          <w:highlight w:val="none"/>
          <w14:textFill>
            <w14:solidFill>
              <w14:schemeClr w14:val="tx1"/>
            </w14:solidFill>
          </w14:textFill>
        </w:rPr>
        <w:t>评审报告</w:t>
      </w:r>
      <w:r>
        <w:rPr>
          <w:rFonts w:hint="eastAsia" w:hAnsi="宋体"/>
          <w:color w:val="000000" w:themeColor="text1"/>
          <w:highlight w:val="none"/>
          <w14:textFill>
            <w14:solidFill>
              <w14:schemeClr w14:val="tx1"/>
            </w14:solidFill>
          </w14:textFill>
        </w:rPr>
        <w:t>通过电子交易平台向采购人、采购代理机构提交。</w:t>
      </w:r>
      <w:r>
        <w:rPr>
          <w:rFonts w:hint="eastAsia" w:ascii="宋体" w:hAnsi="宋体"/>
          <w:bCs/>
          <w:color w:val="000000" w:themeColor="text1"/>
          <w:szCs w:val="21"/>
          <w:highlight w:val="none"/>
          <w14:textFill>
            <w14:solidFill>
              <w14:schemeClr w14:val="tx1"/>
            </w14:solidFill>
          </w14:textFill>
        </w:rPr>
        <w:t>符合本章第</w:t>
      </w:r>
      <w:r>
        <w:rPr>
          <w:rFonts w:ascii="宋体" w:hAnsi="宋体"/>
          <w:bCs/>
          <w:color w:val="000000" w:themeColor="text1"/>
          <w:szCs w:val="21"/>
          <w:highlight w:val="none"/>
          <w14:textFill>
            <w14:solidFill>
              <w14:schemeClr w14:val="tx1"/>
            </w14:solidFill>
          </w14:textFill>
        </w:rPr>
        <w:t>4.3</w:t>
      </w:r>
      <w:r>
        <w:rPr>
          <w:rFonts w:hint="eastAsia" w:ascii="宋体" w:hAnsi="宋体"/>
          <w:bCs/>
          <w:color w:val="000000" w:themeColor="text1"/>
          <w:szCs w:val="21"/>
          <w:highlight w:val="none"/>
          <w14:textFill>
            <w14:solidFill>
              <w14:schemeClr w14:val="tx1"/>
            </w14:solidFill>
          </w14:textFill>
        </w:rPr>
        <w:t>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技术要求偏离分由高到低排序）。评审得分、最后报价（不计算价格折扣）、技术得分、技术要求偏离分均相同的，由磋商小组随机抽取推荐</w:t>
      </w:r>
      <w:r>
        <w:rPr>
          <w:rFonts w:hint="eastAsia" w:ascii="宋体" w:hAnsi="宋体"/>
          <w:color w:val="000000" w:themeColor="text1"/>
          <w:szCs w:val="21"/>
          <w:highlight w:val="none"/>
          <w14:textFill>
            <w14:solidFill>
              <w14:schemeClr w14:val="tx1"/>
            </w14:solidFill>
          </w14:textFill>
        </w:rPr>
        <w:t>。</w:t>
      </w:r>
    </w:p>
    <w:p w14:paraId="0C09BF03">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FC12F03">
      <w:pPr>
        <w:spacing w:line="360" w:lineRule="auto"/>
        <w:jc w:val="center"/>
        <w:rPr>
          <w:rFonts w:hint="eastAsia"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二、评审标准</w:t>
      </w:r>
    </w:p>
    <w:p w14:paraId="41355F7B">
      <w:pPr>
        <w:spacing w:line="360" w:lineRule="auto"/>
        <w:ind w:firstLine="420"/>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7</w:t>
      </w: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评审依据：磋商小组以磋商文件为评审依据，对供应商的报价、技术、商务等方面内容按百分制打分。（计分方法按四舍五入取至百分位）</w:t>
      </w:r>
    </w:p>
    <w:tbl>
      <w:tblPr>
        <w:tblStyle w:val="45"/>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299"/>
        <w:gridCol w:w="6288"/>
        <w:gridCol w:w="851"/>
      </w:tblGrid>
      <w:tr w14:paraId="2B655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2" w:type="dxa"/>
            <w:noWrap w:val="0"/>
            <w:vAlign w:val="center"/>
          </w:tcPr>
          <w:p w14:paraId="790DA829">
            <w:pPr>
              <w:widowControl/>
              <w:spacing w:line="360" w:lineRule="auto"/>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序号</w:t>
            </w:r>
          </w:p>
        </w:tc>
        <w:tc>
          <w:tcPr>
            <w:tcW w:w="1299" w:type="dxa"/>
            <w:noWrap w:val="0"/>
            <w:vAlign w:val="center"/>
          </w:tcPr>
          <w:p w14:paraId="5ED671CC">
            <w:pPr>
              <w:widowControl/>
              <w:spacing w:line="360" w:lineRule="auto"/>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评审因素</w:t>
            </w:r>
          </w:p>
        </w:tc>
        <w:tc>
          <w:tcPr>
            <w:tcW w:w="6288" w:type="dxa"/>
            <w:noWrap w:val="0"/>
            <w:vAlign w:val="center"/>
          </w:tcPr>
          <w:p w14:paraId="15B5E335">
            <w:pPr>
              <w:widowControl/>
              <w:spacing w:line="360" w:lineRule="auto"/>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评审标准</w:t>
            </w:r>
          </w:p>
        </w:tc>
        <w:tc>
          <w:tcPr>
            <w:tcW w:w="851" w:type="dxa"/>
            <w:noWrap w:val="0"/>
            <w:vAlign w:val="center"/>
          </w:tcPr>
          <w:p w14:paraId="5B2F9A97">
            <w:pPr>
              <w:widowControl/>
              <w:spacing w:line="360" w:lineRule="auto"/>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分值</w:t>
            </w:r>
          </w:p>
        </w:tc>
      </w:tr>
      <w:tr w14:paraId="2CF0E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2" w:type="dxa"/>
            <w:noWrap w:val="0"/>
            <w:vAlign w:val="center"/>
          </w:tcPr>
          <w:p w14:paraId="7BEB64DF">
            <w:pPr>
              <w:widowControl/>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1299" w:type="dxa"/>
            <w:noWrap w:val="0"/>
            <w:vAlign w:val="center"/>
          </w:tcPr>
          <w:p w14:paraId="5F2F56A5">
            <w:pPr>
              <w:widowControl/>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价格分</w:t>
            </w:r>
          </w:p>
        </w:tc>
        <w:tc>
          <w:tcPr>
            <w:tcW w:w="6288" w:type="dxa"/>
            <w:noWrap w:val="0"/>
            <w:vAlign w:val="top"/>
          </w:tcPr>
          <w:p w14:paraId="1EF58C6C">
            <w:pPr>
              <w:spacing w:line="312"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评审价为供应商的最后报价进行政策性扣除后的价格，评审价只是作为评审时使用。最终成交供应商的成交金额等于最后报价（如有修正，以确认修正后的最后报价为准）。</w:t>
            </w:r>
          </w:p>
          <w:p w14:paraId="0A615D71">
            <w:pPr>
              <w:pStyle w:val="24"/>
              <w:spacing w:line="312" w:lineRule="auto"/>
              <w:ind w:firstLine="420"/>
              <w:rPr>
                <w:rFonts w:hint="eastAsia" w:hAnsi="宋体" w:cs="宋体"/>
                <w:color w:val="000000" w:themeColor="text1"/>
                <w:sz w:val="21"/>
                <w:highlight w:val="none"/>
                <w14:textFill>
                  <w14:solidFill>
                    <w14:schemeClr w14:val="tx1"/>
                  </w14:solidFill>
                </w14:textFill>
              </w:rPr>
            </w:pPr>
            <w:r>
              <w:rPr>
                <w:rFonts w:hint="eastAsia" w:hAnsi="宋体" w:cs="宋体"/>
                <w:bCs/>
                <w:color w:val="000000" w:themeColor="text1"/>
                <w:sz w:val="21"/>
                <w:highlight w:val="none"/>
                <w14:textFill>
                  <w14:solidFill>
                    <w14:schemeClr w14:val="tx1"/>
                  </w14:solidFill>
                </w14:textFill>
              </w:rPr>
              <w:t>（2）政府采购政策性扣除计算方法</w:t>
            </w:r>
          </w:p>
          <w:p w14:paraId="7E042340">
            <w:pPr>
              <w:spacing w:line="312"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本项目为专门面对中小企业项目，小微企业、监狱企业、残疾人福利性单位不再执行价格评审优惠的扶持政策</w:t>
            </w:r>
            <w:r>
              <w:rPr>
                <w:rFonts w:hint="eastAsia" w:ascii="宋体" w:hAnsi="宋体" w:cs="宋体"/>
                <w:color w:val="000000" w:themeColor="text1"/>
                <w:szCs w:val="21"/>
                <w:highlight w:val="none"/>
                <w14:textFill>
                  <w14:solidFill>
                    <w14:schemeClr w14:val="tx1"/>
                  </w14:solidFill>
                </w14:textFill>
              </w:rPr>
              <w:t>。</w:t>
            </w:r>
          </w:p>
          <w:p w14:paraId="073FE037">
            <w:pPr>
              <w:pStyle w:val="24"/>
              <w:spacing w:line="312" w:lineRule="auto"/>
              <w:ind w:firstLine="420"/>
              <w:rPr>
                <w:rFonts w:hint="eastAsia" w:hAnsi="宋体" w:cs="宋体"/>
                <w:bCs/>
                <w:color w:val="000000" w:themeColor="text1"/>
                <w:sz w:val="21"/>
                <w:highlight w:val="none"/>
                <w14:textFill>
                  <w14:solidFill>
                    <w14:schemeClr w14:val="tx1"/>
                  </w14:solidFill>
                </w14:textFill>
              </w:rPr>
            </w:pPr>
            <w:r>
              <w:rPr>
                <w:rFonts w:hint="eastAsia" w:hAnsi="宋体" w:cs="宋体"/>
                <w:bCs/>
                <w:color w:val="000000" w:themeColor="text1"/>
                <w:sz w:val="21"/>
                <w:highlight w:val="none"/>
                <w14:textFill>
                  <w14:solidFill>
                    <w14:schemeClr w14:val="tx1"/>
                  </w14:solidFill>
                </w14:textFill>
              </w:rPr>
              <w:t>（3）以进入比较与评价环节的最低的评审价为基准价，基准价得分为</w:t>
            </w:r>
            <w:r>
              <w:rPr>
                <w:rFonts w:hint="eastAsia" w:hAnsi="宋体" w:cs="宋体"/>
                <w:bCs/>
                <w:color w:val="000000" w:themeColor="text1"/>
                <w:sz w:val="21"/>
                <w:highlight w:val="none"/>
                <w:u w:val="single"/>
                <w14:textFill>
                  <w14:solidFill>
                    <w14:schemeClr w14:val="tx1"/>
                  </w14:solidFill>
                </w14:textFill>
              </w:rPr>
              <w:t>30</w:t>
            </w:r>
            <w:r>
              <w:rPr>
                <w:rFonts w:hint="eastAsia" w:hAnsi="宋体" w:cs="宋体"/>
                <w:bCs/>
                <w:color w:val="000000" w:themeColor="text1"/>
                <w:sz w:val="21"/>
                <w:highlight w:val="none"/>
                <w14:textFill>
                  <w14:solidFill>
                    <w14:schemeClr w14:val="tx1"/>
                  </w14:solidFill>
                </w14:textFill>
              </w:rPr>
              <w:t>分。</w:t>
            </w:r>
          </w:p>
          <w:p w14:paraId="611FA297">
            <w:pPr>
              <w:pStyle w:val="24"/>
              <w:spacing w:line="312" w:lineRule="auto"/>
              <w:ind w:firstLine="420"/>
              <w:rPr>
                <w:rFonts w:hint="eastAsia" w:hAnsi="宋体" w:cs="宋体"/>
                <w:bCs/>
                <w:color w:val="000000" w:themeColor="text1"/>
                <w:sz w:val="21"/>
                <w:highlight w:val="none"/>
                <w14:textFill>
                  <w14:solidFill>
                    <w14:schemeClr w14:val="tx1"/>
                  </w14:solidFill>
                </w14:textFill>
              </w:rPr>
            </w:pPr>
            <w:r>
              <w:rPr>
                <w:rFonts w:hint="eastAsia" w:hAnsi="宋体" w:cs="宋体"/>
                <w:bCs/>
                <w:color w:val="000000" w:themeColor="text1"/>
                <w:sz w:val="21"/>
                <w:highlight w:val="none"/>
                <w14:textFill>
                  <w14:solidFill>
                    <w14:schemeClr w14:val="tx1"/>
                  </w14:solidFill>
                </w14:textFill>
              </w:rPr>
              <w:t>（4）价格分计算公式：</w:t>
            </w:r>
          </w:p>
          <w:p w14:paraId="3B4E3C12">
            <w:pPr>
              <w:pStyle w:val="24"/>
              <w:spacing w:line="360" w:lineRule="auto"/>
              <w:ind w:firstLine="420"/>
              <w:rPr>
                <w:rFonts w:hint="eastAsia" w:hAnsi="宋体" w:cs="宋体"/>
                <w:bCs/>
                <w:color w:val="000000" w:themeColor="text1"/>
                <w:sz w:val="21"/>
                <w:highlight w:val="none"/>
                <w14:textFill>
                  <w14:solidFill>
                    <w14:schemeClr w14:val="tx1"/>
                  </w14:solidFill>
                </w14:textFill>
              </w:rPr>
            </w:pPr>
            <w:r>
              <w:rPr>
                <w:rFonts w:hint="eastAsia" w:hAnsi="宋体" w:cs="宋体"/>
                <w:bCs/>
                <w:color w:val="000000" w:themeColor="text1"/>
                <w:sz w:val="21"/>
                <w:highlight w:val="none"/>
                <w14:textFill>
                  <w14:solidFill>
                    <w14:schemeClr w14:val="tx1"/>
                  </w14:solidFill>
                </w14:textFill>
              </w:rPr>
              <w:t>报价得分=（基准价/最后报价）×</w:t>
            </w:r>
            <w:r>
              <w:rPr>
                <w:rFonts w:hint="eastAsia" w:hAnsi="宋体" w:cs="宋体"/>
                <w:bCs/>
                <w:color w:val="000000" w:themeColor="text1"/>
                <w:sz w:val="21"/>
                <w:highlight w:val="none"/>
                <w:u w:val="single"/>
                <w14:textFill>
                  <w14:solidFill>
                    <w14:schemeClr w14:val="tx1"/>
                  </w14:solidFill>
                </w14:textFill>
              </w:rPr>
              <w:t>30</w:t>
            </w:r>
            <w:r>
              <w:rPr>
                <w:rFonts w:hint="eastAsia" w:hAnsi="宋体" w:cs="宋体"/>
                <w:bCs/>
                <w:color w:val="000000" w:themeColor="text1"/>
                <w:sz w:val="21"/>
                <w:highlight w:val="none"/>
                <w14:textFill>
                  <w14:solidFill>
                    <w14:schemeClr w14:val="tx1"/>
                  </w14:solidFill>
                </w14:textFill>
              </w:rPr>
              <w:t>分</w:t>
            </w:r>
          </w:p>
        </w:tc>
        <w:tc>
          <w:tcPr>
            <w:tcW w:w="851" w:type="dxa"/>
            <w:noWrap w:val="0"/>
            <w:vAlign w:val="center"/>
          </w:tcPr>
          <w:p w14:paraId="3A59B7FA">
            <w:pPr>
              <w:widowControl/>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30分</w:t>
            </w:r>
          </w:p>
        </w:tc>
      </w:tr>
      <w:tr w14:paraId="0B140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52" w:type="dxa"/>
            <w:noWrap w:val="0"/>
            <w:vAlign w:val="center"/>
          </w:tcPr>
          <w:p w14:paraId="0DBC6A9D">
            <w:pPr>
              <w:widowControl/>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1299" w:type="dxa"/>
            <w:noWrap w:val="0"/>
            <w:vAlign w:val="center"/>
          </w:tcPr>
          <w:p w14:paraId="6101368F">
            <w:pPr>
              <w:widowControl/>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技术分</w:t>
            </w:r>
          </w:p>
        </w:tc>
        <w:tc>
          <w:tcPr>
            <w:tcW w:w="7139" w:type="dxa"/>
            <w:gridSpan w:val="2"/>
            <w:noWrap w:val="0"/>
            <w:vAlign w:val="center"/>
          </w:tcPr>
          <w:p w14:paraId="79A12738">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评审标准</w:t>
            </w:r>
          </w:p>
        </w:tc>
      </w:tr>
      <w:tr w14:paraId="0CB80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52" w:type="dxa"/>
            <w:noWrap w:val="0"/>
            <w:vAlign w:val="center"/>
          </w:tcPr>
          <w:p w14:paraId="66C25190">
            <w:pPr>
              <w:spacing w:line="360" w:lineRule="auto"/>
              <w:ind w:left="-105" w:right="-105"/>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2.1</w:t>
            </w:r>
          </w:p>
        </w:tc>
        <w:tc>
          <w:tcPr>
            <w:tcW w:w="1299" w:type="dxa"/>
            <w:noWrap w:val="0"/>
            <w:vAlign w:val="center"/>
          </w:tcPr>
          <w:p w14:paraId="4AA51010">
            <w:pPr>
              <w:pStyle w:val="384"/>
              <w:widowControl w:val="0"/>
              <w:spacing w:before="0" w:after="0" w:line="360" w:lineRule="auto"/>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主要施工</w:t>
            </w:r>
            <w:r>
              <w:rPr>
                <w:rFonts w:hint="eastAsia" w:ascii="宋体" w:hAnsi="宋体" w:eastAsia="宋体" w:cs="宋体"/>
                <w:color w:val="000000" w:themeColor="text1"/>
                <w:spacing w:val="-21"/>
                <w:sz w:val="21"/>
                <w:szCs w:val="21"/>
                <w:highlight w:val="none"/>
                <w:lang w:eastAsia="zh-CN"/>
                <w14:textFill>
                  <w14:solidFill>
                    <w14:schemeClr w14:val="tx1"/>
                  </w14:solidFill>
                </w14:textFill>
              </w:rPr>
              <w:t>方法</w:t>
            </w:r>
          </w:p>
        </w:tc>
        <w:tc>
          <w:tcPr>
            <w:tcW w:w="6288" w:type="dxa"/>
            <w:noWrap w:val="0"/>
            <w:vAlign w:val="center"/>
          </w:tcPr>
          <w:p w14:paraId="42CC3E43">
            <w:pPr>
              <w:pStyle w:val="384"/>
              <w:widowControl w:val="0"/>
              <w:spacing w:before="0" w:after="0" w:line="360" w:lineRule="auto"/>
              <w:jc w:val="left"/>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四档（7分）：各主要分部施工方法符合项目实际，有详尽的施工技术方案，工艺精细化、方法合理可行，能指导具体施工并确保安全。</w:t>
            </w:r>
          </w:p>
          <w:p w14:paraId="5B878A4B">
            <w:pPr>
              <w:pStyle w:val="384"/>
              <w:widowControl w:val="0"/>
              <w:spacing w:before="0" w:after="0" w:line="360" w:lineRule="auto"/>
              <w:jc w:val="left"/>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三档（5分）：各主要分部施工方法符合项目实际，有详尽的施工技术方案，工艺合理、方法可行，能指导具体施工并确保安全。</w:t>
            </w:r>
          </w:p>
          <w:p w14:paraId="4C662DCA">
            <w:pPr>
              <w:pStyle w:val="384"/>
              <w:widowControl w:val="0"/>
              <w:spacing w:before="0" w:after="0" w:line="360" w:lineRule="auto"/>
              <w:jc w:val="left"/>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二档（3分）：各主要分部施工方法符合项目实际，有施工技术方案，工艺合理、方法可行，能指导施工并确保安全。</w:t>
            </w:r>
          </w:p>
          <w:p w14:paraId="27EB8AF8">
            <w:pPr>
              <w:pStyle w:val="384"/>
              <w:widowControl w:val="0"/>
              <w:spacing w:before="0" w:after="0" w:line="360" w:lineRule="auto"/>
              <w:jc w:val="left"/>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一档（1分）：各主要分部施工方法不符合项目实际，有施工技术方案，工艺不合理，不能指导具体施工并确保安全。</w:t>
            </w:r>
          </w:p>
        </w:tc>
        <w:tc>
          <w:tcPr>
            <w:tcW w:w="851" w:type="dxa"/>
            <w:noWrap w:val="0"/>
            <w:vAlign w:val="center"/>
          </w:tcPr>
          <w:p w14:paraId="65925754">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7分</w:t>
            </w:r>
          </w:p>
        </w:tc>
      </w:tr>
      <w:tr w14:paraId="38D86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52" w:type="dxa"/>
            <w:noWrap w:val="0"/>
            <w:vAlign w:val="center"/>
          </w:tcPr>
          <w:p w14:paraId="0DBBE9E5">
            <w:pPr>
              <w:spacing w:line="360" w:lineRule="auto"/>
              <w:ind w:left="-105" w:right="-105"/>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2.2</w:t>
            </w:r>
          </w:p>
        </w:tc>
        <w:tc>
          <w:tcPr>
            <w:tcW w:w="1299" w:type="dxa"/>
            <w:noWrap w:val="0"/>
            <w:vAlign w:val="center"/>
          </w:tcPr>
          <w:p w14:paraId="30A599A4">
            <w:pPr>
              <w:pStyle w:val="384"/>
              <w:widowControl w:val="0"/>
              <w:spacing w:before="0" w:after="0" w:line="360" w:lineRule="auto"/>
              <w:jc w:val="lef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拟投入的主要物资计划</w:t>
            </w:r>
          </w:p>
        </w:tc>
        <w:tc>
          <w:tcPr>
            <w:tcW w:w="6288" w:type="dxa"/>
            <w:noWrap w:val="0"/>
            <w:vAlign w:val="center"/>
          </w:tcPr>
          <w:p w14:paraId="21115825">
            <w:pPr>
              <w:pStyle w:val="385"/>
              <w:spacing w:before="0" w:after="0" w:line="360"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四档</w:t>
            </w:r>
            <w:r>
              <w:rPr>
                <w:rFonts w:hint="eastAsia" w:ascii="宋体" w:hAnsi="宋体" w:eastAsia="宋体" w:cs="宋体"/>
                <w:color w:val="000000" w:themeColor="text1"/>
                <w:sz w:val="21"/>
                <w:szCs w:val="21"/>
                <w:highlight w:val="none"/>
                <w:lang w:eastAsia="zh-CN"/>
                <w14:textFill>
                  <w14:solidFill>
                    <w14:schemeClr w14:val="tx1"/>
                  </w14:solidFill>
                </w14:textFill>
              </w:rPr>
              <w:t>（6分）：投入的施工材料有详细的组织计划且计划周密，数量、选型配置、进场时间安排合理，满足施工需要。</w:t>
            </w:r>
          </w:p>
          <w:p w14:paraId="7C205AC5">
            <w:pPr>
              <w:pStyle w:val="385"/>
              <w:spacing w:before="0" w:after="0" w:line="360"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三档</w:t>
            </w:r>
            <w:r>
              <w:rPr>
                <w:rFonts w:hint="eastAsia" w:ascii="宋体" w:hAnsi="宋体" w:eastAsia="宋体" w:cs="宋体"/>
                <w:color w:val="000000" w:themeColor="text1"/>
                <w:sz w:val="21"/>
                <w:szCs w:val="21"/>
                <w:highlight w:val="none"/>
                <w:lang w:eastAsia="zh-CN"/>
                <w14:textFill>
                  <w14:solidFill>
                    <w14:schemeClr w14:val="tx1"/>
                  </w14:solidFill>
                </w14:textFill>
              </w:rPr>
              <w:t>（4分）：投入的施工材料有详细的组织计划但计划可行，数量、选型配置、进场时间安排合理，满足施工需要。</w:t>
            </w:r>
          </w:p>
          <w:p w14:paraId="5DDF9230">
            <w:pPr>
              <w:pStyle w:val="385"/>
              <w:spacing w:before="0" w:after="0" w:line="360"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二档</w:t>
            </w:r>
            <w:r>
              <w:rPr>
                <w:rFonts w:hint="eastAsia" w:ascii="宋体" w:hAnsi="宋体" w:eastAsia="宋体" w:cs="宋体"/>
                <w:color w:val="000000" w:themeColor="text1"/>
                <w:sz w:val="21"/>
                <w:szCs w:val="21"/>
                <w:highlight w:val="none"/>
                <w:lang w:eastAsia="zh-CN"/>
                <w14:textFill>
                  <w14:solidFill>
                    <w14:schemeClr w14:val="tx1"/>
                  </w14:solidFill>
                </w14:textFill>
              </w:rPr>
              <w:t>（2分）：投入的施工材料有组织计划但计划合理，数量、选型配置、进场时间安排合理，满足施工需要。</w:t>
            </w:r>
          </w:p>
          <w:p w14:paraId="06DA9ED5">
            <w:pPr>
              <w:pStyle w:val="385"/>
              <w:widowControl w:val="0"/>
              <w:spacing w:before="0" w:after="0" w:line="360" w:lineRule="auto"/>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一档</w:t>
            </w:r>
            <w:r>
              <w:rPr>
                <w:rFonts w:hint="eastAsia" w:ascii="宋体" w:hAnsi="宋体" w:eastAsia="宋体" w:cs="宋体"/>
                <w:color w:val="000000" w:themeColor="text1"/>
                <w:sz w:val="21"/>
                <w:szCs w:val="21"/>
                <w:highlight w:val="none"/>
                <w:lang w:eastAsia="zh-CN"/>
                <w14:textFill>
                  <w14:solidFill>
                    <w14:schemeClr w14:val="tx1"/>
                  </w14:solidFill>
                </w14:textFill>
              </w:rPr>
              <w:t>（1分）：投入的施工材料无组织计划，数量、选型配置、进场时间安排不合理，不满足施工需要。</w:t>
            </w:r>
          </w:p>
        </w:tc>
        <w:tc>
          <w:tcPr>
            <w:tcW w:w="851" w:type="dxa"/>
            <w:noWrap w:val="0"/>
            <w:vAlign w:val="center"/>
          </w:tcPr>
          <w:p w14:paraId="6BBC686C">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6分</w:t>
            </w:r>
          </w:p>
        </w:tc>
      </w:tr>
      <w:tr w14:paraId="19161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52" w:type="dxa"/>
            <w:noWrap w:val="0"/>
            <w:vAlign w:val="center"/>
          </w:tcPr>
          <w:p w14:paraId="1A88210C">
            <w:pPr>
              <w:spacing w:line="360" w:lineRule="auto"/>
              <w:ind w:left="-105" w:right="-105"/>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2.3</w:t>
            </w:r>
          </w:p>
        </w:tc>
        <w:tc>
          <w:tcPr>
            <w:tcW w:w="1299" w:type="dxa"/>
            <w:noWrap w:val="0"/>
            <w:vAlign w:val="center"/>
          </w:tcPr>
          <w:p w14:paraId="3CC9FACA">
            <w:pPr>
              <w:pStyle w:val="385"/>
              <w:widowControl w:val="0"/>
              <w:spacing w:before="0" w:after="0" w:line="360"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拟投入的主要施工</w:t>
            </w:r>
            <w:r>
              <w:rPr>
                <w:rFonts w:hint="eastAsia" w:ascii="宋体" w:hAnsi="宋体" w:eastAsia="宋体" w:cs="宋体"/>
                <w:color w:val="000000" w:themeColor="text1"/>
                <w:spacing w:val="-2"/>
                <w:sz w:val="21"/>
                <w:szCs w:val="21"/>
                <w:highlight w:val="none"/>
                <w:lang w:eastAsia="zh-CN"/>
                <w14:textFill>
                  <w14:solidFill>
                    <w14:schemeClr w14:val="tx1"/>
                  </w14:solidFill>
                </w14:textFill>
              </w:rPr>
              <w:t>机械、设备</w:t>
            </w:r>
            <w:r>
              <w:rPr>
                <w:rFonts w:hint="eastAsia" w:ascii="宋体" w:hAnsi="宋体" w:eastAsia="宋体" w:cs="宋体"/>
                <w:color w:val="000000" w:themeColor="text1"/>
                <w:spacing w:val="-21"/>
                <w:sz w:val="21"/>
                <w:szCs w:val="21"/>
                <w:highlight w:val="none"/>
                <w:lang w:eastAsia="zh-CN"/>
                <w14:textFill>
                  <w14:solidFill>
                    <w14:schemeClr w14:val="tx1"/>
                  </w14:solidFill>
                </w14:textFill>
              </w:rPr>
              <w:t>计划</w:t>
            </w:r>
          </w:p>
          <w:p w14:paraId="06F5C544">
            <w:pPr>
              <w:spacing w:line="360" w:lineRule="auto"/>
              <w:rPr>
                <w:rFonts w:hint="eastAsia" w:ascii="宋体" w:hAnsi="宋体" w:cs="宋体"/>
                <w:color w:val="000000" w:themeColor="text1"/>
                <w:szCs w:val="21"/>
                <w:highlight w:val="none"/>
                <w14:textFill>
                  <w14:solidFill>
                    <w14:schemeClr w14:val="tx1"/>
                  </w14:solidFill>
                </w14:textFill>
              </w:rPr>
            </w:pPr>
          </w:p>
        </w:tc>
        <w:tc>
          <w:tcPr>
            <w:tcW w:w="6288" w:type="dxa"/>
            <w:noWrap w:val="0"/>
            <w:vAlign w:val="center"/>
          </w:tcPr>
          <w:p w14:paraId="21388D28">
            <w:pPr>
              <w:pStyle w:val="385"/>
              <w:spacing w:before="0" w:after="0" w:line="360"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四档</w:t>
            </w:r>
            <w:r>
              <w:rPr>
                <w:rFonts w:hint="eastAsia" w:ascii="宋体" w:hAnsi="宋体" w:eastAsia="宋体" w:cs="宋体"/>
                <w:color w:val="000000" w:themeColor="text1"/>
                <w:sz w:val="21"/>
                <w:szCs w:val="21"/>
                <w:highlight w:val="none"/>
                <w:lang w:eastAsia="zh-CN"/>
                <w14:textFill>
                  <w14:solidFill>
                    <w14:schemeClr w14:val="tx1"/>
                  </w14:solidFill>
                </w14:textFill>
              </w:rPr>
              <w:t>（6分）：投入的施工机械、设备、机具有详细的组织计划且计划周密，设备数量、选型配置、进场时间安排合理，满足施工需要。</w:t>
            </w:r>
          </w:p>
          <w:p w14:paraId="6FE5558A">
            <w:pPr>
              <w:pStyle w:val="385"/>
              <w:spacing w:before="0" w:after="0" w:line="360"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三档</w:t>
            </w:r>
            <w:r>
              <w:rPr>
                <w:rFonts w:hint="eastAsia" w:ascii="宋体" w:hAnsi="宋体" w:eastAsia="宋体" w:cs="宋体"/>
                <w:color w:val="000000" w:themeColor="text1"/>
                <w:sz w:val="21"/>
                <w:szCs w:val="21"/>
                <w:highlight w:val="none"/>
                <w:lang w:eastAsia="zh-CN"/>
                <w14:textFill>
                  <w14:solidFill>
                    <w14:schemeClr w14:val="tx1"/>
                  </w14:solidFill>
                </w14:textFill>
              </w:rPr>
              <w:t>（4分）：投入的施工机械、设备、机具有详细的组织计划但计划可行，设备数量、选型配置、进场时间安排合理，满足施工需要。</w:t>
            </w:r>
          </w:p>
          <w:p w14:paraId="01F449C6">
            <w:pPr>
              <w:pStyle w:val="385"/>
              <w:spacing w:before="0" w:after="0" w:line="360"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二档</w:t>
            </w:r>
            <w:r>
              <w:rPr>
                <w:rFonts w:hint="eastAsia" w:ascii="宋体" w:hAnsi="宋体" w:eastAsia="宋体" w:cs="宋体"/>
                <w:color w:val="000000" w:themeColor="text1"/>
                <w:sz w:val="21"/>
                <w:szCs w:val="21"/>
                <w:highlight w:val="none"/>
                <w:lang w:eastAsia="zh-CN"/>
                <w14:textFill>
                  <w14:solidFill>
                    <w14:schemeClr w14:val="tx1"/>
                  </w14:solidFill>
                </w14:textFill>
              </w:rPr>
              <w:t>（2分）：投入的施工机械、设备、机具有组织计划但计划合理，设备数量、选型配置、进场时间安排合理，基本满足施工需要。</w:t>
            </w:r>
          </w:p>
          <w:p w14:paraId="0FF81C3A">
            <w:pPr>
              <w:pStyle w:val="385"/>
              <w:widowControl w:val="0"/>
              <w:spacing w:before="0" w:after="0" w:line="360" w:lineRule="auto"/>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一档</w:t>
            </w:r>
            <w:r>
              <w:rPr>
                <w:rFonts w:hint="eastAsia" w:ascii="宋体" w:hAnsi="宋体" w:eastAsia="宋体" w:cs="宋体"/>
                <w:color w:val="000000" w:themeColor="text1"/>
                <w:sz w:val="21"/>
                <w:szCs w:val="21"/>
                <w:highlight w:val="none"/>
                <w:lang w:eastAsia="zh-CN"/>
                <w14:textFill>
                  <w14:solidFill>
                    <w14:schemeClr w14:val="tx1"/>
                  </w14:solidFill>
                </w14:textFill>
              </w:rPr>
              <w:t>（1分）：投入的施工机械、设备、机具无组织计划，设备数量、选型配置、进场时间安排不合理，不满足施工需要。</w:t>
            </w:r>
          </w:p>
        </w:tc>
        <w:tc>
          <w:tcPr>
            <w:tcW w:w="851" w:type="dxa"/>
            <w:noWrap w:val="0"/>
            <w:vAlign w:val="center"/>
          </w:tcPr>
          <w:p w14:paraId="769123A8">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6分</w:t>
            </w:r>
          </w:p>
        </w:tc>
      </w:tr>
      <w:tr w14:paraId="004C8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52" w:type="dxa"/>
            <w:noWrap w:val="0"/>
            <w:vAlign w:val="center"/>
          </w:tcPr>
          <w:p w14:paraId="1BDF8DF1">
            <w:pPr>
              <w:spacing w:line="360" w:lineRule="auto"/>
              <w:ind w:left="-105" w:right="-105"/>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2.4</w:t>
            </w:r>
          </w:p>
        </w:tc>
        <w:tc>
          <w:tcPr>
            <w:tcW w:w="1299" w:type="dxa"/>
            <w:noWrap w:val="0"/>
            <w:vAlign w:val="center"/>
          </w:tcPr>
          <w:p w14:paraId="71A0057F">
            <w:pPr>
              <w:pStyle w:val="385"/>
              <w:widowControl w:val="0"/>
              <w:spacing w:before="0" w:after="0" w:line="360" w:lineRule="auto"/>
              <w:ind w:left="53"/>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劳动力安</w:t>
            </w:r>
            <w:r>
              <w:rPr>
                <w:rFonts w:hint="eastAsia" w:ascii="宋体" w:hAnsi="宋体" w:eastAsia="宋体" w:cs="宋体"/>
                <w:color w:val="000000" w:themeColor="text1"/>
                <w:spacing w:val="1"/>
                <w:sz w:val="21"/>
                <w:szCs w:val="21"/>
                <w:highlight w:val="none"/>
                <w:lang w:eastAsia="zh-CN"/>
                <w14:textFill>
                  <w14:solidFill>
                    <w14:schemeClr w14:val="tx1"/>
                  </w14:solidFill>
                </w14:textFill>
              </w:rPr>
              <w:t>排计划</w:t>
            </w:r>
          </w:p>
        </w:tc>
        <w:tc>
          <w:tcPr>
            <w:tcW w:w="6288" w:type="dxa"/>
            <w:noWrap w:val="0"/>
            <w:vAlign w:val="center"/>
          </w:tcPr>
          <w:p w14:paraId="6C9E562A">
            <w:pPr>
              <w:pStyle w:val="385"/>
              <w:widowControl w:val="0"/>
              <w:spacing w:before="0" w:after="0" w:line="360"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四档</w:t>
            </w:r>
            <w:r>
              <w:rPr>
                <w:rFonts w:hint="eastAsia" w:ascii="宋体" w:hAnsi="宋体" w:eastAsia="宋体" w:cs="宋体"/>
                <w:color w:val="000000" w:themeColor="text1"/>
                <w:spacing w:val="5"/>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6</w:t>
            </w:r>
            <w:r>
              <w:rPr>
                <w:rFonts w:hint="eastAsia" w:ascii="宋体" w:hAnsi="宋体" w:eastAsia="宋体" w:cs="宋体"/>
                <w:color w:val="000000" w:themeColor="text1"/>
                <w:spacing w:val="5"/>
                <w:sz w:val="21"/>
                <w:szCs w:val="21"/>
                <w:highlight w:val="none"/>
                <w:lang w:eastAsia="zh-CN"/>
                <w14:textFill>
                  <w14:solidFill>
                    <w14:schemeClr w14:val="tx1"/>
                  </w14:solidFill>
                </w14:textFill>
              </w:rPr>
              <w:t>分）：各主要施工工序有详细周密的劳动力安排计划，</w:t>
            </w:r>
            <w:r>
              <w:rPr>
                <w:rFonts w:hint="eastAsia" w:ascii="宋体" w:hAnsi="宋体" w:eastAsia="宋体" w:cs="宋体"/>
                <w:color w:val="000000" w:themeColor="text1"/>
                <w:spacing w:val="-1"/>
                <w:sz w:val="21"/>
                <w:szCs w:val="21"/>
                <w:highlight w:val="none"/>
                <w:lang w:eastAsia="zh-CN"/>
                <w14:textFill>
                  <w14:solidFill>
                    <w14:schemeClr w14:val="tx1"/>
                  </w14:solidFill>
                </w14:textFill>
              </w:rPr>
              <w:t>各工种劳动力安排计划合理，劳动力投入合理，满足施工需要。</w:t>
            </w:r>
          </w:p>
          <w:p w14:paraId="242D93CF">
            <w:pPr>
              <w:pStyle w:val="385"/>
              <w:widowControl w:val="0"/>
              <w:spacing w:before="0" w:after="0" w:line="360"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三档</w:t>
            </w:r>
            <w:r>
              <w:rPr>
                <w:rFonts w:hint="eastAsia" w:ascii="宋体" w:hAnsi="宋体" w:eastAsia="宋体" w:cs="宋体"/>
                <w:color w:val="000000" w:themeColor="text1"/>
                <w:spacing w:val="5"/>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4</w:t>
            </w:r>
            <w:r>
              <w:rPr>
                <w:rFonts w:hint="eastAsia" w:ascii="宋体" w:hAnsi="宋体" w:eastAsia="宋体" w:cs="宋体"/>
                <w:color w:val="000000" w:themeColor="text1"/>
                <w:spacing w:val="5"/>
                <w:sz w:val="21"/>
                <w:szCs w:val="21"/>
                <w:highlight w:val="none"/>
                <w:lang w:eastAsia="zh-CN"/>
                <w14:textFill>
                  <w14:solidFill>
                    <w14:schemeClr w14:val="tx1"/>
                  </w14:solidFill>
                </w14:textFill>
              </w:rPr>
              <w:t>分）：各主要施工工序有劳动力安排计划，有各工种劳</w:t>
            </w:r>
            <w:r>
              <w:rPr>
                <w:rFonts w:hint="eastAsia" w:ascii="宋体" w:hAnsi="宋体" w:eastAsia="宋体" w:cs="宋体"/>
                <w:color w:val="000000" w:themeColor="text1"/>
                <w:spacing w:val="1"/>
                <w:sz w:val="21"/>
                <w:szCs w:val="21"/>
                <w:highlight w:val="none"/>
                <w:lang w:eastAsia="zh-CN"/>
                <w14:textFill>
                  <w14:solidFill>
                    <w14:schemeClr w14:val="tx1"/>
                  </w14:solidFill>
                </w14:textFill>
              </w:rPr>
              <w:t>动力安排计划，劳动力投入合理，满足施工需要。</w:t>
            </w:r>
          </w:p>
          <w:p w14:paraId="064879CF">
            <w:pPr>
              <w:pStyle w:val="385"/>
              <w:widowControl w:val="0"/>
              <w:spacing w:before="0" w:after="0" w:line="360"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二档</w:t>
            </w:r>
            <w:r>
              <w:rPr>
                <w:rFonts w:hint="eastAsia" w:ascii="宋体" w:hAnsi="宋体" w:eastAsia="宋体" w:cs="宋体"/>
                <w:color w:val="000000" w:themeColor="text1"/>
                <w:spacing w:val="5"/>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2</w:t>
            </w:r>
            <w:r>
              <w:rPr>
                <w:rFonts w:hint="eastAsia" w:ascii="宋体" w:hAnsi="宋体" w:eastAsia="宋体" w:cs="宋体"/>
                <w:color w:val="000000" w:themeColor="text1"/>
                <w:spacing w:val="5"/>
                <w:sz w:val="21"/>
                <w:szCs w:val="21"/>
                <w:highlight w:val="none"/>
                <w:lang w:eastAsia="zh-CN"/>
                <w14:textFill>
                  <w14:solidFill>
                    <w14:schemeClr w14:val="tx1"/>
                  </w14:solidFill>
                </w14:textFill>
              </w:rPr>
              <w:t>分）：各主要施工工序只有劳动力安排计划，无各工种</w:t>
            </w:r>
            <w:r>
              <w:rPr>
                <w:rFonts w:hint="eastAsia" w:ascii="宋体" w:hAnsi="宋体" w:eastAsia="宋体" w:cs="宋体"/>
                <w:color w:val="000000" w:themeColor="text1"/>
                <w:spacing w:val="1"/>
                <w:sz w:val="21"/>
                <w:szCs w:val="21"/>
                <w:highlight w:val="none"/>
                <w:lang w:eastAsia="zh-CN"/>
                <w14:textFill>
                  <w14:solidFill>
                    <w14:schemeClr w14:val="tx1"/>
                  </w14:solidFill>
                </w14:textFill>
              </w:rPr>
              <w:t>劳动力安排计划，劳动力投入满足项目要求，满足施工需要。</w:t>
            </w:r>
          </w:p>
          <w:p w14:paraId="4EE143FE">
            <w:pPr>
              <w:pStyle w:val="385"/>
              <w:widowControl w:val="0"/>
              <w:spacing w:before="0" w:after="0" w:line="360" w:lineRule="auto"/>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一档</w:t>
            </w:r>
            <w:r>
              <w:rPr>
                <w:rFonts w:hint="eastAsia" w:ascii="宋体" w:hAnsi="宋体" w:eastAsia="宋体" w:cs="宋体"/>
                <w:color w:val="000000" w:themeColor="text1"/>
                <w:spacing w:val="5"/>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1</w:t>
            </w:r>
            <w:r>
              <w:rPr>
                <w:rFonts w:hint="eastAsia" w:ascii="宋体" w:hAnsi="宋体" w:eastAsia="宋体" w:cs="宋体"/>
                <w:color w:val="000000" w:themeColor="text1"/>
                <w:spacing w:val="5"/>
                <w:sz w:val="21"/>
                <w:szCs w:val="21"/>
                <w:highlight w:val="none"/>
                <w:lang w:eastAsia="zh-CN"/>
                <w14:textFill>
                  <w14:solidFill>
                    <w14:schemeClr w14:val="tx1"/>
                  </w14:solidFill>
                </w14:textFill>
              </w:rPr>
              <w:t>分）：各主要施工工序无劳动力安排计划，劳动力投入</w:t>
            </w:r>
            <w:r>
              <w:rPr>
                <w:rFonts w:hint="eastAsia" w:ascii="宋体" w:hAnsi="宋体" w:eastAsia="宋体" w:cs="宋体"/>
                <w:color w:val="000000" w:themeColor="text1"/>
                <w:spacing w:val="1"/>
                <w:sz w:val="21"/>
                <w:szCs w:val="21"/>
                <w:highlight w:val="none"/>
                <w:lang w:eastAsia="zh-CN"/>
                <w14:textFill>
                  <w14:solidFill>
                    <w14:schemeClr w14:val="tx1"/>
                  </w14:solidFill>
                </w14:textFill>
              </w:rPr>
              <w:t>不合理，不满足施工需要。</w:t>
            </w:r>
          </w:p>
        </w:tc>
        <w:tc>
          <w:tcPr>
            <w:tcW w:w="851" w:type="dxa"/>
            <w:noWrap w:val="0"/>
            <w:vAlign w:val="center"/>
          </w:tcPr>
          <w:p w14:paraId="668C4568">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6分</w:t>
            </w:r>
          </w:p>
        </w:tc>
      </w:tr>
      <w:tr w14:paraId="38956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52" w:type="dxa"/>
            <w:noWrap w:val="0"/>
            <w:vAlign w:val="center"/>
          </w:tcPr>
          <w:p w14:paraId="115C2482">
            <w:pPr>
              <w:spacing w:line="360" w:lineRule="auto"/>
              <w:ind w:left="-105" w:right="-105"/>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2.5</w:t>
            </w:r>
          </w:p>
        </w:tc>
        <w:tc>
          <w:tcPr>
            <w:tcW w:w="1299" w:type="dxa"/>
            <w:noWrap w:val="0"/>
            <w:vAlign w:val="center"/>
          </w:tcPr>
          <w:p w14:paraId="748D5F8B">
            <w:pPr>
              <w:pStyle w:val="385"/>
              <w:widowControl w:val="0"/>
              <w:spacing w:before="0" w:after="0" w:line="360" w:lineRule="auto"/>
              <w:jc w:val="lef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确保工程质量的技术组织措</w:t>
            </w:r>
            <w:r>
              <w:rPr>
                <w:rFonts w:hint="eastAsia" w:ascii="宋体" w:hAnsi="宋体" w:eastAsia="宋体" w:cs="宋体"/>
                <w:color w:val="000000" w:themeColor="text1"/>
                <w:spacing w:val="1"/>
                <w:sz w:val="21"/>
                <w:szCs w:val="21"/>
                <w:highlight w:val="none"/>
                <w:lang w:eastAsia="zh-CN"/>
                <w14:textFill>
                  <w14:solidFill>
                    <w14:schemeClr w14:val="tx1"/>
                  </w14:solidFill>
                </w14:textFill>
              </w:rPr>
              <w:t>施</w:t>
            </w:r>
          </w:p>
          <w:p w14:paraId="3D99117E">
            <w:pPr>
              <w:spacing w:line="360" w:lineRule="auto"/>
              <w:rPr>
                <w:rFonts w:hint="eastAsia" w:ascii="宋体" w:hAnsi="宋体" w:cs="宋体"/>
                <w:color w:val="000000" w:themeColor="text1"/>
                <w:szCs w:val="21"/>
                <w:highlight w:val="none"/>
                <w14:textFill>
                  <w14:solidFill>
                    <w14:schemeClr w14:val="tx1"/>
                  </w14:solidFill>
                </w14:textFill>
              </w:rPr>
            </w:pPr>
          </w:p>
        </w:tc>
        <w:tc>
          <w:tcPr>
            <w:tcW w:w="6288" w:type="dxa"/>
            <w:noWrap w:val="0"/>
            <w:vAlign w:val="center"/>
          </w:tcPr>
          <w:p w14:paraId="16BF6D81">
            <w:pPr>
              <w:pStyle w:val="385"/>
              <w:widowControl w:val="0"/>
              <w:spacing w:before="0" w:after="0" w:line="360"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四档</w:t>
            </w:r>
            <w:r>
              <w:rPr>
                <w:rFonts w:hint="eastAsia" w:ascii="宋体" w:hAnsi="宋体" w:eastAsia="宋体" w:cs="宋体"/>
                <w:color w:val="000000" w:themeColor="text1"/>
                <w:spacing w:val="5"/>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6</w:t>
            </w:r>
            <w:r>
              <w:rPr>
                <w:rFonts w:hint="eastAsia" w:ascii="宋体" w:hAnsi="宋体" w:eastAsia="宋体" w:cs="宋体"/>
                <w:color w:val="000000" w:themeColor="text1"/>
                <w:spacing w:val="5"/>
                <w:sz w:val="21"/>
                <w:szCs w:val="21"/>
                <w:highlight w:val="none"/>
                <w:lang w:eastAsia="zh-CN"/>
                <w14:textFill>
                  <w14:solidFill>
                    <w14:schemeClr w14:val="tx1"/>
                  </w14:solidFill>
                </w14:textFill>
              </w:rPr>
              <w:t>分）：有专门的质量技术管理班子和制度，且人员配备</w:t>
            </w:r>
            <w:r>
              <w:rPr>
                <w:rFonts w:hint="eastAsia" w:ascii="宋体" w:hAnsi="宋体" w:eastAsia="宋体" w:cs="宋体"/>
                <w:color w:val="000000" w:themeColor="text1"/>
                <w:spacing w:val="3"/>
                <w:sz w:val="21"/>
                <w:szCs w:val="21"/>
                <w:highlight w:val="none"/>
                <w:lang w:eastAsia="zh-CN"/>
                <w14:textFill>
                  <w14:solidFill>
                    <w14:schemeClr w14:val="tx1"/>
                  </w14:solidFill>
                </w14:textFill>
              </w:rPr>
              <w:t>合理，制度健全。主要工序有质量技术保证措施和手段，自</w:t>
            </w:r>
            <w:r>
              <w:rPr>
                <w:rFonts w:hint="eastAsia" w:ascii="宋体" w:hAnsi="宋体" w:eastAsia="宋体" w:cs="宋体"/>
                <w:color w:val="000000" w:themeColor="text1"/>
                <w:spacing w:val="1"/>
                <w:sz w:val="21"/>
                <w:szCs w:val="21"/>
                <w:highlight w:val="none"/>
                <w:lang w:eastAsia="zh-CN"/>
                <w14:textFill>
                  <w14:solidFill>
                    <w14:schemeClr w14:val="tx1"/>
                  </w14:solidFill>
                </w14:textFill>
              </w:rPr>
              <w:t>控体系完整、切合实际，能保证技术质量，达到承诺的质量标准。</w:t>
            </w:r>
          </w:p>
          <w:p w14:paraId="2BBBE372">
            <w:pPr>
              <w:pStyle w:val="385"/>
              <w:widowControl w:val="0"/>
              <w:spacing w:before="0" w:after="0" w:line="360"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三档</w:t>
            </w:r>
            <w:r>
              <w:rPr>
                <w:rFonts w:hint="eastAsia" w:ascii="宋体" w:hAnsi="宋体" w:eastAsia="宋体" w:cs="宋体"/>
                <w:color w:val="000000" w:themeColor="text1"/>
                <w:spacing w:val="5"/>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4</w:t>
            </w:r>
            <w:r>
              <w:rPr>
                <w:rFonts w:hint="eastAsia" w:ascii="宋体" w:hAnsi="宋体" w:eastAsia="宋体" w:cs="宋体"/>
                <w:color w:val="000000" w:themeColor="text1"/>
                <w:spacing w:val="5"/>
                <w:sz w:val="21"/>
                <w:szCs w:val="21"/>
                <w:highlight w:val="none"/>
                <w:lang w:eastAsia="zh-CN"/>
                <w14:textFill>
                  <w14:solidFill>
                    <w14:schemeClr w14:val="tx1"/>
                  </w14:solidFill>
                </w14:textFill>
              </w:rPr>
              <w:t>分）：有质量技术管理班子和制度，且人员配备合理，</w:t>
            </w:r>
            <w:r>
              <w:rPr>
                <w:rFonts w:hint="eastAsia" w:ascii="宋体" w:hAnsi="宋体" w:eastAsia="宋体" w:cs="宋体"/>
                <w:color w:val="000000" w:themeColor="text1"/>
                <w:spacing w:val="3"/>
                <w:sz w:val="21"/>
                <w:szCs w:val="21"/>
                <w:highlight w:val="none"/>
                <w:lang w:eastAsia="zh-CN"/>
                <w14:textFill>
                  <w14:solidFill>
                    <w14:schemeClr w14:val="tx1"/>
                  </w14:solidFill>
                </w14:textFill>
              </w:rPr>
              <w:t>制度健全。主要工序有质量技术保证措施和手段，自控体系</w:t>
            </w:r>
            <w:r>
              <w:rPr>
                <w:rFonts w:hint="eastAsia" w:ascii="宋体" w:hAnsi="宋体" w:eastAsia="宋体" w:cs="宋体"/>
                <w:color w:val="000000" w:themeColor="text1"/>
                <w:spacing w:val="1"/>
                <w:sz w:val="21"/>
                <w:szCs w:val="21"/>
                <w:highlight w:val="none"/>
                <w:lang w:eastAsia="zh-CN"/>
                <w14:textFill>
                  <w14:solidFill>
                    <w14:schemeClr w14:val="tx1"/>
                  </w14:solidFill>
                </w14:textFill>
              </w:rPr>
              <w:t>完整，能有效保证技术质量，达到承诺的质量标准。</w:t>
            </w:r>
          </w:p>
          <w:p w14:paraId="59A0B523">
            <w:pPr>
              <w:spacing w:line="360" w:lineRule="auto"/>
              <w:rPr>
                <w:rFonts w:hint="eastAsia" w:ascii="宋体" w:hAnsi="宋体" w:cs="宋体"/>
                <w:color w:val="000000" w:themeColor="text1"/>
                <w:szCs w:val="21"/>
                <w:highlight w:val="none"/>
                <w:lang w:val="ru-RU"/>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二档</w:t>
            </w:r>
            <w:r>
              <w:rPr>
                <w:rFonts w:hint="eastAsia" w:ascii="宋体" w:hAnsi="宋体" w:cs="宋体"/>
                <w:color w:val="000000" w:themeColor="text1"/>
                <w:szCs w:val="21"/>
                <w:highlight w:val="none"/>
                <w:lang w:val="ru-RU"/>
                <w14:textFill>
                  <w14:solidFill>
                    <w14:schemeClr w14:val="tx1"/>
                  </w14:solidFill>
                </w14:textFill>
              </w:rPr>
              <w:t>（2分）：有质量技术管理班子和制度。主要工序有质量技术保证措施和手段，自控体系</w:t>
            </w:r>
            <w:r>
              <w:rPr>
                <w:rFonts w:hint="eastAsia" w:ascii="宋体" w:hAnsi="宋体" w:cs="宋体"/>
                <w:color w:val="000000" w:themeColor="text1"/>
                <w:szCs w:val="21"/>
                <w:highlight w:val="none"/>
                <w:lang w:val="ru-RU" w:eastAsia="zh-CN"/>
                <w14:textFill>
                  <w14:solidFill>
                    <w14:schemeClr w14:val="tx1"/>
                  </w14:solidFill>
                </w14:textFill>
              </w:rPr>
              <w:t>可行</w:t>
            </w:r>
            <w:r>
              <w:rPr>
                <w:rFonts w:hint="eastAsia" w:ascii="宋体" w:hAnsi="宋体" w:cs="宋体"/>
                <w:color w:val="000000" w:themeColor="text1"/>
                <w:szCs w:val="21"/>
                <w:highlight w:val="none"/>
                <w:lang w:val="ru-RU"/>
                <w14:textFill>
                  <w14:solidFill>
                    <w14:schemeClr w14:val="tx1"/>
                  </w14:solidFill>
                </w14:textFill>
              </w:rPr>
              <w:t>，基本能保证技术质量，达到承诺的质量标准。</w:t>
            </w:r>
          </w:p>
          <w:p w14:paraId="7319A690">
            <w:pPr>
              <w:pStyle w:val="386"/>
              <w:widowControl w:val="0"/>
              <w:spacing w:before="0" w:after="0" w:line="360" w:lineRule="auto"/>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一档</w:t>
            </w:r>
            <w:r>
              <w:rPr>
                <w:rFonts w:hint="eastAsia" w:ascii="宋体" w:hAnsi="宋体" w:eastAsia="宋体" w:cs="宋体"/>
                <w:color w:val="000000" w:themeColor="text1"/>
                <w:spacing w:val="5"/>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1</w:t>
            </w:r>
            <w:r>
              <w:rPr>
                <w:rFonts w:hint="eastAsia" w:ascii="宋体" w:hAnsi="宋体" w:eastAsia="宋体" w:cs="宋体"/>
                <w:color w:val="000000" w:themeColor="text1"/>
                <w:spacing w:val="5"/>
                <w:sz w:val="21"/>
                <w:szCs w:val="21"/>
                <w:highlight w:val="none"/>
                <w:lang w:eastAsia="zh-CN"/>
                <w14:textFill>
                  <w14:solidFill>
                    <w14:schemeClr w14:val="tx1"/>
                  </w14:solidFill>
                </w14:textFill>
              </w:rPr>
              <w:t>分）：有质量技术管理班子和制度。主要工序无质量技</w:t>
            </w:r>
            <w:r>
              <w:rPr>
                <w:rFonts w:hint="eastAsia" w:ascii="宋体" w:hAnsi="宋体" w:eastAsia="宋体" w:cs="宋体"/>
                <w:color w:val="000000" w:themeColor="text1"/>
                <w:spacing w:val="-1"/>
                <w:sz w:val="21"/>
                <w:szCs w:val="21"/>
                <w:highlight w:val="none"/>
                <w:lang w:eastAsia="zh-CN"/>
                <w14:textFill>
                  <w14:solidFill>
                    <w14:schemeClr w14:val="tx1"/>
                  </w14:solidFill>
                </w14:textFill>
              </w:rPr>
              <w:t>术保证措施和手段，自控体系合理，不能有效保证技术质量。</w:t>
            </w:r>
          </w:p>
        </w:tc>
        <w:tc>
          <w:tcPr>
            <w:tcW w:w="851" w:type="dxa"/>
            <w:noWrap w:val="0"/>
            <w:vAlign w:val="center"/>
          </w:tcPr>
          <w:p w14:paraId="68A4B60E">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6分</w:t>
            </w:r>
          </w:p>
        </w:tc>
      </w:tr>
      <w:tr w14:paraId="49E26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52" w:type="dxa"/>
            <w:noWrap w:val="0"/>
            <w:vAlign w:val="center"/>
          </w:tcPr>
          <w:p w14:paraId="2036D31F">
            <w:pPr>
              <w:spacing w:line="360" w:lineRule="auto"/>
              <w:ind w:left="-105" w:right="-105"/>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2.6</w:t>
            </w:r>
          </w:p>
        </w:tc>
        <w:tc>
          <w:tcPr>
            <w:tcW w:w="1299" w:type="dxa"/>
            <w:noWrap w:val="0"/>
            <w:vAlign w:val="center"/>
          </w:tcPr>
          <w:p w14:paraId="050223F6">
            <w:pPr>
              <w:pStyle w:val="386"/>
              <w:widowControl w:val="0"/>
              <w:spacing w:before="0" w:after="0" w:line="360" w:lineRule="auto"/>
              <w:jc w:val="lef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确保安全生产的技术组织措</w:t>
            </w:r>
            <w:r>
              <w:rPr>
                <w:rFonts w:hint="eastAsia" w:ascii="宋体" w:hAnsi="宋体" w:eastAsia="宋体" w:cs="宋体"/>
                <w:color w:val="000000" w:themeColor="text1"/>
                <w:spacing w:val="1"/>
                <w:sz w:val="21"/>
                <w:szCs w:val="21"/>
                <w:highlight w:val="none"/>
                <w:lang w:eastAsia="zh-CN"/>
                <w14:textFill>
                  <w14:solidFill>
                    <w14:schemeClr w14:val="tx1"/>
                  </w14:solidFill>
                </w14:textFill>
              </w:rPr>
              <w:t>施</w:t>
            </w:r>
          </w:p>
          <w:p w14:paraId="6BC138B6">
            <w:pPr>
              <w:pStyle w:val="385"/>
              <w:widowControl w:val="0"/>
              <w:spacing w:before="0" w:after="0" w:line="360" w:lineRule="auto"/>
              <w:jc w:val="left"/>
              <w:rPr>
                <w:rFonts w:hint="eastAsia" w:ascii="宋体" w:hAnsi="宋体" w:eastAsia="宋体" w:cs="宋体"/>
                <w:color w:val="000000" w:themeColor="text1"/>
                <w:sz w:val="21"/>
                <w:szCs w:val="21"/>
                <w:highlight w:val="none"/>
                <w:lang w:eastAsia="zh-CN"/>
                <w14:textFill>
                  <w14:solidFill>
                    <w14:schemeClr w14:val="tx1"/>
                  </w14:solidFill>
                </w14:textFill>
              </w:rPr>
            </w:pPr>
          </w:p>
        </w:tc>
        <w:tc>
          <w:tcPr>
            <w:tcW w:w="6288" w:type="dxa"/>
            <w:noWrap w:val="0"/>
            <w:vAlign w:val="center"/>
          </w:tcPr>
          <w:p w14:paraId="13488A41">
            <w:pPr>
              <w:pStyle w:val="386"/>
              <w:widowControl w:val="0"/>
              <w:spacing w:before="0" w:after="0" w:line="360" w:lineRule="auto"/>
              <w:rPr>
                <w:rFonts w:hint="eastAsia" w:ascii="宋体" w:hAnsi="宋体" w:eastAsia="宋体" w:cs="宋体"/>
                <w:color w:val="000000" w:themeColor="text1"/>
                <w:spacing w:val="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四档</w:t>
            </w:r>
            <w:r>
              <w:rPr>
                <w:rFonts w:hint="eastAsia" w:ascii="宋体" w:hAnsi="宋体" w:eastAsia="宋体" w:cs="宋体"/>
                <w:color w:val="000000" w:themeColor="text1"/>
                <w:sz w:val="21"/>
                <w:szCs w:val="21"/>
                <w:highlight w:val="none"/>
                <w:lang w:eastAsia="zh-CN"/>
                <w14:textFill>
                  <w14:solidFill>
                    <w14:schemeClr w14:val="tx1"/>
                  </w14:solidFill>
                </w14:textFill>
              </w:rPr>
              <w:t>（6</w:t>
            </w:r>
            <w:r>
              <w:rPr>
                <w:rFonts w:hint="eastAsia" w:ascii="宋体" w:hAnsi="宋体" w:eastAsia="宋体" w:cs="宋体"/>
                <w:color w:val="000000" w:themeColor="text1"/>
                <w:spacing w:val="1"/>
                <w:sz w:val="21"/>
                <w:szCs w:val="21"/>
                <w:highlight w:val="none"/>
                <w:lang w:eastAsia="zh-CN"/>
                <w14:textFill>
                  <w14:solidFill>
                    <w14:schemeClr w14:val="tx1"/>
                  </w14:solidFill>
                </w14:textFill>
              </w:rPr>
              <w:t>分）：有专门的安全管理人员和制度，且人员配备科学合理，</w:t>
            </w:r>
            <w:r>
              <w:rPr>
                <w:rFonts w:hint="eastAsia" w:ascii="宋体" w:hAnsi="宋体" w:eastAsia="宋体" w:cs="宋体"/>
                <w:color w:val="000000" w:themeColor="text1"/>
                <w:spacing w:val="3"/>
                <w:sz w:val="21"/>
                <w:szCs w:val="21"/>
                <w:highlight w:val="none"/>
                <w:lang w:eastAsia="zh-CN"/>
                <w14:textFill>
                  <w14:solidFill>
                    <w14:schemeClr w14:val="tx1"/>
                  </w14:solidFill>
                </w14:textFill>
              </w:rPr>
              <w:t>制度健全，各道工序安全技术措施具备针对性，切合实际且满足有关安全技术标准要求。现场防火、应急救援、社会治安</w:t>
            </w:r>
            <w:r>
              <w:rPr>
                <w:rFonts w:hint="eastAsia" w:ascii="宋体" w:hAnsi="宋体" w:eastAsia="宋体" w:cs="宋体"/>
                <w:color w:val="000000" w:themeColor="text1"/>
                <w:spacing w:val="1"/>
                <w:sz w:val="21"/>
                <w:szCs w:val="21"/>
                <w:highlight w:val="none"/>
                <w:lang w:eastAsia="zh-CN"/>
                <w14:textFill>
                  <w14:solidFill>
                    <w14:schemeClr w14:val="tx1"/>
                  </w14:solidFill>
                </w14:textFill>
              </w:rPr>
              <w:t>安全措施得力。</w:t>
            </w:r>
          </w:p>
          <w:p w14:paraId="375B3ACA">
            <w:pPr>
              <w:pStyle w:val="386"/>
              <w:widowControl w:val="0"/>
              <w:spacing w:before="0" w:after="0" w:line="360" w:lineRule="auto"/>
              <w:rPr>
                <w:rFonts w:hint="eastAsia" w:ascii="宋体" w:hAnsi="宋体" w:eastAsia="宋体" w:cs="宋体"/>
                <w:color w:val="000000" w:themeColor="text1"/>
                <w:spacing w:val="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三档</w:t>
            </w:r>
            <w:r>
              <w:rPr>
                <w:rFonts w:hint="eastAsia" w:ascii="宋体" w:hAnsi="宋体" w:eastAsia="宋体" w:cs="宋体"/>
                <w:color w:val="000000" w:themeColor="text1"/>
                <w:spacing w:val="5"/>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4</w:t>
            </w:r>
            <w:r>
              <w:rPr>
                <w:rFonts w:hint="eastAsia" w:ascii="宋体" w:hAnsi="宋体" w:eastAsia="宋体" w:cs="宋体"/>
                <w:color w:val="000000" w:themeColor="text1"/>
                <w:spacing w:val="5"/>
                <w:sz w:val="21"/>
                <w:szCs w:val="21"/>
                <w:highlight w:val="none"/>
                <w:lang w:eastAsia="zh-CN"/>
                <w14:textFill>
                  <w14:solidFill>
                    <w14:schemeClr w14:val="tx1"/>
                  </w14:solidFill>
                </w14:textFill>
              </w:rPr>
              <w:t>分）：有安全管理人员和制度，且人员配备合理，制度完整</w:t>
            </w:r>
            <w:r>
              <w:rPr>
                <w:rFonts w:hint="eastAsia" w:ascii="宋体" w:hAnsi="宋体" w:eastAsia="宋体" w:cs="宋体"/>
                <w:color w:val="000000" w:themeColor="text1"/>
                <w:spacing w:val="3"/>
                <w:sz w:val="21"/>
                <w:szCs w:val="21"/>
                <w:highlight w:val="none"/>
                <w:lang w:eastAsia="zh-CN"/>
                <w14:textFill>
                  <w14:solidFill>
                    <w14:schemeClr w14:val="tx1"/>
                  </w14:solidFill>
                </w14:textFill>
              </w:rPr>
              <w:t>，各道工序安全技术措施具备针对性，符合实际且满足有关安全技术标准要求。现场防火、应急救援、社会治安安全</w:t>
            </w:r>
            <w:r>
              <w:rPr>
                <w:rFonts w:hint="eastAsia" w:ascii="宋体" w:hAnsi="宋体" w:eastAsia="宋体" w:cs="宋体"/>
                <w:color w:val="000000" w:themeColor="text1"/>
                <w:spacing w:val="1"/>
                <w:sz w:val="21"/>
                <w:szCs w:val="21"/>
                <w:highlight w:val="none"/>
                <w:lang w:eastAsia="zh-CN"/>
                <w14:textFill>
                  <w14:solidFill>
                    <w14:schemeClr w14:val="tx1"/>
                  </w14:solidFill>
                </w14:textFill>
              </w:rPr>
              <w:t>措施完整。</w:t>
            </w:r>
          </w:p>
          <w:p w14:paraId="0F4E8C01">
            <w:pPr>
              <w:pStyle w:val="386"/>
              <w:widowControl w:val="0"/>
              <w:spacing w:before="0" w:after="0" w:line="360" w:lineRule="auto"/>
              <w:rPr>
                <w:rFonts w:hint="eastAsia" w:ascii="宋体" w:hAnsi="宋体" w:eastAsia="宋体" w:cs="宋体"/>
                <w:color w:val="000000" w:themeColor="text1"/>
                <w:spacing w:val="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二档</w:t>
            </w:r>
            <w:r>
              <w:rPr>
                <w:rFonts w:hint="eastAsia" w:ascii="宋体" w:hAnsi="宋体" w:eastAsia="宋体" w:cs="宋体"/>
                <w:color w:val="000000" w:themeColor="text1"/>
                <w:spacing w:val="5"/>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2</w:t>
            </w:r>
            <w:r>
              <w:rPr>
                <w:rFonts w:hint="eastAsia" w:ascii="宋体" w:hAnsi="宋体" w:eastAsia="宋体" w:cs="宋体"/>
                <w:color w:val="000000" w:themeColor="text1"/>
                <w:spacing w:val="5"/>
                <w:sz w:val="21"/>
                <w:szCs w:val="21"/>
                <w:highlight w:val="none"/>
                <w:lang w:eastAsia="zh-CN"/>
                <w14:textFill>
                  <w14:solidFill>
                    <w14:schemeClr w14:val="tx1"/>
                  </w14:solidFill>
                </w14:textFill>
              </w:rPr>
              <w:t>分）：有安全管理人员和制度，各道工序安全技术措施具有</w:t>
            </w:r>
            <w:r>
              <w:rPr>
                <w:rFonts w:hint="eastAsia" w:ascii="宋体" w:hAnsi="宋体" w:eastAsia="宋体" w:cs="宋体"/>
                <w:color w:val="000000" w:themeColor="text1"/>
                <w:spacing w:val="3"/>
                <w:sz w:val="21"/>
                <w:szCs w:val="21"/>
                <w:highlight w:val="none"/>
                <w:lang w:eastAsia="zh-CN"/>
                <w14:textFill>
                  <w14:solidFill>
                    <w14:schemeClr w14:val="tx1"/>
                  </w14:solidFill>
                </w14:textFill>
              </w:rPr>
              <w:t>针对性，满足有关安全技术标准要求。现场防火、应急救</w:t>
            </w:r>
            <w:r>
              <w:rPr>
                <w:rFonts w:hint="eastAsia" w:ascii="宋体" w:hAnsi="宋体" w:eastAsia="宋体" w:cs="宋体"/>
                <w:color w:val="000000" w:themeColor="text1"/>
                <w:spacing w:val="1"/>
                <w:sz w:val="21"/>
                <w:szCs w:val="21"/>
                <w:highlight w:val="none"/>
                <w:lang w:eastAsia="zh-CN"/>
                <w14:textFill>
                  <w14:solidFill>
                    <w14:schemeClr w14:val="tx1"/>
                  </w14:solidFill>
                </w14:textFill>
              </w:rPr>
              <w:t>援、社会治安安全措施满足项目要求。</w:t>
            </w:r>
          </w:p>
          <w:p w14:paraId="2D50F108">
            <w:pPr>
              <w:pStyle w:val="386"/>
              <w:widowControl w:val="0"/>
              <w:spacing w:before="0" w:after="0" w:line="360" w:lineRule="auto"/>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一档</w:t>
            </w:r>
            <w:r>
              <w:rPr>
                <w:rFonts w:hint="eastAsia" w:ascii="宋体" w:hAnsi="宋体" w:eastAsia="宋体" w:cs="宋体"/>
                <w:color w:val="000000" w:themeColor="text1"/>
                <w:spacing w:val="5"/>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pacing w:val="5"/>
                <w:sz w:val="21"/>
                <w:szCs w:val="21"/>
                <w:highlight w:val="none"/>
                <w:lang w:eastAsia="zh-CN"/>
                <w14:textFill>
                  <w14:solidFill>
                    <w14:schemeClr w14:val="tx1"/>
                  </w14:solidFill>
                </w14:textFill>
              </w:rPr>
              <w:t>分）：有安全管理人员和制度，各道工序安全技术措施</w:t>
            </w:r>
            <w:r>
              <w:rPr>
                <w:rFonts w:hint="eastAsia" w:ascii="宋体" w:hAnsi="宋体" w:eastAsia="宋体" w:cs="宋体"/>
                <w:color w:val="000000" w:themeColor="text1"/>
                <w:spacing w:val="3"/>
                <w:sz w:val="21"/>
                <w:szCs w:val="21"/>
                <w:highlight w:val="none"/>
                <w:lang w:eastAsia="zh-CN"/>
                <w14:textFill>
                  <w14:solidFill>
                    <w14:schemeClr w14:val="tx1"/>
                  </w14:solidFill>
                </w14:textFill>
              </w:rPr>
              <w:t>无针对性，满足有关安全技术标准要求。现场防火、应急救</w:t>
            </w:r>
            <w:r>
              <w:rPr>
                <w:rFonts w:hint="eastAsia" w:ascii="宋体" w:hAnsi="宋体" w:eastAsia="宋体" w:cs="宋体"/>
                <w:color w:val="000000" w:themeColor="text1"/>
                <w:spacing w:val="1"/>
                <w:sz w:val="21"/>
                <w:szCs w:val="21"/>
                <w:highlight w:val="none"/>
                <w:lang w:eastAsia="zh-CN"/>
                <w14:textFill>
                  <w14:solidFill>
                    <w14:schemeClr w14:val="tx1"/>
                  </w14:solidFill>
                </w14:textFill>
              </w:rPr>
              <w:t>援、社会治安安全措施差。</w:t>
            </w:r>
          </w:p>
        </w:tc>
        <w:tc>
          <w:tcPr>
            <w:tcW w:w="851" w:type="dxa"/>
            <w:noWrap w:val="0"/>
            <w:vAlign w:val="center"/>
          </w:tcPr>
          <w:p w14:paraId="1C89E5D9">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6分</w:t>
            </w:r>
          </w:p>
        </w:tc>
      </w:tr>
      <w:tr w14:paraId="2C425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52" w:type="dxa"/>
            <w:noWrap w:val="0"/>
            <w:vAlign w:val="center"/>
          </w:tcPr>
          <w:p w14:paraId="06EE62C6">
            <w:pPr>
              <w:spacing w:line="360" w:lineRule="auto"/>
              <w:ind w:left="-105" w:right="-105"/>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2.7</w:t>
            </w:r>
          </w:p>
        </w:tc>
        <w:tc>
          <w:tcPr>
            <w:tcW w:w="1299" w:type="dxa"/>
            <w:noWrap w:val="0"/>
            <w:vAlign w:val="center"/>
          </w:tcPr>
          <w:p w14:paraId="10A22F46">
            <w:pPr>
              <w:pStyle w:val="386"/>
              <w:widowControl w:val="0"/>
              <w:spacing w:before="0" w:after="0" w:line="360" w:lineRule="auto"/>
              <w:jc w:val="lef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确保工期的技术组</w:t>
            </w:r>
            <w:r>
              <w:rPr>
                <w:rFonts w:hint="eastAsia" w:ascii="宋体" w:hAnsi="宋体" w:eastAsia="宋体" w:cs="宋体"/>
                <w:color w:val="000000" w:themeColor="text1"/>
                <w:spacing w:val="1"/>
                <w:sz w:val="21"/>
                <w:szCs w:val="21"/>
                <w:highlight w:val="none"/>
                <w:lang w:eastAsia="zh-CN"/>
                <w14:textFill>
                  <w14:solidFill>
                    <w14:schemeClr w14:val="tx1"/>
                  </w14:solidFill>
                </w14:textFill>
              </w:rPr>
              <w:t>织措施</w:t>
            </w:r>
          </w:p>
        </w:tc>
        <w:tc>
          <w:tcPr>
            <w:tcW w:w="6288" w:type="dxa"/>
            <w:noWrap w:val="0"/>
            <w:vAlign w:val="center"/>
          </w:tcPr>
          <w:p w14:paraId="231A375B">
            <w:pPr>
              <w:pStyle w:val="386"/>
              <w:widowControl w:val="0"/>
              <w:spacing w:before="0" w:after="0" w:line="360" w:lineRule="auto"/>
              <w:rPr>
                <w:rFonts w:hint="eastAsia" w:ascii="宋体" w:hAnsi="宋体" w:eastAsia="宋体" w:cs="宋体"/>
                <w:color w:val="000000" w:themeColor="text1"/>
                <w:spacing w:val="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四档</w:t>
            </w:r>
            <w:r>
              <w:rPr>
                <w:rFonts w:hint="eastAsia" w:ascii="宋体" w:hAnsi="宋体" w:eastAsia="宋体" w:cs="宋体"/>
                <w:color w:val="000000" w:themeColor="text1"/>
                <w:spacing w:val="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6</w:t>
            </w:r>
            <w:r>
              <w:rPr>
                <w:rFonts w:hint="eastAsia" w:ascii="宋体" w:hAnsi="宋体" w:eastAsia="宋体" w:cs="宋体"/>
                <w:color w:val="000000" w:themeColor="text1"/>
                <w:spacing w:val="1"/>
                <w:sz w:val="21"/>
                <w:szCs w:val="21"/>
                <w:highlight w:val="none"/>
                <w:lang w:eastAsia="zh-CN"/>
                <w14:textFill>
                  <w14:solidFill>
                    <w14:schemeClr w14:val="tx1"/>
                  </w14:solidFill>
                </w14:textFill>
              </w:rPr>
              <w:t>分）：在施工工艺、施工方法、材料选用、劳动力安排、</w:t>
            </w:r>
            <w:r>
              <w:rPr>
                <w:rFonts w:hint="eastAsia" w:ascii="宋体" w:hAnsi="宋体" w:eastAsia="宋体" w:cs="宋体"/>
                <w:color w:val="000000" w:themeColor="text1"/>
                <w:spacing w:val="3"/>
                <w:sz w:val="21"/>
                <w:szCs w:val="21"/>
                <w:highlight w:val="none"/>
                <w:lang w:eastAsia="zh-CN"/>
                <w14:textFill>
                  <w14:solidFill>
                    <w14:schemeClr w14:val="tx1"/>
                  </w14:solidFill>
                </w14:textFill>
              </w:rPr>
              <w:t>技术等方面有保证工期的具体措施且措施得当。有控制工期的施工进度计划。有施工总进度表或施工网络图，各项计划</w:t>
            </w:r>
            <w:r>
              <w:rPr>
                <w:rFonts w:hint="eastAsia" w:ascii="宋体" w:hAnsi="宋体" w:eastAsia="宋体" w:cs="宋体"/>
                <w:color w:val="000000" w:themeColor="text1"/>
                <w:spacing w:val="1"/>
                <w:sz w:val="21"/>
                <w:szCs w:val="21"/>
                <w:highlight w:val="none"/>
                <w:lang w:eastAsia="zh-CN"/>
                <w14:textFill>
                  <w14:solidFill>
                    <w14:schemeClr w14:val="tx1"/>
                  </w14:solidFill>
                </w14:textFill>
              </w:rPr>
              <w:t>图表编制完善，安排合理，符合本项目施工实际要求。</w:t>
            </w:r>
          </w:p>
          <w:p w14:paraId="1F52A286">
            <w:pPr>
              <w:pStyle w:val="386"/>
              <w:widowControl w:val="0"/>
              <w:spacing w:before="0" w:after="0" w:line="360" w:lineRule="auto"/>
              <w:rPr>
                <w:rFonts w:hint="eastAsia" w:ascii="宋体" w:hAnsi="宋体" w:eastAsia="宋体" w:cs="宋体"/>
                <w:color w:val="000000" w:themeColor="text1"/>
                <w:spacing w:val="3"/>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三档</w:t>
            </w:r>
            <w:r>
              <w:rPr>
                <w:rFonts w:hint="eastAsia" w:ascii="宋体" w:hAnsi="宋体" w:eastAsia="宋体" w:cs="宋体"/>
                <w:color w:val="000000" w:themeColor="text1"/>
                <w:spacing w:val="5"/>
                <w:sz w:val="21"/>
                <w:szCs w:val="21"/>
                <w:highlight w:val="none"/>
                <w:lang w:eastAsia="zh-CN"/>
                <w14:textFill>
                  <w14:solidFill>
                    <w14:schemeClr w14:val="tx1"/>
                  </w14:solidFill>
                </w14:textFill>
              </w:rPr>
              <w:t>（4分）：施工工艺、施工方法、材料选用、劳动力安排、</w:t>
            </w:r>
            <w:r>
              <w:rPr>
                <w:rFonts w:hint="eastAsia" w:ascii="宋体" w:hAnsi="宋体" w:eastAsia="宋体" w:cs="宋体"/>
                <w:color w:val="000000" w:themeColor="text1"/>
                <w:spacing w:val="3"/>
                <w:sz w:val="21"/>
                <w:szCs w:val="21"/>
                <w:highlight w:val="none"/>
                <w:lang w:eastAsia="zh-CN"/>
                <w14:textFill>
                  <w14:solidFill>
                    <w14:schemeClr w14:val="tx1"/>
                  </w14:solidFill>
                </w14:textFill>
              </w:rPr>
              <w:t>技术等方面有保证工期的具体措施。有控制工期的施工进度计划。有施工总进度表或施工网络图，各项计划图表编制完整，符合本项目施工实际要求。</w:t>
            </w:r>
          </w:p>
          <w:p w14:paraId="25A68AC1">
            <w:pPr>
              <w:pStyle w:val="386"/>
              <w:widowControl w:val="0"/>
              <w:spacing w:before="0" w:after="0" w:line="360"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二档</w:t>
            </w:r>
            <w:r>
              <w:rPr>
                <w:rFonts w:hint="eastAsia" w:ascii="宋体" w:hAnsi="宋体" w:eastAsia="宋体" w:cs="宋体"/>
                <w:color w:val="000000" w:themeColor="text1"/>
                <w:spacing w:val="5"/>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2</w:t>
            </w:r>
            <w:r>
              <w:rPr>
                <w:rFonts w:hint="eastAsia" w:ascii="宋体" w:hAnsi="宋体" w:eastAsia="宋体" w:cs="宋体"/>
                <w:color w:val="000000" w:themeColor="text1"/>
                <w:spacing w:val="5"/>
                <w:sz w:val="21"/>
                <w:szCs w:val="21"/>
                <w:highlight w:val="none"/>
                <w:lang w:eastAsia="zh-CN"/>
                <w14:textFill>
                  <w14:solidFill>
                    <w14:schemeClr w14:val="tx1"/>
                  </w14:solidFill>
                </w14:textFill>
              </w:rPr>
              <w:t>分）：施工工艺、施工方法、材料选用、劳动力安排、</w:t>
            </w:r>
            <w:r>
              <w:rPr>
                <w:rFonts w:hint="eastAsia" w:ascii="宋体" w:hAnsi="宋体" w:eastAsia="宋体" w:cs="宋体"/>
                <w:color w:val="000000" w:themeColor="text1"/>
                <w:spacing w:val="3"/>
                <w:sz w:val="21"/>
                <w:szCs w:val="21"/>
                <w:highlight w:val="none"/>
                <w:lang w:eastAsia="zh-CN"/>
                <w14:textFill>
                  <w14:solidFill>
                    <w14:schemeClr w14:val="tx1"/>
                  </w14:solidFill>
                </w14:textFill>
              </w:rPr>
              <w:t>技术等方面有措施。有控制工期的施工进度计划。有施工总进度表或施工网络图，各项计划图表编制合理，基本符合本</w:t>
            </w:r>
            <w:r>
              <w:rPr>
                <w:rFonts w:hint="eastAsia" w:ascii="宋体" w:hAnsi="宋体" w:eastAsia="宋体" w:cs="宋体"/>
                <w:color w:val="000000" w:themeColor="text1"/>
                <w:spacing w:val="1"/>
                <w:sz w:val="21"/>
                <w:szCs w:val="21"/>
                <w:highlight w:val="none"/>
                <w:lang w:eastAsia="zh-CN"/>
                <w14:textFill>
                  <w14:solidFill>
                    <w14:schemeClr w14:val="tx1"/>
                  </w14:solidFill>
                </w14:textFill>
              </w:rPr>
              <w:t>项目施工实际要求。</w:t>
            </w:r>
          </w:p>
          <w:p w14:paraId="783C9C34">
            <w:pPr>
              <w:pStyle w:val="386"/>
              <w:widowControl w:val="0"/>
              <w:spacing w:before="0" w:after="0" w:line="360" w:lineRule="auto"/>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一档</w:t>
            </w:r>
            <w:r>
              <w:rPr>
                <w:rFonts w:hint="eastAsia" w:ascii="宋体" w:hAnsi="宋体" w:eastAsia="宋体" w:cs="宋体"/>
                <w:color w:val="000000" w:themeColor="text1"/>
                <w:spacing w:val="5"/>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1</w:t>
            </w:r>
            <w:r>
              <w:rPr>
                <w:rFonts w:hint="eastAsia" w:ascii="宋体" w:hAnsi="宋体" w:eastAsia="宋体" w:cs="宋体"/>
                <w:color w:val="000000" w:themeColor="text1"/>
                <w:spacing w:val="5"/>
                <w:sz w:val="21"/>
                <w:szCs w:val="21"/>
                <w:highlight w:val="none"/>
                <w:lang w:eastAsia="zh-CN"/>
                <w14:textFill>
                  <w14:solidFill>
                    <w14:schemeClr w14:val="tx1"/>
                  </w14:solidFill>
                </w14:textFill>
              </w:rPr>
              <w:t>分）：施工工艺、施工方法、材料选用、劳动力安排、</w:t>
            </w:r>
            <w:r>
              <w:rPr>
                <w:rFonts w:hint="eastAsia" w:ascii="宋体" w:hAnsi="宋体" w:eastAsia="宋体" w:cs="宋体"/>
                <w:color w:val="000000" w:themeColor="text1"/>
                <w:spacing w:val="3"/>
                <w:sz w:val="21"/>
                <w:szCs w:val="21"/>
                <w:highlight w:val="none"/>
                <w:lang w:eastAsia="zh-CN"/>
                <w14:textFill>
                  <w14:solidFill>
                    <w14:schemeClr w14:val="tx1"/>
                  </w14:solidFill>
                </w14:textFill>
              </w:rPr>
              <w:t>技术等方面有措施。有控制工期的施工进度计划。有施工总进度表或施工网络图，有各项计划图表编制，但不符合本项目</w:t>
            </w:r>
            <w:r>
              <w:rPr>
                <w:rFonts w:hint="eastAsia" w:ascii="宋体" w:hAnsi="宋体" w:eastAsia="宋体" w:cs="宋体"/>
                <w:color w:val="000000" w:themeColor="text1"/>
                <w:spacing w:val="1"/>
                <w:sz w:val="21"/>
                <w:szCs w:val="21"/>
                <w:highlight w:val="none"/>
                <w:lang w:eastAsia="zh-CN"/>
                <w14:textFill>
                  <w14:solidFill>
                    <w14:schemeClr w14:val="tx1"/>
                  </w14:solidFill>
                </w14:textFill>
              </w:rPr>
              <w:t>施工实际要求。</w:t>
            </w:r>
          </w:p>
        </w:tc>
        <w:tc>
          <w:tcPr>
            <w:tcW w:w="851" w:type="dxa"/>
            <w:noWrap w:val="0"/>
            <w:vAlign w:val="center"/>
          </w:tcPr>
          <w:p w14:paraId="06DBB1BD">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6分</w:t>
            </w:r>
          </w:p>
        </w:tc>
      </w:tr>
      <w:tr w14:paraId="10840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52" w:type="dxa"/>
            <w:noWrap w:val="0"/>
            <w:vAlign w:val="center"/>
          </w:tcPr>
          <w:p w14:paraId="749C0B8A">
            <w:pPr>
              <w:spacing w:line="360" w:lineRule="auto"/>
              <w:ind w:left="-105" w:right="-105"/>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2.8</w:t>
            </w:r>
          </w:p>
        </w:tc>
        <w:tc>
          <w:tcPr>
            <w:tcW w:w="1299" w:type="dxa"/>
            <w:noWrap w:val="0"/>
            <w:vAlign w:val="center"/>
          </w:tcPr>
          <w:p w14:paraId="4573057F">
            <w:pPr>
              <w:pStyle w:val="386"/>
              <w:widowControl w:val="0"/>
              <w:spacing w:before="0" w:after="0" w:line="360" w:lineRule="auto"/>
              <w:jc w:val="lef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确保文明施工的技术组织措</w:t>
            </w:r>
            <w:r>
              <w:rPr>
                <w:rFonts w:hint="eastAsia" w:ascii="宋体" w:hAnsi="宋体" w:eastAsia="宋体" w:cs="宋体"/>
                <w:color w:val="000000" w:themeColor="text1"/>
                <w:spacing w:val="1"/>
                <w:sz w:val="21"/>
                <w:szCs w:val="21"/>
                <w:highlight w:val="none"/>
                <w:lang w:eastAsia="zh-CN"/>
                <w14:textFill>
                  <w14:solidFill>
                    <w14:schemeClr w14:val="tx1"/>
                  </w14:solidFill>
                </w14:textFill>
              </w:rPr>
              <w:t>施</w:t>
            </w:r>
          </w:p>
        </w:tc>
        <w:tc>
          <w:tcPr>
            <w:tcW w:w="6288" w:type="dxa"/>
            <w:noWrap w:val="0"/>
            <w:vAlign w:val="center"/>
          </w:tcPr>
          <w:p w14:paraId="53476A2F">
            <w:pPr>
              <w:pStyle w:val="387"/>
              <w:widowControl w:val="0"/>
              <w:spacing w:before="0" w:after="0" w:line="360" w:lineRule="auto"/>
              <w:rPr>
                <w:rFonts w:hint="eastAsia" w:ascii="宋体" w:hAnsi="宋体" w:eastAsia="宋体" w:cs="宋体"/>
                <w:color w:val="000000" w:themeColor="text1"/>
                <w:spacing w:val="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四档</w:t>
            </w:r>
            <w:r>
              <w:rPr>
                <w:rFonts w:hint="eastAsia" w:ascii="宋体" w:hAnsi="宋体" w:eastAsia="宋体" w:cs="宋体"/>
                <w:color w:val="000000" w:themeColor="text1"/>
                <w:spacing w:val="5"/>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pacing w:val="5"/>
                <w:sz w:val="21"/>
                <w:szCs w:val="21"/>
                <w:highlight w:val="none"/>
                <w:lang w:eastAsia="zh-CN"/>
                <w14:textFill>
                  <w14:solidFill>
                    <w14:schemeClr w14:val="tx1"/>
                  </w14:solidFill>
                </w14:textFill>
              </w:rPr>
              <w:t>分）：针对本工程项目特点，有现场文明施工、环境保</w:t>
            </w:r>
            <w:r>
              <w:rPr>
                <w:rFonts w:hint="eastAsia" w:ascii="宋体" w:hAnsi="宋体" w:eastAsia="宋体" w:cs="宋体"/>
                <w:color w:val="000000" w:themeColor="text1"/>
                <w:spacing w:val="11"/>
                <w:sz w:val="21"/>
                <w:szCs w:val="21"/>
                <w:highlight w:val="none"/>
                <w:lang w:eastAsia="zh-CN"/>
                <w14:textFill>
                  <w14:solidFill>
                    <w14:schemeClr w14:val="tx1"/>
                  </w14:solidFill>
                </w14:textFill>
              </w:rPr>
              <w:t>护措施，且措施内容达到《建筑与市政施工现场安全卫生与职业健康通用规范》</w:t>
            </w:r>
            <w:r>
              <w:rPr>
                <w:rFonts w:hint="eastAsia" w:ascii="宋体" w:hAnsi="宋体" w:eastAsia="宋体" w:cs="宋体"/>
                <w:color w:val="000000" w:themeColor="text1"/>
                <w:spacing w:val="-3"/>
                <w:sz w:val="21"/>
                <w:szCs w:val="21"/>
                <w:highlight w:val="none"/>
                <w:lang w:eastAsia="zh-CN"/>
                <w14:textFill>
                  <w14:solidFill>
                    <w14:schemeClr w14:val="tx1"/>
                  </w14:solidFill>
                </w14:textFill>
              </w:rPr>
              <w:t>合格标准并符合《广西壮族自治区建筑工程文</w:t>
            </w:r>
            <w:r>
              <w:rPr>
                <w:rFonts w:hint="eastAsia" w:ascii="宋体" w:hAnsi="宋体" w:eastAsia="宋体" w:cs="宋体"/>
                <w:color w:val="000000" w:themeColor="text1"/>
                <w:spacing w:val="3"/>
                <w:sz w:val="21"/>
                <w:szCs w:val="21"/>
                <w:highlight w:val="none"/>
                <w:lang w:eastAsia="zh-CN"/>
                <w14:textFill>
                  <w14:solidFill>
                    <w14:schemeClr w14:val="tx1"/>
                  </w14:solidFill>
                </w14:textFill>
              </w:rPr>
              <w:t>明施工导则》要求。各项措施具体、有效。有具体实</w:t>
            </w:r>
            <w:r>
              <w:rPr>
                <w:rFonts w:hint="eastAsia" w:ascii="宋体" w:hAnsi="宋体" w:eastAsia="宋体" w:cs="宋体"/>
                <w:color w:val="000000" w:themeColor="text1"/>
                <w:spacing w:val="1"/>
                <w:sz w:val="21"/>
                <w:szCs w:val="21"/>
                <w:highlight w:val="none"/>
                <w:lang w:eastAsia="zh-CN"/>
                <w14:textFill>
                  <w14:solidFill>
                    <w14:schemeClr w14:val="tx1"/>
                  </w14:solidFill>
                </w14:textFill>
              </w:rPr>
              <w:t>现现场文明施工目标的承诺。</w:t>
            </w:r>
          </w:p>
          <w:p w14:paraId="587443A8">
            <w:pPr>
              <w:pStyle w:val="387"/>
              <w:widowControl w:val="0"/>
              <w:spacing w:before="0" w:after="0" w:line="360"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三档</w:t>
            </w:r>
            <w:r>
              <w:rPr>
                <w:rFonts w:hint="eastAsia" w:ascii="宋体" w:hAnsi="宋体" w:eastAsia="宋体" w:cs="宋体"/>
                <w:color w:val="000000" w:themeColor="text1"/>
                <w:spacing w:val="5"/>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pacing w:val="5"/>
                <w:sz w:val="21"/>
                <w:szCs w:val="21"/>
                <w:highlight w:val="none"/>
                <w:lang w:eastAsia="zh-CN"/>
                <w14:textFill>
                  <w14:solidFill>
                    <w14:schemeClr w14:val="tx1"/>
                  </w14:solidFill>
                </w14:textFill>
              </w:rPr>
              <w:t>分）：针对本工程项目特点，有现场文明施工、环境保</w:t>
            </w:r>
            <w:r>
              <w:rPr>
                <w:rFonts w:hint="eastAsia" w:ascii="宋体" w:hAnsi="宋体" w:eastAsia="宋体" w:cs="宋体"/>
                <w:color w:val="000000" w:themeColor="text1"/>
                <w:spacing w:val="11"/>
                <w:sz w:val="21"/>
                <w:szCs w:val="21"/>
                <w:highlight w:val="none"/>
                <w:lang w:eastAsia="zh-CN"/>
                <w14:textFill>
                  <w14:solidFill>
                    <w14:schemeClr w14:val="tx1"/>
                  </w14:solidFill>
                </w14:textFill>
              </w:rPr>
              <w:t>护措施，且措施内容达到《建筑与市政施工现场安全卫生与职业健康通用规范》</w:t>
            </w:r>
            <w:r>
              <w:rPr>
                <w:rFonts w:hint="eastAsia" w:ascii="宋体" w:hAnsi="宋体" w:eastAsia="宋体" w:cs="宋体"/>
                <w:color w:val="000000" w:themeColor="text1"/>
                <w:spacing w:val="-3"/>
                <w:sz w:val="21"/>
                <w:szCs w:val="21"/>
                <w:highlight w:val="none"/>
                <w:lang w:eastAsia="zh-CN"/>
                <w14:textFill>
                  <w14:solidFill>
                    <w14:schemeClr w14:val="tx1"/>
                  </w14:solidFill>
                </w14:textFill>
              </w:rPr>
              <w:t>合格标准并符合《广西壮族自治区建筑工程文</w:t>
            </w:r>
            <w:r>
              <w:rPr>
                <w:rFonts w:hint="eastAsia" w:ascii="宋体" w:hAnsi="宋体" w:eastAsia="宋体" w:cs="宋体"/>
                <w:color w:val="000000" w:themeColor="text1"/>
                <w:spacing w:val="1"/>
                <w:sz w:val="21"/>
                <w:szCs w:val="21"/>
                <w:highlight w:val="none"/>
                <w:lang w:eastAsia="zh-CN"/>
                <w14:textFill>
                  <w14:solidFill>
                    <w14:schemeClr w14:val="tx1"/>
                  </w14:solidFill>
                </w14:textFill>
              </w:rPr>
              <w:t>明施工导则》要求。</w:t>
            </w:r>
            <w:r>
              <w:rPr>
                <w:rFonts w:hint="eastAsia" w:ascii="宋体" w:hAnsi="宋体" w:eastAsia="宋体" w:cs="宋体"/>
                <w:color w:val="000000" w:themeColor="text1"/>
                <w:spacing w:val="3"/>
                <w:sz w:val="21"/>
                <w:szCs w:val="21"/>
                <w:highlight w:val="none"/>
                <w:lang w:eastAsia="zh-CN"/>
                <w14:textFill>
                  <w14:solidFill>
                    <w14:schemeClr w14:val="tx1"/>
                  </w14:solidFill>
                </w14:textFill>
              </w:rPr>
              <w:t>各项措施完整具体。</w:t>
            </w:r>
            <w:r>
              <w:rPr>
                <w:rFonts w:hint="eastAsia" w:ascii="宋体" w:hAnsi="宋体" w:eastAsia="宋体" w:cs="宋体"/>
                <w:color w:val="000000" w:themeColor="text1"/>
                <w:spacing w:val="1"/>
                <w:sz w:val="21"/>
                <w:szCs w:val="21"/>
                <w:highlight w:val="none"/>
                <w:lang w:eastAsia="zh-CN"/>
                <w14:textFill>
                  <w14:solidFill>
                    <w14:schemeClr w14:val="tx1"/>
                  </w14:solidFill>
                </w14:textFill>
              </w:rPr>
              <w:t>有实现现场文明施工目标的承诺。</w:t>
            </w:r>
          </w:p>
          <w:p w14:paraId="47226A0C">
            <w:pPr>
              <w:pStyle w:val="387"/>
              <w:widowControl w:val="0"/>
              <w:spacing w:before="0" w:after="0" w:line="360"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二档</w:t>
            </w:r>
            <w:r>
              <w:rPr>
                <w:rFonts w:hint="eastAsia" w:ascii="宋体" w:hAnsi="宋体" w:eastAsia="宋体" w:cs="宋体"/>
                <w:color w:val="000000" w:themeColor="text1"/>
                <w:spacing w:val="5"/>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2</w:t>
            </w:r>
            <w:r>
              <w:rPr>
                <w:rFonts w:hint="eastAsia" w:ascii="宋体" w:hAnsi="宋体" w:eastAsia="宋体" w:cs="宋体"/>
                <w:color w:val="000000" w:themeColor="text1"/>
                <w:spacing w:val="5"/>
                <w:sz w:val="21"/>
                <w:szCs w:val="21"/>
                <w:highlight w:val="none"/>
                <w:lang w:eastAsia="zh-CN"/>
                <w14:textFill>
                  <w14:solidFill>
                    <w14:schemeClr w14:val="tx1"/>
                  </w14:solidFill>
                </w14:textFill>
              </w:rPr>
              <w:t>分）：有现场文明施工、环境保护措施，且措施内容达</w:t>
            </w:r>
            <w:r>
              <w:rPr>
                <w:rFonts w:hint="eastAsia" w:ascii="宋体" w:hAnsi="宋体" w:eastAsia="宋体" w:cs="宋体"/>
                <w:color w:val="000000" w:themeColor="text1"/>
                <w:spacing w:val="-2"/>
                <w:sz w:val="21"/>
                <w:szCs w:val="21"/>
                <w:highlight w:val="none"/>
                <w:lang w:eastAsia="zh-CN"/>
                <w14:textFill>
                  <w14:solidFill>
                    <w14:schemeClr w14:val="tx1"/>
                  </w14:solidFill>
                </w14:textFill>
              </w:rPr>
              <w:t>到</w:t>
            </w:r>
            <w:r>
              <w:rPr>
                <w:rFonts w:hint="eastAsia" w:ascii="宋体" w:hAnsi="宋体" w:eastAsia="宋体" w:cs="宋体"/>
                <w:color w:val="000000" w:themeColor="text1"/>
                <w:spacing w:val="11"/>
                <w:sz w:val="21"/>
                <w:szCs w:val="21"/>
                <w:highlight w:val="none"/>
                <w:lang w:eastAsia="zh-CN"/>
                <w14:textFill>
                  <w14:solidFill>
                    <w14:schemeClr w14:val="tx1"/>
                  </w14:solidFill>
                </w14:textFill>
              </w:rPr>
              <w:t>《建筑与市政施工现场安全卫生与职业健康通用规范》</w:t>
            </w:r>
            <w:r>
              <w:rPr>
                <w:rFonts w:hint="eastAsia" w:ascii="宋体" w:hAnsi="宋体" w:eastAsia="宋体" w:cs="宋体"/>
                <w:color w:val="000000" w:themeColor="text1"/>
                <w:spacing w:val="-2"/>
                <w:sz w:val="21"/>
                <w:szCs w:val="21"/>
                <w:highlight w:val="none"/>
                <w:lang w:eastAsia="zh-CN"/>
                <w14:textFill>
                  <w14:solidFill>
                    <w14:schemeClr w14:val="tx1"/>
                  </w14:solidFill>
                </w14:textFill>
              </w:rPr>
              <w:t>合格标准并</w:t>
            </w:r>
            <w:r>
              <w:rPr>
                <w:rFonts w:hint="eastAsia" w:ascii="宋体" w:hAnsi="宋体" w:eastAsia="宋体" w:cs="宋体"/>
                <w:color w:val="000000" w:themeColor="text1"/>
                <w:spacing w:val="3"/>
                <w:sz w:val="21"/>
                <w:szCs w:val="21"/>
                <w:highlight w:val="none"/>
                <w:lang w:eastAsia="zh-CN"/>
                <w14:textFill>
                  <w14:solidFill>
                    <w14:schemeClr w14:val="tx1"/>
                  </w14:solidFill>
                </w14:textFill>
              </w:rPr>
              <w:t>符合《广西壮族自治区建筑工程文明施工导则》要求。有实</w:t>
            </w:r>
            <w:r>
              <w:rPr>
                <w:rFonts w:hint="eastAsia" w:ascii="宋体" w:hAnsi="宋体" w:eastAsia="宋体" w:cs="宋体"/>
                <w:color w:val="000000" w:themeColor="text1"/>
                <w:spacing w:val="1"/>
                <w:sz w:val="21"/>
                <w:szCs w:val="21"/>
                <w:highlight w:val="none"/>
                <w:lang w:eastAsia="zh-CN"/>
                <w14:textFill>
                  <w14:solidFill>
                    <w14:schemeClr w14:val="tx1"/>
                  </w14:solidFill>
                </w14:textFill>
              </w:rPr>
              <w:t>现现场文明施工目标的承诺。</w:t>
            </w:r>
          </w:p>
          <w:p w14:paraId="79DF5FB3">
            <w:pPr>
              <w:pStyle w:val="387"/>
              <w:widowControl w:val="0"/>
              <w:spacing w:before="0" w:after="0" w:line="360" w:lineRule="auto"/>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一档</w:t>
            </w:r>
            <w:r>
              <w:rPr>
                <w:rFonts w:hint="eastAsia" w:ascii="宋体" w:hAnsi="宋体" w:eastAsia="宋体" w:cs="宋体"/>
                <w:color w:val="000000" w:themeColor="text1"/>
                <w:spacing w:val="5"/>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1</w:t>
            </w:r>
            <w:r>
              <w:rPr>
                <w:rFonts w:hint="eastAsia" w:ascii="宋体" w:hAnsi="宋体" w:eastAsia="宋体" w:cs="宋体"/>
                <w:color w:val="000000" w:themeColor="text1"/>
                <w:spacing w:val="5"/>
                <w:sz w:val="21"/>
                <w:szCs w:val="21"/>
                <w:highlight w:val="none"/>
                <w:lang w:eastAsia="zh-CN"/>
                <w14:textFill>
                  <w14:solidFill>
                    <w14:schemeClr w14:val="tx1"/>
                  </w14:solidFill>
                </w14:textFill>
              </w:rPr>
              <w:t>分）：有现场文明施工、环境保护措施，且措施内容达</w:t>
            </w:r>
            <w:r>
              <w:rPr>
                <w:rFonts w:hint="eastAsia" w:ascii="宋体" w:hAnsi="宋体" w:eastAsia="宋体" w:cs="宋体"/>
                <w:color w:val="000000" w:themeColor="text1"/>
                <w:spacing w:val="-2"/>
                <w:sz w:val="21"/>
                <w:szCs w:val="21"/>
                <w:highlight w:val="none"/>
                <w:lang w:eastAsia="zh-CN"/>
                <w14:textFill>
                  <w14:solidFill>
                    <w14:schemeClr w14:val="tx1"/>
                  </w14:solidFill>
                </w14:textFill>
              </w:rPr>
              <w:t>到</w:t>
            </w:r>
            <w:r>
              <w:rPr>
                <w:rFonts w:hint="eastAsia" w:ascii="宋体" w:hAnsi="宋体" w:eastAsia="宋体" w:cs="宋体"/>
                <w:color w:val="000000" w:themeColor="text1"/>
                <w:spacing w:val="11"/>
                <w:sz w:val="21"/>
                <w:szCs w:val="21"/>
                <w:highlight w:val="none"/>
                <w:lang w:eastAsia="zh-CN"/>
                <w14:textFill>
                  <w14:solidFill>
                    <w14:schemeClr w14:val="tx1"/>
                  </w14:solidFill>
                </w14:textFill>
              </w:rPr>
              <w:t>《建筑与市政施工现场安全卫生与职业健康通用规范》</w:t>
            </w:r>
            <w:r>
              <w:rPr>
                <w:rFonts w:hint="eastAsia" w:ascii="宋体" w:hAnsi="宋体" w:eastAsia="宋体" w:cs="宋体"/>
                <w:color w:val="000000" w:themeColor="text1"/>
                <w:spacing w:val="-2"/>
                <w:sz w:val="21"/>
                <w:szCs w:val="21"/>
                <w:highlight w:val="none"/>
                <w:lang w:eastAsia="zh-CN"/>
                <w14:textFill>
                  <w14:solidFill>
                    <w14:schemeClr w14:val="tx1"/>
                  </w14:solidFill>
                </w14:textFill>
              </w:rPr>
              <w:t>合格标准并</w:t>
            </w:r>
            <w:r>
              <w:rPr>
                <w:rFonts w:hint="eastAsia" w:ascii="宋体" w:hAnsi="宋体" w:eastAsia="宋体" w:cs="宋体"/>
                <w:color w:val="000000" w:themeColor="text1"/>
                <w:spacing w:val="3"/>
                <w:sz w:val="21"/>
                <w:szCs w:val="21"/>
                <w:highlight w:val="none"/>
                <w:lang w:eastAsia="zh-CN"/>
                <w14:textFill>
                  <w14:solidFill>
                    <w14:schemeClr w14:val="tx1"/>
                  </w14:solidFill>
                </w14:textFill>
              </w:rPr>
              <w:t>符合《广西壮族自治区建筑工程文明施工导则》要求。无实</w:t>
            </w:r>
            <w:r>
              <w:rPr>
                <w:rFonts w:hint="eastAsia" w:ascii="宋体" w:hAnsi="宋体" w:eastAsia="宋体" w:cs="宋体"/>
                <w:color w:val="000000" w:themeColor="text1"/>
                <w:spacing w:val="1"/>
                <w:sz w:val="21"/>
                <w:szCs w:val="21"/>
                <w:highlight w:val="none"/>
                <w:lang w:eastAsia="zh-CN"/>
                <w14:textFill>
                  <w14:solidFill>
                    <w14:schemeClr w14:val="tx1"/>
                  </w14:solidFill>
                </w14:textFill>
              </w:rPr>
              <w:t>现现场文明施工目标的承诺。</w:t>
            </w:r>
          </w:p>
        </w:tc>
        <w:tc>
          <w:tcPr>
            <w:tcW w:w="851" w:type="dxa"/>
            <w:noWrap w:val="0"/>
            <w:vAlign w:val="center"/>
          </w:tcPr>
          <w:p w14:paraId="65A0E4D5">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6分</w:t>
            </w:r>
          </w:p>
        </w:tc>
      </w:tr>
      <w:tr w14:paraId="4A93A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52" w:type="dxa"/>
            <w:noWrap w:val="0"/>
            <w:vAlign w:val="center"/>
          </w:tcPr>
          <w:p w14:paraId="13A8E44C">
            <w:pPr>
              <w:spacing w:line="360" w:lineRule="auto"/>
              <w:ind w:left="-105" w:right="-105"/>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2.9</w:t>
            </w:r>
          </w:p>
        </w:tc>
        <w:tc>
          <w:tcPr>
            <w:tcW w:w="1299" w:type="dxa"/>
            <w:noWrap w:val="0"/>
            <w:vAlign w:val="center"/>
          </w:tcPr>
          <w:p w14:paraId="410F3728">
            <w:pPr>
              <w:pStyle w:val="387"/>
              <w:widowControl w:val="0"/>
              <w:spacing w:before="0" w:after="0" w:line="360" w:lineRule="auto"/>
              <w:jc w:val="lef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工程施工的重点和</w:t>
            </w:r>
            <w:r>
              <w:rPr>
                <w:rFonts w:hint="eastAsia" w:ascii="宋体" w:hAnsi="宋体" w:eastAsia="宋体" w:cs="宋体"/>
                <w:color w:val="000000" w:themeColor="text1"/>
                <w:spacing w:val="-21"/>
                <w:sz w:val="21"/>
                <w:szCs w:val="21"/>
                <w:highlight w:val="none"/>
                <w:lang w:eastAsia="zh-CN"/>
                <w14:textFill>
                  <w14:solidFill>
                    <w14:schemeClr w14:val="tx1"/>
                  </w14:solidFill>
                </w14:textFill>
              </w:rPr>
              <w:t>难点</w:t>
            </w:r>
          </w:p>
        </w:tc>
        <w:tc>
          <w:tcPr>
            <w:tcW w:w="6288" w:type="dxa"/>
            <w:noWrap w:val="0"/>
            <w:vAlign w:val="center"/>
          </w:tcPr>
          <w:p w14:paraId="6C21AEBE">
            <w:pPr>
              <w:pStyle w:val="387"/>
              <w:widowControl w:val="0"/>
              <w:spacing w:before="0" w:after="0" w:line="360" w:lineRule="auto"/>
              <w:jc w:val="lef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四档</w:t>
            </w:r>
            <w:r>
              <w:rPr>
                <w:rFonts w:hint="eastAsia" w:ascii="宋体" w:hAnsi="宋体" w:eastAsia="宋体" w:cs="宋体"/>
                <w:color w:val="000000" w:themeColor="text1"/>
                <w:spacing w:val="5"/>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pacing w:val="5"/>
                <w:sz w:val="21"/>
                <w:szCs w:val="21"/>
                <w:highlight w:val="none"/>
                <w:lang w:eastAsia="zh-CN"/>
                <w14:textFill>
                  <w14:solidFill>
                    <w14:schemeClr w14:val="tx1"/>
                  </w14:solidFill>
                </w14:textFill>
              </w:rPr>
              <w:t>分）：针对本工程的特点，详细阐述了本工程的重点和</w:t>
            </w:r>
            <w:r>
              <w:rPr>
                <w:rFonts w:hint="eastAsia" w:ascii="宋体" w:hAnsi="宋体" w:eastAsia="宋体" w:cs="宋体"/>
                <w:color w:val="000000" w:themeColor="text1"/>
                <w:spacing w:val="1"/>
                <w:sz w:val="21"/>
                <w:szCs w:val="21"/>
                <w:highlight w:val="none"/>
                <w:lang w:eastAsia="zh-CN"/>
                <w14:textFill>
                  <w14:solidFill>
                    <w14:schemeClr w14:val="tx1"/>
                  </w14:solidFill>
                </w14:textFill>
              </w:rPr>
              <w:t>难点，解决重点和难点问题的方法合理、科学可行。</w:t>
            </w:r>
          </w:p>
          <w:p w14:paraId="047E10E4">
            <w:pPr>
              <w:pStyle w:val="387"/>
              <w:widowControl w:val="0"/>
              <w:spacing w:before="0" w:after="0" w:line="360" w:lineRule="auto"/>
              <w:jc w:val="left"/>
              <w:rPr>
                <w:rFonts w:hint="eastAsia" w:ascii="宋体" w:hAnsi="宋体" w:eastAsia="宋体" w:cs="宋体"/>
                <w:color w:val="000000" w:themeColor="text1"/>
                <w:spacing w:val="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三档</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pacing w:val="1"/>
                <w:sz w:val="21"/>
                <w:szCs w:val="21"/>
                <w:highlight w:val="none"/>
                <w:lang w:eastAsia="zh-CN"/>
                <w14:textFill>
                  <w14:solidFill>
                    <w14:schemeClr w14:val="tx1"/>
                  </w14:solidFill>
                </w14:textFill>
              </w:rPr>
              <w:t>分）：针对本工程的特点，阐述了本工程的重点和难点，解决重点和难点问题的方法合理。</w:t>
            </w:r>
          </w:p>
          <w:p w14:paraId="3D67CCBF">
            <w:pPr>
              <w:pStyle w:val="387"/>
              <w:widowControl w:val="0"/>
              <w:spacing w:before="0" w:after="0" w:line="360" w:lineRule="auto"/>
              <w:jc w:val="lef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二档</w:t>
            </w:r>
            <w:r>
              <w:rPr>
                <w:rFonts w:hint="eastAsia" w:ascii="宋体" w:hAnsi="宋体" w:eastAsia="宋体" w:cs="宋体"/>
                <w:color w:val="000000" w:themeColor="text1"/>
                <w:spacing w:val="5"/>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2</w:t>
            </w:r>
            <w:r>
              <w:rPr>
                <w:rFonts w:hint="eastAsia" w:ascii="宋体" w:hAnsi="宋体" w:eastAsia="宋体" w:cs="宋体"/>
                <w:color w:val="000000" w:themeColor="text1"/>
                <w:spacing w:val="5"/>
                <w:sz w:val="21"/>
                <w:szCs w:val="21"/>
                <w:highlight w:val="none"/>
                <w:lang w:eastAsia="zh-CN"/>
                <w14:textFill>
                  <w14:solidFill>
                    <w14:schemeClr w14:val="tx1"/>
                  </w14:solidFill>
                </w14:textFill>
              </w:rPr>
              <w:t>分）：阐述了本工程的重点和难点，解决重点和难</w:t>
            </w:r>
            <w:r>
              <w:rPr>
                <w:rFonts w:hint="eastAsia" w:ascii="宋体" w:hAnsi="宋体" w:eastAsia="宋体" w:cs="宋体"/>
                <w:color w:val="000000" w:themeColor="text1"/>
                <w:spacing w:val="1"/>
                <w:sz w:val="21"/>
                <w:szCs w:val="21"/>
                <w:highlight w:val="none"/>
                <w:lang w:eastAsia="zh-CN"/>
                <w14:textFill>
                  <w14:solidFill>
                    <w14:schemeClr w14:val="tx1"/>
                  </w14:solidFill>
                </w14:textFill>
              </w:rPr>
              <w:t>点问题的方法可行。</w:t>
            </w:r>
          </w:p>
          <w:p w14:paraId="445BD9B1">
            <w:pPr>
              <w:pStyle w:val="387"/>
              <w:widowControl w:val="0"/>
              <w:spacing w:before="0" w:after="0" w:line="360" w:lineRule="auto"/>
              <w:jc w:val="left"/>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一档</w:t>
            </w:r>
            <w:r>
              <w:rPr>
                <w:rFonts w:hint="eastAsia" w:ascii="宋体" w:hAnsi="宋体" w:eastAsia="宋体" w:cs="宋体"/>
                <w:color w:val="000000" w:themeColor="text1"/>
                <w:spacing w:val="5"/>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1</w:t>
            </w:r>
            <w:r>
              <w:rPr>
                <w:rFonts w:hint="eastAsia" w:ascii="宋体" w:hAnsi="宋体" w:eastAsia="宋体" w:cs="宋体"/>
                <w:color w:val="000000" w:themeColor="text1"/>
                <w:spacing w:val="5"/>
                <w:sz w:val="21"/>
                <w:szCs w:val="21"/>
                <w:highlight w:val="none"/>
                <w:lang w:eastAsia="zh-CN"/>
                <w14:textFill>
                  <w14:solidFill>
                    <w14:schemeClr w14:val="tx1"/>
                  </w14:solidFill>
                </w14:textFill>
              </w:rPr>
              <w:t>分）：未阐述本工程的重点和难点，无解决及保证措施</w:t>
            </w:r>
            <w:r>
              <w:rPr>
                <w:rFonts w:hint="eastAsia" w:ascii="宋体" w:hAnsi="宋体" w:eastAsia="宋体" w:cs="宋体"/>
                <w:color w:val="000000" w:themeColor="text1"/>
                <w:spacing w:val="1"/>
                <w:sz w:val="21"/>
                <w:szCs w:val="21"/>
                <w:highlight w:val="none"/>
                <w:lang w:eastAsia="zh-CN"/>
                <w14:textFill>
                  <w14:solidFill>
                    <w14:schemeClr w14:val="tx1"/>
                  </w14:solidFill>
                </w14:textFill>
              </w:rPr>
              <w:t>重点和难点问题的方法。</w:t>
            </w:r>
          </w:p>
        </w:tc>
        <w:tc>
          <w:tcPr>
            <w:tcW w:w="851" w:type="dxa"/>
            <w:noWrap w:val="0"/>
            <w:vAlign w:val="center"/>
          </w:tcPr>
          <w:p w14:paraId="608C9F13">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6分</w:t>
            </w:r>
          </w:p>
        </w:tc>
      </w:tr>
      <w:tr w14:paraId="463C3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7" w:hRule="atLeast"/>
          <w:jc w:val="center"/>
        </w:trPr>
        <w:tc>
          <w:tcPr>
            <w:tcW w:w="652" w:type="dxa"/>
            <w:noWrap w:val="0"/>
            <w:vAlign w:val="center"/>
          </w:tcPr>
          <w:p w14:paraId="06A31B14">
            <w:pPr>
              <w:spacing w:line="360" w:lineRule="auto"/>
              <w:ind w:left="-105" w:right="-105"/>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2.10</w:t>
            </w:r>
          </w:p>
        </w:tc>
        <w:tc>
          <w:tcPr>
            <w:tcW w:w="1299" w:type="dxa"/>
            <w:noWrap w:val="0"/>
            <w:vAlign w:val="center"/>
          </w:tcPr>
          <w:p w14:paraId="6B3D5429">
            <w:pPr>
              <w:spacing w:line="360" w:lineRule="auto"/>
              <w:jc w:val="center"/>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项目管理机构</w:t>
            </w:r>
          </w:p>
        </w:tc>
        <w:tc>
          <w:tcPr>
            <w:tcW w:w="6288" w:type="dxa"/>
            <w:noWrap w:val="0"/>
            <w:vAlign w:val="center"/>
          </w:tcPr>
          <w:p w14:paraId="5CD061D6">
            <w:pPr>
              <w:pStyle w:val="387"/>
              <w:widowControl w:val="0"/>
              <w:spacing w:before="0" w:after="0" w:line="360" w:lineRule="auto"/>
              <w:jc w:val="left"/>
              <w:rPr>
                <w:rFonts w:hint="eastAsia" w:ascii="宋体" w:hAnsi="宋体" w:eastAsia="宋体" w:cs="宋体"/>
                <w:color w:val="000000" w:themeColor="text1"/>
                <w:spacing w:val="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
                <w:sz w:val="21"/>
                <w:szCs w:val="21"/>
                <w:highlight w:val="none"/>
                <w:lang w:val="en-US" w:eastAsia="zh-CN"/>
                <w14:textFill>
                  <w14:solidFill>
                    <w14:schemeClr w14:val="tx1"/>
                  </w14:solidFill>
                </w14:textFill>
              </w:rPr>
              <w:t>（1）项目经理</w:t>
            </w:r>
            <w:r>
              <w:rPr>
                <w:rFonts w:hint="eastAsia" w:ascii="宋体" w:hAnsi="宋体" w:eastAsia="宋体" w:cs="宋体"/>
                <w:color w:val="000000" w:themeColor="text1"/>
                <w:spacing w:val="1"/>
                <w:sz w:val="21"/>
                <w:szCs w:val="21"/>
                <w:highlight w:val="none"/>
                <w:lang w:eastAsia="zh-CN"/>
                <w14:textFill>
                  <w14:solidFill>
                    <w14:schemeClr w14:val="tx1"/>
                  </w14:solidFill>
                </w14:textFill>
              </w:rPr>
              <w:t>（满分</w:t>
            </w:r>
            <w:r>
              <w:rPr>
                <w:rFonts w:hint="eastAsia" w:ascii="宋体" w:hAnsi="宋体" w:eastAsia="宋体" w:cs="宋体"/>
                <w:color w:val="000000" w:themeColor="text1"/>
                <w:spacing w:val="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pacing w:val="1"/>
                <w:sz w:val="21"/>
                <w:szCs w:val="21"/>
                <w:highlight w:val="none"/>
                <w:lang w:eastAsia="zh-CN"/>
                <w14:textFill>
                  <w14:solidFill>
                    <w14:schemeClr w14:val="tx1"/>
                  </w14:solidFill>
                </w14:textFill>
              </w:rPr>
              <w:t>分）</w:t>
            </w:r>
          </w:p>
          <w:p w14:paraId="12E7199F">
            <w:pPr>
              <w:pStyle w:val="387"/>
              <w:widowControl w:val="0"/>
              <w:spacing w:before="0" w:after="0" w:line="360" w:lineRule="auto"/>
              <w:jc w:val="left"/>
              <w:rPr>
                <w:rFonts w:hint="eastAsia" w:ascii="宋体" w:hAnsi="宋体" w:eastAsia="宋体" w:cs="宋体"/>
                <w:color w:val="000000" w:themeColor="text1"/>
                <w:spacing w:val="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
                <w:sz w:val="21"/>
                <w:szCs w:val="21"/>
                <w:highlight w:val="none"/>
                <w:lang w:eastAsia="zh-CN"/>
                <w14:textFill>
                  <w14:solidFill>
                    <w14:schemeClr w14:val="tx1"/>
                  </w14:solidFill>
                </w14:textFill>
              </w:rPr>
              <w:t>拟派任项目经理具有</w:t>
            </w:r>
            <w:r>
              <w:rPr>
                <w:rFonts w:hint="eastAsia" w:eastAsia="宋体"/>
                <w:color w:val="000000" w:themeColor="text1"/>
                <w:highlight w:val="none"/>
                <w:lang w:eastAsia="zh-CN"/>
                <w14:textFill>
                  <w14:solidFill>
                    <w14:schemeClr w14:val="tx1"/>
                  </w14:solidFill>
                </w14:textFill>
              </w:rPr>
              <w:t>建筑工程专业工程师</w:t>
            </w:r>
            <w:r>
              <w:rPr>
                <w:rFonts w:hint="eastAsia" w:ascii="宋体" w:hAnsi="宋体" w:eastAsia="宋体" w:cs="宋体"/>
                <w:color w:val="000000" w:themeColor="text1"/>
                <w:spacing w:val="1"/>
                <w:sz w:val="21"/>
                <w:szCs w:val="21"/>
                <w:highlight w:val="none"/>
                <w:lang w:eastAsia="zh-CN"/>
                <w14:textFill>
                  <w14:solidFill>
                    <w14:schemeClr w14:val="tx1"/>
                  </w14:solidFill>
                </w14:textFill>
              </w:rPr>
              <w:t>及以上职称的得5分。</w:t>
            </w:r>
          </w:p>
          <w:p w14:paraId="7E48A861">
            <w:pPr>
              <w:pStyle w:val="387"/>
              <w:widowControl w:val="0"/>
              <w:numPr>
                <w:ilvl w:val="0"/>
                <w:numId w:val="2"/>
              </w:numPr>
              <w:spacing w:before="0" w:after="0" w:line="360" w:lineRule="auto"/>
              <w:jc w:val="lef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其他主要人员（满分</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eastAsia="zh-CN"/>
                <w14:textFill>
                  <w14:solidFill>
                    <w14:schemeClr w14:val="tx1"/>
                  </w14:solidFill>
                </w14:textFill>
              </w:rPr>
              <w:t>分）</w:t>
            </w:r>
          </w:p>
          <w:p w14:paraId="494FEEFB">
            <w:pPr>
              <w:pStyle w:val="24"/>
              <w:spacing w:line="360" w:lineRule="auto"/>
              <w:rPr>
                <w:rFonts w:hint="eastAsia" w:hAnsi="宋体" w:cs="宋体"/>
                <w:bCs/>
                <w:color w:val="000000" w:themeColor="text1"/>
                <w:sz w:val="21"/>
                <w:highlight w:val="none"/>
                <w14:textFill>
                  <w14:solidFill>
                    <w14:schemeClr w14:val="tx1"/>
                  </w14:solidFill>
                </w14:textFill>
              </w:rPr>
            </w:pPr>
            <w:r>
              <w:rPr>
                <w:rFonts w:hint="eastAsia" w:hAnsi="宋体" w:cs="宋体"/>
                <w:color w:val="000000" w:themeColor="text1"/>
                <w:spacing w:val="2"/>
                <w:sz w:val="21"/>
                <w:highlight w:val="none"/>
                <w14:textFill>
                  <w14:solidFill>
                    <w14:schemeClr w14:val="tx1"/>
                  </w14:solidFill>
                </w14:textFill>
              </w:rPr>
              <w:t>除项目经理、技术负责人外，项目管理机构中其他主要人员（施工员、</w:t>
            </w:r>
            <w:r>
              <w:rPr>
                <w:rFonts w:hint="eastAsia" w:cs="宋体"/>
                <w:color w:val="000000" w:themeColor="text1"/>
                <w:highlight w:val="none"/>
                <w14:textFill>
                  <w14:solidFill>
                    <w14:schemeClr w14:val="tx1"/>
                  </w14:solidFill>
                </w14:textFill>
              </w:rPr>
              <w:t>专职安全生产管理人员</w:t>
            </w:r>
            <w:r>
              <w:rPr>
                <w:rFonts w:hint="eastAsia" w:hAnsi="宋体" w:cs="宋体"/>
                <w:color w:val="000000" w:themeColor="text1"/>
                <w:spacing w:val="2"/>
                <w:sz w:val="21"/>
                <w:highlight w:val="none"/>
                <w14:textFill>
                  <w14:solidFill>
                    <w14:schemeClr w14:val="tx1"/>
                  </w14:solidFill>
                </w14:textFill>
              </w:rPr>
              <w:t>、质量员、材料员）总人数不少于3人，且有</w:t>
            </w:r>
            <w:r>
              <w:rPr>
                <w:rFonts w:hint="eastAsia" w:hAnsi="宋体" w:cs="宋体"/>
                <w:color w:val="000000" w:themeColor="text1"/>
                <w:spacing w:val="2"/>
                <w:sz w:val="21"/>
                <w:highlight w:val="none"/>
                <w:lang w:val="en-US" w:eastAsia="zh-CN"/>
                <w14:textFill>
                  <w14:solidFill>
                    <w14:schemeClr w14:val="tx1"/>
                  </w14:solidFill>
                </w14:textFill>
              </w:rPr>
              <w:t>50</w:t>
            </w:r>
            <w:r>
              <w:rPr>
                <w:rFonts w:hint="eastAsia" w:hAnsi="宋体" w:cs="宋体"/>
                <w:color w:val="000000" w:themeColor="text1"/>
                <w:spacing w:val="2"/>
                <w:sz w:val="21"/>
                <w:highlight w:val="none"/>
                <w14:textFill>
                  <w14:solidFill>
                    <w14:schemeClr w14:val="tx1"/>
                  </w14:solidFill>
                </w14:textFill>
              </w:rPr>
              <w:t>%（含</w:t>
            </w:r>
            <w:r>
              <w:rPr>
                <w:rFonts w:hint="eastAsia" w:hAnsi="宋体" w:cs="宋体"/>
                <w:color w:val="000000" w:themeColor="text1"/>
                <w:spacing w:val="2"/>
                <w:sz w:val="21"/>
                <w:highlight w:val="none"/>
                <w:lang w:val="en-US" w:eastAsia="zh-CN"/>
                <w14:textFill>
                  <w14:solidFill>
                    <w14:schemeClr w14:val="tx1"/>
                  </w14:solidFill>
                </w14:textFill>
              </w:rPr>
              <w:t>50</w:t>
            </w:r>
            <w:r>
              <w:rPr>
                <w:rFonts w:hint="eastAsia" w:hAnsi="宋体" w:cs="宋体"/>
                <w:color w:val="000000" w:themeColor="text1"/>
                <w:spacing w:val="2"/>
                <w:sz w:val="21"/>
                <w:highlight w:val="none"/>
                <w14:textFill>
                  <w14:solidFill>
                    <w14:schemeClr w14:val="tx1"/>
                  </w14:solidFill>
                </w14:textFill>
              </w:rPr>
              <w:t>%）以上的人员具备中级及以上职称的得</w:t>
            </w:r>
            <w:r>
              <w:rPr>
                <w:rFonts w:hint="eastAsia" w:hAnsi="宋体" w:cs="宋体"/>
                <w:color w:val="000000" w:themeColor="text1"/>
                <w:spacing w:val="2"/>
                <w:sz w:val="21"/>
                <w:highlight w:val="none"/>
                <w:lang w:val="en-US" w:eastAsia="zh-CN"/>
                <w14:textFill>
                  <w14:solidFill>
                    <w14:schemeClr w14:val="tx1"/>
                  </w14:solidFill>
                </w14:textFill>
              </w:rPr>
              <w:t>5</w:t>
            </w:r>
            <w:r>
              <w:rPr>
                <w:rFonts w:hint="eastAsia" w:hAnsi="宋体" w:cs="宋体"/>
                <w:color w:val="000000" w:themeColor="text1"/>
                <w:spacing w:val="2"/>
                <w:sz w:val="21"/>
                <w:highlight w:val="none"/>
                <w14:textFill>
                  <w14:solidFill>
                    <w14:schemeClr w14:val="tx1"/>
                  </w14:solidFill>
                </w14:textFill>
              </w:rPr>
              <w:t>分</w:t>
            </w:r>
            <w:r>
              <w:rPr>
                <w:rFonts w:hint="eastAsia" w:hAnsi="宋体" w:cs="宋体"/>
                <w:color w:val="000000" w:themeColor="text1"/>
                <w:sz w:val="21"/>
                <w:highlight w:val="none"/>
                <w14:textFill>
                  <w14:solidFill>
                    <w14:schemeClr w14:val="tx1"/>
                  </w14:solidFill>
                </w14:textFill>
              </w:rPr>
              <w:t>。</w:t>
            </w:r>
          </w:p>
        </w:tc>
        <w:tc>
          <w:tcPr>
            <w:tcW w:w="851" w:type="dxa"/>
            <w:noWrap w:val="0"/>
            <w:vAlign w:val="center"/>
          </w:tcPr>
          <w:p w14:paraId="7B0458A4">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10分</w:t>
            </w:r>
          </w:p>
        </w:tc>
      </w:tr>
      <w:tr w14:paraId="7B54C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52" w:type="dxa"/>
            <w:noWrap w:val="0"/>
            <w:vAlign w:val="center"/>
          </w:tcPr>
          <w:p w14:paraId="2DE82795">
            <w:pPr>
              <w:widowControl/>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1299" w:type="dxa"/>
            <w:noWrap w:val="0"/>
            <w:vAlign w:val="center"/>
          </w:tcPr>
          <w:p w14:paraId="6F5540B3">
            <w:pPr>
              <w:widowControl/>
              <w:spacing w:line="360" w:lineRule="auto"/>
              <w:jc w:val="center"/>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商务分</w:t>
            </w:r>
          </w:p>
        </w:tc>
        <w:tc>
          <w:tcPr>
            <w:tcW w:w="7139" w:type="dxa"/>
            <w:gridSpan w:val="2"/>
            <w:noWrap w:val="0"/>
            <w:vAlign w:val="center"/>
          </w:tcPr>
          <w:p w14:paraId="38F94E52">
            <w:pPr>
              <w:widowControl/>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评审标准</w:t>
            </w:r>
          </w:p>
        </w:tc>
      </w:tr>
      <w:tr w14:paraId="0CD57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52" w:type="dxa"/>
            <w:noWrap w:val="0"/>
            <w:vAlign w:val="center"/>
          </w:tcPr>
          <w:p w14:paraId="6716010A">
            <w:pPr>
              <w:widowControl/>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3.1</w:t>
            </w:r>
          </w:p>
        </w:tc>
        <w:tc>
          <w:tcPr>
            <w:tcW w:w="1299" w:type="dxa"/>
            <w:noWrap w:val="0"/>
            <w:vAlign w:val="center"/>
          </w:tcPr>
          <w:p w14:paraId="00163EA6">
            <w:pPr>
              <w:widowControl/>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业绩分</w:t>
            </w:r>
          </w:p>
        </w:tc>
        <w:tc>
          <w:tcPr>
            <w:tcW w:w="6288" w:type="dxa"/>
            <w:noWrap w:val="0"/>
            <w:vAlign w:val="top"/>
          </w:tcPr>
          <w:p w14:paraId="1DBB18D7">
            <w:pPr>
              <w:pStyle w:val="24"/>
              <w:spacing w:line="360" w:lineRule="auto"/>
              <w:rPr>
                <w:rFonts w:hint="eastAsia" w:hAnsi="宋体" w:cs="宋体"/>
                <w:bCs/>
                <w:color w:val="000000" w:themeColor="text1"/>
                <w:sz w:val="21"/>
                <w:highlight w:val="none"/>
                <w14:textFill>
                  <w14:solidFill>
                    <w14:schemeClr w14:val="tx1"/>
                  </w14:solidFill>
                </w14:textFill>
              </w:rPr>
            </w:pPr>
            <w:r>
              <w:rPr>
                <w:rFonts w:hint="eastAsia" w:hAnsi="宋体" w:cs="宋体"/>
                <w:bCs/>
                <w:color w:val="000000" w:themeColor="text1"/>
                <w:sz w:val="21"/>
                <w:highlight w:val="none"/>
                <w14:textFill>
                  <w14:solidFill>
                    <w14:schemeClr w14:val="tx1"/>
                  </w14:solidFill>
                </w14:textFill>
              </w:rPr>
              <w:t>供应商从202</w:t>
            </w:r>
            <w:r>
              <w:rPr>
                <w:rFonts w:hint="eastAsia" w:hAnsi="宋体" w:cs="宋体"/>
                <w:bCs/>
                <w:color w:val="000000" w:themeColor="text1"/>
                <w:sz w:val="21"/>
                <w:highlight w:val="none"/>
                <w:lang w:val="en-US" w:eastAsia="zh-CN"/>
                <w14:textFill>
                  <w14:solidFill>
                    <w14:schemeClr w14:val="tx1"/>
                  </w14:solidFill>
                </w14:textFill>
              </w:rPr>
              <w:t>3</w:t>
            </w:r>
            <w:r>
              <w:rPr>
                <w:rFonts w:hint="eastAsia" w:hAnsi="宋体" w:cs="宋体"/>
                <w:bCs/>
                <w:color w:val="000000" w:themeColor="text1"/>
                <w:sz w:val="21"/>
                <w:highlight w:val="none"/>
                <w14:textFill>
                  <w14:solidFill>
                    <w14:schemeClr w14:val="tx1"/>
                  </w14:solidFill>
                </w14:textFill>
              </w:rPr>
              <w:t>年1月1日至响应文件递交截止时间止</w:t>
            </w:r>
            <w:r>
              <w:rPr>
                <w:rFonts w:hint="eastAsia" w:hAnsi="宋体" w:cs="宋体"/>
                <w:bCs/>
                <w:color w:val="000000" w:themeColor="text1"/>
                <w:sz w:val="21"/>
                <w:highlight w:val="none"/>
                <w:lang w:eastAsia="zh-CN"/>
                <w14:textFill>
                  <w14:solidFill>
                    <w14:schemeClr w14:val="tx1"/>
                  </w14:solidFill>
                </w14:textFill>
              </w:rPr>
              <w:t>在建</w:t>
            </w:r>
            <w:r>
              <w:rPr>
                <w:rFonts w:hint="eastAsia" w:hAnsi="宋体" w:cs="宋体"/>
                <w:bCs/>
                <w:color w:val="000000" w:themeColor="text1"/>
                <w:sz w:val="21"/>
                <w:highlight w:val="none"/>
                <w:lang w:val="en-US" w:eastAsia="zh-CN"/>
                <w14:textFill>
                  <w14:solidFill>
                    <w14:schemeClr w14:val="tx1"/>
                  </w14:solidFill>
                </w14:textFill>
              </w:rPr>
              <w:t>或已完工的</w:t>
            </w:r>
            <w:r>
              <w:rPr>
                <w:rFonts w:hint="eastAsia" w:hAnsi="宋体" w:cs="宋体"/>
                <w:bCs/>
                <w:color w:val="000000" w:themeColor="text1"/>
                <w:sz w:val="21"/>
                <w:highlight w:val="none"/>
                <w14:textFill>
                  <w14:solidFill>
                    <w14:schemeClr w14:val="tx1"/>
                  </w14:solidFill>
                </w14:textFill>
              </w:rPr>
              <w:t>类似项目</w:t>
            </w:r>
            <w:r>
              <w:rPr>
                <w:rFonts w:hint="eastAsia" w:hAnsi="宋体" w:cs="宋体"/>
                <w:bCs/>
                <w:color w:val="000000" w:themeColor="text1"/>
                <w:sz w:val="21"/>
                <w:highlight w:val="none"/>
                <w:lang w:eastAsia="zh-CN"/>
                <w14:textFill>
                  <w14:solidFill>
                    <w14:schemeClr w14:val="tx1"/>
                  </w14:solidFill>
                </w14:textFill>
              </w:rPr>
              <w:t>业绩</w:t>
            </w:r>
            <w:r>
              <w:rPr>
                <w:rFonts w:hint="eastAsia" w:hAnsi="宋体" w:cs="宋体"/>
                <w:bCs/>
                <w:color w:val="000000" w:themeColor="text1"/>
                <w:sz w:val="21"/>
                <w:highlight w:val="none"/>
                <w14:textFill>
                  <w14:solidFill>
                    <w14:schemeClr w14:val="tx1"/>
                  </w14:solidFill>
                </w14:textFill>
              </w:rPr>
              <w:t>，提供</w:t>
            </w:r>
            <w:r>
              <w:rPr>
                <w:rFonts w:hint="eastAsia" w:hAnsi="宋体" w:cs="宋体"/>
                <w:bCs/>
                <w:color w:val="000000" w:themeColor="text1"/>
                <w:sz w:val="21"/>
                <w:highlight w:val="none"/>
                <w:lang w:val="en-US" w:eastAsia="zh-CN"/>
                <w14:textFill>
                  <w14:solidFill>
                    <w14:schemeClr w14:val="tx1"/>
                  </w14:solidFill>
                </w14:textFill>
              </w:rPr>
              <w:t>1</w:t>
            </w:r>
            <w:r>
              <w:rPr>
                <w:rFonts w:hint="eastAsia" w:hAnsi="宋体" w:cs="宋体"/>
                <w:bCs/>
                <w:color w:val="000000" w:themeColor="text1"/>
                <w:sz w:val="21"/>
                <w:highlight w:val="none"/>
                <w14:textFill>
                  <w14:solidFill>
                    <w14:schemeClr w14:val="tx1"/>
                  </w14:solidFill>
                </w14:textFill>
              </w:rPr>
              <w:t>个有效业绩得5分，最高得5分。必须提供相关证明材料。</w:t>
            </w:r>
          </w:p>
          <w:p w14:paraId="6F933BB1">
            <w:pPr>
              <w:pStyle w:val="24"/>
              <w:spacing w:line="360" w:lineRule="auto"/>
              <w:rPr>
                <w:rFonts w:hint="eastAsia" w:hAnsi="宋体" w:cs="宋体"/>
                <w:bCs/>
                <w:color w:val="000000" w:themeColor="text1"/>
                <w:sz w:val="21"/>
                <w:highlight w:val="none"/>
                <w14:textFill>
                  <w14:solidFill>
                    <w14:schemeClr w14:val="tx1"/>
                  </w14:solidFill>
                </w14:textFill>
              </w:rPr>
            </w:pPr>
            <w:r>
              <w:rPr>
                <w:rFonts w:hint="eastAsia" w:hAnsi="宋体" w:cs="宋体"/>
                <w:bCs/>
                <w:color w:val="000000" w:themeColor="text1"/>
                <w:sz w:val="21"/>
                <w:highlight w:val="none"/>
                <w14:textFill>
                  <w14:solidFill>
                    <w14:schemeClr w14:val="tx1"/>
                  </w14:solidFill>
                </w14:textFill>
              </w:rPr>
              <w:t>证明材料：</w:t>
            </w:r>
            <w:r>
              <w:rPr>
                <w:rFonts w:hint="eastAsia" w:hAnsi="宋体" w:cs="宋体"/>
                <w:bCs/>
                <w:color w:val="000000" w:themeColor="text1"/>
                <w:sz w:val="21"/>
                <w:highlight w:val="none"/>
                <w:lang w:val="en-US" w:eastAsia="zh-CN"/>
                <w14:textFill>
                  <w14:solidFill>
                    <w14:schemeClr w14:val="tx1"/>
                  </w14:solidFill>
                </w14:textFill>
              </w:rPr>
              <w:t>以有效中标（成交）通知书或</w:t>
            </w:r>
            <w:r>
              <w:rPr>
                <w:rFonts w:hint="eastAsia" w:hAnsi="宋体" w:cs="宋体"/>
                <w:bCs/>
                <w:color w:val="000000" w:themeColor="text1"/>
                <w:sz w:val="21"/>
                <w:highlight w:val="none"/>
                <w14:textFill>
                  <w14:solidFill>
                    <w14:schemeClr w14:val="tx1"/>
                  </w14:solidFill>
                </w14:textFill>
              </w:rPr>
              <w:t>工程</w:t>
            </w:r>
            <w:r>
              <w:rPr>
                <w:rFonts w:hint="eastAsia" w:hAnsi="宋体" w:cs="宋体"/>
                <w:bCs/>
                <w:color w:val="000000" w:themeColor="text1"/>
                <w:sz w:val="21"/>
                <w:highlight w:val="none"/>
                <w:lang w:val="en-US" w:eastAsia="zh-CN"/>
                <w14:textFill>
                  <w14:solidFill>
                    <w14:schemeClr w14:val="tx1"/>
                  </w14:solidFill>
                </w14:textFill>
              </w:rPr>
              <w:t>合同复印件或扫描件为准并加盖供应商公章，否则不得分</w:t>
            </w:r>
            <w:r>
              <w:rPr>
                <w:rFonts w:hint="eastAsia" w:hAnsi="宋体" w:cs="宋体"/>
                <w:bCs/>
                <w:color w:val="000000" w:themeColor="text1"/>
                <w:sz w:val="21"/>
                <w:highlight w:val="none"/>
                <w14:textFill>
                  <w14:solidFill>
                    <w14:schemeClr w14:val="tx1"/>
                  </w14:solidFill>
                </w14:textFill>
              </w:rPr>
              <w:t>。</w:t>
            </w:r>
          </w:p>
        </w:tc>
        <w:tc>
          <w:tcPr>
            <w:tcW w:w="851" w:type="dxa"/>
            <w:noWrap w:val="0"/>
            <w:vAlign w:val="center"/>
          </w:tcPr>
          <w:p w14:paraId="09D09EED">
            <w:pPr>
              <w:widowControl/>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5分</w:t>
            </w:r>
          </w:p>
        </w:tc>
      </w:tr>
      <w:tr w14:paraId="5D750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239" w:type="dxa"/>
            <w:gridSpan w:val="3"/>
            <w:noWrap w:val="0"/>
            <w:vAlign w:val="top"/>
          </w:tcPr>
          <w:p w14:paraId="67C0DBFF">
            <w:pPr>
              <w:pStyle w:val="24"/>
              <w:spacing w:line="360" w:lineRule="auto"/>
              <w:ind w:firstLine="420"/>
              <w:rPr>
                <w:rFonts w:hint="eastAsia" w:hAnsi="宋体" w:cs="宋体"/>
                <w:bCs/>
                <w:color w:val="000000" w:themeColor="text1"/>
                <w:sz w:val="21"/>
                <w:highlight w:val="none"/>
                <w14:textFill>
                  <w14:solidFill>
                    <w14:schemeClr w14:val="tx1"/>
                  </w14:solidFill>
                </w14:textFill>
              </w:rPr>
            </w:pPr>
            <w:r>
              <w:rPr>
                <w:rFonts w:hint="eastAsia" w:hAnsi="宋体" w:cs="宋体"/>
                <w:bCs/>
                <w:color w:val="000000" w:themeColor="text1"/>
                <w:sz w:val="21"/>
                <w:highlight w:val="none"/>
                <w14:textFill>
                  <w14:solidFill>
                    <w14:schemeClr w14:val="tx1"/>
                  </w14:solidFill>
                </w14:textFill>
              </w:rPr>
              <w:t>总得分＝1＋2＋3</w:t>
            </w:r>
          </w:p>
        </w:tc>
        <w:tc>
          <w:tcPr>
            <w:tcW w:w="851" w:type="dxa"/>
            <w:noWrap w:val="0"/>
            <w:vAlign w:val="center"/>
          </w:tcPr>
          <w:p w14:paraId="703503EF">
            <w:pPr>
              <w:widowControl/>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100分</w:t>
            </w:r>
          </w:p>
        </w:tc>
      </w:tr>
    </w:tbl>
    <w:p w14:paraId="0232669D">
      <w:pPr>
        <w:pStyle w:val="2"/>
        <w:jc w:val="center"/>
        <w:rPr>
          <w:rFonts w:hint="eastAsia"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br w:type="page" w:clear="all"/>
      </w:r>
    </w:p>
    <w:p w14:paraId="62974AE8">
      <w:pPr>
        <w:pStyle w:val="2"/>
        <w:jc w:val="center"/>
        <w:rPr>
          <w:rFonts w:hint="eastAsia" w:ascii="宋体" w:hAnsi="宋体" w:cs="宋体"/>
          <w:color w:val="000000" w:themeColor="text1"/>
          <w:highlight w:val="none"/>
          <w14:textFill>
            <w14:solidFill>
              <w14:schemeClr w14:val="tx1"/>
            </w14:solidFill>
          </w14:textFill>
        </w:rPr>
      </w:pPr>
    </w:p>
    <w:p w14:paraId="61219720">
      <w:pPr>
        <w:pStyle w:val="2"/>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第五章</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工程量清单及图纸</w:t>
      </w:r>
    </w:p>
    <w:p w14:paraId="48BD7CF2">
      <w:pPr>
        <w:pStyle w:val="2"/>
        <w:spacing w:before="0" w:after="0" w:line="360" w:lineRule="auto"/>
        <w:jc w:val="center"/>
        <w:rPr>
          <w:rFonts w:hint="eastAsia" w:ascii="宋体" w:hAnsi="宋体" w:cs="宋体"/>
          <w:color w:val="000000" w:themeColor="text1"/>
          <w:sz w:val="32"/>
          <w:szCs w:val="32"/>
          <w:highlight w:val="none"/>
          <w14:textFill>
            <w14:solidFill>
              <w14:schemeClr w14:val="tx1"/>
            </w14:solidFill>
          </w14:textFill>
        </w:rPr>
      </w:pPr>
      <w:r>
        <w:rPr>
          <w:color w:val="000000" w:themeColor="text1"/>
          <w:highlight w:val="none"/>
          <w14:textFill>
            <w14:solidFill>
              <w14:schemeClr w14:val="tx1"/>
            </w14:solidFill>
          </w14:textFill>
        </w:rPr>
        <w:br w:type="page" w:clear="all"/>
      </w:r>
    </w:p>
    <w:p w14:paraId="470DBDEA">
      <w:pPr>
        <w:pStyle w:val="3"/>
        <w:spacing w:before="0" w:after="0" w:line="36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w:t>
      </w:r>
      <w:r>
        <w:rPr>
          <w:rFonts w:hint="eastAsia" w:cs="黑体"/>
          <w:color w:val="000000" w:themeColor="text1"/>
          <w:highlight w:val="none"/>
          <w14:textFill>
            <w14:solidFill>
              <w14:schemeClr w14:val="tx1"/>
            </w14:solidFill>
          </w14:textFill>
        </w:rPr>
        <w:t>工程量清单编制说明</w:t>
      </w:r>
    </w:p>
    <w:p w14:paraId="43838E17">
      <w:pPr>
        <w:spacing w:line="360" w:lineRule="auto"/>
        <w:ind w:firstLine="42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1.1</w:t>
      </w:r>
      <w:r>
        <w:rPr>
          <w:rFonts w:hint="eastAsia" w:hAnsi="宋体" w:cs="宋体"/>
          <w:color w:val="000000" w:themeColor="text1"/>
          <w:highlight w:val="none"/>
          <w14:textFill>
            <w14:solidFill>
              <w14:schemeClr w14:val="tx1"/>
            </w14:solidFill>
          </w14:textFill>
        </w:rPr>
        <w:t>本工程量清单依据《建设工程工程量清单计价规范</w:t>
      </w:r>
      <w:r>
        <w:rPr>
          <w:rFonts w:hint="eastAsia"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GB50500-2013</w:t>
      </w:r>
      <w:r>
        <w:rPr>
          <w:rFonts w:hint="eastAsia" w:cs="宋体"/>
          <w:color w:val="000000" w:themeColor="text1"/>
          <w:highlight w:val="none"/>
          <w14:textFill>
            <w14:solidFill>
              <w14:schemeClr w14:val="tx1"/>
            </w14:solidFill>
          </w14:textFill>
        </w:rPr>
        <w:t>）</w:t>
      </w:r>
      <w:r>
        <w:rPr>
          <w:rFonts w:hint="eastAsia" w:hAnsi="宋体" w:cs="宋体"/>
          <w:color w:val="000000" w:themeColor="text1"/>
          <w:highlight w:val="none"/>
          <w14:textFill>
            <w14:solidFill>
              <w14:schemeClr w14:val="tx1"/>
            </w14:solidFill>
          </w14:textFill>
        </w:rPr>
        <w:t>广西实施细则》（以下简称</w:t>
      </w:r>
      <w:r>
        <w:rPr>
          <w:color w:val="000000" w:themeColor="text1"/>
          <w:highlight w:val="none"/>
          <w14:textFill>
            <w14:solidFill>
              <w14:schemeClr w14:val="tx1"/>
            </w14:solidFill>
          </w14:textFill>
        </w:rPr>
        <w:t>“</w:t>
      </w:r>
      <w:r>
        <w:rPr>
          <w:rFonts w:hint="eastAsia" w:hAnsi="宋体" w:cs="宋体"/>
          <w:color w:val="000000" w:themeColor="text1"/>
          <w:highlight w:val="none"/>
          <w14:textFill>
            <w14:solidFill>
              <w14:schemeClr w14:val="tx1"/>
            </w14:solidFill>
          </w14:textFill>
        </w:rPr>
        <w:t>《计价规范》</w:t>
      </w:r>
      <w:r>
        <w:rPr>
          <w:color w:val="000000" w:themeColor="text1"/>
          <w:highlight w:val="none"/>
          <w14:textFill>
            <w14:solidFill>
              <w14:schemeClr w14:val="tx1"/>
            </w14:solidFill>
          </w14:textFill>
        </w:rPr>
        <w:t>”</w:t>
      </w:r>
      <w:r>
        <w:rPr>
          <w:rFonts w:hint="eastAsia" w:cs="宋体"/>
          <w:color w:val="000000" w:themeColor="text1"/>
          <w:highlight w:val="none"/>
          <w14:textFill>
            <w14:solidFill>
              <w14:schemeClr w14:val="tx1"/>
            </w14:solidFill>
          </w14:textFill>
        </w:rPr>
        <w:t>）</w:t>
      </w:r>
      <w:r>
        <w:rPr>
          <w:rFonts w:hint="eastAsia" w:hAnsi="宋体" w:cs="宋体"/>
          <w:color w:val="000000" w:themeColor="text1"/>
          <w:highlight w:val="none"/>
          <w14:textFill>
            <w14:solidFill>
              <w14:schemeClr w14:val="tx1"/>
            </w14:solidFill>
          </w14:textFill>
        </w:rPr>
        <w:t>、《工程量清单计算规范（</w:t>
      </w:r>
      <w:r>
        <w:rPr>
          <w:color w:val="000000" w:themeColor="text1"/>
          <w:highlight w:val="none"/>
          <w14:textFill>
            <w14:solidFill>
              <w14:schemeClr w14:val="tx1"/>
            </w14:solidFill>
          </w14:textFill>
        </w:rPr>
        <w:t>GB50854~50862-2013</w:t>
      </w:r>
      <w:r>
        <w:rPr>
          <w:rFonts w:hint="eastAsia" w:hAnsi="宋体" w:cs="宋体"/>
          <w:color w:val="000000" w:themeColor="text1"/>
          <w:highlight w:val="none"/>
          <w14:textFill>
            <w14:solidFill>
              <w14:schemeClr w14:val="tx1"/>
            </w14:solidFill>
          </w14:textFill>
        </w:rPr>
        <w:t>）》及广西实施细则（修订本）（以下简称</w:t>
      </w:r>
      <w:r>
        <w:rPr>
          <w:color w:val="000000" w:themeColor="text1"/>
          <w:highlight w:val="none"/>
          <w14:textFill>
            <w14:solidFill>
              <w14:schemeClr w14:val="tx1"/>
            </w14:solidFill>
          </w14:textFill>
        </w:rPr>
        <w:t>“</w:t>
      </w:r>
      <w:r>
        <w:rPr>
          <w:rFonts w:hint="eastAsia" w:hAnsi="宋体" w:cs="宋体"/>
          <w:color w:val="000000" w:themeColor="text1"/>
          <w:highlight w:val="none"/>
          <w14:textFill>
            <w14:solidFill>
              <w14:schemeClr w14:val="tx1"/>
            </w14:solidFill>
          </w14:textFill>
        </w:rPr>
        <w:t>《计算规范》</w:t>
      </w:r>
      <w:r>
        <w:rPr>
          <w:color w:val="000000" w:themeColor="text1"/>
          <w:highlight w:val="none"/>
          <w14:textFill>
            <w14:solidFill>
              <w14:schemeClr w14:val="tx1"/>
            </w14:solidFill>
          </w14:textFill>
        </w:rPr>
        <w:t>”</w:t>
      </w:r>
      <w:r>
        <w:rPr>
          <w:rFonts w:hint="eastAsia" w:hAnsi="宋体" w:cs="宋体"/>
          <w:color w:val="000000" w:themeColor="text1"/>
          <w:highlight w:val="none"/>
          <w14:textFill>
            <w14:solidFill>
              <w14:schemeClr w14:val="tx1"/>
            </w14:solidFill>
          </w14:textFill>
        </w:rPr>
        <w:t>）、《关于建筑业实施营业税改征增值税后广西壮族自治区建设工程计价依据调整的通知》（桂建标〔</w:t>
      </w:r>
      <w:r>
        <w:rPr>
          <w:rFonts w:hAnsi="宋体"/>
          <w:color w:val="000000" w:themeColor="text1"/>
          <w:highlight w:val="none"/>
          <w14:textFill>
            <w14:solidFill>
              <w14:schemeClr w14:val="tx1"/>
            </w14:solidFill>
          </w14:textFill>
        </w:rPr>
        <w:t>2016</w:t>
      </w:r>
      <w:r>
        <w:rPr>
          <w:rFonts w:hint="eastAsia" w:hAnsi="宋体" w:cs="宋体"/>
          <w:color w:val="000000" w:themeColor="text1"/>
          <w:highlight w:val="none"/>
          <w14:textFill>
            <w14:solidFill>
              <w14:schemeClr w14:val="tx1"/>
            </w14:solidFill>
          </w14:textFill>
        </w:rPr>
        <w:t>〕</w:t>
      </w:r>
      <w:r>
        <w:rPr>
          <w:rFonts w:hAnsi="宋体"/>
          <w:color w:val="000000" w:themeColor="text1"/>
          <w:highlight w:val="none"/>
          <w14:textFill>
            <w14:solidFill>
              <w14:schemeClr w14:val="tx1"/>
            </w14:solidFill>
          </w14:textFill>
        </w:rPr>
        <w:t>17</w:t>
      </w:r>
      <w:r>
        <w:rPr>
          <w:rFonts w:hint="eastAsia" w:hAnsi="宋体" w:cs="宋体"/>
          <w:color w:val="000000" w:themeColor="text1"/>
          <w:highlight w:val="none"/>
          <w14:textFill>
            <w14:solidFill>
              <w14:schemeClr w14:val="tx1"/>
            </w14:solidFill>
          </w14:textFill>
        </w:rPr>
        <w:t>号）、磋商文件、施工图等编制。计算规范中没有的清单项目，应在本章第</w:t>
      </w:r>
      <w:r>
        <w:rPr>
          <w:color w:val="000000" w:themeColor="text1"/>
          <w:highlight w:val="none"/>
          <w14:textFill>
            <w14:solidFill>
              <w14:schemeClr w14:val="tx1"/>
            </w14:solidFill>
          </w14:textFill>
        </w:rPr>
        <w:t>1.4</w:t>
      </w:r>
      <w:r>
        <w:rPr>
          <w:rFonts w:hint="eastAsia" w:hAnsi="宋体" w:cs="宋体"/>
          <w:color w:val="000000" w:themeColor="text1"/>
          <w:highlight w:val="none"/>
          <w14:textFill>
            <w14:solidFill>
              <w14:schemeClr w14:val="tx1"/>
            </w14:solidFill>
          </w14:textFill>
        </w:rPr>
        <w:t>款约定。</w:t>
      </w:r>
    </w:p>
    <w:p w14:paraId="00D09328">
      <w:pPr>
        <w:spacing w:line="360" w:lineRule="auto"/>
        <w:ind w:firstLine="42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1.2 </w:t>
      </w:r>
      <w:r>
        <w:rPr>
          <w:rFonts w:hint="eastAsia"/>
          <w:color w:val="000000" w:themeColor="text1"/>
          <w:highlight w:val="none"/>
          <w14:textFill>
            <w14:solidFill>
              <w14:schemeClr w14:val="tx1"/>
            </w14:solidFill>
          </w14:textFill>
        </w:rPr>
        <w:t>工程量清单应与供应商须知、合同协议条款、合同的通用条款、合同专用条款、技术规范及图纸等文件一起结合使用。</w:t>
      </w:r>
    </w:p>
    <w:p w14:paraId="680128C3">
      <w:pPr>
        <w:spacing w:line="360" w:lineRule="auto"/>
        <w:ind w:firstLine="42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1.3 </w:t>
      </w:r>
      <w:r>
        <w:rPr>
          <w:rFonts w:hint="eastAsia" w:cs="宋体"/>
          <w:color w:val="000000" w:themeColor="text1"/>
          <w:highlight w:val="none"/>
          <w14:textFill>
            <w14:solidFill>
              <w14:schemeClr w14:val="tx1"/>
            </w14:solidFill>
          </w14:textFill>
        </w:rPr>
        <w:t>工程量清单是磋商文件的组成部分，是工程量清单计价的基础，作为编制招标控制价、竞标报价、计算或调整工程量、索赔等的依据之一。</w:t>
      </w:r>
    </w:p>
    <w:p w14:paraId="041D0D05">
      <w:pPr>
        <w:spacing w:line="360" w:lineRule="auto"/>
        <w:ind w:firstLine="42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1.4 </w:t>
      </w:r>
      <w:r>
        <w:rPr>
          <w:rFonts w:hint="eastAsia" w:cs="宋体"/>
          <w:color w:val="000000" w:themeColor="text1"/>
          <w:highlight w:val="none"/>
          <w14:textFill>
            <w14:solidFill>
              <w14:schemeClr w14:val="tx1"/>
            </w14:solidFill>
          </w14:textFill>
        </w:rPr>
        <w:t>补充清单项目的特征、计量单位、工程量计算规则及工作内容说明如下：</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w:t>
      </w:r>
      <w:r>
        <w:rPr>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w:t>
      </w:r>
    </w:p>
    <w:p w14:paraId="18846F3F">
      <w:pPr>
        <w:pStyle w:val="24"/>
        <w:spacing w:line="360" w:lineRule="auto"/>
        <w:ind w:firstLine="420"/>
        <w:rPr>
          <w:rFonts w:ascii="Times New Roman" w:hAnsi="Times New Roman"/>
          <w:color w:val="000000" w:themeColor="text1"/>
          <w:sz w:val="21"/>
          <w:highlight w:val="none"/>
          <w14:textFill>
            <w14:solidFill>
              <w14:schemeClr w14:val="tx1"/>
            </w14:solidFill>
          </w14:textFill>
        </w:rPr>
      </w:pPr>
      <w:r>
        <w:rPr>
          <w:rFonts w:ascii="Times New Roman" w:hAnsi="Times New Roman"/>
          <w:color w:val="000000" w:themeColor="text1"/>
          <w:sz w:val="21"/>
          <w:highlight w:val="none"/>
          <w14:textFill>
            <w14:solidFill>
              <w14:schemeClr w14:val="tx1"/>
            </w14:solidFill>
          </w14:textFill>
        </w:rPr>
        <w:t xml:space="preserve">1.5 </w:t>
      </w:r>
      <w:r>
        <w:rPr>
          <w:rFonts w:hint="eastAsia" w:ascii="Times New Roman" w:hAnsi="Times New Roman"/>
          <w:color w:val="000000" w:themeColor="text1"/>
          <w:sz w:val="21"/>
          <w:highlight w:val="none"/>
          <w14:textFill>
            <w14:solidFill>
              <w14:schemeClr w14:val="tx1"/>
            </w14:solidFill>
          </w14:textFill>
        </w:rPr>
        <w:t>《允许调整主要材料和工程设备一览表》（表</w:t>
      </w:r>
      <w:r>
        <w:rPr>
          <w:rFonts w:ascii="Times New Roman" w:hAnsi="Times New Roman"/>
          <w:color w:val="000000" w:themeColor="text1"/>
          <w:sz w:val="21"/>
          <w:highlight w:val="none"/>
          <w14:textFill>
            <w14:solidFill>
              <w14:schemeClr w14:val="tx1"/>
            </w14:solidFill>
          </w14:textFill>
        </w:rPr>
        <w:t>-22</w:t>
      </w:r>
      <w:r>
        <w:rPr>
          <w:rFonts w:hint="eastAsia" w:ascii="Times New Roman" w:hAnsi="Times New Roman"/>
          <w:color w:val="000000" w:themeColor="text1"/>
          <w:sz w:val="21"/>
          <w:highlight w:val="none"/>
          <w14:textFill>
            <w14:solidFill>
              <w14:schemeClr w14:val="tx1"/>
            </w14:solidFill>
          </w14:textFill>
        </w:rPr>
        <w:t>，表格编号为计价规范相应表格编号，下同）作为项目实施过程中材料和设备价格风险调整依据。</w:t>
      </w:r>
    </w:p>
    <w:p w14:paraId="2DCD3309">
      <w:pPr>
        <w:pStyle w:val="24"/>
        <w:spacing w:line="360" w:lineRule="auto"/>
        <w:ind w:firstLine="420"/>
        <w:rPr>
          <w:rFonts w:ascii="Times New Roman" w:hAnsi="Times New Roman"/>
          <w:color w:val="000000" w:themeColor="text1"/>
          <w:sz w:val="21"/>
          <w:highlight w:val="none"/>
          <w14:textFill>
            <w14:solidFill>
              <w14:schemeClr w14:val="tx1"/>
            </w14:solidFill>
          </w14:textFill>
        </w:rPr>
      </w:pPr>
      <w:r>
        <w:rPr>
          <w:rFonts w:ascii="Times New Roman" w:hAnsi="Times New Roman"/>
          <w:color w:val="000000" w:themeColor="text1"/>
          <w:sz w:val="21"/>
          <w:highlight w:val="none"/>
          <w14:textFill>
            <w14:solidFill>
              <w14:schemeClr w14:val="tx1"/>
            </w14:solidFill>
          </w14:textFill>
        </w:rPr>
        <w:t xml:space="preserve">1.6 </w:t>
      </w:r>
      <w:r>
        <w:rPr>
          <w:rFonts w:hint="eastAsia" w:ascii="Times New Roman" w:hAnsi="Times New Roman"/>
          <w:color w:val="000000" w:themeColor="text1"/>
          <w:sz w:val="21"/>
          <w:highlight w:val="none"/>
          <w14:textFill>
            <w14:solidFill>
              <w14:schemeClr w14:val="tx1"/>
            </w14:solidFill>
          </w14:textFill>
        </w:rPr>
        <w:t>本工程暂列金额（约按合同造价</w:t>
      </w:r>
      <w:r>
        <w:rPr>
          <w:rFonts w:ascii="Times New Roman" w:hAnsi="Times New Roman"/>
          <w:color w:val="000000" w:themeColor="text1"/>
          <w:sz w:val="21"/>
          <w:highlight w:val="none"/>
          <w:u w:val="single"/>
          <w14:textFill>
            <w14:solidFill>
              <w14:schemeClr w14:val="tx1"/>
            </w14:solidFill>
          </w14:textFill>
        </w:rPr>
        <w:t xml:space="preserve">   </w:t>
      </w:r>
      <w:r>
        <w:rPr>
          <w:rFonts w:hint="eastAsia" w:ascii="Times New Roman" w:hAnsi="Times New Roman"/>
          <w:color w:val="000000" w:themeColor="text1"/>
          <w:sz w:val="21"/>
          <w:highlight w:val="none"/>
          <w:u w:val="single"/>
          <w14:textFill>
            <w14:solidFill>
              <w14:schemeClr w14:val="tx1"/>
            </w14:solidFill>
          </w14:textFill>
        </w:rPr>
        <w:t>/</w:t>
      </w:r>
      <w:r>
        <w:rPr>
          <w:rFonts w:ascii="Times New Roman" w:hAnsi="Times New Roman"/>
          <w:color w:val="000000" w:themeColor="text1"/>
          <w:sz w:val="21"/>
          <w:highlight w:val="none"/>
          <w:u w:val="single"/>
          <w14:textFill>
            <w14:solidFill>
              <w14:schemeClr w14:val="tx1"/>
            </w14:solidFill>
          </w14:textFill>
        </w:rPr>
        <w:t xml:space="preserve">   </w:t>
      </w:r>
      <w:r>
        <w:rPr>
          <w:rFonts w:ascii="Times New Roman" w:hAnsi="Times New Roman"/>
          <w:color w:val="000000" w:themeColor="text1"/>
          <w:sz w:val="21"/>
          <w:highlight w:val="none"/>
          <w14:textFill>
            <w14:solidFill>
              <w14:schemeClr w14:val="tx1"/>
            </w14:solidFill>
          </w14:textFill>
        </w:rPr>
        <w:t>%</w:t>
      </w:r>
      <w:r>
        <w:rPr>
          <w:rFonts w:hint="eastAsia" w:ascii="Times New Roman" w:hAnsi="Times New Roman"/>
          <w:color w:val="000000" w:themeColor="text1"/>
          <w:sz w:val="21"/>
          <w:highlight w:val="none"/>
          <w14:textFill>
            <w14:solidFill>
              <w14:schemeClr w14:val="tx1"/>
            </w14:solidFill>
          </w14:textFill>
        </w:rPr>
        <w:t>计算），共</w:t>
      </w:r>
      <w:r>
        <w:rPr>
          <w:rFonts w:ascii="Times New Roman" w:hAnsi="Times New Roman"/>
          <w:color w:val="000000" w:themeColor="text1"/>
          <w:sz w:val="21"/>
          <w:highlight w:val="none"/>
          <w:u w:val="single"/>
          <w14:textFill>
            <w14:solidFill>
              <w14:schemeClr w14:val="tx1"/>
            </w14:solidFill>
          </w14:textFill>
        </w:rPr>
        <w:t xml:space="preserve">   </w:t>
      </w:r>
      <w:r>
        <w:rPr>
          <w:rFonts w:hint="eastAsia" w:ascii="Times New Roman" w:hAnsi="Times New Roman"/>
          <w:color w:val="000000" w:themeColor="text1"/>
          <w:sz w:val="21"/>
          <w:highlight w:val="none"/>
          <w:u w:val="single"/>
          <w14:textFill>
            <w14:solidFill>
              <w14:schemeClr w14:val="tx1"/>
            </w14:solidFill>
          </w14:textFill>
        </w:rPr>
        <w:t>/</w:t>
      </w:r>
      <w:r>
        <w:rPr>
          <w:rFonts w:ascii="Times New Roman" w:hAnsi="Times New Roman"/>
          <w:color w:val="000000" w:themeColor="text1"/>
          <w:sz w:val="21"/>
          <w:highlight w:val="none"/>
          <w:u w:val="single"/>
          <w14:textFill>
            <w14:solidFill>
              <w14:schemeClr w14:val="tx1"/>
            </w14:solidFill>
          </w14:textFill>
        </w:rPr>
        <w:t xml:space="preserve">  </w:t>
      </w:r>
      <w:r>
        <w:rPr>
          <w:rFonts w:hint="eastAsia" w:ascii="Times New Roman" w:hAnsi="Times New Roman"/>
          <w:color w:val="000000" w:themeColor="text1"/>
          <w:sz w:val="21"/>
          <w:highlight w:val="none"/>
          <w14:textFill>
            <w14:solidFill>
              <w14:schemeClr w14:val="tx1"/>
            </w14:solidFill>
          </w14:textFill>
        </w:rPr>
        <w:t>元，作为合同签订时尚未确定或者不可预见但施工中可能发生的费用。</w:t>
      </w:r>
    </w:p>
    <w:p w14:paraId="6BE2E86C">
      <w:pPr>
        <w:pStyle w:val="24"/>
        <w:spacing w:line="360" w:lineRule="auto"/>
        <w:ind w:firstLine="420"/>
        <w:rPr>
          <w:rFonts w:ascii="Times New Roman" w:hAnsi="Times New Roman"/>
          <w:color w:val="000000" w:themeColor="text1"/>
          <w:sz w:val="21"/>
          <w:highlight w:val="none"/>
          <w14:textFill>
            <w14:solidFill>
              <w14:schemeClr w14:val="tx1"/>
            </w14:solidFill>
          </w14:textFill>
        </w:rPr>
      </w:pPr>
      <w:r>
        <w:rPr>
          <w:rFonts w:ascii="Times New Roman" w:hAnsi="Times New Roman"/>
          <w:color w:val="000000" w:themeColor="text1"/>
          <w:sz w:val="21"/>
          <w:highlight w:val="none"/>
          <w14:textFill>
            <w14:solidFill>
              <w14:schemeClr w14:val="tx1"/>
            </w14:solidFill>
          </w14:textFill>
        </w:rPr>
        <w:t xml:space="preserve">1.7 </w:t>
      </w:r>
      <w:r>
        <w:rPr>
          <w:rFonts w:hint="eastAsia" w:ascii="Times New Roman" w:hAnsi="Times New Roman"/>
          <w:color w:val="000000" w:themeColor="text1"/>
          <w:sz w:val="21"/>
          <w:highlight w:val="none"/>
          <w14:textFill>
            <w14:solidFill>
              <w14:schemeClr w14:val="tx1"/>
            </w14:solidFill>
          </w14:textFill>
        </w:rPr>
        <w:t>本工程发包人提供的材料和设备详见《发包人提供的主要材料和工程设备一览表》（表</w:t>
      </w:r>
      <w:r>
        <w:rPr>
          <w:rFonts w:ascii="Times New Roman" w:hAnsi="Times New Roman"/>
          <w:color w:val="000000" w:themeColor="text1"/>
          <w:sz w:val="21"/>
          <w:highlight w:val="none"/>
          <w14:textFill>
            <w14:solidFill>
              <w14:schemeClr w14:val="tx1"/>
            </w14:solidFill>
          </w14:textFill>
        </w:rPr>
        <w:t>-21</w:t>
      </w:r>
      <w:r>
        <w:rPr>
          <w:rFonts w:hint="eastAsia" w:ascii="Times New Roman" w:hAnsi="Times New Roman"/>
          <w:color w:val="000000" w:themeColor="text1"/>
          <w:sz w:val="21"/>
          <w:highlight w:val="none"/>
          <w14:textFill>
            <w14:solidFill>
              <w14:schemeClr w14:val="tx1"/>
            </w14:solidFill>
          </w14:textFill>
        </w:rPr>
        <w:t>）。</w:t>
      </w:r>
    </w:p>
    <w:p w14:paraId="1CF65960">
      <w:pPr>
        <w:spacing w:line="360" w:lineRule="auto"/>
        <w:ind w:firstLine="42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1.8 </w:t>
      </w:r>
      <w:r>
        <w:rPr>
          <w:rFonts w:hint="eastAsia" w:cs="宋体"/>
          <w:color w:val="000000" w:themeColor="text1"/>
          <w:highlight w:val="none"/>
          <w14:textFill>
            <w14:solidFill>
              <w14:schemeClr w14:val="tx1"/>
            </w14:solidFill>
          </w14:textFill>
        </w:rPr>
        <w:t>本工程部分材料和设备在招标时作为暂估价计列，结算按实调整，具体内容详见《材料（工程设备）暂估单价及调整表》（表</w:t>
      </w:r>
      <w:r>
        <w:rPr>
          <w:color w:val="000000" w:themeColor="text1"/>
          <w:highlight w:val="none"/>
          <w14:textFill>
            <w14:solidFill>
              <w14:schemeClr w14:val="tx1"/>
            </w14:solidFill>
          </w14:textFill>
        </w:rPr>
        <w:t>12-2</w:t>
      </w:r>
      <w:r>
        <w:rPr>
          <w:rFonts w:hint="eastAsia" w:cs="宋体"/>
          <w:color w:val="000000" w:themeColor="text1"/>
          <w:highlight w:val="none"/>
          <w14:textFill>
            <w14:solidFill>
              <w14:schemeClr w14:val="tx1"/>
            </w14:solidFill>
          </w14:textFill>
        </w:rPr>
        <w:t>）。</w:t>
      </w:r>
    </w:p>
    <w:p w14:paraId="5967E653">
      <w:pPr>
        <w:spacing w:line="360" w:lineRule="auto"/>
        <w:ind w:firstLine="42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1.9 </w:t>
      </w:r>
      <w:r>
        <w:rPr>
          <w:rFonts w:hint="eastAsia" w:cs="宋体"/>
          <w:color w:val="000000" w:themeColor="text1"/>
          <w:highlight w:val="none"/>
          <w14:textFill>
            <w14:solidFill>
              <w14:schemeClr w14:val="tx1"/>
            </w14:solidFill>
          </w14:textFill>
        </w:rPr>
        <w:t>招标时暂估专业工程的价款属于暂估价，结算按实调整，具体内容详见《专业工程暂估价及结算价表》（表</w:t>
      </w:r>
      <w:r>
        <w:rPr>
          <w:color w:val="000000" w:themeColor="text1"/>
          <w:highlight w:val="none"/>
          <w14:textFill>
            <w14:solidFill>
              <w14:schemeClr w14:val="tx1"/>
            </w14:solidFill>
          </w14:textFill>
        </w:rPr>
        <w:t>12-3</w:t>
      </w:r>
      <w:r>
        <w:rPr>
          <w:rFonts w:hint="eastAsia" w:cs="宋体"/>
          <w:color w:val="000000" w:themeColor="text1"/>
          <w:highlight w:val="none"/>
          <w14:textFill>
            <w14:solidFill>
              <w14:schemeClr w14:val="tx1"/>
            </w14:solidFill>
          </w14:textFill>
        </w:rPr>
        <w:t>）。</w:t>
      </w:r>
    </w:p>
    <w:p w14:paraId="49E5BBD8">
      <w:pPr>
        <w:spacing w:line="360" w:lineRule="auto"/>
        <w:ind w:firstLine="42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1.10 </w:t>
      </w:r>
      <w:r>
        <w:rPr>
          <w:rFonts w:hint="eastAsia" w:cs="宋体"/>
          <w:color w:val="000000" w:themeColor="text1"/>
          <w:highlight w:val="none"/>
          <w14:textFill>
            <w14:solidFill>
              <w14:schemeClr w14:val="tx1"/>
            </w14:solidFill>
          </w14:textFill>
        </w:rPr>
        <w:t>本工程量清单编码处标注</w:t>
      </w:r>
      <w:r>
        <w:rPr>
          <w:color w:val="000000" w:themeColor="text1"/>
          <w:highlight w:val="none"/>
          <w14:textFill>
            <w14:solidFill>
              <w14:schemeClr w14:val="tx1"/>
            </w14:solidFill>
          </w14:textFill>
        </w:rPr>
        <w:t>“*”</w:t>
      </w:r>
      <w:r>
        <w:rPr>
          <w:rFonts w:hint="eastAsia" w:cs="宋体"/>
          <w:color w:val="000000" w:themeColor="text1"/>
          <w:highlight w:val="none"/>
          <w14:textFill>
            <w14:solidFill>
              <w14:schemeClr w14:val="tx1"/>
            </w14:solidFill>
          </w14:textFill>
        </w:rPr>
        <w:t>号的清单项目作为主要清单项目，需要供应商提供</w:t>
      </w:r>
      <w:r>
        <w:rPr>
          <w:rFonts w:hint="eastAsia" w:hAnsi="宋体" w:cs="宋体"/>
          <w:color w:val="000000" w:themeColor="text1"/>
          <w:highlight w:val="none"/>
          <w14:textFill>
            <w14:solidFill>
              <w14:schemeClr w14:val="tx1"/>
            </w14:solidFill>
          </w14:textFill>
        </w:rPr>
        <w:t>《主要清单项目工料机分析表》（表</w:t>
      </w:r>
      <w:r>
        <w:rPr>
          <w:color w:val="000000" w:themeColor="text1"/>
          <w:highlight w:val="none"/>
          <w14:textFill>
            <w14:solidFill>
              <w14:schemeClr w14:val="tx1"/>
            </w14:solidFill>
          </w14:textFill>
        </w:rPr>
        <w:t>-10</w:t>
      </w:r>
      <w:r>
        <w:rPr>
          <w:rFonts w:hint="eastAsia" w:hAnsi="宋体" w:cs="宋体"/>
          <w:color w:val="000000" w:themeColor="text1"/>
          <w:highlight w:val="none"/>
          <w14:textFill>
            <w14:solidFill>
              <w14:schemeClr w14:val="tx1"/>
            </w14:solidFill>
          </w14:textFill>
        </w:rPr>
        <w:t>）</w:t>
      </w:r>
      <w:r>
        <w:rPr>
          <w:rFonts w:hint="eastAsia" w:cs="宋体"/>
          <w:color w:val="000000" w:themeColor="text1"/>
          <w:highlight w:val="none"/>
          <w14:textFill>
            <w14:solidFill>
              <w14:schemeClr w14:val="tx1"/>
            </w14:solidFill>
          </w14:textFill>
        </w:rPr>
        <w:t>。</w:t>
      </w:r>
    </w:p>
    <w:p w14:paraId="790BA11C">
      <w:pPr>
        <w:spacing w:line="360" w:lineRule="auto"/>
        <w:ind w:firstLine="42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1.11 </w:t>
      </w:r>
      <w:r>
        <w:rPr>
          <w:rFonts w:hint="eastAsia" w:cs="宋体"/>
          <w:color w:val="000000" w:themeColor="text1"/>
          <w:highlight w:val="none"/>
          <w14:textFill>
            <w14:solidFill>
              <w14:schemeClr w14:val="tx1"/>
            </w14:solidFill>
          </w14:textFill>
        </w:rPr>
        <w:t>其它需要说明的问题：</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w:t>
      </w:r>
      <w:r>
        <w:rPr>
          <w:color w:val="000000" w:themeColor="text1"/>
          <w:highlight w:val="none"/>
          <w:u w:val="singl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w:t>
      </w:r>
    </w:p>
    <w:p w14:paraId="6EAAC7B1">
      <w:pPr>
        <w:spacing w:line="360" w:lineRule="auto"/>
        <w:ind w:firstLine="42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1.12 </w:t>
      </w:r>
      <w:r>
        <w:rPr>
          <w:rFonts w:hint="eastAsia" w:cs="宋体"/>
          <w:color w:val="000000" w:themeColor="text1"/>
          <w:highlight w:val="none"/>
          <w14:textFill>
            <w14:solidFill>
              <w14:schemeClr w14:val="tx1"/>
            </w14:solidFill>
          </w14:textFill>
        </w:rPr>
        <w:t>工程量清单与磋商文件同时发布。</w:t>
      </w:r>
      <w:r>
        <w:rPr>
          <w:color w:val="000000" w:themeColor="text1"/>
          <w:highlight w:val="non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一般计税法建设工程的工程量清单表格按</w:t>
      </w:r>
      <w:r>
        <w:rPr>
          <w:rFonts w:hint="eastAsia" w:hAnsi="宋体" w:cs="宋体"/>
          <w:color w:val="000000" w:themeColor="text1"/>
          <w:highlight w:val="none"/>
          <w14:textFill>
            <w14:solidFill>
              <w14:schemeClr w14:val="tx1"/>
            </w14:solidFill>
          </w14:textFill>
        </w:rPr>
        <w:t>《关于建筑业实施营业税改征增值税后广西壮族自治区建设工程计价依据调整的通知》（桂建标〔</w:t>
      </w:r>
      <w:r>
        <w:rPr>
          <w:rFonts w:hAnsi="宋体"/>
          <w:color w:val="000000" w:themeColor="text1"/>
          <w:highlight w:val="none"/>
          <w14:textFill>
            <w14:solidFill>
              <w14:schemeClr w14:val="tx1"/>
            </w14:solidFill>
          </w14:textFill>
        </w:rPr>
        <w:t>2016</w:t>
      </w:r>
      <w:r>
        <w:rPr>
          <w:rFonts w:hint="eastAsia" w:hAnsi="宋体" w:cs="宋体"/>
          <w:color w:val="000000" w:themeColor="text1"/>
          <w:highlight w:val="none"/>
          <w14:textFill>
            <w14:solidFill>
              <w14:schemeClr w14:val="tx1"/>
            </w14:solidFill>
          </w14:textFill>
        </w:rPr>
        <w:t>〕</w:t>
      </w:r>
      <w:r>
        <w:rPr>
          <w:rFonts w:hAnsi="宋体"/>
          <w:color w:val="000000" w:themeColor="text1"/>
          <w:highlight w:val="none"/>
          <w14:textFill>
            <w14:solidFill>
              <w14:schemeClr w14:val="tx1"/>
            </w14:solidFill>
          </w14:textFill>
        </w:rPr>
        <w:t>17</w:t>
      </w:r>
      <w:r>
        <w:rPr>
          <w:rFonts w:hint="eastAsia" w:hAnsi="宋体" w:cs="宋体"/>
          <w:color w:val="000000" w:themeColor="text1"/>
          <w:highlight w:val="none"/>
          <w14:textFill>
            <w14:solidFill>
              <w14:schemeClr w14:val="tx1"/>
            </w14:solidFill>
          </w14:textFill>
        </w:rPr>
        <w:t>号）</w:t>
      </w:r>
      <w:r>
        <w:rPr>
          <w:rFonts w:hint="eastAsia" w:ascii="宋体" w:hAnsi="宋体" w:cs="宋体"/>
          <w:color w:val="000000" w:themeColor="text1"/>
          <w:highlight w:val="none"/>
          <w14:textFill>
            <w14:solidFill>
              <w14:schemeClr w14:val="tx1"/>
            </w14:solidFill>
          </w14:textFill>
        </w:rPr>
        <w:t>附件“增值税一般计税方法工程计价表”要求提供；简易计税法建设工程按照《计价规范》要求的</w:t>
      </w:r>
      <w:r>
        <w:rPr>
          <w:rFonts w:hint="eastAsia" w:cs="宋体"/>
          <w:color w:val="000000" w:themeColor="text1"/>
          <w:highlight w:val="none"/>
          <w14:textFill>
            <w14:solidFill>
              <w14:schemeClr w14:val="tx1"/>
            </w14:solidFill>
          </w14:textFill>
        </w:rPr>
        <w:t>表格提供，但规费和税费要按照《关于建筑业实施营业税改征增值税后广西壮族自治区建设工程计价依据调整的通知》（桂建标〔</w:t>
      </w:r>
      <w:r>
        <w:rPr>
          <w:color w:val="000000" w:themeColor="text1"/>
          <w:highlight w:val="none"/>
          <w14:textFill>
            <w14:solidFill>
              <w14:schemeClr w14:val="tx1"/>
            </w14:solidFill>
          </w14:textFill>
        </w:rPr>
        <w:t>2016</w:t>
      </w:r>
      <w:r>
        <w:rPr>
          <w:rFonts w:hint="eastAsia"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17</w:t>
      </w:r>
      <w:r>
        <w:rPr>
          <w:rFonts w:hint="eastAsia" w:cs="宋体"/>
          <w:color w:val="000000" w:themeColor="text1"/>
          <w:highlight w:val="none"/>
          <w14:textFill>
            <w14:solidFill>
              <w14:schemeClr w14:val="tx1"/>
            </w14:solidFill>
          </w14:textFill>
        </w:rPr>
        <w:t>号）</w:t>
      </w:r>
      <w:r>
        <w:rPr>
          <w:rFonts w:hint="eastAsia" w:ascii="宋体" w:hAnsi="宋体" w:cs="宋体"/>
          <w:color w:val="000000" w:themeColor="text1"/>
          <w:highlight w:val="none"/>
          <w14:textFill>
            <w14:solidFill>
              <w14:schemeClr w14:val="tx1"/>
            </w14:solidFill>
          </w14:textFill>
        </w:rPr>
        <w:t>要求调整，具体</w:t>
      </w:r>
      <w:r>
        <w:rPr>
          <w:rFonts w:hint="eastAsia" w:cs="宋体"/>
          <w:color w:val="000000" w:themeColor="text1"/>
          <w:highlight w:val="none"/>
          <w14:textFill>
            <w14:solidFill>
              <w14:schemeClr w14:val="tx1"/>
            </w14:solidFill>
          </w14:textFill>
        </w:rPr>
        <w:t>包括：</w:t>
      </w:r>
    </w:p>
    <w:p w14:paraId="79D5EF37">
      <w:pPr>
        <w:spacing w:line="360" w:lineRule="auto"/>
        <w:ind w:firstLine="63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1.1 </w:t>
      </w:r>
      <w:r>
        <w:rPr>
          <w:rFonts w:hint="eastAsia" w:cs="宋体"/>
          <w:color w:val="000000" w:themeColor="text1"/>
          <w:highlight w:val="none"/>
          <w14:textFill>
            <w14:solidFill>
              <w14:schemeClr w14:val="tx1"/>
            </w14:solidFill>
          </w14:textFill>
        </w:rPr>
        <w:t>招标工程量清单（封</w:t>
      </w:r>
      <w:r>
        <w:rPr>
          <w:color w:val="000000" w:themeColor="text1"/>
          <w:highlight w:val="none"/>
          <w14:textFill>
            <w14:solidFill>
              <w14:schemeClr w14:val="tx1"/>
            </w14:solidFill>
          </w14:textFill>
        </w:rPr>
        <w:t>-1</w:t>
      </w:r>
      <w:r>
        <w:rPr>
          <w:rFonts w:hint="eastAsia" w:cs="宋体"/>
          <w:color w:val="000000" w:themeColor="text1"/>
          <w:highlight w:val="none"/>
          <w14:textFill>
            <w14:solidFill>
              <w14:schemeClr w14:val="tx1"/>
            </w14:solidFill>
          </w14:textFill>
        </w:rPr>
        <w:t>）</w:t>
      </w:r>
    </w:p>
    <w:p w14:paraId="736F9CF6">
      <w:pPr>
        <w:spacing w:line="360" w:lineRule="auto"/>
        <w:ind w:firstLine="63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1.2 </w:t>
      </w:r>
      <w:r>
        <w:rPr>
          <w:rFonts w:hint="eastAsia" w:cs="宋体"/>
          <w:color w:val="000000" w:themeColor="text1"/>
          <w:highlight w:val="none"/>
          <w14:textFill>
            <w14:solidFill>
              <w14:schemeClr w14:val="tx1"/>
            </w14:solidFill>
          </w14:textFill>
        </w:rPr>
        <w:t>招标工程量清单（封扉</w:t>
      </w:r>
      <w:r>
        <w:rPr>
          <w:color w:val="000000" w:themeColor="text1"/>
          <w:highlight w:val="none"/>
          <w14:textFill>
            <w14:solidFill>
              <w14:schemeClr w14:val="tx1"/>
            </w14:solidFill>
          </w14:textFill>
        </w:rPr>
        <w:t>-1</w:t>
      </w:r>
      <w:r>
        <w:rPr>
          <w:rFonts w:hint="eastAsia" w:cs="宋体"/>
          <w:color w:val="000000" w:themeColor="text1"/>
          <w:highlight w:val="none"/>
          <w14:textFill>
            <w14:solidFill>
              <w14:schemeClr w14:val="tx1"/>
            </w14:solidFill>
          </w14:textFill>
        </w:rPr>
        <w:t>）</w:t>
      </w:r>
    </w:p>
    <w:p w14:paraId="0A779504">
      <w:pPr>
        <w:spacing w:line="360" w:lineRule="auto"/>
        <w:ind w:firstLine="63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1.3 </w:t>
      </w:r>
      <w:r>
        <w:rPr>
          <w:rFonts w:hint="eastAsia" w:cs="宋体"/>
          <w:color w:val="000000" w:themeColor="text1"/>
          <w:highlight w:val="none"/>
          <w14:textFill>
            <w14:solidFill>
              <w14:schemeClr w14:val="tx1"/>
            </w14:solidFill>
          </w14:textFill>
        </w:rPr>
        <w:t>总说明（表</w:t>
      </w:r>
      <w:r>
        <w:rPr>
          <w:color w:val="000000" w:themeColor="text1"/>
          <w:highlight w:val="none"/>
          <w14:textFill>
            <w14:solidFill>
              <w14:schemeClr w14:val="tx1"/>
            </w14:solidFill>
          </w14:textFill>
        </w:rPr>
        <w:t>-01</w:t>
      </w:r>
      <w:r>
        <w:rPr>
          <w:rFonts w:hint="eastAsia" w:cs="宋体"/>
          <w:color w:val="000000" w:themeColor="text1"/>
          <w:highlight w:val="none"/>
          <w14:textFill>
            <w14:solidFill>
              <w14:schemeClr w14:val="tx1"/>
            </w14:solidFill>
          </w14:textFill>
        </w:rPr>
        <w:t>）</w:t>
      </w:r>
    </w:p>
    <w:p w14:paraId="7381EC79">
      <w:pPr>
        <w:spacing w:line="360" w:lineRule="auto"/>
        <w:ind w:firstLine="63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1.4 </w:t>
      </w:r>
      <w:r>
        <w:rPr>
          <w:rFonts w:hint="eastAsia" w:cs="宋体"/>
          <w:color w:val="000000" w:themeColor="text1"/>
          <w:highlight w:val="none"/>
          <w14:textFill>
            <w14:solidFill>
              <w14:schemeClr w14:val="tx1"/>
            </w14:solidFill>
          </w14:textFill>
        </w:rPr>
        <w:t>建设项目投标报价汇总表（表</w:t>
      </w:r>
      <w:r>
        <w:rPr>
          <w:color w:val="000000" w:themeColor="text1"/>
          <w:highlight w:val="none"/>
          <w14:textFill>
            <w14:solidFill>
              <w14:schemeClr w14:val="tx1"/>
            </w14:solidFill>
          </w14:textFill>
        </w:rPr>
        <w:t>-02</w:t>
      </w:r>
      <w:r>
        <w:rPr>
          <w:rFonts w:hint="eastAsia" w:cs="宋体"/>
          <w:color w:val="000000" w:themeColor="text1"/>
          <w:highlight w:val="none"/>
          <w14:textFill>
            <w14:solidFill>
              <w14:schemeClr w14:val="tx1"/>
            </w14:solidFill>
          </w14:textFill>
        </w:rPr>
        <w:t>）</w:t>
      </w:r>
    </w:p>
    <w:p w14:paraId="2C0C2ADD">
      <w:pPr>
        <w:spacing w:line="360" w:lineRule="auto"/>
        <w:ind w:firstLine="63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1.5 </w:t>
      </w:r>
      <w:r>
        <w:rPr>
          <w:rFonts w:hint="eastAsia" w:cs="宋体"/>
          <w:color w:val="000000" w:themeColor="text1"/>
          <w:highlight w:val="none"/>
          <w14:textFill>
            <w14:solidFill>
              <w14:schemeClr w14:val="tx1"/>
            </w14:solidFill>
          </w14:textFill>
        </w:rPr>
        <w:t>单项工程投标报价汇总表（表</w:t>
      </w:r>
      <w:r>
        <w:rPr>
          <w:color w:val="000000" w:themeColor="text1"/>
          <w:highlight w:val="none"/>
          <w14:textFill>
            <w14:solidFill>
              <w14:schemeClr w14:val="tx1"/>
            </w14:solidFill>
          </w14:textFill>
        </w:rPr>
        <w:t>-03</w:t>
      </w:r>
      <w:r>
        <w:rPr>
          <w:rFonts w:hint="eastAsia" w:cs="宋体"/>
          <w:color w:val="000000" w:themeColor="text1"/>
          <w:highlight w:val="none"/>
          <w14:textFill>
            <w14:solidFill>
              <w14:schemeClr w14:val="tx1"/>
            </w14:solidFill>
          </w14:textFill>
        </w:rPr>
        <w:t>）</w:t>
      </w:r>
    </w:p>
    <w:p w14:paraId="1B0D28D9">
      <w:pPr>
        <w:spacing w:line="360" w:lineRule="auto"/>
        <w:ind w:firstLine="63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1.6 </w:t>
      </w:r>
      <w:r>
        <w:rPr>
          <w:rFonts w:hint="eastAsia" w:cs="宋体"/>
          <w:color w:val="000000" w:themeColor="text1"/>
          <w:highlight w:val="none"/>
          <w14:textFill>
            <w14:solidFill>
              <w14:schemeClr w14:val="tx1"/>
            </w14:solidFill>
          </w14:textFill>
        </w:rPr>
        <w:t>单位工程投标报价汇总表（表</w:t>
      </w:r>
      <w:r>
        <w:rPr>
          <w:color w:val="000000" w:themeColor="text1"/>
          <w:highlight w:val="none"/>
          <w14:textFill>
            <w14:solidFill>
              <w14:schemeClr w14:val="tx1"/>
            </w14:solidFill>
          </w14:textFill>
        </w:rPr>
        <w:t>-04</w:t>
      </w:r>
      <w:r>
        <w:rPr>
          <w:rFonts w:hint="eastAsia" w:cs="宋体"/>
          <w:color w:val="000000" w:themeColor="text1"/>
          <w:highlight w:val="none"/>
          <w14:textFill>
            <w14:solidFill>
              <w14:schemeClr w14:val="tx1"/>
            </w14:solidFill>
          </w14:textFill>
        </w:rPr>
        <w:t>）</w:t>
      </w:r>
    </w:p>
    <w:p w14:paraId="070650DE">
      <w:pPr>
        <w:spacing w:line="360" w:lineRule="auto"/>
        <w:ind w:firstLine="63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1.7 </w:t>
      </w:r>
      <w:r>
        <w:rPr>
          <w:rFonts w:hint="eastAsia" w:cs="宋体"/>
          <w:color w:val="000000" w:themeColor="text1"/>
          <w:highlight w:val="none"/>
          <w14:textFill>
            <w14:solidFill>
              <w14:schemeClr w14:val="tx1"/>
            </w14:solidFill>
          </w14:textFill>
        </w:rPr>
        <w:t>分部分项工程和单价措施项目清单与计价表（表</w:t>
      </w:r>
      <w:r>
        <w:rPr>
          <w:color w:val="000000" w:themeColor="text1"/>
          <w:highlight w:val="none"/>
          <w14:textFill>
            <w14:solidFill>
              <w14:schemeClr w14:val="tx1"/>
            </w14:solidFill>
          </w14:textFill>
        </w:rPr>
        <w:t>-08</w:t>
      </w:r>
      <w:r>
        <w:rPr>
          <w:rFonts w:hint="eastAsia" w:cs="宋体"/>
          <w:color w:val="000000" w:themeColor="text1"/>
          <w:highlight w:val="none"/>
          <w14:textFill>
            <w14:solidFill>
              <w14:schemeClr w14:val="tx1"/>
            </w14:solidFill>
          </w14:textFill>
        </w:rPr>
        <w:t>）</w:t>
      </w:r>
    </w:p>
    <w:p w14:paraId="36F5B19F">
      <w:pPr>
        <w:spacing w:line="360" w:lineRule="auto"/>
        <w:ind w:firstLine="63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1.8 </w:t>
      </w:r>
      <w:r>
        <w:rPr>
          <w:rFonts w:hint="eastAsia" w:cs="宋体"/>
          <w:color w:val="000000" w:themeColor="text1"/>
          <w:highlight w:val="none"/>
          <w14:textFill>
            <w14:solidFill>
              <w14:schemeClr w14:val="tx1"/>
            </w14:solidFill>
          </w14:textFill>
        </w:rPr>
        <w:t>总价措施项目清单与计价表（表</w:t>
      </w:r>
      <w:r>
        <w:rPr>
          <w:color w:val="000000" w:themeColor="text1"/>
          <w:highlight w:val="none"/>
          <w14:textFill>
            <w14:solidFill>
              <w14:schemeClr w14:val="tx1"/>
            </w14:solidFill>
          </w14:textFill>
        </w:rPr>
        <w:t>-11</w:t>
      </w:r>
      <w:r>
        <w:rPr>
          <w:rFonts w:hint="eastAsia" w:cs="宋体"/>
          <w:color w:val="000000" w:themeColor="text1"/>
          <w:highlight w:val="none"/>
          <w14:textFill>
            <w14:solidFill>
              <w14:schemeClr w14:val="tx1"/>
            </w14:solidFill>
          </w14:textFill>
        </w:rPr>
        <w:t>）</w:t>
      </w:r>
    </w:p>
    <w:p w14:paraId="198CBB1C">
      <w:pPr>
        <w:spacing w:line="360" w:lineRule="auto"/>
        <w:ind w:firstLine="63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1.9 </w:t>
      </w:r>
      <w:r>
        <w:rPr>
          <w:rFonts w:hint="eastAsia" w:cs="宋体"/>
          <w:color w:val="000000" w:themeColor="text1"/>
          <w:highlight w:val="none"/>
          <w14:textFill>
            <w14:solidFill>
              <w14:schemeClr w14:val="tx1"/>
            </w14:solidFill>
          </w14:textFill>
        </w:rPr>
        <w:t>其他项目清单与计价汇总表（表</w:t>
      </w:r>
      <w:r>
        <w:rPr>
          <w:color w:val="000000" w:themeColor="text1"/>
          <w:highlight w:val="none"/>
          <w14:textFill>
            <w14:solidFill>
              <w14:schemeClr w14:val="tx1"/>
            </w14:solidFill>
          </w14:textFill>
        </w:rPr>
        <w:t>-12</w:t>
      </w:r>
      <w:r>
        <w:rPr>
          <w:rFonts w:hint="eastAsia" w:cs="宋体"/>
          <w:color w:val="000000" w:themeColor="text1"/>
          <w:highlight w:val="none"/>
          <w14:textFill>
            <w14:solidFill>
              <w14:schemeClr w14:val="tx1"/>
            </w14:solidFill>
          </w14:textFill>
        </w:rPr>
        <w:t>）</w:t>
      </w:r>
    </w:p>
    <w:p w14:paraId="4112B147">
      <w:pPr>
        <w:spacing w:line="360" w:lineRule="auto"/>
        <w:ind w:firstLine="63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1.10 </w:t>
      </w:r>
      <w:r>
        <w:rPr>
          <w:rFonts w:hint="eastAsia" w:cs="宋体"/>
          <w:color w:val="000000" w:themeColor="text1"/>
          <w:highlight w:val="none"/>
          <w14:textFill>
            <w14:solidFill>
              <w14:schemeClr w14:val="tx1"/>
            </w14:solidFill>
          </w14:textFill>
        </w:rPr>
        <w:t>暂列金额明细表（表</w:t>
      </w:r>
      <w:r>
        <w:rPr>
          <w:color w:val="000000" w:themeColor="text1"/>
          <w:highlight w:val="none"/>
          <w14:textFill>
            <w14:solidFill>
              <w14:schemeClr w14:val="tx1"/>
            </w14:solidFill>
          </w14:textFill>
        </w:rPr>
        <w:t>12-1</w:t>
      </w:r>
      <w:r>
        <w:rPr>
          <w:rFonts w:hint="eastAsia" w:cs="宋体"/>
          <w:color w:val="000000" w:themeColor="text1"/>
          <w:highlight w:val="none"/>
          <w14:textFill>
            <w14:solidFill>
              <w14:schemeClr w14:val="tx1"/>
            </w14:solidFill>
          </w14:textFill>
        </w:rPr>
        <w:t>）</w:t>
      </w:r>
    </w:p>
    <w:p w14:paraId="073B2A79">
      <w:pPr>
        <w:spacing w:line="360" w:lineRule="auto"/>
        <w:ind w:firstLine="63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1.11 </w:t>
      </w:r>
      <w:r>
        <w:rPr>
          <w:rFonts w:hint="eastAsia" w:cs="宋体"/>
          <w:color w:val="000000" w:themeColor="text1"/>
          <w:highlight w:val="none"/>
          <w14:textFill>
            <w14:solidFill>
              <w14:schemeClr w14:val="tx1"/>
            </w14:solidFill>
          </w14:textFill>
        </w:rPr>
        <w:t>材料（工程设备）暂估单价及调整表（表</w:t>
      </w:r>
      <w:r>
        <w:rPr>
          <w:color w:val="000000" w:themeColor="text1"/>
          <w:highlight w:val="none"/>
          <w14:textFill>
            <w14:solidFill>
              <w14:schemeClr w14:val="tx1"/>
            </w14:solidFill>
          </w14:textFill>
        </w:rPr>
        <w:t>12-2</w:t>
      </w:r>
      <w:r>
        <w:rPr>
          <w:rFonts w:hint="eastAsia" w:cs="宋体"/>
          <w:color w:val="000000" w:themeColor="text1"/>
          <w:highlight w:val="none"/>
          <w14:textFill>
            <w14:solidFill>
              <w14:schemeClr w14:val="tx1"/>
            </w14:solidFill>
          </w14:textFill>
        </w:rPr>
        <w:t>）</w:t>
      </w:r>
    </w:p>
    <w:p w14:paraId="60C26C1A">
      <w:pPr>
        <w:spacing w:line="360" w:lineRule="auto"/>
        <w:ind w:firstLine="63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1.12 </w:t>
      </w:r>
      <w:r>
        <w:rPr>
          <w:rFonts w:hint="eastAsia" w:cs="宋体"/>
          <w:color w:val="000000" w:themeColor="text1"/>
          <w:highlight w:val="none"/>
          <w14:textFill>
            <w14:solidFill>
              <w14:schemeClr w14:val="tx1"/>
            </w14:solidFill>
          </w14:textFill>
        </w:rPr>
        <w:t>专业工程暂估价</w:t>
      </w:r>
      <w:r>
        <w:rPr>
          <w:rFonts w:hint="eastAsia"/>
          <w:color w:val="000000" w:themeColor="text1"/>
          <w:highlight w:val="none"/>
          <w14:textFill>
            <w14:solidFill>
              <w14:schemeClr w14:val="tx1"/>
            </w14:solidFill>
          </w14:textFill>
        </w:rPr>
        <w:t>及结算价</w:t>
      </w:r>
      <w:r>
        <w:rPr>
          <w:rFonts w:hint="eastAsia" w:cs="宋体"/>
          <w:color w:val="000000" w:themeColor="text1"/>
          <w:highlight w:val="none"/>
          <w14:textFill>
            <w14:solidFill>
              <w14:schemeClr w14:val="tx1"/>
            </w14:solidFill>
          </w14:textFill>
        </w:rPr>
        <w:t>表（表</w:t>
      </w:r>
      <w:r>
        <w:rPr>
          <w:color w:val="000000" w:themeColor="text1"/>
          <w:highlight w:val="none"/>
          <w14:textFill>
            <w14:solidFill>
              <w14:schemeClr w14:val="tx1"/>
            </w14:solidFill>
          </w14:textFill>
        </w:rPr>
        <w:t>12-3</w:t>
      </w:r>
      <w:r>
        <w:rPr>
          <w:rFonts w:hint="eastAsia" w:cs="宋体"/>
          <w:color w:val="000000" w:themeColor="text1"/>
          <w:highlight w:val="none"/>
          <w14:textFill>
            <w14:solidFill>
              <w14:schemeClr w14:val="tx1"/>
            </w14:solidFill>
          </w14:textFill>
        </w:rPr>
        <w:t>）</w:t>
      </w:r>
    </w:p>
    <w:p w14:paraId="124BEC7B">
      <w:pPr>
        <w:spacing w:line="360" w:lineRule="auto"/>
        <w:ind w:firstLine="63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1.13 </w:t>
      </w:r>
      <w:r>
        <w:rPr>
          <w:rFonts w:hint="eastAsia" w:cs="宋体"/>
          <w:color w:val="000000" w:themeColor="text1"/>
          <w:highlight w:val="none"/>
          <w14:textFill>
            <w14:solidFill>
              <w14:schemeClr w14:val="tx1"/>
            </w14:solidFill>
          </w14:textFill>
        </w:rPr>
        <w:t>计日工表（表</w:t>
      </w:r>
      <w:r>
        <w:rPr>
          <w:color w:val="000000" w:themeColor="text1"/>
          <w:highlight w:val="none"/>
          <w14:textFill>
            <w14:solidFill>
              <w14:schemeClr w14:val="tx1"/>
            </w14:solidFill>
          </w14:textFill>
        </w:rPr>
        <w:t>12-4</w:t>
      </w:r>
      <w:r>
        <w:rPr>
          <w:rFonts w:hint="eastAsia" w:cs="宋体"/>
          <w:color w:val="000000" w:themeColor="text1"/>
          <w:highlight w:val="none"/>
          <w14:textFill>
            <w14:solidFill>
              <w14:schemeClr w14:val="tx1"/>
            </w14:solidFill>
          </w14:textFill>
        </w:rPr>
        <w:t>）</w:t>
      </w:r>
    </w:p>
    <w:p w14:paraId="4FFD94C1">
      <w:pPr>
        <w:spacing w:line="360" w:lineRule="auto"/>
        <w:ind w:firstLine="63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1.14 </w:t>
      </w:r>
      <w:r>
        <w:rPr>
          <w:rFonts w:hint="eastAsia" w:cs="宋体"/>
          <w:color w:val="000000" w:themeColor="text1"/>
          <w:highlight w:val="none"/>
          <w14:textFill>
            <w14:solidFill>
              <w14:schemeClr w14:val="tx1"/>
            </w14:solidFill>
          </w14:textFill>
        </w:rPr>
        <w:t>总承包服务费计价表（表</w:t>
      </w:r>
      <w:r>
        <w:rPr>
          <w:color w:val="000000" w:themeColor="text1"/>
          <w:highlight w:val="none"/>
          <w14:textFill>
            <w14:solidFill>
              <w14:schemeClr w14:val="tx1"/>
            </w14:solidFill>
          </w14:textFill>
        </w:rPr>
        <w:t>12-5</w:t>
      </w:r>
      <w:r>
        <w:rPr>
          <w:rFonts w:hint="eastAsia" w:cs="宋体"/>
          <w:color w:val="000000" w:themeColor="text1"/>
          <w:highlight w:val="none"/>
          <w14:textFill>
            <w14:solidFill>
              <w14:schemeClr w14:val="tx1"/>
            </w14:solidFill>
          </w14:textFill>
        </w:rPr>
        <w:t>）</w:t>
      </w:r>
    </w:p>
    <w:p w14:paraId="550D7076">
      <w:pPr>
        <w:spacing w:line="360" w:lineRule="auto"/>
        <w:ind w:firstLine="63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1.15 </w:t>
      </w:r>
      <w:r>
        <w:rPr>
          <w:rFonts w:hint="eastAsia" w:cs="宋体"/>
          <w:color w:val="000000" w:themeColor="text1"/>
          <w:highlight w:val="none"/>
          <w14:textFill>
            <w14:solidFill>
              <w14:schemeClr w14:val="tx1"/>
            </w14:solidFill>
          </w14:textFill>
        </w:rPr>
        <w:t>税前项目清单与计价表（表</w:t>
      </w:r>
      <w:r>
        <w:rPr>
          <w:color w:val="000000" w:themeColor="text1"/>
          <w:highlight w:val="none"/>
          <w14:textFill>
            <w14:solidFill>
              <w14:schemeClr w14:val="tx1"/>
            </w14:solidFill>
          </w14:textFill>
        </w:rPr>
        <w:t>-14</w:t>
      </w:r>
      <w:r>
        <w:rPr>
          <w:rFonts w:hint="eastAsia" w:cs="宋体"/>
          <w:color w:val="000000" w:themeColor="text1"/>
          <w:highlight w:val="none"/>
          <w14:textFill>
            <w14:solidFill>
              <w14:schemeClr w14:val="tx1"/>
            </w14:solidFill>
          </w14:textFill>
        </w:rPr>
        <w:t>）</w:t>
      </w:r>
    </w:p>
    <w:p w14:paraId="7687EC24">
      <w:pPr>
        <w:spacing w:line="360" w:lineRule="auto"/>
        <w:ind w:firstLine="63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1.16 </w:t>
      </w:r>
      <w:r>
        <w:rPr>
          <w:rFonts w:hint="eastAsia" w:cs="宋体"/>
          <w:color w:val="000000" w:themeColor="text1"/>
          <w:highlight w:val="none"/>
          <w14:textFill>
            <w14:solidFill>
              <w14:schemeClr w14:val="tx1"/>
            </w14:solidFill>
          </w14:textFill>
        </w:rPr>
        <w:t>规费、增值税计价表（表</w:t>
      </w:r>
      <w:r>
        <w:rPr>
          <w:color w:val="000000" w:themeColor="text1"/>
          <w:highlight w:val="none"/>
          <w14:textFill>
            <w14:solidFill>
              <w14:schemeClr w14:val="tx1"/>
            </w14:solidFill>
          </w14:textFill>
        </w:rPr>
        <w:t>-15</w:t>
      </w:r>
      <w:r>
        <w:rPr>
          <w:rFonts w:hint="eastAsia" w:cs="宋体"/>
          <w:color w:val="000000" w:themeColor="text1"/>
          <w:highlight w:val="none"/>
          <w14:textFill>
            <w14:solidFill>
              <w14:schemeClr w14:val="tx1"/>
            </w14:solidFill>
          </w14:textFill>
        </w:rPr>
        <w:t>）</w:t>
      </w:r>
    </w:p>
    <w:p w14:paraId="4937A5BD">
      <w:pPr>
        <w:spacing w:line="360" w:lineRule="auto"/>
        <w:ind w:firstLine="63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1.17 </w:t>
      </w:r>
      <w:r>
        <w:rPr>
          <w:rFonts w:hint="eastAsia" w:cs="宋体"/>
          <w:color w:val="000000" w:themeColor="text1"/>
          <w:highlight w:val="none"/>
          <w14:textFill>
            <w14:solidFill>
              <w14:schemeClr w14:val="tx1"/>
            </w14:solidFill>
          </w14:textFill>
        </w:rPr>
        <w:t>发包人提供主要材料和工程设备一览表（表</w:t>
      </w:r>
      <w:r>
        <w:rPr>
          <w:color w:val="000000" w:themeColor="text1"/>
          <w:highlight w:val="none"/>
          <w14:textFill>
            <w14:solidFill>
              <w14:schemeClr w14:val="tx1"/>
            </w14:solidFill>
          </w14:textFill>
        </w:rPr>
        <w:t>-21</w:t>
      </w:r>
      <w:r>
        <w:rPr>
          <w:rFonts w:hint="eastAsia" w:cs="宋体"/>
          <w:color w:val="000000" w:themeColor="text1"/>
          <w:highlight w:val="none"/>
          <w14:textFill>
            <w14:solidFill>
              <w14:schemeClr w14:val="tx1"/>
            </w14:solidFill>
          </w14:textFill>
        </w:rPr>
        <w:t>）</w:t>
      </w:r>
    </w:p>
    <w:p w14:paraId="2FEF27AC">
      <w:pPr>
        <w:spacing w:line="360" w:lineRule="auto"/>
        <w:ind w:firstLine="63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1.18 </w:t>
      </w:r>
      <w:r>
        <w:rPr>
          <w:rFonts w:hint="eastAsia" w:cs="宋体"/>
          <w:color w:val="000000" w:themeColor="text1"/>
          <w:highlight w:val="none"/>
          <w14:textFill>
            <w14:solidFill>
              <w14:schemeClr w14:val="tx1"/>
            </w14:solidFill>
          </w14:textFill>
        </w:rPr>
        <w:t>允许调整主要材料和工程设备一览表（适用于造价信息差额调整法）（表</w:t>
      </w:r>
      <w:r>
        <w:rPr>
          <w:color w:val="000000" w:themeColor="text1"/>
          <w:highlight w:val="none"/>
          <w14:textFill>
            <w14:solidFill>
              <w14:schemeClr w14:val="tx1"/>
            </w14:solidFill>
          </w14:textFill>
        </w:rPr>
        <w:t>-22</w:t>
      </w:r>
      <w:r>
        <w:rPr>
          <w:rFonts w:hint="eastAsia" w:cs="宋体"/>
          <w:color w:val="000000" w:themeColor="text1"/>
          <w:highlight w:val="none"/>
          <w14:textFill>
            <w14:solidFill>
              <w14:schemeClr w14:val="tx1"/>
            </w14:solidFill>
          </w14:textFill>
        </w:rPr>
        <w:t>）</w:t>
      </w:r>
    </w:p>
    <w:p w14:paraId="6E340349">
      <w:pPr>
        <w:spacing w:line="360" w:lineRule="auto"/>
        <w:ind w:firstLine="630"/>
        <w:jc w:val="left"/>
        <w:rPr>
          <w:rFonts w:hint="eastAsia"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1.19</w:t>
      </w:r>
      <w:r>
        <w:rPr>
          <w:rFonts w:hint="eastAsia" w:cs="宋体"/>
          <w:color w:val="000000" w:themeColor="text1"/>
          <w:highlight w:val="none"/>
          <w14:textFill>
            <w14:solidFill>
              <w14:schemeClr w14:val="tx1"/>
            </w14:solidFill>
          </w14:textFill>
        </w:rPr>
        <w:t>允许调整主要材料和工程设备一览表（适用于价格指数差额调整法）（表</w:t>
      </w:r>
      <w:r>
        <w:rPr>
          <w:color w:val="000000" w:themeColor="text1"/>
          <w:highlight w:val="none"/>
          <w14:textFill>
            <w14:solidFill>
              <w14:schemeClr w14:val="tx1"/>
            </w14:solidFill>
          </w14:textFill>
        </w:rPr>
        <w:t>-23</w:t>
      </w:r>
      <w:r>
        <w:rPr>
          <w:rFonts w:hint="eastAsia" w:cs="宋体"/>
          <w:color w:val="000000" w:themeColor="text1"/>
          <w:highlight w:val="none"/>
          <w14:textFill>
            <w14:solidFill>
              <w14:schemeClr w14:val="tx1"/>
            </w14:solidFill>
          </w14:textFill>
        </w:rPr>
        <w:t>）</w:t>
      </w:r>
    </w:p>
    <w:p w14:paraId="26A15F80">
      <w:pPr>
        <w:spacing w:line="360" w:lineRule="auto"/>
        <w:ind w:firstLine="630"/>
        <w:jc w:val="left"/>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1.20本工程</w:t>
      </w:r>
      <w:r>
        <w:rPr>
          <w:rFonts w:cs="宋体"/>
          <w:color w:val="000000" w:themeColor="text1"/>
          <w:highlight w:val="none"/>
          <w:lang w:val="en"/>
          <w14:textFill>
            <w14:solidFill>
              <w14:schemeClr w14:val="tx1"/>
            </w14:solidFill>
          </w14:textFill>
        </w:rPr>
        <w:t>材料和工程设备</w:t>
      </w:r>
      <w:r>
        <w:rPr>
          <w:rFonts w:hint="eastAsia" w:cs="宋体"/>
          <w:color w:val="000000" w:themeColor="text1"/>
          <w:highlight w:val="none"/>
          <w14:textFill>
            <w14:solidFill>
              <w14:schemeClr w14:val="tx1"/>
            </w14:solidFill>
          </w14:textFill>
        </w:rPr>
        <w:t>一览表（表-24）</w:t>
      </w:r>
    </w:p>
    <w:p w14:paraId="556C46EC">
      <w:pPr>
        <w:spacing w:line="360" w:lineRule="auto"/>
        <w:ind w:firstLine="630"/>
        <w:jc w:val="left"/>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注：如本工程在合同中约定采用造价信息价差调整法，1.</w:t>
      </w:r>
      <w:r>
        <w:rPr>
          <w:color w:val="000000" w:themeColor="text1"/>
          <w:highlight w:val="none"/>
          <w14:textFill>
            <w14:solidFill>
              <w14:schemeClr w14:val="tx1"/>
            </w14:solidFill>
          </w14:textFill>
        </w:rPr>
        <w:t xml:space="preserve">18 </w:t>
      </w:r>
      <w:r>
        <w:rPr>
          <w:rFonts w:cs="宋体"/>
          <w:color w:val="000000" w:themeColor="text1"/>
          <w:highlight w:val="none"/>
          <w:lang w:val="en"/>
          <w14:textFill>
            <w14:solidFill>
              <w14:schemeClr w14:val="tx1"/>
            </w14:solidFill>
          </w14:textFill>
        </w:rPr>
        <w:t>允许调整</w:t>
      </w:r>
      <w:r>
        <w:rPr>
          <w:rFonts w:hint="eastAsia" w:cs="宋体"/>
          <w:color w:val="000000" w:themeColor="text1"/>
          <w:highlight w:val="none"/>
          <w14:textFill>
            <w14:solidFill>
              <w14:schemeClr w14:val="tx1"/>
            </w14:solidFill>
          </w14:textFill>
        </w:rPr>
        <w:t>主要材料和工程设备一览表（适用于造价信息差额调整法）（表</w:t>
      </w:r>
      <w:r>
        <w:rPr>
          <w:color w:val="000000" w:themeColor="text1"/>
          <w:highlight w:val="none"/>
          <w14:textFill>
            <w14:solidFill>
              <w14:schemeClr w14:val="tx1"/>
            </w14:solidFill>
          </w14:textFill>
        </w:rPr>
        <w:t>-22</w:t>
      </w:r>
      <w:r>
        <w:rPr>
          <w:rFonts w:hint="eastAsia" w:cs="宋体"/>
          <w:color w:val="000000" w:themeColor="text1"/>
          <w:highlight w:val="none"/>
          <w14:textFill>
            <w14:solidFill>
              <w14:schemeClr w14:val="tx1"/>
            </w14:solidFill>
          </w14:textFill>
        </w:rPr>
        <w:t>）载明的主要材料和工程设备为本工程允许调整材料和工程设备，工程量清单必须提供该表格，并应载明允许调整材料和工程设备名称型号规格、单位、风险系数、基准单价等内容，且不能提供空白表。</w:t>
      </w:r>
    </w:p>
    <w:p w14:paraId="647B1D6A">
      <w:pPr>
        <w:spacing w:line="360" w:lineRule="auto"/>
        <w:ind w:firstLine="630"/>
        <w:jc w:val="left"/>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以下表格视工程实际需要选用，如该工程不发生如下表格相关项目和费用，所编制工程量清单则不需列入相应表格：</w:t>
      </w:r>
    </w:p>
    <w:p w14:paraId="22C2C754">
      <w:pPr>
        <w:spacing w:line="360" w:lineRule="auto"/>
        <w:ind w:firstLine="630"/>
        <w:jc w:val="lef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①</w:t>
      </w:r>
      <w:r>
        <w:rPr>
          <w:rFonts w:hint="eastAsia" w:cs="宋体"/>
          <w:color w:val="000000" w:themeColor="text1"/>
          <w:highlight w:val="none"/>
          <w14:textFill>
            <w14:solidFill>
              <w14:schemeClr w14:val="tx1"/>
            </w14:solidFill>
          </w14:textFill>
        </w:rPr>
        <w:t>建设项目投标报价汇总表（表</w:t>
      </w:r>
      <w:r>
        <w:rPr>
          <w:color w:val="000000" w:themeColor="text1"/>
          <w:highlight w:val="none"/>
          <w14:textFill>
            <w14:solidFill>
              <w14:schemeClr w14:val="tx1"/>
            </w14:solidFill>
          </w14:textFill>
        </w:rPr>
        <w:t>-02</w:t>
      </w:r>
      <w:r>
        <w:rPr>
          <w:rFonts w:hint="eastAsia" w:cs="宋体"/>
          <w:color w:val="000000" w:themeColor="text1"/>
          <w:highlight w:val="none"/>
          <w14:textFill>
            <w14:solidFill>
              <w14:schemeClr w14:val="tx1"/>
            </w14:solidFill>
          </w14:textFill>
        </w:rPr>
        <w:t>）</w:t>
      </w:r>
    </w:p>
    <w:p w14:paraId="5D22C17A">
      <w:pPr>
        <w:spacing w:line="360" w:lineRule="auto"/>
        <w:ind w:firstLine="630"/>
        <w:jc w:val="left"/>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②暂列金额明细表（表</w:t>
      </w:r>
      <w:r>
        <w:rPr>
          <w:color w:val="000000" w:themeColor="text1"/>
          <w:highlight w:val="none"/>
          <w14:textFill>
            <w14:solidFill>
              <w14:schemeClr w14:val="tx1"/>
            </w14:solidFill>
          </w14:textFill>
        </w:rPr>
        <w:t>12-1</w:t>
      </w:r>
      <w:r>
        <w:rPr>
          <w:rFonts w:hint="eastAsia" w:cs="宋体"/>
          <w:color w:val="000000" w:themeColor="text1"/>
          <w:highlight w:val="none"/>
          <w14:textFill>
            <w14:solidFill>
              <w14:schemeClr w14:val="tx1"/>
            </w14:solidFill>
          </w14:textFill>
        </w:rPr>
        <w:t>）</w:t>
      </w:r>
    </w:p>
    <w:p w14:paraId="33822D0A">
      <w:pPr>
        <w:spacing w:line="360" w:lineRule="auto"/>
        <w:ind w:firstLine="630"/>
        <w:jc w:val="left"/>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③材料（工程设备）暂估单价及调整表（表</w:t>
      </w:r>
      <w:r>
        <w:rPr>
          <w:color w:val="000000" w:themeColor="text1"/>
          <w:highlight w:val="none"/>
          <w14:textFill>
            <w14:solidFill>
              <w14:schemeClr w14:val="tx1"/>
            </w14:solidFill>
          </w14:textFill>
        </w:rPr>
        <w:t>12-2</w:t>
      </w:r>
      <w:r>
        <w:rPr>
          <w:rFonts w:hint="eastAsia" w:cs="宋体"/>
          <w:color w:val="000000" w:themeColor="text1"/>
          <w:highlight w:val="none"/>
          <w14:textFill>
            <w14:solidFill>
              <w14:schemeClr w14:val="tx1"/>
            </w14:solidFill>
          </w14:textFill>
        </w:rPr>
        <w:t>）</w:t>
      </w:r>
    </w:p>
    <w:p w14:paraId="1F592FF4">
      <w:pPr>
        <w:spacing w:line="360" w:lineRule="auto"/>
        <w:ind w:firstLine="630"/>
        <w:jc w:val="left"/>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④专业工程暂估价表（表</w:t>
      </w:r>
      <w:r>
        <w:rPr>
          <w:color w:val="000000" w:themeColor="text1"/>
          <w:highlight w:val="none"/>
          <w14:textFill>
            <w14:solidFill>
              <w14:schemeClr w14:val="tx1"/>
            </w14:solidFill>
          </w14:textFill>
        </w:rPr>
        <w:t>12-3</w:t>
      </w:r>
      <w:r>
        <w:rPr>
          <w:rFonts w:hint="eastAsia" w:cs="宋体"/>
          <w:color w:val="000000" w:themeColor="text1"/>
          <w:highlight w:val="none"/>
          <w14:textFill>
            <w14:solidFill>
              <w14:schemeClr w14:val="tx1"/>
            </w14:solidFill>
          </w14:textFill>
        </w:rPr>
        <w:t>）</w:t>
      </w:r>
    </w:p>
    <w:p w14:paraId="78F6CE20">
      <w:pPr>
        <w:spacing w:line="360" w:lineRule="auto"/>
        <w:ind w:firstLine="630"/>
        <w:jc w:val="left"/>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⑤计日工表（表</w:t>
      </w:r>
      <w:r>
        <w:rPr>
          <w:color w:val="000000" w:themeColor="text1"/>
          <w:highlight w:val="none"/>
          <w14:textFill>
            <w14:solidFill>
              <w14:schemeClr w14:val="tx1"/>
            </w14:solidFill>
          </w14:textFill>
        </w:rPr>
        <w:t>12-4</w:t>
      </w:r>
      <w:r>
        <w:rPr>
          <w:rFonts w:hint="eastAsia" w:cs="宋体"/>
          <w:color w:val="000000" w:themeColor="text1"/>
          <w:highlight w:val="none"/>
          <w14:textFill>
            <w14:solidFill>
              <w14:schemeClr w14:val="tx1"/>
            </w14:solidFill>
          </w14:textFill>
        </w:rPr>
        <w:t>）</w:t>
      </w:r>
    </w:p>
    <w:p w14:paraId="3C858897">
      <w:pPr>
        <w:spacing w:line="360" w:lineRule="auto"/>
        <w:ind w:firstLine="630"/>
        <w:jc w:val="left"/>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⑥总承包服务费计价表（表</w:t>
      </w:r>
      <w:r>
        <w:rPr>
          <w:color w:val="000000" w:themeColor="text1"/>
          <w:highlight w:val="none"/>
          <w14:textFill>
            <w14:solidFill>
              <w14:schemeClr w14:val="tx1"/>
            </w14:solidFill>
          </w14:textFill>
        </w:rPr>
        <w:t>12-5</w:t>
      </w:r>
      <w:r>
        <w:rPr>
          <w:rFonts w:hint="eastAsia" w:cs="宋体"/>
          <w:color w:val="000000" w:themeColor="text1"/>
          <w:highlight w:val="none"/>
          <w14:textFill>
            <w14:solidFill>
              <w14:schemeClr w14:val="tx1"/>
            </w14:solidFill>
          </w14:textFill>
        </w:rPr>
        <w:t>）</w:t>
      </w:r>
    </w:p>
    <w:p w14:paraId="54AC52B5">
      <w:pPr>
        <w:spacing w:line="360" w:lineRule="auto"/>
        <w:ind w:firstLine="630"/>
        <w:jc w:val="left"/>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⑦税前项目清单与计价表（表</w:t>
      </w:r>
      <w:r>
        <w:rPr>
          <w:color w:val="000000" w:themeColor="text1"/>
          <w:highlight w:val="none"/>
          <w14:textFill>
            <w14:solidFill>
              <w14:schemeClr w14:val="tx1"/>
            </w14:solidFill>
          </w14:textFill>
        </w:rPr>
        <w:t>-14</w:t>
      </w:r>
      <w:r>
        <w:rPr>
          <w:rFonts w:hint="eastAsia" w:cs="宋体"/>
          <w:color w:val="000000" w:themeColor="text1"/>
          <w:highlight w:val="none"/>
          <w14:textFill>
            <w14:solidFill>
              <w14:schemeClr w14:val="tx1"/>
            </w14:solidFill>
          </w14:textFill>
        </w:rPr>
        <w:t>）</w:t>
      </w:r>
    </w:p>
    <w:p w14:paraId="15CA5E12">
      <w:pPr>
        <w:spacing w:line="360" w:lineRule="auto"/>
        <w:ind w:firstLine="630"/>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w:instrText>
      </w:r>
      <w:r>
        <w:rPr>
          <w:rFonts w:hint="eastAsia"/>
          <w:color w:val="000000" w:themeColor="text1"/>
          <w:highlight w:val="none"/>
          <w14:textFill>
            <w14:solidFill>
              <w14:schemeClr w14:val="tx1"/>
            </w14:solidFill>
          </w14:textFill>
        </w:rPr>
        <w:instrText xml:space="preserve">= 8 \* GB3</w:instrText>
      </w:r>
      <w:r>
        <w:rPr>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⑧</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允许调整主要材料和工程设备一览表（适用于价格指数差额调整法）（表</w:t>
      </w:r>
      <w:r>
        <w:rPr>
          <w:color w:val="000000" w:themeColor="text1"/>
          <w:highlight w:val="none"/>
          <w14:textFill>
            <w14:solidFill>
              <w14:schemeClr w14:val="tx1"/>
            </w14:solidFill>
          </w14:textFill>
        </w:rPr>
        <w:t>-23</w:t>
      </w:r>
      <w:r>
        <w:rPr>
          <w:rFonts w:hint="eastAsia" w:cs="宋体"/>
          <w:color w:val="000000" w:themeColor="text1"/>
          <w:highlight w:val="none"/>
          <w14:textFill>
            <w14:solidFill>
              <w14:schemeClr w14:val="tx1"/>
            </w14:solidFill>
          </w14:textFill>
        </w:rPr>
        <w:t>）</w:t>
      </w:r>
    </w:p>
    <w:p w14:paraId="7B51BA2B">
      <w:pPr>
        <w:pStyle w:val="3"/>
        <w:spacing w:before="0" w:after="0" w:line="360" w:lineRule="auto"/>
        <w:rPr>
          <w:color w:val="000000" w:themeColor="text1"/>
          <w:highlight w:val="none"/>
          <w14:textFill>
            <w14:solidFill>
              <w14:schemeClr w14:val="tx1"/>
            </w14:solidFill>
          </w14:textFill>
        </w:rPr>
      </w:pPr>
      <w:bookmarkStart w:id="81" w:name="_Toc78449870"/>
      <w:bookmarkStart w:id="82" w:name="_Toc347872619"/>
      <w:bookmarkStart w:id="83" w:name="_Toc122424002"/>
      <w:bookmarkStart w:id="84" w:name="_Toc990933621"/>
      <w:bookmarkStart w:id="85" w:name="_Toc407135285"/>
      <w:bookmarkStart w:id="86" w:name="_Toc122424251"/>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w:t>
      </w:r>
      <w:r>
        <w:rPr>
          <w:rFonts w:hint="eastAsia" w:cs="黑体"/>
          <w:color w:val="000000" w:themeColor="text1"/>
          <w:highlight w:val="none"/>
          <w14:textFill>
            <w14:solidFill>
              <w14:schemeClr w14:val="tx1"/>
            </w14:solidFill>
          </w14:textFill>
        </w:rPr>
        <w:t>招标控制价编制说明</w:t>
      </w:r>
      <w:bookmarkEnd w:id="81"/>
      <w:bookmarkEnd w:id="82"/>
      <w:bookmarkEnd w:id="83"/>
      <w:bookmarkEnd w:id="84"/>
      <w:bookmarkEnd w:id="85"/>
      <w:bookmarkEnd w:id="86"/>
    </w:p>
    <w:p w14:paraId="590EB394">
      <w:pPr>
        <w:spacing w:line="360" w:lineRule="auto"/>
        <w:ind w:firstLine="42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2.1 </w:t>
      </w:r>
      <w:r>
        <w:rPr>
          <w:rFonts w:hint="eastAsia" w:hAnsi="宋体" w:cs="宋体"/>
          <w:color w:val="000000" w:themeColor="text1"/>
          <w:highlight w:val="none"/>
          <w14:textFill>
            <w14:solidFill>
              <w14:schemeClr w14:val="tx1"/>
            </w14:solidFill>
          </w14:textFill>
        </w:rPr>
        <w:t>招标控制价编制依据：</w:t>
      </w:r>
    </w:p>
    <w:p w14:paraId="0492351A">
      <w:pPr>
        <w:spacing w:line="360" w:lineRule="auto"/>
        <w:ind w:firstLine="420"/>
        <w:rPr>
          <w:rFonts w:hAnsi="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1</w:t>
      </w:r>
      <w:r>
        <w:rPr>
          <w:rFonts w:hint="eastAsia" w:cs="宋体"/>
          <w:color w:val="000000" w:themeColor="text1"/>
          <w:highlight w:val="none"/>
          <w14:textFill>
            <w14:solidFill>
              <w14:schemeClr w14:val="tx1"/>
            </w14:solidFill>
          </w14:textFill>
        </w:rPr>
        <w:t>）</w:t>
      </w:r>
      <w:r>
        <w:rPr>
          <w:rFonts w:hint="eastAsia" w:hAnsi="宋体" w:cs="宋体"/>
          <w:color w:val="000000" w:themeColor="text1"/>
          <w:highlight w:val="none"/>
          <w14:textFill>
            <w14:solidFill>
              <w14:schemeClr w14:val="tx1"/>
            </w14:solidFill>
          </w14:textFill>
        </w:rPr>
        <w:t>《计价规范》及《计算规范》、《关于建筑业实施营业税改征增值税后广西壮族自治区建设工程计价依据调整的通知》 （桂建标〔</w:t>
      </w:r>
      <w:r>
        <w:rPr>
          <w:rFonts w:hAnsi="宋体"/>
          <w:color w:val="000000" w:themeColor="text1"/>
          <w:highlight w:val="none"/>
          <w14:textFill>
            <w14:solidFill>
              <w14:schemeClr w14:val="tx1"/>
            </w14:solidFill>
          </w14:textFill>
        </w:rPr>
        <w:t>2016</w:t>
      </w:r>
      <w:r>
        <w:rPr>
          <w:rFonts w:hint="eastAsia" w:hAnsi="宋体" w:cs="宋体"/>
          <w:color w:val="000000" w:themeColor="text1"/>
          <w:highlight w:val="none"/>
          <w14:textFill>
            <w14:solidFill>
              <w14:schemeClr w14:val="tx1"/>
            </w14:solidFill>
          </w14:textFill>
        </w:rPr>
        <w:t>〕</w:t>
      </w:r>
      <w:r>
        <w:rPr>
          <w:rFonts w:hAnsi="宋体"/>
          <w:color w:val="000000" w:themeColor="text1"/>
          <w:highlight w:val="none"/>
          <w14:textFill>
            <w14:solidFill>
              <w14:schemeClr w14:val="tx1"/>
            </w14:solidFill>
          </w14:textFill>
        </w:rPr>
        <w:t>17</w:t>
      </w:r>
      <w:r>
        <w:rPr>
          <w:rFonts w:hint="eastAsia" w:hAnsi="宋体" w:cs="宋体"/>
          <w:color w:val="000000" w:themeColor="text1"/>
          <w:highlight w:val="none"/>
          <w14:textFill>
            <w14:solidFill>
              <w14:schemeClr w14:val="tx1"/>
            </w14:solidFill>
          </w14:textFill>
        </w:rPr>
        <w:t>号）等；</w:t>
      </w:r>
    </w:p>
    <w:p w14:paraId="5F62BB4E">
      <w:pPr>
        <w:spacing w:line="360" w:lineRule="auto"/>
        <w:rPr>
          <w:rFonts w:hint="eastAsia" w:ascii="宋体" w:hAnsi="宋体" w:eastAsia="宋体" w:cs="宋体"/>
          <w:b/>
          <w:bCs/>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2</w:t>
      </w:r>
      <w:r>
        <w:rPr>
          <w:rFonts w:hint="eastAsia" w:cs="宋体"/>
          <w:color w:val="000000" w:themeColor="text1"/>
          <w:highlight w:val="none"/>
          <w14:textFill>
            <w14:solidFill>
              <w14:schemeClr w14:val="tx1"/>
            </w14:solidFill>
          </w14:textFill>
        </w:rPr>
        <w:t>）自治区住房城乡建设行政主管部门颁发的计价定额及有关规定</w:t>
      </w:r>
      <w:r>
        <w:rPr>
          <w:rFonts w:hint="eastAsia" w:ascii="宋体" w:hAnsi="宋体" w:eastAsia="宋体" w:cs="宋体"/>
          <w:b/>
          <w:bCs/>
          <w:color w:val="000000" w:themeColor="text1"/>
          <w:highlight w:val="none"/>
          <w14:textFill>
            <w14:solidFill>
              <w14:schemeClr w14:val="tx1"/>
            </w14:solidFill>
          </w14:textFill>
        </w:rPr>
        <w:t>：《&lt;建设工程工程量清单计价规范&gt;广西壮族自治区实施细则》</w:t>
      </w:r>
      <w:r>
        <w:rPr>
          <w:rFonts w:hint="eastAsia" w:ascii="宋体" w:hAnsi="宋体" w:cs="宋体"/>
          <w:b/>
          <w:bCs/>
          <w:color w:val="000000" w:themeColor="text1"/>
          <w:highlight w:val="none"/>
          <w:lang w:eastAsia="zh-CN"/>
          <w14:textFill>
            <w14:solidFill>
              <w14:schemeClr w14:val="tx1"/>
            </w14:solidFill>
          </w14:textFill>
        </w:rPr>
        <w:t>、</w:t>
      </w:r>
      <w:r>
        <w:rPr>
          <w:rFonts w:hint="eastAsia" w:ascii="宋体" w:hAnsi="宋体" w:eastAsia="宋体" w:cs="宋体"/>
          <w:b/>
          <w:bCs/>
          <w:color w:val="000000" w:themeColor="text1"/>
          <w:highlight w:val="none"/>
          <w14:textFill>
            <w14:solidFill>
              <w14:schemeClr w14:val="tx1"/>
            </w14:solidFill>
          </w14:textFill>
        </w:rPr>
        <w:t>《建设工程工程量计算规范广西壮族自治区实施细则（修订本）》（GB50854～50862-2013）</w:t>
      </w:r>
      <w:r>
        <w:rPr>
          <w:rFonts w:hint="eastAsia" w:ascii="宋体" w:hAnsi="宋体" w:cs="宋体"/>
          <w:b/>
          <w:bCs/>
          <w:color w:val="000000" w:themeColor="text1"/>
          <w:highlight w:val="none"/>
          <w:lang w:eastAsia="zh-CN"/>
          <w14:textFill>
            <w14:solidFill>
              <w14:schemeClr w14:val="tx1"/>
            </w14:solidFill>
          </w14:textFill>
        </w:rPr>
        <w:t>、</w:t>
      </w:r>
      <w:r>
        <w:rPr>
          <w:rFonts w:hint="eastAsia" w:ascii="宋体" w:hAnsi="宋体" w:eastAsia="宋体" w:cs="宋体"/>
          <w:b/>
          <w:bCs/>
          <w:color w:val="000000" w:themeColor="text1"/>
          <w:highlight w:val="none"/>
          <w14:textFill>
            <w14:solidFill>
              <w14:schemeClr w14:val="tx1"/>
            </w14:solidFill>
          </w14:textFill>
        </w:rPr>
        <w:t>2024年《广西壮族自治区建筑工程消耗量定额》及配套的费用定额</w:t>
      </w:r>
      <w:r>
        <w:rPr>
          <w:rFonts w:hint="eastAsia" w:ascii="宋体" w:hAnsi="宋体" w:cs="宋体"/>
          <w:b/>
          <w:bCs/>
          <w:color w:val="000000" w:themeColor="text1"/>
          <w:highlight w:val="none"/>
          <w:lang w:eastAsia="zh-CN"/>
          <w14:textFill>
            <w14:solidFill>
              <w14:schemeClr w14:val="tx1"/>
            </w14:solidFill>
          </w14:textFill>
        </w:rPr>
        <w:t>、</w:t>
      </w:r>
      <w:r>
        <w:rPr>
          <w:rFonts w:hint="eastAsia" w:ascii="宋体" w:hAnsi="宋体" w:eastAsia="宋体" w:cs="宋体"/>
          <w:b/>
          <w:bCs/>
          <w:color w:val="000000" w:themeColor="text1"/>
          <w:highlight w:val="none"/>
          <w14:textFill>
            <w14:solidFill>
              <w14:schemeClr w14:val="tx1"/>
            </w14:solidFill>
          </w14:textFill>
        </w:rPr>
        <w:t>2024年《广西壮族自治区建筑拆除工程消耗量定额》及配套的费用定额</w:t>
      </w:r>
      <w:r>
        <w:rPr>
          <w:rFonts w:hint="eastAsia" w:ascii="宋体" w:hAnsi="宋体" w:cs="宋体"/>
          <w:b/>
          <w:bCs/>
          <w:color w:val="000000" w:themeColor="text1"/>
          <w:highlight w:val="none"/>
          <w:lang w:eastAsia="zh-CN"/>
          <w14:textFill>
            <w14:solidFill>
              <w14:schemeClr w14:val="tx1"/>
            </w14:solidFill>
          </w14:textFill>
        </w:rPr>
        <w:t>、</w:t>
      </w:r>
      <w:r>
        <w:rPr>
          <w:rFonts w:hint="eastAsia" w:ascii="宋体" w:hAnsi="宋体" w:eastAsia="宋体" w:cs="宋体"/>
          <w:b/>
          <w:bCs/>
          <w:color w:val="000000" w:themeColor="text1"/>
          <w:highlight w:val="none"/>
          <w14:textFill>
            <w14:solidFill>
              <w14:schemeClr w14:val="tx1"/>
            </w14:solidFill>
          </w14:textFill>
        </w:rPr>
        <w:t>2016年《广西壮族自治区建设工程费用定额》（桂建标〔2016〕16号），工程管理费及利润取中值</w:t>
      </w:r>
      <w:r>
        <w:rPr>
          <w:rFonts w:hint="eastAsia" w:ascii="宋体" w:hAnsi="宋体" w:cs="宋体"/>
          <w:b/>
          <w:bCs/>
          <w:color w:val="000000" w:themeColor="text1"/>
          <w:highlight w:val="none"/>
          <w:lang w:eastAsia="zh-CN"/>
          <w14:textFill>
            <w14:solidFill>
              <w14:schemeClr w14:val="tx1"/>
            </w14:solidFill>
          </w14:textFill>
        </w:rPr>
        <w:t>、</w:t>
      </w:r>
      <w:r>
        <w:rPr>
          <w:rFonts w:hint="eastAsia" w:ascii="宋体" w:hAnsi="宋体" w:eastAsia="宋体" w:cs="宋体"/>
          <w:b/>
          <w:bCs/>
          <w:color w:val="000000" w:themeColor="text1"/>
          <w:highlight w:val="none"/>
          <w14:textFill>
            <w14:solidFill>
              <w14:schemeClr w14:val="tx1"/>
            </w14:solidFill>
          </w14:textFill>
        </w:rPr>
        <w:t>《关于调整建设工程定额人工费及有关费率通知》（桂建标〔2018〕19号）</w:t>
      </w:r>
      <w:r>
        <w:rPr>
          <w:rFonts w:hint="eastAsia" w:ascii="宋体" w:hAnsi="宋体" w:cs="宋体"/>
          <w:b/>
          <w:bCs/>
          <w:color w:val="000000" w:themeColor="text1"/>
          <w:highlight w:val="none"/>
          <w:lang w:eastAsia="zh-CN"/>
          <w14:textFill>
            <w14:solidFill>
              <w14:schemeClr w14:val="tx1"/>
            </w14:solidFill>
          </w14:textFill>
        </w:rPr>
        <w:t>、</w:t>
      </w:r>
      <w:r>
        <w:rPr>
          <w:rFonts w:hint="eastAsia" w:ascii="宋体" w:hAnsi="宋体" w:eastAsia="宋体" w:cs="宋体"/>
          <w:b/>
          <w:bCs/>
          <w:color w:val="000000" w:themeColor="text1"/>
          <w:highlight w:val="none"/>
          <w14:textFill>
            <w14:solidFill>
              <w14:schemeClr w14:val="tx1"/>
            </w14:solidFill>
          </w14:textFill>
        </w:rPr>
        <w:t>《自治区住房城乡建设厅关于调整建设工程计价增值税税率的通知》（桂建标〔2019〕12号），本次评审增值税按一般计税法计算，税率9%。</w:t>
      </w:r>
    </w:p>
    <w:p w14:paraId="3C04FFA5">
      <w:pPr>
        <w:spacing w:line="360" w:lineRule="auto"/>
        <w:ind w:firstLine="420"/>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3</w:t>
      </w:r>
      <w:r>
        <w:rPr>
          <w:rFonts w:hint="eastAsia" w:cs="宋体"/>
          <w:color w:val="000000" w:themeColor="text1"/>
          <w:highlight w:val="none"/>
          <w14:textFill>
            <w14:solidFill>
              <w14:schemeClr w14:val="tx1"/>
            </w14:solidFill>
          </w14:textFill>
        </w:rPr>
        <w:t>）建设工程设计文件及相关资料：</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本项目施工图</w:t>
      </w:r>
      <w:r>
        <w:rPr>
          <w:color w:val="000000" w:themeColor="text1"/>
          <w:highlight w:val="none"/>
          <w:u w:val="singl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 xml:space="preserve"> </w:t>
      </w:r>
    </w:p>
    <w:p w14:paraId="4E22A537">
      <w:pPr>
        <w:spacing w:line="360" w:lineRule="auto"/>
        <w:ind w:firstLine="420"/>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4</w:t>
      </w:r>
      <w:r>
        <w:rPr>
          <w:rFonts w:hint="eastAsia" w:cs="宋体"/>
          <w:color w:val="000000" w:themeColor="text1"/>
          <w:highlight w:val="none"/>
          <w14:textFill>
            <w14:solidFill>
              <w14:schemeClr w14:val="tx1"/>
            </w14:solidFill>
          </w14:textFill>
        </w:rPr>
        <w:t>）本工程磋商文件及工程量清单；</w:t>
      </w:r>
    </w:p>
    <w:p w14:paraId="302CD3CE">
      <w:pPr>
        <w:spacing w:line="360" w:lineRule="auto"/>
        <w:ind w:firstLine="420"/>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5</w:t>
      </w:r>
      <w:r>
        <w:rPr>
          <w:rFonts w:hint="eastAsia" w:cs="宋体"/>
          <w:color w:val="000000" w:themeColor="text1"/>
          <w:highlight w:val="none"/>
          <w14:textFill>
            <w14:solidFill>
              <w14:schemeClr w14:val="tx1"/>
            </w14:solidFill>
          </w14:textFill>
        </w:rPr>
        <w:t>）与建设项目相关的标准、规范、技术资料；</w:t>
      </w:r>
    </w:p>
    <w:p w14:paraId="1DB90468">
      <w:pPr>
        <w:spacing w:line="360" w:lineRule="auto"/>
        <w:ind w:firstLine="420"/>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6</w:t>
      </w:r>
      <w:r>
        <w:rPr>
          <w:rFonts w:hint="eastAsia" w:cs="宋体"/>
          <w:color w:val="000000" w:themeColor="text1"/>
          <w:highlight w:val="none"/>
          <w14:textFill>
            <w14:solidFill>
              <w14:schemeClr w14:val="tx1"/>
            </w14:solidFill>
          </w14:textFill>
        </w:rPr>
        <w:t>）施工现场情况、工程特点及常规施工方案；</w:t>
      </w:r>
    </w:p>
    <w:p w14:paraId="4B195C86">
      <w:pPr>
        <w:spacing w:line="360" w:lineRule="auto"/>
        <w:ind w:firstLine="422"/>
        <w:rPr>
          <w:rFonts w:hAnsi="宋体"/>
          <w:b/>
          <w:bCs/>
          <w:color w:val="000000" w:themeColor="text1"/>
          <w:highlight w:val="none"/>
          <w14:textFill>
            <w14:solidFill>
              <w14:schemeClr w14:val="tx1"/>
            </w14:solidFill>
          </w14:textFill>
        </w:rPr>
      </w:pPr>
      <w:r>
        <w:rPr>
          <w:rFonts w:hint="eastAsia" w:cs="宋体"/>
          <w:b/>
          <w:bCs/>
          <w:color w:val="000000" w:themeColor="text1"/>
          <w:highlight w:val="none"/>
          <w14:textFill>
            <w14:solidFill>
              <w14:schemeClr w14:val="tx1"/>
            </w14:solidFill>
          </w14:textFill>
        </w:rPr>
        <w:t>（</w:t>
      </w:r>
      <w:r>
        <w:rPr>
          <w:b/>
          <w:bCs/>
          <w:color w:val="000000" w:themeColor="text1"/>
          <w:highlight w:val="none"/>
          <w14:textFill>
            <w14:solidFill>
              <w14:schemeClr w14:val="tx1"/>
            </w14:solidFill>
          </w14:textFill>
        </w:rPr>
        <w:t>7</w:t>
      </w:r>
      <w:r>
        <w:rPr>
          <w:rFonts w:hint="eastAsia" w:cs="宋体"/>
          <w:b/>
          <w:bCs/>
          <w:color w:val="000000" w:themeColor="text1"/>
          <w:highlight w:val="none"/>
          <w14:textFill>
            <w14:solidFill>
              <w14:schemeClr w14:val="tx1"/>
            </w14:solidFill>
          </w14:textFill>
        </w:rPr>
        <w:t>）材料价格信息</w:t>
      </w:r>
      <w:r>
        <w:rPr>
          <w:rFonts w:hint="eastAsia" w:hAnsi="宋体" w:cs="宋体"/>
          <w:b/>
          <w:bCs/>
          <w:color w:val="000000" w:themeColor="text1"/>
          <w:highlight w:val="none"/>
          <w14:textFill>
            <w14:solidFill>
              <w14:schemeClr w14:val="tx1"/>
            </w14:solidFill>
          </w14:textFill>
        </w:rPr>
        <w:t>：材料价格主要按照</w:t>
      </w:r>
      <w:r>
        <w:rPr>
          <w:b/>
          <w:bCs/>
          <w:color w:val="000000" w:themeColor="text1"/>
          <w:highlight w:val="none"/>
          <w:u w:val="single"/>
          <w14:textFill>
            <w14:solidFill>
              <w14:schemeClr w14:val="tx1"/>
            </w14:solidFill>
          </w14:textFill>
        </w:rPr>
        <w:t xml:space="preserve"> </w:t>
      </w:r>
      <w:r>
        <w:rPr>
          <w:rFonts w:hint="eastAsia"/>
          <w:b/>
          <w:bCs/>
          <w:color w:val="000000" w:themeColor="text1"/>
          <w:highlight w:val="none"/>
          <w:u w:val="single"/>
          <w14:textFill>
            <w14:solidFill>
              <w14:schemeClr w14:val="tx1"/>
            </w14:solidFill>
          </w14:textFill>
        </w:rPr>
        <w:t>贵港</w:t>
      </w:r>
      <w:r>
        <w:rPr>
          <w:b/>
          <w:bCs/>
          <w:color w:val="000000" w:themeColor="text1"/>
          <w:highlight w:val="none"/>
          <w:u w:val="single"/>
          <w14:textFill>
            <w14:solidFill>
              <w14:schemeClr w14:val="tx1"/>
            </w14:solidFill>
          </w14:textFill>
        </w:rPr>
        <w:t xml:space="preserve"> </w:t>
      </w:r>
      <w:r>
        <w:rPr>
          <w:rFonts w:hint="eastAsia" w:cs="宋体"/>
          <w:b/>
          <w:bCs/>
          <w:color w:val="000000" w:themeColor="text1"/>
          <w:highlight w:val="none"/>
          <w14:textFill>
            <w14:solidFill>
              <w14:schemeClr w14:val="tx1"/>
            </w14:solidFill>
          </w14:textFill>
        </w:rPr>
        <w:t>市建设工程造价管理机构发布的工程造价信息</w:t>
      </w:r>
      <w:r>
        <w:rPr>
          <w:rFonts w:hint="eastAsia" w:ascii="宋体" w:hAnsi="宋体" w:eastAsia="宋体" w:cs="宋体"/>
          <w:b/>
          <w:bCs/>
          <w:color w:val="000000" w:themeColor="text1"/>
          <w:highlight w:val="none"/>
          <w:u w:val="single"/>
          <w14:textFill>
            <w14:solidFill>
              <w14:schemeClr w14:val="tx1"/>
            </w14:solidFill>
          </w14:textFill>
        </w:rPr>
        <w:t xml:space="preserve"> 202</w:t>
      </w:r>
      <w:r>
        <w:rPr>
          <w:rFonts w:hint="eastAsia" w:ascii="宋体" w:hAnsi="宋体" w:cs="宋体"/>
          <w:b/>
          <w:bCs/>
          <w:color w:val="000000" w:themeColor="text1"/>
          <w:highlight w:val="none"/>
          <w:u w:val="single"/>
          <w:lang w:val="en-US" w:eastAsia="zh-CN"/>
          <w14:textFill>
            <w14:solidFill>
              <w14:schemeClr w14:val="tx1"/>
            </w14:solidFill>
          </w14:textFill>
        </w:rPr>
        <w:t>6</w:t>
      </w:r>
      <w:r>
        <w:rPr>
          <w:rFonts w:hint="eastAsia" w:ascii="宋体" w:hAnsi="宋体" w:eastAsia="宋体" w:cs="宋体"/>
          <w:b/>
          <w:bCs/>
          <w:color w:val="000000" w:themeColor="text1"/>
          <w:highlight w:val="none"/>
          <w:u w:val="single"/>
          <w14:textFill>
            <w14:solidFill>
              <w14:schemeClr w14:val="tx1"/>
            </w14:solidFill>
          </w14:textFill>
        </w:rPr>
        <w:t xml:space="preserve"> </w:t>
      </w:r>
      <w:r>
        <w:rPr>
          <w:rFonts w:hint="eastAsia" w:ascii="宋体" w:hAnsi="宋体" w:eastAsia="宋体" w:cs="宋体"/>
          <w:b/>
          <w:bCs/>
          <w:color w:val="000000" w:themeColor="text1"/>
          <w:highlight w:val="none"/>
          <w14:textFill>
            <w14:solidFill>
              <w14:schemeClr w14:val="tx1"/>
            </w14:solidFill>
          </w14:textFill>
        </w:rPr>
        <w:t>年第</w:t>
      </w:r>
      <w:r>
        <w:rPr>
          <w:rFonts w:hint="eastAsia" w:ascii="宋体" w:hAnsi="宋体" w:eastAsia="宋体" w:cs="宋体"/>
          <w:b/>
          <w:bCs/>
          <w:color w:val="000000" w:themeColor="text1"/>
          <w:highlight w:val="none"/>
          <w:u w:val="single"/>
          <w14:textFill>
            <w14:solidFill>
              <w14:schemeClr w14:val="tx1"/>
            </w14:solidFill>
          </w14:textFill>
        </w:rPr>
        <w:t xml:space="preserve"> </w:t>
      </w:r>
      <w:r>
        <w:rPr>
          <w:rFonts w:hint="eastAsia" w:ascii="宋体" w:hAnsi="宋体" w:cs="宋体"/>
          <w:b/>
          <w:bCs/>
          <w:color w:val="000000" w:themeColor="text1"/>
          <w:highlight w:val="none"/>
          <w:u w:val="single"/>
          <w:lang w:val="en-US" w:eastAsia="zh-CN"/>
          <w14:textFill>
            <w14:solidFill>
              <w14:schemeClr w14:val="tx1"/>
            </w14:solidFill>
          </w14:textFill>
        </w:rPr>
        <w:t>4</w:t>
      </w:r>
      <w:r>
        <w:rPr>
          <w:rFonts w:hint="eastAsia" w:ascii="宋体" w:hAnsi="宋体" w:eastAsia="宋体" w:cs="宋体"/>
          <w:b/>
          <w:bCs/>
          <w:color w:val="000000" w:themeColor="text1"/>
          <w:highlight w:val="none"/>
          <w:u w:val="single"/>
          <w14:textFill>
            <w14:solidFill>
              <w14:schemeClr w14:val="tx1"/>
            </w14:solidFill>
          </w14:textFill>
        </w:rPr>
        <w:t xml:space="preserve"> </w:t>
      </w:r>
      <w:r>
        <w:rPr>
          <w:rFonts w:hint="eastAsia" w:ascii="宋体" w:hAnsi="宋体" w:eastAsia="宋体" w:cs="宋体"/>
          <w:b/>
          <w:bCs/>
          <w:color w:val="000000" w:themeColor="text1"/>
          <w:highlight w:val="none"/>
          <w14:textFill>
            <w14:solidFill>
              <w14:schemeClr w14:val="tx1"/>
            </w14:solidFill>
          </w14:textFill>
        </w:rPr>
        <w:t>期，</w:t>
      </w:r>
      <w:r>
        <w:rPr>
          <w:rFonts w:hint="eastAsia" w:cs="宋体"/>
          <w:b/>
          <w:bCs/>
          <w:color w:val="000000" w:themeColor="text1"/>
          <w:highlight w:val="none"/>
          <w14:textFill>
            <w14:solidFill>
              <w14:schemeClr w14:val="tx1"/>
            </w14:solidFill>
          </w14:textFill>
        </w:rPr>
        <w:t>不足部分参考市场定价</w:t>
      </w:r>
      <w:r>
        <w:rPr>
          <w:rFonts w:hint="eastAsia" w:hAnsi="宋体" w:cs="宋体"/>
          <w:b/>
          <w:bCs/>
          <w:color w:val="000000" w:themeColor="text1"/>
          <w:highlight w:val="none"/>
          <w14:textFill>
            <w14:solidFill>
              <w14:schemeClr w14:val="tx1"/>
            </w14:solidFill>
          </w14:textFill>
        </w:rPr>
        <w:t>。</w:t>
      </w:r>
    </w:p>
    <w:p w14:paraId="5653043D">
      <w:pPr>
        <w:spacing w:line="360" w:lineRule="auto"/>
        <w:ind w:firstLine="42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2.2 </w:t>
      </w:r>
      <w:r>
        <w:rPr>
          <w:rFonts w:hint="eastAsia" w:hAnsi="宋体" w:cs="宋体"/>
          <w:color w:val="000000" w:themeColor="text1"/>
          <w:highlight w:val="none"/>
          <w14:textFill>
            <w14:solidFill>
              <w14:schemeClr w14:val="tx1"/>
            </w14:solidFill>
          </w14:textFill>
        </w:rPr>
        <w:t>分部分项及单价措施项目综合单价应包括磋商文件中采购人要求供应商所承担的风险内容及其范围（幅度）产生的风险费用。</w:t>
      </w:r>
    </w:p>
    <w:p w14:paraId="47AF0765">
      <w:pPr>
        <w:spacing w:line="360" w:lineRule="auto"/>
        <w:ind w:firstLine="42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2.3 </w:t>
      </w:r>
      <w:r>
        <w:rPr>
          <w:rFonts w:hint="eastAsia" w:hAnsi="宋体" w:cs="宋体"/>
          <w:color w:val="000000" w:themeColor="text1"/>
          <w:highlight w:val="none"/>
          <w14:textFill>
            <w14:solidFill>
              <w14:schemeClr w14:val="tx1"/>
            </w14:solidFill>
          </w14:textFill>
        </w:rPr>
        <w:t>总价措施项目应根据拟定的磋商文件和常规施工方案按《计价规范》和《计算规范》规定编制。</w:t>
      </w:r>
    </w:p>
    <w:p w14:paraId="4507B1E0">
      <w:pPr>
        <w:spacing w:line="360" w:lineRule="auto"/>
        <w:ind w:firstLine="42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2.4 </w:t>
      </w:r>
      <w:r>
        <w:rPr>
          <w:rFonts w:hint="eastAsia" w:cs="宋体"/>
          <w:color w:val="000000" w:themeColor="text1"/>
          <w:highlight w:val="none"/>
          <w14:textFill>
            <w14:solidFill>
              <w14:schemeClr w14:val="tx1"/>
            </w14:solidFill>
          </w14:textFill>
        </w:rPr>
        <w:t>其他项目费应按下列规定报价：</w:t>
      </w:r>
    </w:p>
    <w:p w14:paraId="5008B797">
      <w:pPr>
        <w:spacing w:line="360" w:lineRule="auto"/>
        <w:ind w:firstLine="420"/>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1</w:t>
      </w:r>
      <w:r>
        <w:rPr>
          <w:rFonts w:hint="eastAsia" w:cs="宋体"/>
          <w:color w:val="000000" w:themeColor="text1"/>
          <w:highlight w:val="none"/>
          <w14:textFill>
            <w14:solidFill>
              <w14:schemeClr w14:val="tx1"/>
            </w14:solidFill>
          </w14:textFill>
        </w:rPr>
        <w:t>）暂列金额应按工程量清单中列出的金额填写；</w:t>
      </w:r>
    </w:p>
    <w:p w14:paraId="2425D7D1">
      <w:pPr>
        <w:pStyle w:val="339"/>
        <w:spacing w:line="360" w:lineRule="auto"/>
        <w:ind w:firstLine="420"/>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2</w:t>
      </w:r>
      <w:r>
        <w:rPr>
          <w:rFonts w:hint="eastAsia" w:cs="宋体"/>
          <w:color w:val="000000" w:themeColor="text1"/>
          <w:highlight w:val="none"/>
          <w14:textFill>
            <w14:solidFill>
              <w14:schemeClr w14:val="tx1"/>
            </w14:solidFill>
          </w14:textFill>
        </w:rPr>
        <w:t>）材料、工程设备暂估价应按工程量清单中列出的单价计入综合单价；</w:t>
      </w:r>
    </w:p>
    <w:p w14:paraId="24F28927">
      <w:pPr>
        <w:spacing w:line="360" w:lineRule="auto"/>
        <w:ind w:firstLine="420"/>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3</w:t>
      </w:r>
      <w:r>
        <w:rPr>
          <w:rFonts w:hint="eastAsia" w:cs="宋体"/>
          <w:color w:val="000000" w:themeColor="text1"/>
          <w:highlight w:val="none"/>
          <w14:textFill>
            <w14:solidFill>
              <w14:schemeClr w14:val="tx1"/>
            </w14:solidFill>
          </w14:textFill>
        </w:rPr>
        <w:t>）专业工程暂估价应按工程量清单中列出的金额填写；</w:t>
      </w:r>
    </w:p>
    <w:p w14:paraId="3800ED71">
      <w:pPr>
        <w:spacing w:line="360" w:lineRule="auto"/>
        <w:ind w:firstLine="420"/>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4</w:t>
      </w:r>
      <w:r>
        <w:rPr>
          <w:rFonts w:hint="eastAsia" w:cs="宋体"/>
          <w:color w:val="000000" w:themeColor="text1"/>
          <w:highlight w:val="none"/>
          <w14:textFill>
            <w14:solidFill>
              <w14:schemeClr w14:val="tx1"/>
            </w14:solidFill>
          </w14:textFill>
        </w:rPr>
        <w:t>）计日工应按工程量清单中列出的项目和数量，根据工程特点和有关计价依据确定的综合单价计算；</w:t>
      </w:r>
    </w:p>
    <w:p w14:paraId="0697B3F2">
      <w:pPr>
        <w:spacing w:line="360" w:lineRule="auto"/>
        <w:ind w:firstLine="42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5</w:t>
      </w:r>
      <w:r>
        <w:rPr>
          <w:rFonts w:hint="eastAsia" w:cs="宋体"/>
          <w:color w:val="000000" w:themeColor="text1"/>
          <w:highlight w:val="none"/>
          <w14:textFill>
            <w14:solidFill>
              <w14:schemeClr w14:val="tx1"/>
            </w14:solidFill>
          </w14:textFill>
        </w:rPr>
        <w:t>）总承包服务费应根据工程量清单列出的内容</w:t>
      </w:r>
      <w:r>
        <w:rPr>
          <w:rFonts w:hint="eastAsia" w:hAnsi="宋体" w:cs="宋体"/>
          <w:color w:val="000000" w:themeColor="text1"/>
          <w:highlight w:val="none"/>
          <w14:textFill>
            <w14:solidFill>
              <w14:schemeClr w14:val="tx1"/>
            </w14:solidFill>
          </w14:textFill>
        </w:rPr>
        <w:t>和要求，按广西壮族自治区住房城乡建设行政主管部门颁发的计价定额及有关规定计算</w:t>
      </w:r>
      <w:r>
        <w:rPr>
          <w:rFonts w:hint="eastAsia" w:cs="宋体"/>
          <w:color w:val="000000" w:themeColor="text1"/>
          <w:highlight w:val="none"/>
          <w14:textFill>
            <w14:solidFill>
              <w14:schemeClr w14:val="tx1"/>
            </w14:solidFill>
          </w14:textFill>
        </w:rPr>
        <w:t>。</w:t>
      </w:r>
    </w:p>
    <w:p w14:paraId="3A81F60E">
      <w:pPr>
        <w:spacing w:line="360" w:lineRule="auto"/>
        <w:ind w:firstLine="42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（6）对建设单位创建优质工程的，鼓励在招标控制价和预算中按广西区工程建设定额规定计列工程优质费，并明确工程优质费不可竞争。</w:t>
      </w:r>
    </w:p>
    <w:p w14:paraId="4BF83AFA">
      <w:pPr>
        <w:spacing w:line="360" w:lineRule="auto"/>
        <w:ind w:firstLine="42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2.5 </w:t>
      </w:r>
      <w:r>
        <w:rPr>
          <w:rFonts w:hint="eastAsia" w:cs="宋体"/>
          <w:color w:val="000000" w:themeColor="text1"/>
          <w:highlight w:val="none"/>
          <w14:textFill>
            <w14:solidFill>
              <w14:schemeClr w14:val="tx1"/>
            </w14:solidFill>
          </w14:textFill>
        </w:rPr>
        <w:t>规费和增值税应按规定确定，作为不可竞争费用。</w:t>
      </w:r>
    </w:p>
    <w:p w14:paraId="0D124E45">
      <w:pPr>
        <w:spacing w:line="360" w:lineRule="auto"/>
        <w:rPr>
          <w:rFonts w:hAnsi="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2.6 </w:t>
      </w:r>
      <w:r>
        <w:rPr>
          <w:rFonts w:hint="eastAsia" w:hAnsi="宋体" w:cs="宋体"/>
          <w:color w:val="000000" w:themeColor="text1"/>
          <w:highlight w:val="none"/>
          <w14:textFill>
            <w14:solidFill>
              <w14:schemeClr w14:val="tx1"/>
            </w14:solidFill>
          </w14:textFill>
        </w:rPr>
        <w:t>其它需要说明的问题：</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w:t>
      </w:r>
    </w:p>
    <w:p w14:paraId="46762A13">
      <w:pPr>
        <w:pStyle w:val="3"/>
        <w:spacing w:before="0" w:after="0" w:line="360" w:lineRule="auto"/>
        <w:rPr>
          <w:color w:val="000000" w:themeColor="text1"/>
          <w:highlight w:val="none"/>
          <w14:textFill>
            <w14:solidFill>
              <w14:schemeClr w14:val="tx1"/>
            </w14:solidFill>
          </w14:textFill>
        </w:rPr>
      </w:pPr>
      <w:bookmarkStart w:id="87" w:name="_Toc378483916"/>
      <w:bookmarkStart w:id="88" w:name="_Toc122424003"/>
      <w:bookmarkStart w:id="89" w:name="_Toc879821176"/>
      <w:bookmarkStart w:id="90" w:name="_Toc122424252"/>
      <w:bookmarkStart w:id="91" w:name="_Toc407135286"/>
      <w:bookmarkStart w:id="92" w:name="_Toc78449871"/>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w:t>
      </w:r>
      <w:r>
        <w:rPr>
          <w:rFonts w:hint="eastAsia" w:cs="黑体"/>
          <w:color w:val="000000" w:themeColor="text1"/>
          <w:highlight w:val="none"/>
          <w14:textFill>
            <w14:solidFill>
              <w14:schemeClr w14:val="tx1"/>
            </w14:solidFill>
          </w14:textFill>
        </w:rPr>
        <w:t>竞标报价（已标价工程量清单）编制说明</w:t>
      </w:r>
      <w:bookmarkEnd w:id="87"/>
      <w:bookmarkEnd w:id="88"/>
      <w:bookmarkEnd w:id="89"/>
      <w:bookmarkEnd w:id="90"/>
      <w:bookmarkEnd w:id="91"/>
      <w:bookmarkEnd w:id="92"/>
    </w:p>
    <w:p w14:paraId="17AF4AE7">
      <w:pPr>
        <w:spacing w:line="360" w:lineRule="auto"/>
        <w:ind w:firstLine="42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3.1 </w:t>
      </w:r>
      <w:r>
        <w:rPr>
          <w:rFonts w:hint="eastAsia" w:cs="宋体"/>
          <w:color w:val="000000" w:themeColor="text1"/>
          <w:highlight w:val="none"/>
          <w14:textFill>
            <w14:solidFill>
              <w14:schemeClr w14:val="tx1"/>
            </w14:solidFill>
          </w14:textFill>
        </w:rPr>
        <w:t>供应商应依据磋商文件、工程量清单以及《计价规范》、《计算规范》自主报价，自主报价</w:t>
      </w:r>
      <w:r>
        <w:rPr>
          <w:rFonts w:hint="eastAsia" w:hAnsi="宋体" w:cs="宋体"/>
          <w:color w:val="000000" w:themeColor="text1"/>
          <w:highlight w:val="none"/>
          <w14:textFill>
            <w14:solidFill>
              <w14:schemeClr w14:val="tx1"/>
            </w14:solidFill>
          </w14:textFill>
        </w:rPr>
        <w:t>不得违反计价规范强制性条文规定。</w:t>
      </w:r>
      <w:r>
        <w:rPr>
          <w:rFonts w:hint="eastAsia" w:cs="宋体"/>
          <w:color w:val="000000" w:themeColor="text1"/>
          <w:highlight w:val="none"/>
          <w14:textFill>
            <w14:solidFill>
              <w14:schemeClr w14:val="tx1"/>
            </w14:solidFill>
          </w14:textFill>
        </w:rPr>
        <w:t>供应商不得采用总价让利或以百分比让利等形式进行报价，任何优惠（或降价、让利）均应反映在相应清单项目的综合单价中。同时，不得出现任意一项单价重大让利，</w:t>
      </w:r>
      <w:r>
        <w:rPr>
          <w:rFonts w:hint="eastAsia" w:hAnsi="宋体" w:cs="宋体"/>
          <w:color w:val="000000" w:themeColor="text1"/>
          <w:highlight w:val="none"/>
          <w14:textFill>
            <w14:solidFill>
              <w14:schemeClr w14:val="tx1"/>
            </w14:solidFill>
          </w14:textFill>
        </w:rPr>
        <w:t>不得以自有机械闲置、自有材料等不计成本为由</w:t>
      </w:r>
      <w:r>
        <w:rPr>
          <w:rFonts w:hint="eastAsia" w:cs="宋体"/>
          <w:color w:val="000000" w:themeColor="text1"/>
          <w:highlight w:val="none"/>
          <w14:textFill>
            <w14:solidFill>
              <w14:schemeClr w14:val="tx1"/>
            </w14:solidFill>
          </w14:textFill>
        </w:rPr>
        <w:t>低于工程成本报价。</w:t>
      </w:r>
    </w:p>
    <w:p w14:paraId="053AFC0F">
      <w:pPr>
        <w:spacing w:line="360" w:lineRule="auto"/>
        <w:ind w:firstLine="420"/>
        <w:rPr>
          <w:rFonts w:hAnsi="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3.2 </w:t>
      </w:r>
      <w:r>
        <w:rPr>
          <w:rFonts w:hint="eastAsia" w:cs="宋体"/>
          <w:color w:val="000000" w:themeColor="text1"/>
          <w:highlight w:val="none"/>
          <w14:textFill>
            <w14:solidFill>
              <w14:schemeClr w14:val="tx1"/>
            </w14:solidFill>
          </w14:textFill>
        </w:rPr>
        <w:t>供应商应按工程量清单填报价格。项目编码、项目名称、项目特征、计量单位、工程量必须与工程量清单一致，</w:t>
      </w:r>
      <w:r>
        <w:rPr>
          <w:rFonts w:hint="eastAsia" w:hAnsi="宋体" w:cs="宋体"/>
          <w:color w:val="000000" w:themeColor="text1"/>
          <w:highlight w:val="none"/>
          <w14:textFill>
            <w14:solidFill>
              <w14:schemeClr w14:val="tx1"/>
            </w14:solidFill>
          </w14:textFill>
        </w:rPr>
        <w:t>供应商不得对工程量清单项目进行增减调整。</w:t>
      </w:r>
    </w:p>
    <w:p w14:paraId="7A343231">
      <w:pPr>
        <w:spacing w:line="360" w:lineRule="auto"/>
        <w:ind w:firstLine="42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3.3 </w:t>
      </w:r>
      <w:r>
        <w:rPr>
          <w:rFonts w:hint="eastAsia" w:cs="宋体"/>
          <w:color w:val="000000" w:themeColor="text1"/>
          <w:highlight w:val="none"/>
          <w14:textFill>
            <w14:solidFill>
              <w14:schemeClr w14:val="tx1"/>
            </w14:solidFill>
          </w14:textFill>
        </w:rPr>
        <w:t>综合单价中应包含磋商文件中划分的应由供应商承担的风险范围及其费用。</w:t>
      </w:r>
    </w:p>
    <w:p w14:paraId="6344766A">
      <w:pPr>
        <w:spacing w:line="360" w:lineRule="auto"/>
        <w:ind w:firstLine="420"/>
        <w:rPr>
          <w:rFonts w:hAnsi="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3.4 </w:t>
      </w:r>
      <w:r>
        <w:rPr>
          <w:rFonts w:hint="eastAsia" w:hAnsi="宋体" w:cs="宋体"/>
          <w:color w:val="000000" w:themeColor="text1"/>
          <w:highlight w:val="none"/>
          <w14:textFill>
            <w14:solidFill>
              <w14:schemeClr w14:val="tx1"/>
            </w14:solidFill>
          </w14:textFill>
        </w:rPr>
        <w:t>分部分项工程项目和单价措施项目，应根据磋商文件和工程量清单项目中的特征描述确定综合单价计算。如出现工程量清单特征描述与设计图纸不符时，供应商应以工程量清单的项目特征描述为准，确定竞标报价的综合单价。</w:t>
      </w:r>
    </w:p>
    <w:p w14:paraId="2570F4BF">
      <w:pPr>
        <w:spacing w:line="360" w:lineRule="auto"/>
        <w:ind w:firstLine="42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3.5 </w:t>
      </w:r>
      <w:r>
        <w:rPr>
          <w:rFonts w:hint="eastAsia" w:hAnsi="宋体" w:cs="宋体"/>
          <w:color w:val="000000" w:themeColor="text1"/>
          <w:highlight w:val="none"/>
          <w14:textFill>
            <w14:solidFill>
              <w14:schemeClr w14:val="tx1"/>
            </w14:solidFill>
          </w14:textFill>
        </w:rPr>
        <w:t>总价措施项目的金额应根据磋商文件及竞标时拟定的施工组织设计或施工方案，按计价规范的规定自主确定。但</w:t>
      </w:r>
      <w:r>
        <w:rPr>
          <w:rFonts w:hint="eastAsia" w:cs="宋体"/>
          <w:color w:val="000000" w:themeColor="text1"/>
          <w:highlight w:val="none"/>
          <w14:textFill>
            <w14:solidFill>
              <w14:schemeClr w14:val="tx1"/>
            </w14:solidFill>
          </w14:textFill>
        </w:rPr>
        <w:t>安全文明施工费按国家、省级或行业建设主管部门的有关规定执行，作为不竞争费用单列。</w:t>
      </w:r>
    </w:p>
    <w:p w14:paraId="2E6E0AFD">
      <w:pPr>
        <w:spacing w:line="360" w:lineRule="auto"/>
        <w:ind w:firstLine="42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3.6 </w:t>
      </w:r>
      <w:r>
        <w:rPr>
          <w:rFonts w:hint="eastAsia" w:cs="宋体"/>
          <w:color w:val="000000" w:themeColor="text1"/>
          <w:highlight w:val="none"/>
          <w14:textFill>
            <w14:solidFill>
              <w14:schemeClr w14:val="tx1"/>
            </w14:solidFill>
          </w14:textFill>
        </w:rPr>
        <w:t>其他项目费应按下列规定报价：</w:t>
      </w:r>
    </w:p>
    <w:p w14:paraId="4406259C">
      <w:pPr>
        <w:spacing w:line="360" w:lineRule="auto"/>
        <w:ind w:firstLine="420"/>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1</w:t>
      </w:r>
      <w:r>
        <w:rPr>
          <w:rFonts w:hint="eastAsia" w:cs="宋体"/>
          <w:color w:val="000000" w:themeColor="text1"/>
          <w:highlight w:val="none"/>
          <w14:textFill>
            <w14:solidFill>
              <w14:schemeClr w14:val="tx1"/>
            </w14:solidFill>
          </w14:textFill>
        </w:rPr>
        <w:t>）暂列金额应按工程量清单中列出的金额填写；</w:t>
      </w:r>
    </w:p>
    <w:p w14:paraId="7BEFBE8E">
      <w:pPr>
        <w:pStyle w:val="339"/>
        <w:spacing w:line="360" w:lineRule="auto"/>
        <w:ind w:firstLine="420"/>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2</w:t>
      </w:r>
      <w:r>
        <w:rPr>
          <w:rFonts w:hint="eastAsia" w:cs="宋体"/>
          <w:color w:val="000000" w:themeColor="text1"/>
          <w:highlight w:val="none"/>
          <w14:textFill>
            <w14:solidFill>
              <w14:schemeClr w14:val="tx1"/>
            </w14:solidFill>
          </w14:textFill>
        </w:rPr>
        <w:t>）材料、工程设备暂估价应按工程量清单中列出的单价计入综合单价；</w:t>
      </w:r>
    </w:p>
    <w:p w14:paraId="0CE8E76D">
      <w:pPr>
        <w:spacing w:line="360" w:lineRule="auto"/>
        <w:ind w:firstLine="420"/>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3</w:t>
      </w:r>
      <w:r>
        <w:rPr>
          <w:rFonts w:hint="eastAsia" w:cs="宋体"/>
          <w:color w:val="000000" w:themeColor="text1"/>
          <w:highlight w:val="none"/>
          <w14:textFill>
            <w14:solidFill>
              <w14:schemeClr w14:val="tx1"/>
            </w14:solidFill>
          </w14:textFill>
        </w:rPr>
        <w:t>）专业工程暂估价应按工程量清单中列出的金额填写；</w:t>
      </w:r>
    </w:p>
    <w:p w14:paraId="777375CA">
      <w:pPr>
        <w:spacing w:line="360" w:lineRule="auto"/>
        <w:ind w:firstLine="420"/>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4</w:t>
      </w:r>
      <w:r>
        <w:rPr>
          <w:rFonts w:hint="eastAsia" w:cs="宋体"/>
          <w:color w:val="000000" w:themeColor="text1"/>
          <w:highlight w:val="none"/>
          <w14:textFill>
            <w14:solidFill>
              <w14:schemeClr w14:val="tx1"/>
            </w14:solidFill>
          </w14:textFill>
        </w:rPr>
        <w:t>）计日工应按工程量清单中列出的项目和估算数量，自主确定综合单价并计算计日工总额；计日工单价均不含规费和税金；</w:t>
      </w:r>
    </w:p>
    <w:p w14:paraId="33462DD2">
      <w:pPr>
        <w:spacing w:line="360" w:lineRule="auto"/>
        <w:ind w:firstLine="42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5</w:t>
      </w:r>
      <w:r>
        <w:rPr>
          <w:rFonts w:hint="eastAsia" w:cs="宋体"/>
          <w:color w:val="000000" w:themeColor="text1"/>
          <w:highlight w:val="none"/>
          <w14:textFill>
            <w14:solidFill>
              <w14:schemeClr w14:val="tx1"/>
            </w14:solidFill>
          </w14:textFill>
        </w:rPr>
        <w:t>）总承包服务费应根据工程量清单中列出的内容</w:t>
      </w:r>
      <w:r>
        <w:rPr>
          <w:rFonts w:hint="eastAsia" w:hAnsi="宋体" w:cs="宋体"/>
          <w:color w:val="000000" w:themeColor="text1"/>
          <w:highlight w:val="none"/>
          <w14:textFill>
            <w14:solidFill>
              <w14:schemeClr w14:val="tx1"/>
            </w14:solidFill>
          </w14:textFill>
        </w:rPr>
        <w:t>和供应材料、设备情况，按照采购人提出的协调、配合与服务要求和施工现场管理需要</w:t>
      </w:r>
      <w:r>
        <w:rPr>
          <w:rFonts w:hint="eastAsia" w:cs="宋体"/>
          <w:color w:val="000000" w:themeColor="text1"/>
          <w:highlight w:val="none"/>
          <w14:textFill>
            <w14:solidFill>
              <w14:schemeClr w14:val="tx1"/>
            </w14:solidFill>
          </w14:textFill>
        </w:rPr>
        <w:t>自主确定。</w:t>
      </w:r>
    </w:p>
    <w:p w14:paraId="779AF30B">
      <w:pPr>
        <w:spacing w:line="360" w:lineRule="auto"/>
        <w:ind w:firstLine="42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（6）对建设单位创建优质工程的，鼓励在招标控制价和预算中按我区工程建设定额规定计列工程优质费，并明确工程优质费不可竞争。</w:t>
      </w:r>
    </w:p>
    <w:p w14:paraId="7A563EBE">
      <w:pPr>
        <w:spacing w:line="360" w:lineRule="auto"/>
        <w:ind w:firstLine="42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3.7 </w:t>
      </w:r>
      <w:r>
        <w:rPr>
          <w:rFonts w:hint="eastAsia" w:cs="宋体"/>
          <w:color w:val="000000" w:themeColor="text1"/>
          <w:highlight w:val="none"/>
          <w14:textFill>
            <w14:solidFill>
              <w14:schemeClr w14:val="tx1"/>
            </w14:solidFill>
          </w14:textFill>
        </w:rPr>
        <w:t>规费和增值税应按规定确定，作为不可竞争费用。</w:t>
      </w:r>
    </w:p>
    <w:p w14:paraId="6C71CBA6">
      <w:pPr>
        <w:spacing w:line="360" w:lineRule="auto"/>
        <w:ind w:firstLine="42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3.8 </w:t>
      </w:r>
      <w:r>
        <w:rPr>
          <w:rFonts w:hint="eastAsia" w:cs="宋体"/>
          <w:color w:val="000000" w:themeColor="text1"/>
          <w:highlight w:val="none"/>
          <w14:textFill>
            <w14:solidFill>
              <w14:schemeClr w14:val="tx1"/>
            </w14:solidFill>
          </w14:textFill>
        </w:rPr>
        <w:t>工程量清单与计价表中列明的所有需要填写的单价和合价的项目，供应商均应填写且只允许有一个报价。未填写单价和合价的项目，视为此项费用已包含在已标价工程量清单中其他项目的单价和合价之中。竣工结算时，此项目不得重新组价予以调整。</w:t>
      </w:r>
    </w:p>
    <w:p w14:paraId="647FF1A0">
      <w:pPr>
        <w:spacing w:line="360" w:lineRule="auto"/>
        <w:ind w:firstLine="42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3.9 </w:t>
      </w:r>
      <w:r>
        <w:rPr>
          <w:rFonts w:hint="eastAsia" w:cs="宋体"/>
          <w:color w:val="000000" w:themeColor="text1"/>
          <w:highlight w:val="none"/>
          <w14:textFill>
            <w14:solidFill>
              <w14:schemeClr w14:val="tx1"/>
            </w14:solidFill>
          </w14:textFill>
        </w:rPr>
        <w:t>投标总价应当与分部分项工程费、措施项目费、其他项目费和规费、增值税的合计金额一致。</w:t>
      </w:r>
    </w:p>
    <w:p w14:paraId="42270975">
      <w:pPr>
        <w:spacing w:line="360" w:lineRule="auto"/>
        <w:ind w:firstLine="42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3.1</w:t>
      </w:r>
      <w:r>
        <w:rPr>
          <w:rFonts w:hint="eastAsia"/>
          <w:color w:val="000000" w:themeColor="text1"/>
          <w:highlight w:val="none"/>
          <w14:textFill>
            <w14:solidFill>
              <w14:schemeClr w14:val="tx1"/>
            </w14:solidFill>
          </w14:textFill>
        </w:rPr>
        <w:t>0</w:t>
      </w:r>
      <w:r>
        <w:rPr>
          <w:color w:val="000000" w:themeColor="text1"/>
          <w:highlight w:val="non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供应商应按《允许调整主要材料和工程设备一览表》的内容填报，不得擅自调整材料和设备名称型号规格、单位、风险系数、基准单价。</w:t>
      </w:r>
    </w:p>
    <w:p w14:paraId="5A704AE9">
      <w:pPr>
        <w:spacing w:line="360" w:lineRule="auto"/>
        <w:ind w:firstLine="420"/>
        <w:rPr>
          <w:rFonts w:hAnsi="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3.1</w:t>
      </w:r>
      <w:r>
        <w:rPr>
          <w:rFonts w:hint="eastAsia"/>
          <w:color w:val="000000" w:themeColor="text1"/>
          <w:highlight w:val="none"/>
          <w14:textFill>
            <w14:solidFill>
              <w14:schemeClr w14:val="tx1"/>
            </w14:solidFill>
          </w14:textFill>
        </w:rPr>
        <w:t>1</w:t>
      </w:r>
      <w:r>
        <w:rPr>
          <w:rFonts w:hint="eastAsia" w:hAnsi="宋体" w:cs="宋体"/>
          <w:color w:val="000000" w:themeColor="text1"/>
          <w:highlight w:val="none"/>
          <w14:textFill>
            <w14:solidFill>
              <w14:schemeClr w14:val="tx1"/>
            </w14:solidFill>
          </w14:textFill>
        </w:rPr>
        <w:t>竞标报价</w:t>
      </w:r>
      <w:r>
        <w:rPr>
          <w:rFonts w:hint="eastAsia" w:cs="宋体"/>
          <w:color w:val="000000" w:themeColor="text1"/>
          <w:highlight w:val="none"/>
          <w14:textFill>
            <w14:solidFill>
              <w14:schemeClr w14:val="tx1"/>
            </w14:solidFill>
          </w14:textFill>
        </w:rPr>
        <w:t>表格按本工程工程量清单表格要求填写，并</w:t>
      </w:r>
      <w:r>
        <w:rPr>
          <w:rFonts w:hint="eastAsia" w:hAnsi="宋体" w:cs="宋体"/>
          <w:color w:val="000000" w:themeColor="text1"/>
          <w:highlight w:val="none"/>
          <w14:textFill>
            <w14:solidFill>
              <w14:schemeClr w14:val="tx1"/>
            </w14:solidFill>
          </w14:textFill>
        </w:rPr>
        <w:t>应按磋商文件的要求，附上《工程量清单综合单价分析表》（表</w:t>
      </w:r>
      <w:r>
        <w:rPr>
          <w:color w:val="000000" w:themeColor="text1"/>
          <w:highlight w:val="none"/>
          <w14:textFill>
            <w14:solidFill>
              <w14:schemeClr w14:val="tx1"/>
            </w14:solidFill>
          </w14:textFill>
        </w:rPr>
        <w:t>-09</w:t>
      </w:r>
      <w:r>
        <w:rPr>
          <w:rFonts w:hint="eastAsia" w:hAnsi="宋体" w:cs="宋体"/>
          <w:color w:val="000000" w:themeColor="text1"/>
          <w:highlight w:val="none"/>
          <w14:textFill>
            <w14:solidFill>
              <w14:schemeClr w14:val="tx1"/>
            </w14:solidFill>
          </w14:textFill>
        </w:rPr>
        <w:t>）和《主要清单项目工料机分析表》（表</w:t>
      </w:r>
      <w:r>
        <w:rPr>
          <w:color w:val="000000" w:themeColor="text1"/>
          <w:highlight w:val="none"/>
          <w14:textFill>
            <w14:solidFill>
              <w14:schemeClr w14:val="tx1"/>
            </w14:solidFill>
          </w14:textFill>
        </w:rPr>
        <w:t>-10</w:t>
      </w:r>
      <w:r>
        <w:rPr>
          <w:rFonts w:hint="eastAsia" w:hAnsi="宋体" w:cs="宋体"/>
          <w:color w:val="000000" w:themeColor="text1"/>
          <w:highlight w:val="none"/>
          <w14:textFill>
            <w14:solidFill>
              <w14:schemeClr w14:val="tx1"/>
            </w14:solidFill>
          </w14:textFill>
        </w:rPr>
        <w:t>）。</w:t>
      </w:r>
    </w:p>
    <w:p w14:paraId="7B4CA5A7">
      <w:pPr>
        <w:spacing w:line="360" w:lineRule="auto"/>
        <w:ind w:firstLine="420"/>
        <w:rPr>
          <w:color w:val="000000" w:themeColor="text1"/>
          <w:highlight w:val="none"/>
          <w:u w:val="single"/>
          <w14:textFill>
            <w14:solidFill>
              <w14:schemeClr w14:val="tx1"/>
            </w14:solidFill>
          </w14:textFill>
        </w:rPr>
      </w:pPr>
      <w:r>
        <w:rPr>
          <w:rFonts w:hint="eastAsia" w:cs="宋体"/>
          <w:color w:val="000000" w:themeColor="text1"/>
          <w:highlight w:val="none"/>
          <w14:textFill>
            <w14:solidFill>
              <w14:schemeClr w14:val="tx1"/>
            </w14:solidFill>
          </w14:textFill>
        </w:rPr>
        <w:t>未尽事宜详见本工程工程量清单、招标控制价编制说明以及现行《计价规范》等有关规定执行。</w:t>
      </w:r>
    </w:p>
    <w:p w14:paraId="7C84F2E9">
      <w:pPr>
        <w:spacing w:line="360" w:lineRule="auto"/>
        <w:ind w:firstLine="420"/>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注：因2021年《广西壮族自治区园林绿化及仿古建筑工程费用定额》采用全费用综合单价形式，故园林绿化及仿古建筑工程的工程量清单及计价采用《自治区住房和城乡建设厅关于建设工程造价改革试点项目招投标及计价规定调整的通知》（桂建标〔2021〕6号）中附件1《建设工程工程量清单计价规范（GB50500-2013）广西壮族自治区实施细则》（适用于工程造价改革试点项目）相关表格，具体以采购人另册发放的工程量清单及相关说明为准。</w:t>
      </w:r>
    </w:p>
    <w:p w14:paraId="0FC077D1">
      <w:pPr>
        <w:pStyle w:val="3"/>
        <w:spacing w:before="0" w:after="0" w:line="360" w:lineRule="auto"/>
        <w:rPr>
          <w:rFonts w:hint="eastAsia" w:cs="黑体"/>
          <w:color w:val="000000" w:themeColor="text1"/>
          <w:highlight w:val="none"/>
          <w14:textFill>
            <w14:solidFill>
              <w14:schemeClr w14:val="tx1"/>
            </w14:solidFill>
          </w14:textFill>
        </w:rPr>
      </w:pPr>
      <w:bookmarkStart w:id="93" w:name="_Toc122424004"/>
      <w:bookmarkStart w:id="94" w:name="_Toc122424253"/>
      <w:r>
        <w:rPr>
          <w:rFonts w:hint="eastAsia" w:cs="黑体"/>
          <w:color w:val="000000" w:themeColor="text1"/>
          <w:highlight w:val="none"/>
          <w14:textFill>
            <w14:solidFill>
              <w14:schemeClr w14:val="tx1"/>
            </w14:solidFill>
          </w14:textFill>
        </w:rPr>
        <w:t>4.图纸（另册）</w:t>
      </w:r>
      <w:bookmarkEnd w:id="93"/>
      <w:bookmarkEnd w:id="94"/>
    </w:p>
    <w:p w14:paraId="5E02A705">
      <w:pPr>
        <w:pStyle w:val="4"/>
        <w:spacing w:before="0" w:after="0" w:line="360" w:lineRule="auto"/>
        <w:rPr>
          <w:color w:val="000000" w:themeColor="text1"/>
          <w:highlight w:val="none"/>
          <w14:textFill>
            <w14:solidFill>
              <w14:schemeClr w14:val="tx1"/>
            </w14:solidFill>
          </w14:textFill>
        </w:rPr>
      </w:pPr>
    </w:p>
    <w:p w14:paraId="4A00D589">
      <w:pPr>
        <w:rPr>
          <w:color w:val="000000" w:themeColor="text1"/>
          <w:highlight w:val="none"/>
          <w14:textFill>
            <w14:solidFill>
              <w14:schemeClr w14:val="tx1"/>
            </w14:solidFill>
          </w14:textFill>
        </w:rPr>
      </w:pPr>
    </w:p>
    <w:p w14:paraId="1D0CD844">
      <w:pPr>
        <w:rPr>
          <w:color w:val="000000" w:themeColor="text1"/>
          <w:highlight w:val="none"/>
          <w14:textFill>
            <w14:solidFill>
              <w14:schemeClr w14:val="tx1"/>
            </w14:solidFill>
          </w14:textFill>
        </w:rPr>
      </w:pPr>
    </w:p>
    <w:p w14:paraId="10D166F9">
      <w:pPr>
        <w:rPr>
          <w:color w:val="000000" w:themeColor="text1"/>
          <w:highlight w:val="none"/>
          <w14:textFill>
            <w14:solidFill>
              <w14:schemeClr w14:val="tx1"/>
            </w14:solidFill>
          </w14:textFill>
        </w:rPr>
      </w:pPr>
    </w:p>
    <w:p w14:paraId="4C680FC2">
      <w:pPr>
        <w:rPr>
          <w:color w:val="000000" w:themeColor="text1"/>
          <w:highlight w:val="none"/>
          <w14:textFill>
            <w14:solidFill>
              <w14:schemeClr w14:val="tx1"/>
            </w14:solidFill>
          </w14:textFill>
        </w:rPr>
      </w:pPr>
    </w:p>
    <w:p w14:paraId="4F31733F">
      <w:pPr>
        <w:rPr>
          <w:color w:val="000000" w:themeColor="text1"/>
          <w:highlight w:val="none"/>
          <w14:textFill>
            <w14:solidFill>
              <w14:schemeClr w14:val="tx1"/>
            </w14:solidFill>
          </w14:textFill>
        </w:rPr>
      </w:pPr>
    </w:p>
    <w:p w14:paraId="371F15B3">
      <w:pPr>
        <w:rPr>
          <w:color w:val="000000" w:themeColor="text1"/>
          <w:highlight w:val="none"/>
          <w14:textFill>
            <w14:solidFill>
              <w14:schemeClr w14:val="tx1"/>
            </w14:solidFill>
          </w14:textFill>
        </w:rPr>
      </w:pPr>
    </w:p>
    <w:p w14:paraId="3E903763">
      <w:pPr>
        <w:rPr>
          <w:color w:val="000000" w:themeColor="text1"/>
          <w:highlight w:val="none"/>
          <w14:textFill>
            <w14:solidFill>
              <w14:schemeClr w14:val="tx1"/>
            </w14:solidFill>
          </w14:textFill>
        </w:rPr>
      </w:pPr>
    </w:p>
    <w:p w14:paraId="3DA9B61E">
      <w:pPr>
        <w:rPr>
          <w:color w:val="000000" w:themeColor="text1"/>
          <w:highlight w:val="none"/>
          <w14:textFill>
            <w14:solidFill>
              <w14:schemeClr w14:val="tx1"/>
            </w14:solidFill>
          </w14:textFill>
        </w:rPr>
      </w:pPr>
    </w:p>
    <w:p w14:paraId="32BC7EFB">
      <w:pPr>
        <w:rPr>
          <w:color w:val="000000" w:themeColor="text1"/>
          <w:highlight w:val="none"/>
          <w14:textFill>
            <w14:solidFill>
              <w14:schemeClr w14:val="tx1"/>
            </w14:solidFill>
          </w14:textFill>
        </w:rPr>
      </w:pPr>
    </w:p>
    <w:p w14:paraId="0460341C">
      <w:pPr>
        <w:rPr>
          <w:color w:val="000000" w:themeColor="text1"/>
          <w:highlight w:val="none"/>
          <w14:textFill>
            <w14:solidFill>
              <w14:schemeClr w14:val="tx1"/>
            </w14:solidFill>
          </w14:textFill>
        </w:rPr>
      </w:pPr>
    </w:p>
    <w:p w14:paraId="79BBD03D">
      <w:pPr>
        <w:rPr>
          <w:color w:val="000000" w:themeColor="text1"/>
          <w:highlight w:val="none"/>
          <w14:textFill>
            <w14:solidFill>
              <w14:schemeClr w14:val="tx1"/>
            </w14:solidFill>
          </w14:textFill>
        </w:rPr>
      </w:pPr>
    </w:p>
    <w:p w14:paraId="3530AB99">
      <w:pPr>
        <w:rPr>
          <w:color w:val="000000" w:themeColor="text1"/>
          <w:highlight w:val="none"/>
          <w14:textFill>
            <w14:solidFill>
              <w14:schemeClr w14:val="tx1"/>
            </w14:solidFill>
          </w14:textFill>
        </w:rPr>
      </w:pPr>
    </w:p>
    <w:p w14:paraId="2733D4BD">
      <w:pPr>
        <w:rPr>
          <w:color w:val="000000" w:themeColor="text1"/>
          <w:highlight w:val="none"/>
          <w14:textFill>
            <w14:solidFill>
              <w14:schemeClr w14:val="tx1"/>
            </w14:solidFill>
          </w14:textFill>
        </w:rPr>
      </w:pPr>
    </w:p>
    <w:p w14:paraId="012F13DE">
      <w:pPr>
        <w:rPr>
          <w:rFonts w:hint="eastAsia"/>
          <w:color w:val="000000" w:themeColor="text1"/>
          <w:highlight w:val="none"/>
          <w14:textFill>
            <w14:solidFill>
              <w14:schemeClr w14:val="tx1"/>
            </w14:solidFill>
          </w14:textFill>
        </w:rPr>
      </w:pPr>
      <w:bookmarkStart w:id="95" w:name="_Toc74323460"/>
      <w:r>
        <w:rPr>
          <w:rFonts w:hint="eastAsia"/>
          <w:color w:val="000000" w:themeColor="text1"/>
          <w:highlight w:val="none"/>
          <w14:textFill>
            <w14:solidFill>
              <w14:schemeClr w14:val="tx1"/>
            </w14:solidFill>
          </w14:textFill>
        </w:rPr>
        <w:br w:type="page" w:clear="all"/>
      </w:r>
    </w:p>
    <w:p w14:paraId="694C219D">
      <w:pPr>
        <w:pStyle w:val="2"/>
        <w:jc w:val="center"/>
        <w:rPr>
          <w:rFonts w:hint="eastAsia"/>
          <w:color w:val="000000" w:themeColor="text1"/>
          <w:highlight w:val="none"/>
          <w14:textFill>
            <w14:solidFill>
              <w14:schemeClr w14:val="tx1"/>
            </w14:solidFill>
          </w14:textFill>
        </w:rPr>
      </w:pPr>
    </w:p>
    <w:p w14:paraId="5C74A8CD">
      <w:pPr>
        <w:pStyle w:val="2"/>
        <w:jc w:val="center"/>
        <w:rPr>
          <w:rFonts w:hint="eastAsia"/>
          <w:color w:val="000000" w:themeColor="text1"/>
          <w:highlight w:val="none"/>
          <w14:textFill>
            <w14:solidFill>
              <w14:schemeClr w14:val="tx1"/>
            </w14:solidFill>
          </w14:textFill>
        </w:rPr>
      </w:pPr>
    </w:p>
    <w:p w14:paraId="44D8A12C">
      <w:pPr>
        <w:pStyle w:val="2"/>
        <w:jc w:val="center"/>
        <w:rPr>
          <w:rFonts w:hint="eastAsia"/>
          <w:color w:val="000000" w:themeColor="text1"/>
          <w:highlight w:val="none"/>
          <w14:textFill>
            <w14:solidFill>
              <w14:schemeClr w14:val="tx1"/>
            </w14:solidFill>
          </w14:textFill>
        </w:rPr>
      </w:pPr>
    </w:p>
    <w:p w14:paraId="7A59BB3C">
      <w:pPr>
        <w:pStyle w:val="2"/>
        <w:jc w:val="both"/>
        <w:rPr>
          <w:rFonts w:hint="eastAsia"/>
          <w:color w:val="000000" w:themeColor="text1"/>
          <w:highlight w:val="none"/>
          <w14:textFill>
            <w14:solidFill>
              <w14:schemeClr w14:val="tx1"/>
            </w14:solidFill>
          </w14:textFill>
        </w:rPr>
      </w:pPr>
    </w:p>
    <w:p w14:paraId="15AF2F1D">
      <w:pPr>
        <w:pStyle w:val="2"/>
        <w:jc w:val="both"/>
        <w:rPr>
          <w:rFonts w:hint="eastAsia"/>
          <w:color w:val="000000" w:themeColor="text1"/>
          <w:highlight w:val="none"/>
          <w14:textFill>
            <w14:solidFill>
              <w14:schemeClr w14:val="tx1"/>
            </w14:solidFill>
          </w14:textFill>
        </w:rPr>
      </w:pPr>
    </w:p>
    <w:p w14:paraId="0A752D6E">
      <w:pPr>
        <w:pStyle w:val="2"/>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第六章</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响应文件格式</w:t>
      </w:r>
      <w:bookmarkEnd w:id="95"/>
    </w:p>
    <w:p w14:paraId="4C5C9579">
      <w:pPr>
        <w:spacing w:line="240" w:lineRule="atLeast"/>
        <w:rPr>
          <w:rFonts w:hint="eastAsia" w:ascii="宋体" w:hAnsi="宋体"/>
          <w:b/>
          <w:color w:val="000000" w:themeColor="text1"/>
          <w:sz w:val="32"/>
          <w:szCs w:val="32"/>
          <w:highlight w:val="none"/>
          <w14:textFill>
            <w14:solidFill>
              <w14:schemeClr w14:val="tx1"/>
            </w14:solidFill>
          </w14:textFill>
        </w:rPr>
      </w:pPr>
    </w:p>
    <w:p w14:paraId="16DF2BDC">
      <w:pPr>
        <w:spacing w:line="240" w:lineRule="atLeast"/>
        <w:rPr>
          <w:rFonts w:hint="eastAsia" w:ascii="宋体" w:hAnsi="宋体"/>
          <w:b/>
          <w:color w:val="000000" w:themeColor="text1"/>
          <w:sz w:val="32"/>
          <w:szCs w:val="32"/>
          <w:highlight w:val="none"/>
          <w14:textFill>
            <w14:solidFill>
              <w14:schemeClr w14:val="tx1"/>
            </w14:solidFill>
          </w14:textFill>
        </w:rPr>
      </w:pPr>
    </w:p>
    <w:p w14:paraId="0AA255CA">
      <w:pPr>
        <w:spacing w:line="240" w:lineRule="atLeast"/>
        <w:rPr>
          <w:rFonts w:hint="eastAsia" w:ascii="宋体" w:hAnsi="宋体"/>
          <w:b/>
          <w:color w:val="000000" w:themeColor="text1"/>
          <w:sz w:val="32"/>
          <w:szCs w:val="32"/>
          <w:highlight w:val="none"/>
          <w14:textFill>
            <w14:solidFill>
              <w14:schemeClr w14:val="tx1"/>
            </w14:solidFill>
          </w14:textFill>
        </w:rPr>
      </w:pPr>
    </w:p>
    <w:p w14:paraId="10C1E912">
      <w:pPr>
        <w:spacing w:line="240" w:lineRule="atLeast"/>
        <w:rPr>
          <w:rFonts w:hint="eastAsia" w:ascii="宋体" w:hAnsi="宋体"/>
          <w:b/>
          <w:color w:val="000000" w:themeColor="text1"/>
          <w:sz w:val="32"/>
          <w:szCs w:val="32"/>
          <w:highlight w:val="none"/>
          <w14:textFill>
            <w14:solidFill>
              <w14:schemeClr w14:val="tx1"/>
            </w14:solidFill>
          </w14:textFill>
        </w:rPr>
      </w:pPr>
    </w:p>
    <w:p w14:paraId="7A172456">
      <w:pPr>
        <w:spacing w:line="240" w:lineRule="atLeast"/>
        <w:rPr>
          <w:rFonts w:hint="eastAsia" w:ascii="宋体" w:hAnsi="宋体"/>
          <w:b/>
          <w:color w:val="000000" w:themeColor="text1"/>
          <w:sz w:val="32"/>
          <w:szCs w:val="32"/>
          <w:highlight w:val="none"/>
          <w14:textFill>
            <w14:solidFill>
              <w14:schemeClr w14:val="tx1"/>
            </w14:solidFill>
          </w14:textFill>
        </w:rPr>
      </w:pPr>
    </w:p>
    <w:p w14:paraId="64D9FE69">
      <w:pPr>
        <w:spacing w:line="240" w:lineRule="atLeast"/>
        <w:rPr>
          <w:rFonts w:hint="eastAsia" w:ascii="宋体" w:hAnsi="宋体"/>
          <w:b/>
          <w:color w:val="000000" w:themeColor="text1"/>
          <w:sz w:val="32"/>
          <w:szCs w:val="32"/>
          <w:highlight w:val="none"/>
          <w14:textFill>
            <w14:solidFill>
              <w14:schemeClr w14:val="tx1"/>
            </w14:solidFill>
          </w14:textFill>
        </w:rPr>
      </w:pPr>
    </w:p>
    <w:p w14:paraId="1A01F610">
      <w:pPr>
        <w:spacing w:line="240" w:lineRule="atLeast"/>
        <w:rPr>
          <w:rFonts w:hint="eastAsia" w:ascii="宋体" w:hAnsi="宋体"/>
          <w:b/>
          <w:color w:val="000000" w:themeColor="text1"/>
          <w:sz w:val="32"/>
          <w:szCs w:val="32"/>
          <w:highlight w:val="none"/>
          <w14:textFill>
            <w14:solidFill>
              <w14:schemeClr w14:val="tx1"/>
            </w14:solidFill>
          </w14:textFill>
        </w:rPr>
      </w:pPr>
    </w:p>
    <w:p w14:paraId="58497736">
      <w:pPr>
        <w:spacing w:line="240" w:lineRule="atLeast"/>
        <w:rPr>
          <w:rFonts w:hint="eastAsia" w:ascii="宋体" w:hAnsi="宋体"/>
          <w:b/>
          <w:color w:val="000000" w:themeColor="text1"/>
          <w:sz w:val="32"/>
          <w:szCs w:val="32"/>
          <w:highlight w:val="none"/>
          <w14:textFill>
            <w14:solidFill>
              <w14:schemeClr w14:val="tx1"/>
            </w14:solidFill>
          </w14:textFill>
        </w:rPr>
      </w:pPr>
    </w:p>
    <w:p w14:paraId="156F43B0">
      <w:pPr>
        <w:spacing w:line="240" w:lineRule="atLeast"/>
        <w:rPr>
          <w:rFonts w:hint="eastAsia" w:ascii="宋体" w:hAnsi="宋体"/>
          <w:b/>
          <w:color w:val="000000" w:themeColor="text1"/>
          <w:sz w:val="32"/>
          <w:szCs w:val="32"/>
          <w:highlight w:val="none"/>
          <w14:textFill>
            <w14:solidFill>
              <w14:schemeClr w14:val="tx1"/>
            </w14:solidFill>
          </w14:textFill>
        </w:rPr>
      </w:pPr>
    </w:p>
    <w:p w14:paraId="3AECA0BE">
      <w:pPr>
        <w:spacing w:before="50" w:after="50"/>
        <w:outlineLvl w:val="1"/>
        <w:rPr>
          <w:rFonts w:hint="eastAsia" w:ascii="宋体" w:hAnsi="宋体"/>
          <w:b/>
          <w:bCs/>
          <w:color w:val="000000" w:themeColor="text1"/>
          <w:sz w:val="24"/>
          <w:highlight w:val="none"/>
          <w14:textFill>
            <w14:solidFill>
              <w14:schemeClr w14:val="tx1"/>
            </w14:solidFill>
          </w14:textFill>
        </w:rPr>
      </w:pPr>
    </w:p>
    <w:p w14:paraId="22DF799C">
      <w:pPr>
        <w:spacing w:before="120" w:after="50"/>
        <w:jc w:val="center"/>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ascii="仿宋_GB2312" w:hAnsi="仿宋_GB2312" w:eastAsia="仿宋_GB2312" w:cs="仿宋_GB2312"/>
          <w:bCs/>
          <w:color w:val="000000" w:themeColor="text1"/>
          <w:sz w:val="32"/>
          <w:szCs w:val="32"/>
          <w:highlight w:val="none"/>
          <w14:textFill>
            <w14:solidFill>
              <w14:schemeClr w14:val="tx1"/>
            </w14:solidFill>
          </w14:textFill>
        </w:rPr>
        <w:br w:type="page" w:clear="all"/>
      </w:r>
    </w:p>
    <w:p w14:paraId="72490E51">
      <w:pPr>
        <w:rPr>
          <w:b/>
          <w:color w:val="000000" w:themeColor="text1"/>
          <w:sz w:val="32"/>
          <w:szCs w:val="32"/>
          <w:highlight w:val="none"/>
          <w14:textFill>
            <w14:solidFill>
              <w14:schemeClr w14:val="tx1"/>
            </w14:solidFill>
          </w14:textFill>
        </w:rPr>
      </w:pPr>
      <w:bookmarkStart w:id="96" w:name="_Toc44229899"/>
      <w:bookmarkStart w:id="97" w:name="_Toc31723070"/>
      <w:bookmarkStart w:id="98" w:name="_Toc71366186"/>
      <w:bookmarkStart w:id="99" w:name="_Toc35611516"/>
      <w:bookmarkStart w:id="100" w:name="_Toc31728084"/>
      <w:bookmarkStart w:id="101" w:name="_Toc35611438"/>
      <w:r>
        <w:rPr>
          <w:rFonts w:hint="eastAsia"/>
          <w:b/>
          <w:color w:val="000000" w:themeColor="text1"/>
          <w:sz w:val="32"/>
          <w:szCs w:val="32"/>
          <w:highlight w:val="none"/>
          <w14:textFill>
            <w14:solidFill>
              <w14:schemeClr w14:val="tx1"/>
            </w14:solidFill>
          </w14:textFill>
        </w:rPr>
        <w:t>一、资格证明文件格式</w:t>
      </w:r>
      <w:bookmarkEnd w:id="96"/>
      <w:bookmarkEnd w:id="97"/>
      <w:bookmarkEnd w:id="98"/>
      <w:bookmarkEnd w:id="99"/>
      <w:bookmarkEnd w:id="100"/>
      <w:bookmarkEnd w:id="101"/>
    </w:p>
    <w:p w14:paraId="77B71F8D">
      <w:pPr>
        <w:spacing w:before="120" w:after="50" w:line="360" w:lineRule="auto"/>
        <w:jc w:val="left"/>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1.资格证明文件封面格式：</w:t>
      </w:r>
    </w:p>
    <w:p w14:paraId="4742543E">
      <w:pPr>
        <w:spacing w:before="120" w:after="50"/>
        <w:jc w:val="center"/>
        <w:rPr>
          <w:rFonts w:hint="eastAsia" w:ascii="宋体" w:hAnsi="宋体"/>
          <w:color w:val="000000" w:themeColor="text1"/>
          <w:sz w:val="44"/>
          <w:szCs w:val="44"/>
          <w:highlight w:val="none"/>
          <w14:textFill>
            <w14:solidFill>
              <w14:schemeClr w14:val="tx1"/>
            </w14:solidFill>
          </w14:textFill>
        </w:rPr>
      </w:pPr>
    </w:p>
    <w:p w14:paraId="56A69747">
      <w:pPr>
        <w:spacing w:before="120" w:after="50"/>
        <w:jc w:val="center"/>
        <w:rPr>
          <w:rFonts w:hint="eastAsia" w:ascii="宋体" w:hAnsi="宋体"/>
          <w:color w:val="000000" w:themeColor="text1"/>
          <w:sz w:val="44"/>
          <w:szCs w:val="44"/>
          <w:highlight w:val="none"/>
          <w14:textFill>
            <w14:solidFill>
              <w14:schemeClr w14:val="tx1"/>
            </w14:solidFill>
          </w14:textFill>
        </w:rPr>
      </w:pPr>
      <w:r>
        <w:rPr>
          <w:rFonts w:hint="eastAsia" w:ascii="宋体" w:hAnsi="宋体"/>
          <w:color w:val="000000" w:themeColor="text1"/>
          <w:sz w:val="44"/>
          <w:szCs w:val="44"/>
          <w:highlight w:val="none"/>
          <w14:textFill>
            <w14:solidFill>
              <w14:schemeClr w14:val="tx1"/>
            </w14:solidFill>
          </w14:textFill>
        </w:rPr>
        <w:t>电 子 响 应 文 件</w:t>
      </w:r>
    </w:p>
    <w:p w14:paraId="500666F1">
      <w:pPr>
        <w:spacing w:before="120" w:after="50"/>
        <w:rPr>
          <w:rFonts w:hint="eastAsia" w:ascii="宋体" w:hAnsi="宋体"/>
          <w:color w:val="000000" w:themeColor="text1"/>
          <w:sz w:val="24"/>
          <w:szCs w:val="20"/>
          <w:highlight w:val="none"/>
          <w14:textFill>
            <w14:solidFill>
              <w14:schemeClr w14:val="tx1"/>
            </w14:solidFill>
          </w14:textFill>
        </w:rPr>
      </w:pPr>
    </w:p>
    <w:p w14:paraId="20A817D3">
      <w:pPr>
        <w:spacing w:before="120" w:after="50"/>
        <w:jc w:val="cente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t>资  格  证  明  文  件</w:t>
      </w:r>
    </w:p>
    <w:p w14:paraId="6BA6BF2F">
      <w:pPr>
        <w:spacing w:before="120" w:after="50"/>
        <w:rPr>
          <w:rFonts w:hint="eastAsia" w:ascii="宋体" w:hAnsi="宋体"/>
          <w:bCs/>
          <w:color w:val="000000" w:themeColor="text1"/>
          <w:sz w:val="24"/>
          <w:szCs w:val="20"/>
          <w:highlight w:val="none"/>
          <w14:textFill>
            <w14:solidFill>
              <w14:schemeClr w14:val="tx1"/>
            </w14:solidFill>
          </w14:textFill>
        </w:rPr>
      </w:pPr>
    </w:p>
    <w:p w14:paraId="77015D7D">
      <w:pPr>
        <w:spacing w:before="120" w:after="50"/>
        <w:rPr>
          <w:rFonts w:hint="eastAsia" w:ascii="宋体" w:hAnsi="宋体"/>
          <w:bCs/>
          <w:color w:val="000000" w:themeColor="text1"/>
          <w:sz w:val="24"/>
          <w:szCs w:val="20"/>
          <w:highlight w:val="none"/>
          <w14:textFill>
            <w14:solidFill>
              <w14:schemeClr w14:val="tx1"/>
            </w14:solidFill>
          </w14:textFill>
        </w:rPr>
      </w:pPr>
    </w:p>
    <w:p w14:paraId="0A6C8883">
      <w:pPr>
        <w:spacing w:before="120" w:after="50"/>
        <w:rPr>
          <w:rFonts w:hint="eastAsia" w:ascii="宋体" w:hAnsi="宋体"/>
          <w:bCs/>
          <w:color w:val="000000" w:themeColor="text1"/>
          <w:sz w:val="24"/>
          <w:szCs w:val="20"/>
          <w:highlight w:val="none"/>
          <w14:textFill>
            <w14:solidFill>
              <w14:schemeClr w14:val="tx1"/>
            </w14:solidFill>
          </w14:textFill>
        </w:rPr>
      </w:pPr>
    </w:p>
    <w:p w14:paraId="00BDC610">
      <w:pPr>
        <w:spacing w:before="120" w:after="50"/>
        <w:rPr>
          <w:rFonts w:hint="eastAsia" w:ascii="宋体" w:hAnsi="宋体"/>
          <w:bCs/>
          <w:color w:val="000000" w:themeColor="text1"/>
          <w:sz w:val="24"/>
          <w:szCs w:val="20"/>
          <w:highlight w:val="none"/>
          <w14:textFill>
            <w14:solidFill>
              <w14:schemeClr w14:val="tx1"/>
            </w14:solidFill>
          </w14:textFill>
        </w:rPr>
      </w:pPr>
    </w:p>
    <w:p w14:paraId="0B63F755">
      <w:pPr>
        <w:spacing w:before="120" w:after="50"/>
        <w:rPr>
          <w:rFonts w:hint="eastAsia" w:ascii="宋体" w:hAnsi="宋体"/>
          <w:bCs/>
          <w:color w:val="000000" w:themeColor="text1"/>
          <w:sz w:val="24"/>
          <w:szCs w:val="20"/>
          <w:highlight w:val="none"/>
          <w14:textFill>
            <w14:solidFill>
              <w14:schemeClr w14:val="tx1"/>
            </w14:solidFill>
          </w14:textFill>
        </w:rPr>
      </w:pPr>
    </w:p>
    <w:p w14:paraId="15142F1B">
      <w:pPr>
        <w:spacing w:before="120" w:after="50"/>
        <w:ind w:firstLine="640"/>
        <w:rPr>
          <w:rFonts w:hint="eastAsia"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项目名称：</w:t>
      </w:r>
    </w:p>
    <w:p w14:paraId="425FD8C4">
      <w:pPr>
        <w:spacing w:before="120" w:after="50"/>
        <w:ind w:firstLine="720"/>
        <w:rPr>
          <w:rFonts w:hint="eastAsia" w:ascii="宋体" w:hAnsi="宋体" w:cs="仿宋_GB2312"/>
          <w:bCs/>
          <w:color w:val="000000" w:themeColor="text1"/>
          <w:sz w:val="32"/>
          <w:szCs w:val="32"/>
          <w:highlight w:val="none"/>
          <w14:textFill>
            <w14:solidFill>
              <w14:schemeClr w14:val="tx1"/>
            </w14:solidFill>
          </w14:textFill>
        </w:rPr>
      </w:pPr>
    </w:p>
    <w:p w14:paraId="720BB101">
      <w:pPr>
        <w:spacing w:before="120" w:after="50"/>
        <w:ind w:firstLine="720"/>
        <w:rPr>
          <w:rFonts w:hint="eastAsia"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项目编号：</w:t>
      </w:r>
    </w:p>
    <w:p w14:paraId="459254C5">
      <w:pPr>
        <w:spacing w:before="120" w:after="50"/>
        <w:rPr>
          <w:rFonts w:hint="eastAsia" w:ascii="宋体" w:hAnsi="宋体" w:cs="仿宋_GB2312"/>
          <w:bCs/>
          <w:color w:val="000000" w:themeColor="text1"/>
          <w:sz w:val="32"/>
          <w:szCs w:val="32"/>
          <w:highlight w:val="none"/>
          <w14:textFill>
            <w14:solidFill>
              <w14:schemeClr w14:val="tx1"/>
            </w14:solidFill>
          </w14:textFill>
        </w:rPr>
      </w:pPr>
    </w:p>
    <w:p w14:paraId="19CAE881">
      <w:pPr>
        <w:pStyle w:val="7"/>
        <w:spacing w:before="50" w:after="50"/>
        <w:ind w:firstLine="720"/>
        <w:rPr>
          <w:rFonts w:hint="eastAsia"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供应商名称：</w:t>
      </w:r>
    </w:p>
    <w:p w14:paraId="184655A9">
      <w:pPr>
        <w:spacing w:before="120" w:after="50"/>
        <w:ind w:firstLine="640"/>
        <w:rPr>
          <w:rFonts w:hint="eastAsia" w:ascii="宋体" w:hAnsi="宋体" w:cs="仿宋_GB2312"/>
          <w:bCs/>
          <w:color w:val="000000" w:themeColor="text1"/>
          <w:sz w:val="32"/>
          <w:szCs w:val="32"/>
          <w:highlight w:val="none"/>
          <w14:textFill>
            <w14:solidFill>
              <w14:schemeClr w14:val="tx1"/>
            </w14:solidFill>
          </w14:textFill>
        </w:rPr>
      </w:pPr>
    </w:p>
    <w:p w14:paraId="5D510218">
      <w:pPr>
        <w:pStyle w:val="7"/>
        <w:spacing w:before="50" w:after="50"/>
        <w:ind w:firstLine="720"/>
        <w:rPr>
          <w:rFonts w:hint="eastAsia" w:ascii="宋体" w:hAnsi="宋体" w:cs="仿宋_GB2312"/>
          <w:bCs/>
          <w:color w:val="000000" w:themeColor="text1"/>
          <w:sz w:val="32"/>
          <w:szCs w:val="32"/>
          <w:highlight w:val="none"/>
          <w14:textFill>
            <w14:solidFill>
              <w14:schemeClr w14:val="tx1"/>
            </w14:solidFill>
          </w14:textFill>
        </w:rPr>
      </w:pPr>
    </w:p>
    <w:p w14:paraId="07CA3A6C">
      <w:pPr>
        <w:pStyle w:val="7"/>
        <w:spacing w:before="50" w:after="50"/>
        <w:ind w:firstLine="720"/>
        <w:rPr>
          <w:rFonts w:hint="eastAsia" w:ascii="宋体" w:hAnsi="宋体" w:cs="仿宋_GB2312"/>
          <w:bCs/>
          <w:color w:val="000000" w:themeColor="text1"/>
          <w:sz w:val="32"/>
          <w:szCs w:val="32"/>
          <w:highlight w:val="none"/>
          <w14:textFill>
            <w14:solidFill>
              <w14:schemeClr w14:val="tx1"/>
            </w14:solidFill>
          </w14:textFill>
        </w:rPr>
      </w:pPr>
    </w:p>
    <w:p w14:paraId="743003B1">
      <w:pPr>
        <w:pStyle w:val="7"/>
        <w:spacing w:before="50" w:after="50"/>
        <w:ind w:firstLine="1280"/>
        <w:rPr>
          <w:rFonts w:hint="eastAsia" w:ascii="宋体" w:hAnsi="宋体" w:cs="仿宋_GB2312"/>
          <w:bCs/>
          <w:color w:val="000000" w:themeColor="text1"/>
          <w:sz w:val="32"/>
          <w:szCs w:val="32"/>
          <w:highlight w:val="none"/>
          <w14:textFill>
            <w14:solidFill>
              <w14:schemeClr w14:val="tx1"/>
            </w14:solidFill>
          </w14:textFill>
        </w:rPr>
      </w:pPr>
    </w:p>
    <w:p w14:paraId="710AA1EC">
      <w:pPr>
        <w:spacing w:before="120" w:after="50"/>
        <w:jc w:val="center"/>
        <w:rPr>
          <w:rFonts w:hint="eastAsia" w:ascii="宋体" w:hAnsi="宋体" w:cs="仿宋_GB2312"/>
          <w:color w:val="000000" w:themeColor="text1"/>
          <w:sz w:val="32"/>
          <w:szCs w:val="32"/>
          <w:highlight w:val="none"/>
          <w14:textFill>
            <w14:solidFill>
              <w14:schemeClr w14:val="tx1"/>
            </w14:solidFill>
          </w14:textFill>
        </w:rPr>
      </w:pPr>
      <w:r>
        <w:rPr>
          <w:rFonts w:hint="eastAsia" w:ascii="宋体" w:hAnsi="宋体" w:cs="仿宋_GB2312"/>
          <w:color w:val="000000" w:themeColor="text1"/>
          <w:sz w:val="32"/>
          <w:szCs w:val="32"/>
          <w:highlight w:val="none"/>
          <w14:textFill>
            <w14:solidFill>
              <w14:schemeClr w14:val="tx1"/>
            </w14:solidFill>
          </w14:textFill>
        </w:rPr>
        <w:t>年    月    日</w:t>
      </w:r>
    </w:p>
    <w:p w14:paraId="3FF2C80E">
      <w:pPr>
        <w:spacing w:before="120" w:after="50" w:line="360" w:lineRule="auto"/>
        <w:ind w:left="142"/>
        <w:jc w:val="left"/>
        <w:rPr>
          <w:rFonts w:hint="eastAsia" w:ascii="宋体" w:hAnsi="宋体"/>
          <w:b/>
          <w:bCs/>
          <w:color w:val="000000" w:themeColor="text1"/>
          <w:sz w:val="32"/>
          <w:szCs w:val="32"/>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br w:type="page" w:clear="all"/>
      </w:r>
      <w:r>
        <w:rPr>
          <w:rFonts w:hint="eastAsia" w:ascii="宋体" w:hAnsi="宋体"/>
          <w:b/>
          <w:bCs/>
          <w:color w:val="000000" w:themeColor="text1"/>
          <w:sz w:val="32"/>
          <w:szCs w:val="32"/>
          <w:highlight w:val="none"/>
          <w14:textFill>
            <w14:solidFill>
              <w14:schemeClr w14:val="tx1"/>
            </w14:solidFill>
          </w14:textFill>
        </w:rPr>
        <w:t>2.资格证明文件目录</w:t>
      </w:r>
    </w:p>
    <w:p w14:paraId="5FF19B86">
      <w:pPr>
        <w:spacing w:before="120" w:after="50" w:line="360" w:lineRule="auto"/>
        <w:ind w:firstLine="645"/>
        <w:rPr>
          <w:rFonts w:hint="eastAsia" w:ascii="宋体" w:hAnsi="宋体"/>
          <w:color w:val="000000" w:themeColor="text1"/>
          <w:sz w:val="32"/>
          <w:szCs w:val="32"/>
          <w:highlight w:val="none"/>
          <w14:textFill>
            <w14:solidFill>
              <w14:schemeClr w14:val="tx1"/>
            </w14:solidFill>
          </w14:textFill>
        </w:rPr>
      </w:pPr>
      <w:r>
        <w:rPr>
          <w:rFonts w:hint="eastAsia" w:ascii="宋体" w:hAnsi="宋体"/>
          <w:color w:val="000000" w:themeColor="text1"/>
          <w:sz w:val="32"/>
          <w:szCs w:val="32"/>
          <w:highlight w:val="none"/>
          <w14:textFill>
            <w14:solidFill>
              <w14:schemeClr w14:val="tx1"/>
            </w14:solidFill>
          </w14:textFill>
        </w:rPr>
        <w:t>根据磋商文件规定及供应商提供的材料自行编写目录（部分格式后附）。</w:t>
      </w:r>
    </w:p>
    <w:p w14:paraId="52E846BC">
      <w:pPr>
        <w:spacing w:before="120" w:after="50"/>
        <w:rPr>
          <w:rFonts w:hint="eastAsia" w:ascii="宋体" w:hAnsi="宋体"/>
          <w:color w:val="000000" w:themeColor="text1"/>
          <w:sz w:val="24"/>
          <w:szCs w:val="20"/>
          <w:highlight w:val="none"/>
          <w14:textFill>
            <w14:solidFill>
              <w14:schemeClr w14:val="tx1"/>
            </w14:solidFill>
          </w14:textFill>
        </w:rPr>
      </w:pPr>
    </w:p>
    <w:p w14:paraId="33EE7915">
      <w:pPr>
        <w:spacing w:line="300" w:lineRule="auto"/>
        <w:rPr>
          <w:rFonts w:hint="eastAsia" w:ascii="宋体" w:hAnsi="宋体"/>
          <w:color w:val="000000" w:themeColor="text1"/>
          <w:szCs w:val="21"/>
          <w:highlight w:val="none"/>
          <w14:textFill>
            <w14:solidFill>
              <w14:schemeClr w14:val="tx1"/>
            </w14:solidFill>
          </w14:textFill>
        </w:rPr>
      </w:pPr>
    </w:p>
    <w:p w14:paraId="5EA7EBDA">
      <w:pPr>
        <w:spacing w:line="300" w:lineRule="auto"/>
        <w:rPr>
          <w:rFonts w:hint="eastAsia" w:ascii="宋体" w:hAnsi="宋体"/>
          <w:color w:val="000000" w:themeColor="text1"/>
          <w:szCs w:val="21"/>
          <w:highlight w:val="none"/>
          <w14:textFill>
            <w14:solidFill>
              <w14:schemeClr w14:val="tx1"/>
            </w14:solidFill>
          </w14:textFill>
        </w:rPr>
      </w:pPr>
    </w:p>
    <w:p w14:paraId="6B0FE023">
      <w:pPr>
        <w:spacing w:line="300" w:lineRule="auto"/>
        <w:rPr>
          <w:rFonts w:hint="eastAsia" w:ascii="宋体" w:hAnsi="宋体"/>
          <w:color w:val="000000" w:themeColor="text1"/>
          <w:szCs w:val="21"/>
          <w:highlight w:val="none"/>
          <w14:textFill>
            <w14:solidFill>
              <w14:schemeClr w14:val="tx1"/>
            </w14:solidFill>
          </w14:textFill>
        </w:rPr>
      </w:pPr>
    </w:p>
    <w:p w14:paraId="5B1685AA">
      <w:pPr>
        <w:spacing w:line="300" w:lineRule="auto"/>
        <w:rPr>
          <w:rFonts w:hint="eastAsia" w:ascii="宋体" w:hAnsi="宋体"/>
          <w:color w:val="000000" w:themeColor="text1"/>
          <w:szCs w:val="21"/>
          <w:highlight w:val="none"/>
          <w14:textFill>
            <w14:solidFill>
              <w14:schemeClr w14:val="tx1"/>
            </w14:solidFill>
          </w14:textFill>
        </w:rPr>
      </w:pPr>
    </w:p>
    <w:p w14:paraId="0A12BAC7">
      <w:pPr>
        <w:spacing w:line="300" w:lineRule="auto"/>
        <w:rPr>
          <w:rFonts w:hint="eastAsia" w:ascii="宋体" w:hAnsi="宋体"/>
          <w:color w:val="000000" w:themeColor="text1"/>
          <w:szCs w:val="21"/>
          <w:highlight w:val="none"/>
          <w14:textFill>
            <w14:solidFill>
              <w14:schemeClr w14:val="tx1"/>
            </w14:solidFill>
          </w14:textFill>
        </w:rPr>
      </w:pPr>
    </w:p>
    <w:p w14:paraId="0B942CFA">
      <w:pPr>
        <w:spacing w:line="300" w:lineRule="auto"/>
        <w:rPr>
          <w:rFonts w:hint="eastAsia" w:ascii="宋体" w:hAnsi="宋体"/>
          <w:color w:val="000000" w:themeColor="text1"/>
          <w:szCs w:val="21"/>
          <w:highlight w:val="none"/>
          <w14:textFill>
            <w14:solidFill>
              <w14:schemeClr w14:val="tx1"/>
            </w14:solidFill>
          </w14:textFill>
        </w:rPr>
      </w:pPr>
    </w:p>
    <w:p w14:paraId="4E8E2DA3">
      <w:pPr>
        <w:spacing w:line="300" w:lineRule="auto"/>
        <w:rPr>
          <w:rFonts w:hint="eastAsia" w:ascii="宋体" w:hAnsi="宋体"/>
          <w:color w:val="000000" w:themeColor="text1"/>
          <w:szCs w:val="21"/>
          <w:highlight w:val="none"/>
          <w14:textFill>
            <w14:solidFill>
              <w14:schemeClr w14:val="tx1"/>
            </w14:solidFill>
          </w14:textFill>
        </w:rPr>
      </w:pPr>
    </w:p>
    <w:p w14:paraId="3F79B69C">
      <w:pPr>
        <w:spacing w:line="300" w:lineRule="auto"/>
        <w:rPr>
          <w:rFonts w:hint="eastAsia" w:ascii="宋体" w:hAnsi="宋体"/>
          <w:color w:val="000000" w:themeColor="text1"/>
          <w:szCs w:val="21"/>
          <w:highlight w:val="none"/>
          <w14:textFill>
            <w14:solidFill>
              <w14:schemeClr w14:val="tx1"/>
            </w14:solidFill>
          </w14:textFill>
        </w:rPr>
      </w:pPr>
    </w:p>
    <w:p w14:paraId="3B5F43D5">
      <w:pPr>
        <w:spacing w:line="300" w:lineRule="auto"/>
        <w:rPr>
          <w:rFonts w:hint="eastAsia" w:ascii="宋体" w:hAnsi="宋体"/>
          <w:color w:val="000000" w:themeColor="text1"/>
          <w:szCs w:val="21"/>
          <w:highlight w:val="none"/>
          <w14:textFill>
            <w14:solidFill>
              <w14:schemeClr w14:val="tx1"/>
            </w14:solidFill>
          </w14:textFill>
        </w:rPr>
      </w:pPr>
    </w:p>
    <w:p w14:paraId="50BA0EF4">
      <w:pPr>
        <w:spacing w:line="300" w:lineRule="auto"/>
        <w:rPr>
          <w:rFonts w:hint="eastAsia" w:ascii="宋体" w:hAnsi="宋体"/>
          <w:color w:val="000000" w:themeColor="text1"/>
          <w:szCs w:val="21"/>
          <w:highlight w:val="none"/>
          <w14:textFill>
            <w14:solidFill>
              <w14:schemeClr w14:val="tx1"/>
            </w14:solidFill>
          </w14:textFill>
        </w:rPr>
      </w:pPr>
    </w:p>
    <w:p w14:paraId="0CDC98E9">
      <w:pPr>
        <w:spacing w:line="300" w:lineRule="auto"/>
        <w:rPr>
          <w:rFonts w:hint="eastAsia" w:ascii="宋体" w:hAnsi="宋体"/>
          <w:color w:val="000000" w:themeColor="text1"/>
          <w:szCs w:val="21"/>
          <w:highlight w:val="none"/>
          <w14:textFill>
            <w14:solidFill>
              <w14:schemeClr w14:val="tx1"/>
            </w14:solidFill>
          </w14:textFill>
        </w:rPr>
      </w:pPr>
    </w:p>
    <w:p w14:paraId="05E2D633">
      <w:pPr>
        <w:spacing w:line="300" w:lineRule="auto"/>
        <w:rPr>
          <w:rFonts w:hint="eastAsia" w:ascii="宋体" w:hAnsi="宋体"/>
          <w:color w:val="000000" w:themeColor="text1"/>
          <w:szCs w:val="21"/>
          <w:highlight w:val="none"/>
          <w14:textFill>
            <w14:solidFill>
              <w14:schemeClr w14:val="tx1"/>
            </w14:solidFill>
          </w14:textFill>
        </w:rPr>
      </w:pPr>
    </w:p>
    <w:p w14:paraId="6A4014CD">
      <w:pPr>
        <w:spacing w:line="300" w:lineRule="auto"/>
        <w:rPr>
          <w:rFonts w:hint="eastAsia" w:ascii="宋体" w:hAnsi="宋体"/>
          <w:color w:val="000000" w:themeColor="text1"/>
          <w:szCs w:val="21"/>
          <w:highlight w:val="none"/>
          <w14:textFill>
            <w14:solidFill>
              <w14:schemeClr w14:val="tx1"/>
            </w14:solidFill>
          </w14:textFill>
        </w:rPr>
      </w:pPr>
    </w:p>
    <w:p w14:paraId="376AF81B">
      <w:pPr>
        <w:spacing w:line="300" w:lineRule="auto"/>
        <w:rPr>
          <w:rFonts w:hint="eastAsia" w:ascii="宋体" w:hAnsi="宋体"/>
          <w:color w:val="000000" w:themeColor="text1"/>
          <w:szCs w:val="21"/>
          <w:highlight w:val="none"/>
          <w14:textFill>
            <w14:solidFill>
              <w14:schemeClr w14:val="tx1"/>
            </w14:solidFill>
          </w14:textFill>
        </w:rPr>
      </w:pPr>
    </w:p>
    <w:p w14:paraId="1DBCF269">
      <w:pPr>
        <w:spacing w:line="300" w:lineRule="auto"/>
        <w:rPr>
          <w:rFonts w:hint="eastAsia" w:ascii="宋体" w:hAnsi="宋体"/>
          <w:color w:val="000000" w:themeColor="text1"/>
          <w:szCs w:val="21"/>
          <w:highlight w:val="none"/>
          <w14:textFill>
            <w14:solidFill>
              <w14:schemeClr w14:val="tx1"/>
            </w14:solidFill>
          </w14:textFill>
        </w:rPr>
      </w:pPr>
    </w:p>
    <w:p w14:paraId="74AC6E5F">
      <w:pPr>
        <w:spacing w:line="320" w:lineRule="exact"/>
        <w:jc w:val="left"/>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br w:type="page" w:clear="all"/>
      </w:r>
    </w:p>
    <w:p w14:paraId="1613369D">
      <w:pPr>
        <w:spacing w:before="120" w:after="50" w:line="320" w:lineRule="exact"/>
        <w:ind w:right="482" w:firstLine="210"/>
        <w:contextualSpacing/>
        <w:jc w:val="center"/>
        <w:rPr>
          <w:rFonts w:hint="eastAsia" w:ascii="宋体" w:hAnsi="宋体"/>
          <w:color w:val="000000" w:themeColor="text1"/>
          <w:szCs w:val="21"/>
          <w:highlight w:val="none"/>
          <w14:textFill>
            <w14:solidFill>
              <w14:schemeClr w14:val="tx1"/>
            </w14:solidFill>
          </w14:textFill>
        </w:rPr>
      </w:pPr>
    </w:p>
    <w:p w14:paraId="7A22E180">
      <w:pPr>
        <w:spacing w:line="320" w:lineRule="exact"/>
        <w:jc w:val="center"/>
        <w:rPr>
          <w:rFonts w:hint="eastAsia"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供应商直接控股、管理关系信息表</w:t>
      </w:r>
    </w:p>
    <w:p w14:paraId="2731DBBF">
      <w:pPr>
        <w:spacing w:before="120" w:after="50" w:line="360" w:lineRule="auto"/>
        <w:jc w:val="center"/>
        <w:rPr>
          <w:rFonts w:hint="eastAsia" w:ascii="宋体" w:hAnsi="宋体"/>
          <w:b/>
          <w:color w:val="000000" w:themeColor="text1"/>
          <w:sz w:val="24"/>
          <w:highlight w:val="none"/>
          <w14:textFill>
            <w14:solidFill>
              <w14:schemeClr w14:val="tx1"/>
            </w14:solidFill>
          </w14:textFill>
        </w:rPr>
      </w:pPr>
    </w:p>
    <w:p w14:paraId="3EC7E5C2">
      <w:pPr>
        <w:spacing w:line="360" w:lineRule="auto"/>
        <w:contextualSpacing/>
        <w:jc w:val="center"/>
        <w:rPr>
          <w:rFonts w:hint="eastAsia"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供应商直接控股股东信息表</w:t>
      </w:r>
    </w:p>
    <w:p w14:paraId="15C6263C">
      <w:pPr>
        <w:spacing w:line="360" w:lineRule="auto"/>
        <w:contextualSpacing/>
        <w:jc w:val="center"/>
        <w:rPr>
          <w:rFonts w:hint="eastAsia" w:ascii="宋体" w:hAnsi="宋体"/>
          <w:b/>
          <w:color w:val="000000" w:themeColor="text1"/>
          <w:sz w:val="24"/>
          <w:highlight w:val="none"/>
          <w14:textFill>
            <w14:solidFill>
              <w14:schemeClr w14:val="tx1"/>
            </w14:solidFill>
          </w14:textFill>
        </w:rPr>
      </w:pPr>
    </w:p>
    <w:tbl>
      <w:tblPr>
        <w:tblStyle w:val="45"/>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33CDE69C">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DB58EB5">
            <w:pPr>
              <w:widowControl/>
              <w:spacing w:line="360" w:lineRule="auto"/>
              <w:contextualSpacing/>
              <w:jc w:val="center"/>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序号</w:t>
            </w:r>
          </w:p>
        </w:tc>
        <w:tc>
          <w:tcPr>
            <w:tcW w:w="26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9309775">
            <w:pPr>
              <w:widowControl/>
              <w:spacing w:line="360" w:lineRule="auto"/>
              <w:contextualSpacing/>
              <w:jc w:val="center"/>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82F5E51">
            <w:pPr>
              <w:widowControl/>
              <w:spacing w:line="360" w:lineRule="auto"/>
              <w:contextualSpacing/>
              <w:jc w:val="center"/>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C41F1BD">
            <w:pPr>
              <w:widowControl/>
              <w:spacing w:line="360" w:lineRule="auto"/>
              <w:contextualSpacing/>
              <w:jc w:val="center"/>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8E3AEDC">
            <w:pPr>
              <w:widowControl/>
              <w:spacing w:line="360" w:lineRule="auto"/>
              <w:contextualSpacing/>
              <w:jc w:val="center"/>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备注</w:t>
            </w:r>
          </w:p>
        </w:tc>
      </w:tr>
      <w:tr w14:paraId="5E4FD1CA">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C05F5E6">
            <w:pPr>
              <w:widowControl/>
              <w:spacing w:line="360" w:lineRule="auto"/>
              <w:contextualSpacing/>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26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BB75E4F">
            <w:pPr>
              <w:widowControl/>
              <w:spacing w:line="360" w:lineRule="auto"/>
              <w:contextualSpacing/>
              <w:jc w:val="center"/>
              <w:rPr>
                <w:rFonts w:hint="eastAsia" w:ascii="宋体" w:hAnsi="宋体" w:cs="宋体"/>
                <w:color w:val="000000" w:themeColor="text1"/>
                <w:sz w:val="24"/>
                <w:highlight w:val="none"/>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4A9C9CC">
            <w:pPr>
              <w:widowControl/>
              <w:spacing w:line="360" w:lineRule="auto"/>
              <w:contextualSpacing/>
              <w:jc w:val="center"/>
              <w:rPr>
                <w:rFonts w:hint="eastAsia" w:ascii="宋体" w:hAnsi="宋体" w:cs="宋体"/>
                <w:color w:val="000000" w:themeColor="text1"/>
                <w:sz w:val="24"/>
                <w:highlight w:val="none"/>
                <w14:textFill>
                  <w14:solidFill>
                    <w14:schemeClr w14:val="tx1"/>
                  </w14:solidFill>
                </w14:textFill>
              </w:rPr>
            </w:pPr>
          </w:p>
        </w:tc>
        <w:tc>
          <w:tcPr>
            <w:tcW w:w="4287"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0AF93CA">
            <w:pPr>
              <w:widowControl/>
              <w:spacing w:line="360" w:lineRule="auto"/>
              <w:contextualSpacing/>
              <w:jc w:val="center"/>
              <w:rPr>
                <w:rFonts w:hint="eastAsia" w:ascii="宋体" w:hAnsi="宋体" w:cs="宋体"/>
                <w:color w:val="000000" w:themeColor="text1"/>
                <w:sz w:val="24"/>
                <w:highlight w:val="none"/>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AC58FD0">
            <w:pPr>
              <w:widowControl/>
              <w:spacing w:line="360" w:lineRule="auto"/>
              <w:contextualSpacing/>
              <w:jc w:val="center"/>
              <w:rPr>
                <w:rFonts w:hint="eastAsia" w:ascii="宋体" w:hAnsi="宋体" w:cs="宋体"/>
                <w:color w:val="000000" w:themeColor="text1"/>
                <w:sz w:val="24"/>
                <w:highlight w:val="none"/>
                <w14:textFill>
                  <w14:solidFill>
                    <w14:schemeClr w14:val="tx1"/>
                  </w14:solidFill>
                </w14:textFill>
              </w:rPr>
            </w:pPr>
          </w:p>
        </w:tc>
      </w:tr>
      <w:tr w14:paraId="0308FCA6">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3BEF6A2">
            <w:pPr>
              <w:widowControl/>
              <w:spacing w:line="360" w:lineRule="auto"/>
              <w:contextualSpacing/>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26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0087CAC">
            <w:pPr>
              <w:widowControl/>
              <w:spacing w:line="360" w:lineRule="auto"/>
              <w:contextualSpacing/>
              <w:jc w:val="center"/>
              <w:rPr>
                <w:rFonts w:hint="eastAsia" w:ascii="宋体" w:hAnsi="宋体" w:cs="宋体"/>
                <w:color w:val="000000" w:themeColor="text1"/>
                <w:sz w:val="24"/>
                <w:highlight w:val="none"/>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30A38177">
            <w:pPr>
              <w:widowControl/>
              <w:spacing w:line="360" w:lineRule="auto"/>
              <w:contextualSpacing/>
              <w:jc w:val="center"/>
              <w:rPr>
                <w:rFonts w:hint="eastAsia" w:ascii="宋体" w:hAnsi="宋体" w:cs="宋体"/>
                <w:color w:val="000000" w:themeColor="text1"/>
                <w:sz w:val="24"/>
                <w:highlight w:val="none"/>
                <w14:textFill>
                  <w14:solidFill>
                    <w14:schemeClr w14:val="tx1"/>
                  </w14:solidFill>
                </w14:textFill>
              </w:rPr>
            </w:pPr>
          </w:p>
        </w:tc>
        <w:tc>
          <w:tcPr>
            <w:tcW w:w="4287"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BAA87CD">
            <w:pPr>
              <w:widowControl/>
              <w:spacing w:line="360" w:lineRule="auto"/>
              <w:contextualSpacing/>
              <w:jc w:val="center"/>
              <w:rPr>
                <w:rFonts w:hint="eastAsia" w:ascii="宋体" w:hAnsi="宋体" w:cs="宋体"/>
                <w:color w:val="000000" w:themeColor="text1"/>
                <w:sz w:val="24"/>
                <w:highlight w:val="none"/>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8288796">
            <w:pPr>
              <w:widowControl/>
              <w:spacing w:line="360" w:lineRule="auto"/>
              <w:contextualSpacing/>
              <w:jc w:val="center"/>
              <w:rPr>
                <w:rFonts w:hint="eastAsia" w:ascii="宋体" w:hAnsi="宋体" w:cs="宋体"/>
                <w:color w:val="000000" w:themeColor="text1"/>
                <w:sz w:val="24"/>
                <w:highlight w:val="none"/>
                <w14:textFill>
                  <w14:solidFill>
                    <w14:schemeClr w14:val="tx1"/>
                  </w14:solidFill>
                </w14:textFill>
              </w:rPr>
            </w:pPr>
          </w:p>
        </w:tc>
      </w:tr>
      <w:tr w14:paraId="4E14AA53">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5CC82C65">
            <w:pPr>
              <w:widowControl/>
              <w:spacing w:line="360" w:lineRule="auto"/>
              <w:contextualSpacing/>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26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65BF35D">
            <w:pPr>
              <w:widowControl/>
              <w:spacing w:line="360" w:lineRule="auto"/>
              <w:contextualSpacing/>
              <w:jc w:val="center"/>
              <w:rPr>
                <w:rFonts w:hint="eastAsia" w:ascii="宋体" w:hAnsi="宋体" w:cs="宋体"/>
                <w:color w:val="000000" w:themeColor="text1"/>
                <w:sz w:val="24"/>
                <w:highlight w:val="none"/>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093F401">
            <w:pPr>
              <w:widowControl/>
              <w:spacing w:line="360" w:lineRule="auto"/>
              <w:contextualSpacing/>
              <w:jc w:val="center"/>
              <w:rPr>
                <w:rFonts w:hint="eastAsia" w:ascii="宋体" w:hAnsi="宋体" w:cs="宋体"/>
                <w:color w:val="000000" w:themeColor="text1"/>
                <w:sz w:val="24"/>
                <w:highlight w:val="none"/>
                <w14:textFill>
                  <w14:solidFill>
                    <w14:schemeClr w14:val="tx1"/>
                  </w14:solidFill>
                </w14:textFill>
              </w:rPr>
            </w:pPr>
          </w:p>
        </w:tc>
        <w:tc>
          <w:tcPr>
            <w:tcW w:w="4287"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7048D34">
            <w:pPr>
              <w:widowControl/>
              <w:spacing w:line="360" w:lineRule="auto"/>
              <w:contextualSpacing/>
              <w:jc w:val="center"/>
              <w:rPr>
                <w:rFonts w:hint="eastAsia" w:ascii="宋体" w:hAnsi="宋体" w:cs="宋体"/>
                <w:color w:val="000000" w:themeColor="text1"/>
                <w:sz w:val="24"/>
                <w:highlight w:val="none"/>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4A9B844">
            <w:pPr>
              <w:widowControl/>
              <w:spacing w:line="360" w:lineRule="auto"/>
              <w:contextualSpacing/>
              <w:jc w:val="center"/>
              <w:rPr>
                <w:rFonts w:hint="eastAsia" w:ascii="宋体" w:hAnsi="宋体" w:cs="宋体"/>
                <w:color w:val="000000" w:themeColor="text1"/>
                <w:sz w:val="24"/>
                <w:highlight w:val="none"/>
                <w14:textFill>
                  <w14:solidFill>
                    <w14:schemeClr w14:val="tx1"/>
                  </w14:solidFill>
                </w14:textFill>
              </w:rPr>
            </w:pPr>
          </w:p>
        </w:tc>
      </w:tr>
      <w:tr w14:paraId="56AD295D">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3BE4E25E">
            <w:pPr>
              <w:widowControl/>
              <w:spacing w:line="360" w:lineRule="auto"/>
              <w:contextualSpacing/>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tc>
        <w:tc>
          <w:tcPr>
            <w:tcW w:w="26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56CD02DE">
            <w:pPr>
              <w:widowControl/>
              <w:spacing w:line="360" w:lineRule="auto"/>
              <w:contextualSpacing/>
              <w:jc w:val="center"/>
              <w:rPr>
                <w:rFonts w:hint="eastAsia" w:ascii="宋体" w:hAnsi="宋体" w:cs="宋体"/>
                <w:color w:val="000000" w:themeColor="text1"/>
                <w:sz w:val="24"/>
                <w:highlight w:val="none"/>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1F3ECDF">
            <w:pPr>
              <w:widowControl/>
              <w:spacing w:line="360" w:lineRule="auto"/>
              <w:contextualSpacing/>
              <w:jc w:val="center"/>
              <w:rPr>
                <w:rFonts w:hint="eastAsia" w:ascii="宋体" w:hAnsi="宋体" w:cs="宋体"/>
                <w:color w:val="000000" w:themeColor="text1"/>
                <w:sz w:val="24"/>
                <w:highlight w:val="none"/>
                <w14:textFill>
                  <w14:solidFill>
                    <w14:schemeClr w14:val="tx1"/>
                  </w14:solidFill>
                </w14:textFill>
              </w:rPr>
            </w:pPr>
          </w:p>
        </w:tc>
        <w:tc>
          <w:tcPr>
            <w:tcW w:w="4287"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55D2E1E8">
            <w:pPr>
              <w:widowControl/>
              <w:spacing w:line="360" w:lineRule="auto"/>
              <w:contextualSpacing/>
              <w:jc w:val="center"/>
              <w:rPr>
                <w:rFonts w:hint="eastAsia" w:ascii="宋体" w:hAnsi="宋体" w:cs="宋体"/>
                <w:color w:val="000000" w:themeColor="text1"/>
                <w:sz w:val="24"/>
                <w:highlight w:val="none"/>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6315248">
            <w:pPr>
              <w:widowControl/>
              <w:spacing w:line="360" w:lineRule="auto"/>
              <w:contextualSpacing/>
              <w:jc w:val="center"/>
              <w:rPr>
                <w:rFonts w:hint="eastAsia" w:ascii="宋体" w:hAnsi="宋体" w:cs="宋体"/>
                <w:color w:val="000000" w:themeColor="text1"/>
                <w:sz w:val="24"/>
                <w:highlight w:val="none"/>
                <w14:textFill>
                  <w14:solidFill>
                    <w14:schemeClr w14:val="tx1"/>
                  </w14:solidFill>
                </w14:textFill>
              </w:rPr>
            </w:pPr>
          </w:p>
        </w:tc>
      </w:tr>
    </w:tbl>
    <w:p w14:paraId="75872C1D">
      <w:pPr>
        <w:spacing w:line="360" w:lineRule="auto"/>
        <w:contextualSpacing/>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w:t>
      </w:r>
    </w:p>
    <w:p w14:paraId="5DB4435A">
      <w:pPr>
        <w:spacing w:line="360" w:lineRule="auto"/>
        <w:ind w:firstLine="480"/>
        <w:contextualSpacing/>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788C669">
      <w:pPr>
        <w:spacing w:line="360" w:lineRule="auto"/>
        <w:ind w:firstLine="480"/>
        <w:contextualSpacing/>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2.本表所指的控股关系仅限于直接控股关系，不包括间接的控股关系。公司实际控制人与公司之间的关系不属于本表所指的直接控股关系。</w:t>
      </w:r>
    </w:p>
    <w:p w14:paraId="05308782">
      <w:pPr>
        <w:spacing w:line="360" w:lineRule="auto"/>
        <w:ind w:firstLine="480"/>
        <w:contextualSpacing/>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3.供应商不存在直接控股股东的，</w:t>
      </w:r>
      <w:r>
        <w:rPr>
          <w:rFonts w:hint="eastAsia" w:ascii="宋体" w:hAnsi="宋体"/>
          <w:color w:val="000000" w:themeColor="text1"/>
          <w:sz w:val="24"/>
          <w:highlight w:val="none"/>
          <w14:textFill>
            <w14:solidFill>
              <w14:schemeClr w14:val="tx1"/>
            </w14:solidFill>
          </w14:textFill>
        </w:rPr>
        <w:t>则在“直接控股股东名称”填“无”</w:t>
      </w:r>
      <w:r>
        <w:rPr>
          <w:rFonts w:hint="eastAsia" w:ascii="宋体" w:hAnsi="宋体" w:cs="宋体"/>
          <w:color w:val="000000" w:themeColor="text1"/>
          <w:sz w:val="24"/>
          <w:highlight w:val="none"/>
          <w14:textFill>
            <w14:solidFill>
              <w14:schemeClr w14:val="tx1"/>
            </w14:solidFill>
          </w14:textFill>
        </w:rPr>
        <w:t>。</w:t>
      </w:r>
    </w:p>
    <w:p w14:paraId="31CB4624">
      <w:pPr>
        <w:spacing w:line="360" w:lineRule="auto"/>
        <w:ind w:firstLine="420"/>
        <w:contextualSpacing/>
        <w:jc w:val="left"/>
        <w:rPr>
          <w:rFonts w:hint="eastAsia" w:ascii="宋体" w:hAnsi="宋体" w:cs="宋体"/>
          <w:color w:val="000000" w:themeColor="text1"/>
          <w:szCs w:val="21"/>
          <w:highlight w:val="none"/>
          <w14:textFill>
            <w14:solidFill>
              <w14:schemeClr w14:val="tx1"/>
            </w14:solidFill>
          </w14:textFill>
        </w:rPr>
      </w:pPr>
    </w:p>
    <w:p w14:paraId="5E4EAA98">
      <w:pPr>
        <w:spacing w:line="360" w:lineRule="auto"/>
        <w:ind w:firstLine="560"/>
        <w:contextualSpacing/>
        <w:jc w:val="left"/>
        <w:rPr>
          <w:rFonts w:hint="eastAsia" w:ascii="宋体" w:hAnsi="宋体" w:cs="宋体"/>
          <w:color w:val="000000" w:themeColor="text1"/>
          <w:sz w:val="28"/>
          <w:szCs w:val="28"/>
          <w:highlight w:val="none"/>
          <w14:textFill>
            <w14:solidFill>
              <w14:schemeClr w14:val="tx1"/>
            </w14:solidFill>
          </w14:textFill>
        </w:rPr>
      </w:pPr>
    </w:p>
    <w:p w14:paraId="0AF3690E">
      <w:pPr>
        <w:spacing w:line="360" w:lineRule="auto"/>
        <w:ind w:right="480"/>
        <w:contextualSpacing/>
        <w:jc w:val="center"/>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法定代表人或者委托代理人</w:t>
      </w:r>
      <w:r>
        <w:rPr>
          <w:rFonts w:hint="eastAsia" w:ascii="宋体" w:hAnsi="宋体"/>
          <w:color w:val="000000" w:themeColor="text1"/>
          <w:sz w:val="24"/>
          <w:highlight w:val="none"/>
          <w14:textFill>
            <w14:solidFill>
              <w14:schemeClr w14:val="tx1"/>
            </w14:solidFill>
          </w14:textFill>
        </w:rPr>
        <w:t>（签字或者盖章或者电子签名）</w:t>
      </w:r>
      <w:r>
        <w:rPr>
          <w:rFonts w:hint="eastAsia" w:ascii="宋体" w:hAnsi="宋体" w:cs="宋体"/>
          <w:color w:val="000000" w:themeColor="text1"/>
          <w:sz w:val="24"/>
          <w:highlight w:val="none"/>
          <w14:textFill>
            <w14:solidFill>
              <w14:schemeClr w14:val="tx1"/>
            </w14:solidFill>
          </w14:textFill>
        </w:rPr>
        <w:t>：</w:t>
      </w:r>
    </w:p>
    <w:p w14:paraId="3711FDC7">
      <w:pPr>
        <w:spacing w:line="360" w:lineRule="auto"/>
        <w:ind w:right="480" w:firstLine="3000"/>
        <w:contextualSpacing/>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（电子签章）</w:t>
      </w:r>
      <w:r>
        <w:rPr>
          <w:rFonts w:hint="eastAsia" w:ascii="宋体" w:hAnsi="宋体" w:cs="宋体"/>
          <w:color w:val="000000" w:themeColor="text1"/>
          <w:sz w:val="24"/>
          <w:highlight w:val="none"/>
          <w14:textFill>
            <w14:solidFill>
              <w14:schemeClr w14:val="tx1"/>
            </w14:solidFill>
          </w14:textFill>
        </w:rPr>
        <w:t xml:space="preserve">： </w:t>
      </w:r>
    </w:p>
    <w:p w14:paraId="48417DE7">
      <w:pPr>
        <w:spacing w:line="360" w:lineRule="auto"/>
        <w:ind w:firstLine="480"/>
        <w:contextualSpacing/>
        <w:jc w:val="right"/>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年    月    日</w:t>
      </w:r>
    </w:p>
    <w:p w14:paraId="1387F31E">
      <w:pPr>
        <w:jc w:val="center"/>
        <w:rPr>
          <w:rFonts w:hint="eastAsia" w:ascii="宋体" w:hAnsi="宋体"/>
          <w:b/>
          <w:color w:val="000000" w:themeColor="text1"/>
          <w:sz w:val="28"/>
          <w:szCs w:val="28"/>
          <w:highlight w:val="none"/>
          <w14:textFill>
            <w14:solidFill>
              <w14:schemeClr w14:val="tx1"/>
            </w14:solidFill>
          </w14:textFill>
        </w:rPr>
      </w:pPr>
      <w:r>
        <w:rPr>
          <w:rFonts w:ascii="宋体" w:hAnsi="宋体"/>
          <w:b/>
          <w:color w:val="000000" w:themeColor="text1"/>
          <w:sz w:val="28"/>
          <w:szCs w:val="28"/>
          <w:highlight w:val="none"/>
          <w14:textFill>
            <w14:solidFill>
              <w14:schemeClr w14:val="tx1"/>
            </w14:solidFill>
          </w14:textFill>
        </w:rPr>
        <w:br w:type="page" w:clear="all"/>
      </w:r>
    </w:p>
    <w:p w14:paraId="61868476">
      <w:pPr>
        <w:spacing w:line="320" w:lineRule="exact"/>
        <w:jc w:val="center"/>
        <w:rPr>
          <w:rFonts w:hint="eastAsia"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供应商直接管理关系信息表</w:t>
      </w:r>
    </w:p>
    <w:p w14:paraId="00949669">
      <w:pPr>
        <w:spacing w:line="360" w:lineRule="auto"/>
        <w:jc w:val="center"/>
        <w:rPr>
          <w:rFonts w:hint="eastAsia" w:ascii="宋体" w:hAnsi="宋体"/>
          <w:b/>
          <w:color w:val="000000" w:themeColor="text1"/>
          <w:sz w:val="24"/>
          <w:highlight w:val="none"/>
          <w14:textFill>
            <w14:solidFill>
              <w14:schemeClr w14:val="tx1"/>
            </w14:solidFill>
          </w14:textFill>
        </w:rPr>
      </w:pPr>
    </w:p>
    <w:tbl>
      <w:tblPr>
        <w:tblStyle w:val="45"/>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115CE8B6">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5F5AF111">
            <w:pPr>
              <w:widowControl/>
              <w:spacing w:line="360" w:lineRule="auto"/>
              <w:contextualSpacing/>
              <w:jc w:val="center"/>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3EDEF87C">
            <w:pPr>
              <w:widowControl/>
              <w:spacing w:line="360" w:lineRule="auto"/>
              <w:contextualSpacing/>
              <w:jc w:val="center"/>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AEF9427">
            <w:pPr>
              <w:widowControl/>
              <w:spacing w:line="360" w:lineRule="auto"/>
              <w:contextualSpacing/>
              <w:jc w:val="center"/>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4134D3F">
            <w:pPr>
              <w:widowControl/>
              <w:spacing w:line="360" w:lineRule="auto"/>
              <w:contextualSpacing/>
              <w:jc w:val="center"/>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相互关系</w:t>
            </w:r>
          </w:p>
        </w:tc>
      </w:tr>
      <w:tr w14:paraId="57976E6D">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718A9EC">
            <w:pPr>
              <w:widowControl/>
              <w:spacing w:line="360" w:lineRule="auto"/>
              <w:contextualSpacing/>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83BAB56">
            <w:pPr>
              <w:widowControl/>
              <w:spacing w:line="360" w:lineRule="auto"/>
              <w:contextualSpacing/>
              <w:jc w:val="center"/>
              <w:rPr>
                <w:rFonts w:hint="eastAsia" w:ascii="宋体" w:hAnsi="宋体" w:cs="宋体"/>
                <w:color w:val="000000" w:themeColor="text1"/>
                <w:sz w:val="24"/>
                <w:highlight w:val="none"/>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428CB99">
            <w:pPr>
              <w:widowControl/>
              <w:spacing w:line="360" w:lineRule="auto"/>
              <w:contextualSpacing/>
              <w:jc w:val="center"/>
              <w:rPr>
                <w:rFonts w:hint="eastAsia" w:ascii="宋体" w:hAnsi="宋体" w:cs="宋体"/>
                <w:color w:val="000000" w:themeColor="text1"/>
                <w:sz w:val="24"/>
                <w:highlight w:val="none"/>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C177FC0">
            <w:pPr>
              <w:widowControl/>
              <w:spacing w:line="360" w:lineRule="auto"/>
              <w:contextualSpacing/>
              <w:jc w:val="center"/>
              <w:rPr>
                <w:rFonts w:hint="eastAsia" w:ascii="宋体" w:hAnsi="宋体" w:cs="宋体"/>
                <w:color w:val="000000" w:themeColor="text1"/>
                <w:sz w:val="24"/>
                <w:highlight w:val="none"/>
                <w14:textFill>
                  <w14:solidFill>
                    <w14:schemeClr w14:val="tx1"/>
                  </w14:solidFill>
                </w14:textFill>
              </w:rPr>
            </w:pPr>
          </w:p>
        </w:tc>
      </w:tr>
      <w:tr w14:paraId="3A2B200C">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2A4037B">
            <w:pPr>
              <w:widowControl/>
              <w:spacing w:line="360" w:lineRule="auto"/>
              <w:contextualSpacing/>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926398A">
            <w:pPr>
              <w:widowControl/>
              <w:spacing w:line="360" w:lineRule="auto"/>
              <w:contextualSpacing/>
              <w:jc w:val="center"/>
              <w:rPr>
                <w:rFonts w:hint="eastAsia" w:ascii="宋体" w:hAnsi="宋体" w:cs="宋体"/>
                <w:color w:val="000000" w:themeColor="text1"/>
                <w:sz w:val="24"/>
                <w:highlight w:val="none"/>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A7A0AEC">
            <w:pPr>
              <w:widowControl/>
              <w:spacing w:line="360" w:lineRule="auto"/>
              <w:contextualSpacing/>
              <w:jc w:val="center"/>
              <w:rPr>
                <w:rFonts w:hint="eastAsia" w:ascii="宋体" w:hAnsi="宋体" w:cs="宋体"/>
                <w:color w:val="000000" w:themeColor="text1"/>
                <w:sz w:val="24"/>
                <w:highlight w:val="none"/>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5701C484">
            <w:pPr>
              <w:widowControl/>
              <w:spacing w:line="360" w:lineRule="auto"/>
              <w:contextualSpacing/>
              <w:jc w:val="center"/>
              <w:rPr>
                <w:rFonts w:hint="eastAsia" w:ascii="宋体" w:hAnsi="宋体" w:cs="宋体"/>
                <w:color w:val="000000" w:themeColor="text1"/>
                <w:sz w:val="24"/>
                <w:highlight w:val="none"/>
                <w14:textFill>
                  <w14:solidFill>
                    <w14:schemeClr w14:val="tx1"/>
                  </w14:solidFill>
                </w14:textFill>
              </w:rPr>
            </w:pPr>
          </w:p>
        </w:tc>
      </w:tr>
      <w:tr w14:paraId="7C4A12C5">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C4CAD04">
            <w:pPr>
              <w:widowControl/>
              <w:spacing w:line="360" w:lineRule="auto"/>
              <w:contextualSpacing/>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4964A7F">
            <w:pPr>
              <w:widowControl/>
              <w:spacing w:line="360" w:lineRule="auto"/>
              <w:contextualSpacing/>
              <w:jc w:val="center"/>
              <w:rPr>
                <w:rFonts w:hint="eastAsia" w:ascii="宋体" w:hAnsi="宋体" w:cs="宋体"/>
                <w:color w:val="000000" w:themeColor="text1"/>
                <w:sz w:val="24"/>
                <w:highlight w:val="none"/>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4B4AE05">
            <w:pPr>
              <w:widowControl/>
              <w:spacing w:line="360" w:lineRule="auto"/>
              <w:contextualSpacing/>
              <w:jc w:val="center"/>
              <w:rPr>
                <w:rFonts w:hint="eastAsia" w:ascii="宋体" w:hAnsi="宋体" w:cs="宋体"/>
                <w:color w:val="000000" w:themeColor="text1"/>
                <w:sz w:val="24"/>
                <w:highlight w:val="none"/>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284E564">
            <w:pPr>
              <w:widowControl/>
              <w:spacing w:line="360" w:lineRule="auto"/>
              <w:contextualSpacing/>
              <w:jc w:val="center"/>
              <w:rPr>
                <w:rFonts w:hint="eastAsia" w:ascii="宋体" w:hAnsi="宋体" w:cs="宋体"/>
                <w:color w:val="000000" w:themeColor="text1"/>
                <w:sz w:val="24"/>
                <w:highlight w:val="none"/>
                <w14:textFill>
                  <w14:solidFill>
                    <w14:schemeClr w14:val="tx1"/>
                  </w14:solidFill>
                </w14:textFill>
              </w:rPr>
            </w:pPr>
          </w:p>
        </w:tc>
      </w:tr>
      <w:tr w14:paraId="30C3C475">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7F869412">
            <w:pPr>
              <w:widowControl/>
              <w:spacing w:line="360" w:lineRule="auto"/>
              <w:contextualSpacing/>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tc>
        <w:tc>
          <w:tcPr>
            <w:tcW w:w="36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8EB7BAF">
            <w:pPr>
              <w:widowControl/>
              <w:spacing w:line="360" w:lineRule="auto"/>
              <w:contextualSpacing/>
              <w:jc w:val="center"/>
              <w:rPr>
                <w:rFonts w:hint="eastAsia" w:ascii="宋体" w:hAnsi="宋体" w:cs="宋体"/>
                <w:color w:val="000000" w:themeColor="text1"/>
                <w:sz w:val="24"/>
                <w:highlight w:val="none"/>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CF4E03C">
            <w:pPr>
              <w:widowControl/>
              <w:spacing w:line="360" w:lineRule="auto"/>
              <w:contextualSpacing/>
              <w:jc w:val="center"/>
              <w:rPr>
                <w:rFonts w:hint="eastAsia" w:ascii="宋体" w:hAnsi="宋体" w:cs="宋体"/>
                <w:color w:val="000000" w:themeColor="text1"/>
                <w:sz w:val="24"/>
                <w:highlight w:val="none"/>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94B3AB5">
            <w:pPr>
              <w:widowControl/>
              <w:spacing w:line="360" w:lineRule="auto"/>
              <w:contextualSpacing/>
              <w:jc w:val="center"/>
              <w:rPr>
                <w:rFonts w:hint="eastAsia" w:ascii="宋体" w:hAnsi="宋体" w:cs="宋体"/>
                <w:color w:val="000000" w:themeColor="text1"/>
                <w:sz w:val="24"/>
                <w:highlight w:val="none"/>
                <w14:textFill>
                  <w14:solidFill>
                    <w14:schemeClr w14:val="tx1"/>
                  </w14:solidFill>
                </w14:textFill>
              </w:rPr>
            </w:pPr>
          </w:p>
        </w:tc>
      </w:tr>
    </w:tbl>
    <w:p w14:paraId="44DA885F">
      <w:pPr>
        <w:spacing w:line="360" w:lineRule="auto"/>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w:t>
      </w:r>
    </w:p>
    <w:p w14:paraId="0EAE821A">
      <w:pPr>
        <w:spacing w:line="360" w:lineRule="auto"/>
        <w:ind w:firstLine="480"/>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1.管理关系：是指不具有出资持股关系的其他单位之间存在的管理与被管理关系，如一些上下级关系的事业单位和团体组织。</w:t>
      </w:r>
    </w:p>
    <w:p w14:paraId="57C1CDE6">
      <w:pPr>
        <w:spacing w:line="360" w:lineRule="auto"/>
        <w:ind w:firstLine="480"/>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w:t>
      </w:r>
      <w:r>
        <w:rPr>
          <w:rFonts w:hint="eastAsia" w:ascii="宋体" w:hAnsi="宋体"/>
          <w:color w:val="000000" w:themeColor="text1"/>
          <w:spacing w:val="-6"/>
          <w:sz w:val="24"/>
          <w:highlight w:val="none"/>
          <w14:textFill>
            <w14:solidFill>
              <w14:schemeClr w14:val="tx1"/>
            </w14:solidFill>
          </w14:textFill>
        </w:rPr>
        <w:t>本表所指的管理关系仅限于直接管理关系，不包括间接的管理关系。</w:t>
      </w:r>
    </w:p>
    <w:p w14:paraId="4104E212">
      <w:pPr>
        <w:spacing w:line="360" w:lineRule="auto"/>
        <w:ind w:firstLine="480"/>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3.供应商不存在直接管理关系的，则在“直接管理关系单位名称”填“无”。</w:t>
      </w:r>
    </w:p>
    <w:p w14:paraId="7361AD7E">
      <w:pPr>
        <w:spacing w:line="360" w:lineRule="auto"/>
        <w:contextualSpacing/>
        <w:jc w:val="left"/>
        <w:rPr>
          <w:rFonts w:hint="eastAsia" w:ascii="宋体" w:hAnsi="宋体"/>
          <w:color w:val="000000" w:themeColor="text1"/>
          <w:sz w:val="28"/>
          <w:szCs w:val="28"/>
          <w:highlight w:val="none"/>
          <w14:textFill>
            <w14:solidFill>
              <w14:schemeClr w14:val="tx1"/>
            </w14:solidFill>
          </w14:textFill>
        </w:rPr>
      </w:pPr>
    </w:p>
    <w:p w14:paraId="0549BCA1">
      <w:pPr>
        <w:spacing w:line="360" w:lineRule="auto"/>
        <w:contextualSpacing/>
        <w:jc w:val="left"/>
        <w:rPr>
          <w:rFonts w:hint="eastAsia" w:ascii="宋体" w:hAnsi="宋体"/>
          <w:color w:val="000000" w:themeColor="text1"/>
          <w:sz w:val="28"/>
          <w:szCs w:val="28"/>
          <w:highlight w:val="none"/>
          <w14:textFill>
            <w14:solidFill>
              <w14:schemeClr w14:val="tx1"/>
            </w14:solidFill>
          </w14:textFill>
        </w:rPr>
      </w:pPr>
    </w:p>
    <w:p w14:paraId="78D617B8">
      <w:pPr>
        <w:spacing w:line="360" w:lineRule="auto"/>
        <w:contextualSpacing/>
        <w:jc w:val="left"/>
        <w:rPr>
          <w:color w:val="000000" w:themeColor="text1"/>
          <w:sz w:val="28"/>
          <w:szCs w:val="28"/>
          <w:highlight w:val="none"/>
          <w14:textFill>
            <w14:solidFill>
              <w14:schemeClr w14:val="tx1"/>
            </w14:solidFill>
          </w14:textFill>
        </w:rPr>
      </w:pPr>
    </w:p>
    <w:p w14:paraId="4858E6A1">
      <w:pPr>
        <w:spacing w:line="360" w:lineRule="auto"/>
        <w:contextualSpacing/>
        <w:jc w:val="left"/>
        <w:rPr>
          <w:color w:val="000000" w:themeColor="text1"/>
          <w:sz w:val="28"/>
          <w:szCs w:val="28"/>
          <w:highlight w:val="none"/>
          <w14:textFill>
            <w14:solidFill>
              <w14:schemeClr w14:val="tx1"/>
            </w14:solidFill>
          </w14:textFill>
        </w:rPr>
      </w:pPr>
    </w:p>
    <w:p w14:paraId="159480D6">
      <w:pPr>
        <w:spacing w:line="360" w:lineRule="auto"/>
        <w:contextualSpacing/>
        <w:jc w:val="left"/>
        <w:rPr>
          <w:color w:val="000000" w:themeColor="text1"/>
          <w:sz w:val="28"/>
          <w:szCs w:val="28"/>
          <w:highlight w:val="none"/>
          <w14:textFill>
            <w14:solidFill>
              <w14:schemeClr w14:val="tx1"/>
            </w14:solidFill>
          </w14:textFill>
        </w:rPr>
      </w:pPr>
    </w:p>
    <w:p w14:paraId="7D1F5D1E">
      <w:pPr>
        <w:spacing w:line="360" w:lineRule="auto"/>
        <w:contextualSpacing/>
        <w:jc w:val="left"/>
        <w:rPr>
          <w:rFonts w:hint="eastAsia" w:ascii="宋体" w:hAnsi="宋体"/>
          <w:color w:val="000000" w:themeColor="text1"/>
          <w:sz w:val="28"/>
          <w:szCs w:val="28"/>
          <w:highlight w:val="none"/>
          <w14:textFill>
            <w14:solidFill>
              <w14:schemeClr w14:val="tx1"/>
            </w14:solidFill>
          </w14:textFill>
        </w:rPr>
      </w:pPr>
    </w:p>
    <w:p w14:paraId="37443DC3">
      <w:pPr>
        <w:spacing w:line="360" w:lineRule="auto"/>
        <w:ind w:right="480"/>
        <w:contextualSpacing/>
        <w:jc w:val="center"/>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法定代表人或者委托代理人（签字或者盖章或者电子签名）：</w:t>
      </w:r>
    </w:p>
    <w:p w14:paraId="5002310A">
      <w:pPr>
        <w:spacing w:line="360" w:lineRule="auto"/>
        <w:ind w:right="480" w:firstLine="3360"/>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供应商（电子签章）：</w:t>
      </w:r>
    </w:p>
    <w:p w14:paraId="7F20263E">
      <w:pPr>
        <w:spacing w:line="360" w:lineRule="auto"/>
        <w:ind w:firstLine="480"/>
        <w:contextualSpacing/>
        <w:jc w:val="left"/>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年    月    日</w:t>
      </w:r>
    </w:p>
    <w:p w14:paraId="0F682205">
      <w:pPr>
        <w:spacing w:line="320" w:lineRule="exact"/>
        <w:jc w:val="center"/>
        <w:rPr>
          <w:rFonts w:hint="eastAsia" w:ascii="宋体" w:hAnsi="宋体"/>
          <w:b/>
          <w:color w:val="000000" w:themeColor="text1"/>
          <w:sz w:val="32"/>
          <w:szCs w:val="32"/>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br w:type="page" w:clear="all"/>
      </w:r>
      <w:r>
        <w:rPr>
          <w:rFonts w:hint="eastAsia" w:ascii="宋体" w:hAnsi="宋体"/>
          <w:b/>
          <w:color w:val="000000" w:themeColor="text1"/>
          <w:sz w:val="32"/>
          <w:szCs w:val="32"/>
          <w:highlight w:val="none"/>
          <w14:textFill>
            <w14:solidFill>
              <w14:schemeClr w14:val="tx1"/>
            </w14:solidFill>
          </w14:textFill>
        </w:rPr>
        <w:t>竞标声明</w:t>
      </w:r>
    </w:p>
    <w:p w14:paraId="28EDD948">
      <w:pPr>
        <w:spacing w:line="320" w:lineRule="exact"/>
        <w:jc w:val="center"/>
        <w:rPr>
          <w:rFonts w:hint="eastAsia" w:ascii="宋体" w:hAnsi="宋体"/>
          <w:color w:val="000000" w:themeColor="text1"/>
          <w:sz w:val="24"/>
          <w:szCs w:val="20"/>
          <w:highlight w:val="none"/>
          <w14:textFill>
            <w14:solidFill>
              <w14:schemeClr w14:val="tx1"/>
            </w14:solidFill>
          </w14:textFill>
        </w:rPr>
      </w:pPr>
    </w:p>
    <w:p w14:paraId="47B5733A">
      <w:pPr>
        <w:spacing w:line="360" w:lineRule="auto"/>
        <w:contextualSpacing/>
        <w:rPr>
          <w:rFonts w:hint="eastAsia" w:ascii="宋体" w:hAnsi="宋体" w:eastAsia="宋体" w:cs="宋体"/>
          <w:color w:val="000000" w:themeColor="text1"/>
          <w:sz w:val="24"/>
          <w:highlight w:val="none"/>
          <w:u w:val="singl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致：</w:t>
      </w:r>
      <w:r>
        <w:rPr>
          <w:rFonts w:hint="eastAsia" w:ascii="宋体" w:hAnsi="宋体" w:cs="宋体"/>
          <w:color w:val="000000" w:themeColor="text1"/>
          <w:sz w:val="24"/>
          <w:highlight w:val="none"/>
          <w:u w:val="single"/>
          <w14:textFill>
            <w14:solidFill>
              <w14:schemeClr w14:val="tx1"/>
            </w14:solidFill>
          </w14:textFill>
        </w:rPr>
        <w:t>平南县大安镇中心幼儿园</w:t>
      </w:r>
    </w:p>
    <w:p w14:paraId="17124A45">
      <w:pPr>
        <w:spacing w:line="360" w:lineRule="auto"/>
        <w:ind w:firstLine="48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我方</w:t>
      </w:r>
      <w:r>
        <w:rPr>
          <w:rFonts w:hint="eastAsia" w:ascii="宋体" w:hAnsi="宋体" w:cs="宋体"/>
          <w:color w:val="000000" w:themeColor="text1"/>
          <w:sz w:val="24"/>
          <w:highlight w:val="none"/>
          <w:u w:val="single"/>
          <w14:textFill>
            <w14:solidFill>
              <w14:schemeClr w14:val="tx1"/>
            </w14:solidFill>
          </w14:textFill>
        </w:rPr>
        <w:t>（供应商名称）</w:t>
      </w:r>
      <w:r>
        <w:rPr>
          <w:rFonts w:hint="eastAsia" w:ascii="宋体" w:hAnsi="宋体" w:cs="宋体"/>
          <w:color w:val="000000" w:themeColor="text1"/>
          <w:sz w:val="24"/>
          <w:highlight w:val="none"/>
          <w14:textFill>
            <w14:solidFill>
              <w14:schemeClr w14:val="tx1"/>
            </w14:solidFill>
          </w14:textFill>
        </w:rPr>
        <w:t>系中华人民共和国合法供应商，经营地址</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p>
    <w:p w14:paraId="33B7F682">
      <w:pPr>
        <w:spacing w:line="360" w:lineRule="auto"/>
        <w:ind w:firstLine="48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我方愿意参加贵方组织的</w:t>
      </w:r>
      <w:r>
        <w:rPr>
          <w:rFonts w:hint="eastAsia" w:ascii="宋体" w:hAnsi="宋体" w:cs="宋体"/>
          <w:color w:val="000000" w:themeColor="text1"/>
          <w:sz w:val="24"/>
          <w:highlight w:val="none"/>
          <w:u w:val="single"/>
          <w14:textFill>
            <w14:solidFill>
              <w14:schemeClr w14:val="tx1"/>
            </w14:solidFill>
          </w14:textFill>
        </w:rPr>
        <w:t>（项目名称）（项目编号）</w:t>
      </w:r>
      <w:r>
        <w:rPr>
          <w:rFonts w:hint="eastAsia" w:ascii="宋体" w:hAnsi="宋体" w:cs="宋体"/>
          <w:color w:val="000000" w:themeColor="text1"/>
          <w:sz w:val="24"/>
          <w:highlight w:val="none"/>
          <w14:textFill>
            <w14:solidFill>
              <w14:schemeClr w14:val="tx1"/>
            </w14:solidFill>
          </w14:textFill>
        </w:rPr>
        <w:t>项目的竞标，为便于贵方公正、择优地确定成交供应商及其服务，我方就本次竞标有关事项郑重声明如下：</w:t>
      </w:r>
    </w:p>
    <w:p w14:paraId="3378B0F8">
      <w:pPr>
        <w:spacing w:line="360" w:lineRule="auto"/>
        <w:ind w:firstLine="48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1.我方向贵方提交的所有响应文件、资料都是准确的和真实的。</w:t>
      </w:r>
    </w:p>
    <w:p w14:paraId="3829E878">
      <w:pPr>
        <w:spacing w:line="360" w:lineRule="auto"/>
        <w:ind w:firstLine="48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我方不是为本次采购项目提供整体设计、规范编制或者项目管理、监理、检测等服务的供应商</w:t>
      </w:r>
      <w:r>
        <w:rPr>
          <w:rFonts w:hint="eastAsia" w:ascii="宋体" w:hAnsi="宋体" w:cs="宋体"/>
          <w:color w:val="000000" w:themeColor="text1"/>
          <w:sz w:val="24"/>
          <w:highlight w:val="none"/>
          <w14:textFill>
            <w14:solidFill>
              <w14:schemeClr w14:val="tx1"/>
            </w14:solidFill>
          </w14:textFill>
        </w:rPr>
        <w:t>。</w:t>
      </w:r>
    </w:p>
    <w:p w14:paraId="3AC81D49">
      <w:pPr>
        <w:spacing w:line="360" w:lineRule="auto"/>
        <w:ind w:firstLine="48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3.在此，我方宣布同意如下：</w:t>
      </w:r>
    </w:p>
    <w:p w14:paraId="2A183D42">
      <w:pPr>
        <w:spacing w:line="360" w:lineRule="auto"/>
        <w:ind w:firstLine="48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（1）将按磋商文件的约定履行合同责任和义务；</w:t>
      </w:r>
    </w:p>
    <w:p w14:paraId="7EF2C83E">
      <w:pPr>
        <w:spacing w:line="360" w:lineRule="auto"/>
        <w:ind w:firstLine="48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（2）已详细审查全部磋商文件，包括澄清或者更正公告（如有）；</w:t>
      </w:r>
    </w:p>
    <w:p w14:paraId="42F8E65D">
      <w:pPr>
        <w:spacing w:line="360" w:lineRule="auto"/>
        <w:ind w:firstLine="48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（3）同意提供按照贵方可能要求的与磋商有关的一切数据或者资料；</w:t>
      </w:r>
    </w:p>
    <w:p w14:paraId="61AA50BB">
      <w:pPr>
        <w:spacing w:line="360" w:lineRule="auto"/>
        <w:ind w:firstLine="48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（4）响应磋商文件规定的竞标有效期。</w:t>
      </w:r>
    </w:p>
    <w:p w14:paraId="5DE7F2B1">
      <w:pPr>
        <w:spacing w:line="360" w:lineRule="auto"/>
        <w:ind w:firstLine="48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4.我方承诺符合《中华人民共和国政府采购法》第二十二条规定：</w:t>
      </w:r>
    </w:p>
    <w:p w14:paraId="26566B8F">
      <w:pPr>
        <w:spacing w:line="360" w:lineRule="auto"/>
        <w:ind w:firstLine="48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（1）具有独立承担民事责任的能力；</w:t>
      </w:r>
    </w:p>
    <w:p w14:paraId="5C691F12">
      <w:pPr>
        <w:spacing w:line="360" w:lineRule="auto"/>
        <w:ind w:firstLine="48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（2）具有良好的商业信誉和健全的财务会计制度；</w:t>
      </w:r>
    </w:p>
    <w:p w14:paraId="47D9D260">
      <w:pPr>
        <w:spacing w:line="360" w:lineRule="auto"/>
        <w:ind w:firstLine="48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（3）具有履行合同所必需的设备和专业技术能力；</w:t>
      </w:r>
    </w:p>
    <w:p w14:paraId="0A6888BE">
      <w:pPr>
        <w:spacing w:line="360" w:lineRule="auto"/>
        <w:ind w:firstLine="48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（4）有依法缴纳税收和社会保障资金的良好记录；</w:t>
      </w:r>
    </w:p>
    <w:p w14:paraId="675288A9">
      <w:pPr>
        <w:spacing w:line="360" w:lineRule="auto"/>
        <w:ind w:firstLine="48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（5）参加政府采购活动前三年内，在经营活动中没有重大违法记录；</w:t>
      </w:r>
    </w:p>
    <w:p w14:paraId="6451989A">
      <w:pPr>
        <w:spacing w:line="360" w:lineRule="auto"/>
        <w:ind w:firstLine="48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（6）法律、行政法规规定的其他条件。</w:t>
      </w:r>
    </w:p>
    <w:p w14:paraId="29584AA7">
      <w:pPr>
        <w:spacing w:line="360" w:lineRule="auto"/>
        <w:ind w:firstLine="48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3B34A210">
      <w:pPr>
        <w:spacing w:line="360" w:lineRule="auto"/>
        <w:ind w:firstLine="48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6D3A1EE5">
      <w:pPr>
        <w:spacing w:line="360" w:lineRule="auto"/>
        <w:ind w:firstLine="48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□我方本次响应文件内容中未涉及商业秘密；</w:t>
      </w:r>
    </w:p>
    <w:p w14:paraId="69C02449">
      <w:pPr>
        <w:spacing w:line="360" w:lineRule="auto"/>
        <w:ind w:firstLine="48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□我方本次响应文件涉及商业秘密的内容有</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p>
    <w:p w14:paraId="0B3CF058">
      <w:pPr>
        <w:pStyle w:val="24"/>
        <w:spacing w:line="360" w:lineRule="auto"/>
        <w:ind w:firstLine="480"/>
        <w:contextualSpacing/>
        <w:rPr>
          <w:rFonts w:hint="eastAsia" w:hAnsi="宋体" w:cs="宋体"/>
          <w:color w:val="000000" w:themeColor="text1"/>
          <w:sz w:val="24"/>
          <w:szCs w:val="24"/>
          <w:highlight w:val="none"/>
          <w:u w:val="singl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7.与本磋商有关的一切正式往来信函请寄：邮政编号：</w:t>
      </w:r>
    </w:p>
    <w:p w14:paraId="3BDD220E">
      <w:pPr>
        <w:pStyle w:val="24"/>
        <w:spacing w:line="360" w:lineRule="auto"/>
        <w:ind w:firstLine="480"/>
        <w:contextualSpacing/>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电话/传真：</w:t>
      </w:r>
      <w:r>
        <w:rPr>
          <w:rFonts w:hint="eastAsia" w:hAnsi="宋体" w:cs="宋体"/>
          <w:color w:val="000000" w:themeColor="text1"/>
          <w:sz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 xml:space="preserve"> 电子邮箱：</w:t>
      </w:r>
      <w:r>
        <w:rPr>
          <w:rFonts w:hint="eastAsia" w:hAnsi="宋体" w:cs="宋体"/>
          <w:color w:val="000000" w:themeColor="text1"/>
          <w:sz w:val="24"/>
          <w:highlight w:val="none"/>
          <w:u w:val="single"/>
          <w14:textFill>
            <w14:solidFill>
              <w14:schemeClr w14:val="tx1"/>
            </w14:solidFill>
          </w14:textFill>
        </w:rPr>
        <w:t xml:space="preserve">                   </w:t>
      </w:r>
    </w:p>
    <w:p w14:paraId="2D7054DE">
      <w:pPr>
        <w:pStyle w:val="20"/>
        <w:tabs>
          <w:tab w:val="left" w:pos="939"/>
        </w:tabs>
        <w:spacing w:line="360" w:lineRule="auto"/>
        <w:ind w:left="141" w:firstLine="36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开户银行：</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账号：</w:t>
      </w:r>
      <w:r>
        <w:rPr>
          <w:rFonts w:hint="eastAsia" w:ascii="宋体" w:hAnsi="宋体" w:cs="宋体"/>
          <w:color w:val="000000" w:themeColor="text1"/>
          <w:sz w:val="24"/>
          <w:highlight w:val="none"/>
          <w:u w:val="single"/>
          <w14:textFill>
            <w14:solidFill>
              <w14:schemeClr w14:val="tx1"/>
            </w14:solidFill>
          </w14:textFill>
        </w:rPr>
        <w:t xml:space="preserve">                       </w:t>
      </w:r>
    </w:p>
    <w:p w14:paraId="4974A410">
      <w:pPr>
        <w:pStyle w:val="20"/>
        <w:tabs>
          <w:tab w:val="left" w:pos="939"/>
        </w:tabs>
        <w:spacing w:line="360" w:lineRule="auto"/>
        <w:ind w:left="0"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8.以上事项如有虚假或者隐瞒，我方愿意承担一切后果，并不再寻求任何旨在减轻或者免除法律责任的辩解。</w:t>
      </w:r>
    </w:p>
    <w:p w14:paraId="1AC6C45E">
      <w:pPr>
        <w:pStyle w:val="20"/>
        <w:tabs>
          <w:tab w:val="left" w:pos="939"/>
        </w:tabs>
        <w:spacing w:line="360" w:lineRule="auto"/>
        <w:ind w:left="141" w:firstLine="36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特此承诺。</w:t>
      </w:r>
    </w:p>
    <w:p w14:paraId="566819B9">
      <w:pPr>
        <w:spacing w:line="360" w:lineRule="auto"/>
        <w:ind w:firstLine="482"/>
        <w:contextualSpacing/>
        <w:jc w:val="left"/>
        <w:rPr>
          <w:rFonts w:hint="eastAsia" w:ascii="宋体" w:hAnsi="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注：</w:t>
      </w:r>
      <w:r>
        <w:rPr>
          <w:rFonts w:hint="eastAsia" w:ascii="宋体" w:hAnsi="宋体"/>
          <w:b/>
          <w:color w:val="000000" w:themeColor="text1"/>
          <w:sz w:val="24"/>
          <w:highlight w:val="none"/>
          <w14:textFill>
            <w14:solidFill>
              <w14:schemeClr w14:val="tx1"/>
            </w14:solidFill>
          </w14:textFill>
        </w:rPr>
        <w:t>如为联合体竞标，盖章处须加盖联合体牵头人电子签章并由联合体牵头人法定代表人分别签字或者盖章或者电子签名，否则响应文件按无效处理。</w:t>
      </w:r>
    </w:p>
    <w:p w14:paraId="72AFA44C">
      <w:pPr>
        <w:spacing w:line="360" w:lineRule="auto"/>
        <w:contextualSpacing/>
        <w:jc w:val="left"/>
        <w:rPr>
          <w:rFonts w:hint="eastAsia" w:ascii="宋体" w:hAnsi="宋体" w:cs="宋体"/>
          <w:color w:val="000000" w:themeColor="text1"/>
          <w:szCs w:val="21"/>
          <w:highlight w:val="none"/>
          <w14:textFill>
            <w14:solidFill>
              <w14:schemeClr w14:val="tx1"/>
            </w14:solidFill>
          </w14:textFill>
        </w:rPr>
      </w:pPr>
    </w:p>
    <w:p w14:paraId="573EEC7F">
      <w:pPr>
        <w:spacing w:line="360" w:lineRule="auto"/>
        <w:ind w:firstLine="1800"/>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法定代表人（签字或者盖章或者电子签名）：</w:t>
      </w:r>
    </w:p>
    <w:p w14:paraId="2403ABC4">
      <w:pPr>
        <w:spacing w:line="360" w:lineRule="auto"/>
        <w:ind w:firstLine="1800"/>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供应商（电子签章）：</w:t>
      </w:r>
    </w:p>
    <w:p w14:paraId="3BE139B2">
      <w:pPr>
        <w:pStyle w:val="7"/>
        <w:spacing w:line="360" w:lineRule="auto"/>
        <w:ind w:firstLine="0"/>
        <w:contextualSpacing/>
        <w:jc w:val="right"/>
        <w:rPr>
          <w:rFonts w:hint="eastAsia" w:ascii="宋体" w:hAnsi="宋体" w:cs="仿宋_GB2312"/>
          <w:color w:val="000000" w:themeColor="text1"/>
          <w:sz w:val="24"/>
          <w:szCs w:val="24"/>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 xml:space="preserve">   年    月    日</w:t>
      </w:r>
    </w:p>
    <w:p w14:paraId="4A6F440B">
      <w:pPr>
        <w:pStyle w:val="7"/>
        <w:spacing w:line="360" w:lineRule="auto"/>
        <w:ind w:firstLine="0"/>
        <w:contextualSpacing/>
        <w:rPr>
          <w:rFonts w:hint="eastAsia" w:ascii="宋体" w:hAnsi="宋体" w:cs="仿宋_GB2312"/>
          <w:color w:val="000000" w:themeColor="text1"/>
          <w:sz w:val="24"/>
          <w:szCs w:val="24"/>
          <w:highlight w:val="none"/>
          <w14:textFill>
            <w14:solidFill>
              <w14:schemeClr w14:val="tx1"/>
            </w14:solidFill>
          </w14:textFill>
        </w:rPr>
      </w:pPr>
    </w:p>
    <w:p w14:paraId="299246CB">
      <w:pPr>
        <w:spacing w:line="360" w:lineRule="auto"/>
        <w:ind w:firstLine="321"/>
        <w:contextualSpacing/>
        <w:jc w:val="center"/>
        <w:rPr>
          <w:rFonts w:hint="eastAsia" w:ascii="宋体" w:hAnsi="宋体"/>
          <w:b/>
          <w:bCs/>
          <w:color w:val="000000" w:themeColor="text1"/>
          <w:sz w:val="32"/>
          <w:szCs w:val="32"/>
          <w:highlight w:val="none"/>
          <w14:textFill>
            <w14:solidFill>
              <w14:schemeClr w14:val="tx1"/>
            </w14:solidFill>
          </w14:textFill>
        </w:rPr>
      </w:pPr>
    </w:p>
    <w:p w14:paraId="6BB2A9B1">
      <w:pPr>
        <w:spacing w:line="360" w:lineRule="auto"/>
        <w:ind w:firstLine="321"/>
        <w:contextualSpacing/>
        <w:jc w:val="center"/>
        <w:rPr>
          <w:rFonts w:hint="eastAsia" w:ascii="宋体" w:hAnsi="宋体"/>
          <w:b/>
          <w:bCs/>
          <w:color w:val="000000" w:themeColor="text1"/>
          <w:sz w:val="32"/>
          <w:szCs w:val="32"/>
          <w:highlight w:val="none"/>
          <w14:textFill>
            <w14:solidFill>
              <w14:schemeClr w14:val="tx1"/>
            </w14:solidFill>
          </w14:textFill>
        </w:rPr>
      </w:pPr>
    </w:p>
    <w:p w14:paraId="4024E43C">
      <w:pPr>
        <w:spacing w:line="360" w:lineRule="auto"/>
        <w:ind w:firstLine="321"/>
        <w:contextualSpacing/>
        <w:jc w:val="center"/>
        <w:rPr>
          <w:rFonts w:hint="eastAsia" w:ascii="宋体" w:hAnsi="宋体"/>
          <w:b/>
          <w:bCs/>
          <w:color w:val="000000" w:themeColor="text1"/>
          <w:sz w:val="32"/>
          <w:szCs w:val="32"/>
          <w:highlight w:val="none"/>
          <w14:textFill>
            <w14:solidFill>
              <w14:schemeClr w14:val="tx1"/>
            </w14:solidFill>
          </w14:textFill>
        </w:rPr>
      </w:pPr>
    </w:p>
    <w:p w14:paraId="6254B23A">
      <w:pPr>
        <w:spacing w:line="360" w:lineRule="auto"/>
        <w:ind w:firstLine="321"/>
        <w:contextualSpacing/>
        <w:jc w:val="center"/>
        <w:rPr>
          <w:rFonts w:hint="eastAsia" w:ascii="宋体" w:hAnsi="宋体"/>
          <w:b/>
          <w:bCs/>
          <w:color w:val="000000" w:themeColor="text1"/>
          <w:sz w:val="32"/>
          <w:szCs w:val="32"/>
          <w:highlight w:val="none"/>
          <w14:textFill>
            <w14:solidFill>
              <w14:schemeClr w14:val="tx1"/>
            </w14:solidFill>
          </w14:textFill>
        </w:rPr>
      </w:pPr>
    </w:p>
    <w:p w14:paraId="66465281">
      <w:pPr>
        <w:spacing w:line="360" w:lineRule="auto"/>
        <w:ind w:firstLine="321"/>
        <w:contextualSpacing/>
        <w:jc w:val="center"/>
        <w:rPr>
          <w:rFonts w:hint="eastAsia" w:ascii="宋体" w:hAnsi="宋体"/>
          <w:b/>
          <w:bCs/>
          <w:color w:val="000000" w:themeColor="text1"/>
          <w:sz w:val="32"/>
          <w:szCs w:val="32"/>
          <w:highlight w:val="none"/>
          <w14:textFill>
            <w14:solidFill>
              <w14:schemeClr w14:val="tx1"/>
            </w14:solidFill>
          </w14:textFill>
        </w:rPr>
      </w:pPr>
    </w:p>
    <w:p w14:paraId="32D80D3C">
      <w:pPr>
        <w:spacing w:line="360" w:lineRule="auto"/>
        <w:ind w:firstLine="321"/>
        <w:contextualSpacing/>
        <w:jc w:val="center"/>
        <w:rPr>
          <w:rFonts w:hint="eastAsia" w:ascii="宋体" w:hAnsi="宋体"/>
          <w:b/>
          <w:bCs/>
          <w:color w:val="000000" w:themeColor="text1"/>
          <w:sz w:val="32"/>
          <w:szCs w:val="32"/>
          <w:highlight w:val="none"/>
          <w14:textFill>
            <w14:solidFill>
              <w14:schemeClr w14:val="tx1"/>
            </w14:solidFill>
          </w14:textFill>
        </w:rPr>
      </w:pPr>
    </w:p>
    <w:p w14:paraId="25807FA1">
      <w:pPr>
        <w:spacing w:line="360" w:lineRule="auto"/>
        <w:ind w:firstLine="321"/>
        <w:contextualSpacing/>
        <w:jc w:val="center"/>
        <w:rPr>
          <w:rFonts w:hint="eastAsia" w:ascii="宋体" w:hAnsi="宋体"/>
          <w:b/>
          <w:bCs/>
          <w:color w:val="000000" w:themeColor="text1"/>
          <w:sz w:val="32"/>
          <w:szCs w:val="32"/>
          <w:highlight w:val="none"/>
          <w14:textFill>
            <w14:solidFill>
              <w14:schemeClr w14:val="tx1"/>
            </w14:solidFill>
          </w14:textFill>
        </w:rPr>
      </w:pPr>
    </w:p>
    <w:p w14:paraId="4DAD0C3E">
      <w:pPr>
        <w:spacing w:line="360" w:lineRule="auto"/>
        <w:ind w:firstLine="321"/>
        <w:contextualSpacing/>
        <w:jc w:val="center"/>
        <w:rPr>
          <w:rFonts w:hint="eastAsia" w:ascii="宋体" w:hAnsi="宋体"/>
          <w:b/>
          <w:bCs/>
          <w:color w:val="000000" w:themeColor="text1"/>
          <w:sz w:val="32"/>
          <w:szCs w:val="32"/>
          <w:highlight w:val="none"/>
          <w14:textFill>
            <w14:solidFill>
              <w14:schemeClr w14:val="tx1"/>
            </w14:solidFill>
          </w14:textFill>
        </w:rPr>
      </w:pPr>
    </w:p>
    <w:p w14:paraId="02BB8EAE">
      <w:pPr>
        <w:spacing w:line="360" w:lineRule="auto"/>
        <w:ind w:firstLine="321"/>
        <w:contextualSpacing/>
        <w:jc w:val="center"/>
        <w:rPr>
          <w:rFonts w:hint="eastAsia" w:ascii="宋体" w:hAnsi="宋体"/>
          <w:b/>
          <w:bCs/>
          <w:color w:val="000000" w:themeColor="text1"/>
          <w:sz w:val="32"/>
          <w:szCs w:val="32"/>
          <w:highlight w:val="none"/>
          <w14:textFill>
            <w14:solidFill>
              <w14:schemeClr w14:val="tx1"/>
            </w14:solidFill>
          </w14:textFill>
        </w:rPr>
      </w:pPr>
    </w:p>
    <w:p w14:paraId="705D48C1">
      <w:pPr>
        <w:spacing w:line="360" w:lineRule="auto"/>
        <w:ind w:firstLine="321"/>
        <w:contextualSpacing/>
        <w:jc w:val="center"/>
        <w:rPr>
          <w:rFonts w:hint="eastAsia" w:ascii="宋体" w:hAnsi="宋体"/>
          <w:b/>
          <w:bCs/>
          <w:color w:val="000000" w:themeColor="text1"/>
          <w:sz w:val="32"/>
          <w:szCs w:val="32"/>
          <w:highlight w:val="none"/>
          <w14:textFill>
            <w14:solidFill>
              <w14:schemeClr w14:val="tx1"/>
            </w14:solidFill>
          </w14:textFill>
        </w:rPr>
      </w:pPr>
    </w:p>
    <w:p w14:paraId="45BD0003">
      <w:pPr>
        <w:spacing w:line="360" w:lineRule="auto"/>
        <w:ind w:firstLine="321"/>
        <w:contextualSpacing/>
        <w:jc w:val="center"/>
        <w:rPr>
          <w:rFonts w:hint="eastAsia" w:ascii="宋体" w:hAnsi="宋体"/>
          <w:b/>
          <w:bCs/>
          <w:color w:val="000000" w:themeColor="text1"/>
          <w:sz w:val="32"/>
          <w:szCs w:val="32"/>
          <w:highlight w:val="none"/>
          <w14:textFill>
            <w14:solidFill>
              <w14:schemeClr w14:val="tx1"/>
            </w14:solidFill>
          </w14:textFill>
        </w:rPr>
      </w:pPr>
    </w:p>
    <w:p w14:paraId="7EB65338">
      <w:pPr>
        <w:widowControl/>
        <w:jc w:val="center"/>
        <w:rPr>
          <w:rFonts w:hint="eastAsia" w:ascii="宋体" w:hAnsi="宋体" w:cs="宋体"/>
          <w:b/>
          <w:color w:val="000000" w:themeColor="text1"/>
          <w:sz w:val="32"/>
          <w:szCs w:val="32"/>
          <w:highlight w:val="none"/>
          <w14:textFill>
            <w14:solidFill>
              <w14:schemeClr w14:val="tx1"/>
            </w14:solidFill>
          </w14:textFill>
        </w:rPr>
      </w:pPr>
    </w:p>
    <w:p w14:paraId="33A38D45">
      <w:pPr>
        <w:widowControl/>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贵港市政府采购项目投标资格承诺函</w:t>
      </w:r>
    </w:p>
    <w:p w14:paraId="246F68B5">
      <w:pPr>
        <w:widowControl/>
        <w:spacing w:line="360" w:lineRule="auto"/>
        <w:ind w:firstLine="420"/>
        <w:jc w:val="left"/>
        <w:rPr>
          <w:rFonts w:hint="eastAsia" w:ascii="宋体" w:hAnsi="宋体" w:cs="宋体"/>
          <w:color w:val="000000" w:themeColor="text1"/>
          <w:szCs w:val="21"/>
          <w:highlight w:val="none"/>
          <w14:textFill>
            <w14:solidFill>
              <w14:schemeClr w14:val="tx1"/>
            </w14:solidFill>
          </w14:textFill>
        </w:rPr>
      </w:pPr>
    </w:p>
    <w:p w14:paraId="6110BD05">
      <w:pPr>
        <w:widowControl/>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本公司郑重承诺，根据《中华人民共和国政府采购法》第二十二条的规定，本公司为参加政府采购活动的合格供应商。即本公司同时满足以下条件： </w:t>
      </w:r>
    </w:p>
    <w:p w14:paraId="5A305DC7">
      <w:pPr>
        <w:widowControl/>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1.具有独立承担民事责任的能力。 </w:t>
      </w:r>
    </w:p>
    <w:p w14:paraId="0C8A89E4">
      <w:pPr>
        <w:widowControl/>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2.具有良好的商业信誉和健全的财务会计制度。 </w:t>
      </w:r>
    </w:p>
    <w:p w14:paraId="39D8A733">
      <w:pPr>
        <w:widowControl/>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3.具有履行合同所必需的设备和专业技术能力。 </w:t>
      </w:r>
    </w:p>
    <w:p w14:paraId="47933248">
      <w:pPr>
        <w:widowControl/>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4.有依法缴纳税收和社会保障资金的良好记录。 </w:t>
      </w:r>
    </w:p>
    <w:p w14:paraId="74FCDD6D">
      <w:pPr>
        <w:widowControl/>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5. 提交响应文件截止日期前三年内，在经营活动中没有重大违法记录。 </w:t>
      </w:r>
    </w:p>
    <w:p w14:paraId="23C7A6AB">
      <w:pPr>
        <w:widowControl/>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本公司对上述承诺的真实性负责，并接受政府采购、税务、社会保障等监督管理部门、采购文件规定的资格审查机构、社会公众的监督和检查。如有虚假，将依法承担相应责任。</w:t>
      </w:r>
    </w:p>
    <w:p w14:paraId="3D51C291">
      <w:pPr>
        <w:spacing w:line="320" w:lineRule="exact"/>
        <w:jc w:val="center"/>
        <w:rPr>
          <w:rFonts w:hint="eastAsia" w:ascii="宋体" w:hAnsi="宋体" w:cs="宋体"/>
          <w:b/>
          <w:color w:val="000000" w:themeColor="text1"/>
          <w:sz w:val="24"/>
          <w:highlight w:val="none"/>
          <w14:textFill>
            <w14:solidFill>
              <w14:schemeClr w14:val="tx1"/>
            </w14:solidFill>
          </w14:textFill>
        </w:rPr>
      </w:pPr>
    </w:p>
    <w:p w14:paraId="04A2035B">
      <w:pPr>
        <w:spacing w:line="320" w:lineRule="exact"/>
        <w:jc w:val="center"/>
        <w:rPr>
          <w:rFonts w:hint="eastAsia" w:ascii="宋体" w:hAnsi="宋体" w:cs="宋体"/>
          <w:b/>
          <w:color w:val="000000" w:themeColor="text1"/>
          <w:sz w:val="24"/>
          <w:highlight w:val="none"/>
          <w14:textFill>
            <w14:solidFill>
              <w14:schemeClr w14:val="tx1"/>
            </w14:solidFill>
          </w14:textFill>
        </w:rPr>
      </w:pPr>
    </w:p>
    <w:p w14:paraId="566762E5">
      <w:pPr>
        <w:spacing w:line="320" w:lineRule="exact"/>
        <w:jc w:val="center"/>
        <w:rPr>
          <w:rFonts w:hint="eastAsia" w:ascii="宋体" w:hAnsi="宋体" w:cs="宋体"/>
          <w:b/>
          <w:color w:val="000000" w:themeColor="text1"/>
          <w:sz w:val="24"/>
          <w:highlight w:val="none"/>
          <w14:textFill>
            <w14:solidFill>
              <w14:schemeClr w14:val="tx1"/>
            </w14:solidFill>
          </w14:textFill>
        </w:rPr>
      </w:pPr>
    </w:p>
    <w:p w14:paraId="5749C4CE">
      <w:pPr>
        <w:spacing w:line="320" w:lineRule="exact"/>
        <w:jc w:val="center"/>
        <w:rPr>
          <w:rFonts w:hint="eastAsia" w:ascii="宋体" w:hAnsi="宋体" w:cs="宋体"/>
          <w:b/>
          <w:color w:val="000000" w:themeColor="text1"/>
          <w:sz w:val="24"/>
          <w:highlight w:val="none"/>
          <w14:textFill>
            <w14:solidFill>
              <w14:schemeClr w14:val="tx1"/>
            </w14:solidFill>
          </w14:textFill>
        </w:rPr>
      </w:pPr>
    </w:p>
    <w:p w14:paraId="440FF5F7">
      <w:pPr>
        <w:spacing w:line="360" w:lineRule="auto"/>
        <w:ind w:right="-817"/>
        <w:contextualSpacing/>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法定代表人（签字或盖章或电子签名）：</w:t>
      </w:r>
    </w:p>
    <w:p w14:paraId="335BEA7C">
      <w:pPr>
        <w:spacing w:line="320" w:lineRule="exact"/>
        <w:jc w:val="center"/>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供应商（公章或电子签章）：</w:t>
      </w:r>
    </w:p>
    <w:p w14:paraId="683F6425">
      <w:pPr>
        <w:spacing w:line="360" w:lineRule="auto"/>
        <w:contextualSpacing/>
        <w:jc w:val="both"/>
        <w:rPr>
          <w:rFonts w:hint="eastAsia" w:ascii="宋体" w:hAnsi="宋体"/>
          <w:b/>
          <w:bCs/>
          <w:color w:val="000000" w:themeColor="text1"/>
          <w:sz w:val="32"/>
          <w:szCs w:val="32"/>
          <w:highlight w:val="none"/>
          <w14:textFill>
            <w14:solidFill>
              <w14:schemeClr w14:val="tx1"/>
            </w14:solidFill>
          </w14:textFill>
        </w:rPr>
      </w:pPr>
    </w:p>
    <w:p w14:paraId="62F1DC1F">
      <w:pPr>
        <w:ind w:firstLine="4800"/>
        <w:rPr>
          <w:rFonts w:hint="eastAsia" w:ascii="宋体" w:hAnsi="宋体"/>
          <w:b/>
          <w:bCs/>
          <w:color w:val="000000" w:themeColor="text1"/>
          <w:sz w:val="32"/>
          <w:szCs w:val="32"/>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 年    月    日</w:t>
      </w:r>
    </w:p>
    <w:p w14:paraId="739674B0">
      <w:pPr>
        <w:spacing w:line="360" w:lineRule="auto"/>
        <w:ind w:firstLine="321"/>
        <w:contextualSpacing/>
        <w:jc w:val="center"/>
        <w:rPr>
          <w:rFonts w:hint="eastAsia" w:ascii="宋体" w:hAnsi="宋体"/>
          <w:b/>
          <w:bCs/>
          <w:color w:val="000000" w:themeColor="text1"/>
          <w:sz w:val="32"/>
          <w:szCs w:val="32"/>
          <w:highlight w:val="none"/>
          <w14:textFill>
            <w14:solidFill>
              <w14:schemeClr w14:val="tx1"/>
            </w14:solidFill>
          </w14:textFill>
        </w:rPr>
      </w:pPr>
    </w:p>
    <w:p w14:paraId="6E078590">
      <w:pPr>
        <w:spacing w:line="360" w:lineRule="auto"/>
        <w:ind w:firstLine="321"/>
        <w:contextualSpacing/>
        <w:jc w:val="center"/>
        <w:rPr>
          <w:rFonts w:hint="eastAsia" w:ascii="宋体" w:hAnsi="宋体"/>
          <w:b/>
          <w:bCs/>
          <w:color w:val="000000" w:themeColor="text1"/>
          <w:sz w:val="32"/>
          <w:szCs w:val="32"/>
          <w:highlight w:val="none"/>
          <w14:textFill>
            <w14:solidFill>
              <w14:schemeClr w14:val="tx1"/>
            </w14:solidFill>
          </w14:textFill>
        </w:rPr>
      </w:pPr>
    </w:p>
    <w:p w14:paraId="319BC872">
      <w:pPr>
        <w:rPr>
          <w:rFonts w:hint="eastAsia"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br w:type="page" w:clear="all"/>
      </w:r>
    </w:p>
    <w:p w14:paraId="1D55B3EC">
      <w:pPr>
        <w:pStyle w:val="30"/>
        <w:rPr>
          <w:rFonts w:hint="eastAsia"/>
          <w:color w:val="000000" w:themeColor="text1"/>
          <w:highlight w:val="none"/>
          <w14:textFill>
            <w14:solidFill>
              <w14:schemeClr w14:val="tx1"/>
            </w14:solidFill>
          </w14:textFill>
        </w:rPr>
      </w:pPr>
    </w:p>
    <w:p w14:paraId="40657CE1">
      <w:pPr>
        <w:spacing w:line="360" w:lineRule="auto"/>
        <w:ind w:firstLine="321"/>
        <w:contextualSpacing/>
        <w:jc w:val="center"/>
        <w:rPr>
          <w:rFonts w:hint="eastAsia" w:ascii="宋体" w:hAnsi="宋体"/>
          <w:b/>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二、</w:t>
      </w:r>
      <w:r>
        <w:rPr>
          <w:rFonts w:hint="eastAsia" w:ascii="宋体" w:hAnsi="宋体"/>
          <w:b/>
          <w:color w:val="000000" w:themeColor="text1"/>
          <w:sz w:val="32"/>
          <w:szCs w:val="32"/>
          <w:highlight w:val="none"/>
          <w14:textFill>
            <w14:solidFill>
              <w14:schemeClr w14:val="tx1"/>
            </w14:solidFill>
          </w14:textFill>
        </w:rPr>
        <w:t xml:space="preserve">报价文件格式 </w:t>
      </w:r>
    </w:p>
    <w:p w14:paraId="107497D0">
      <w:pPr>
        <w:spacing w:before="120" w:after="50" w:line="360" w:lineRule="auto"/>
        <w:jc w:val="left"/>
        <w:rPr>
          <w:rFonts w:hint="eastAsia"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1.报价文件封面格式</w:t>
      </w:r>
    </w:p>
    <w:p w14:paraId="63F0B265">
      <w:pPr>
        <w:spacing w:before="120" w:after="50"/>
        <w:rPr>
          <w:rFonts w:hint="eastAsia" w:ascii="宋体" w:hAnsi="宋体"/>
          <w:bCs/>
          <w:color w:val="000000" w:themeColor="text1"/>
          <w:sz w:val="32"/>
          <w:szCs w:val="20"/>
          <w:highlight w:val="none"/>
          <w14:textFill>
            <w14:solidFill>
              <w14:schemeClr w14:val="tx1"/>
            </w14:solidFill>
          </w14:textFill>
        </w:rPr>
      </w:pPr>
    </w:p>
    <w:p w14:paraId="23F8B07F">
      <w:pPr>
        <w:spacing w:before="120" w:after="50"/>
        <w:jc w:val="center"/>
        <w:rPr>
          <w:rFonts w:hint="eastAsia"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44"/>
          <w:szCs w:val="44"/>
          <w:highlight w:val="none"/>
          <w14:textFill>
            <w14:solidFill>
              <w14:schemeClr w14:val="tx1"/>
            </w14:solidFill>
          </w14:textFill>
        </w:rPr>
        <w:t>电 子 响 应 文 件</w:t>
      </w:r>
    </w:p>
    <w:p w14:paraId="1697CFE1">
      <w:pPr>
        <w:spacing w:before="120" w:after="50"/>
        <w:rPr>
          <w:rFonts w:hint="eastAsia" w:ascii="宋体" w:hAnsi="宋体"/>
          <w:color w:val="000000" w:themeColor="text1"/>
          <w:sz w:val="24"/>
          <w:szCs w:val="20"/>
          <w:highlight w:val="none"/>
          <w14:textFill>
            <w14:solidFill>
              <w14:schemeClr w14:val="tx1"/>
            </w14:solidFill>
          </w14:textFill>
        </w:rPr>
      </w:pPr>
    </w:p>
    <w:p w14:paraId="590EB91D">
      <w:pPr>
        <w:spacing w:before="120" w:after="50"/>
        <w:rPr>
          <w:rFonts w:hint="eastAsia" w:ascii="宋体" w:hAnsi="宋体"/>
          <w:color w:val="000000" w:themeColor="text1"/>
          <w:sz w:val="24"/>
          <w:szCs w:val="20"/>
          <w:highlight w:val="none"/>
          <w14:textFill>
            <w14:solidFill>
              <w14:schemeClr w14:val="tx1"/>
            </w14:solidFill>
          </w14:textFill>
        </w:rPr>
      </w:pPr>
    </w:p>
    <w:p w14:paraId="24E0673A">
      <w:pPr>
        <w:spacing w:before="120" w:after="50"/>
        <w:jc w:val="cente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t>报  价  文  件</w:t>
      </w:r>
    </w:p>
    <w:p w14:paraId="4FE4DFCE">
      <w:pPr>
        <w:spacing w:before="120" w:after="50"/>
        <w:rPr>
          <w:rFonts w:hint="eastAsia" w:ascii="宋体" w:hAnsi="宋体"/>
          <w:bCs/>
          <w:color w:val="000000" w:themeColor="text1"/>
          <w:sz w:val="24"/>
          <w:szCs w:val="20"/>
          <w:highlight w:val="none"/>
          <w14:textFill>
            <w14:solidFill>
              <w14:schemeClr w14:val="tx1"/>
            </w14:solidFill>
          </w14:textFill>
        </w:rPr>
      </w:pPr>
    </w:p>
    <w:p w14:paraId="1A6AC378">
      <w:pPr>
        <w:spacing w:before="120" w:after="50"/>
        <w:rPr>
          <w:rFonts w:hint="eastAsia" w:ascii="宋体" w:hAnsi="宋体"/>
          <w:bCs/>
          <w:color w:val="000000" w:themeColor="text1"/>
          <w:sz w:val="24"/>
          <w:szCs w:val="20"/>
          <w:highlight w:val="none"/>
          <w14:textFill>
            <w14:solidFill>
              <w14:schemeClr w14:val="tx1"/>
            </w14:solidFill>
          </w14:textFill>
        </w:rPr>
      </w:pPr>
    </w:p>
    <w:p w14:paraId="0CD9A013">
      <w:pPr>
        <w:spacing w:before="120" w:after="50"/>
        <w:rPr>
          <w:rFonts w:hint="eastAsia" w:ascii="宋体" w:hAnsi="宋体"/>
          <w:bCs/>
          <w:color w:val="000000" w:themeColor="text1"/>
          <w:sz w:val="24"/>
          <w:szCs w:val="20"/>
          <w:highlight w:val="none"/>
          <w14:textFill>
            <w14:solidFill>
              <w14:schemeClr w14:val="tx1"/>
            </w14:solidFill>
          </w14:textFill>
        </w:rPr>
      </w:pPr>
    </w:p>
    <w:p w14:paraId="13DEA556">
      <w:pPr>
        <w:spacing w:before="120" w:after="50"/>
        <w:rPr>
          <w:rFonts w:hint="eastAsia" w:ascii="宋体" w:hAnsi="宋体"/>
          <w:bCs/>
          <w:color w:val="000000" w:themeColor="text1"/>
          <w:sz w:val="24"/>
          <w:szCs w:val="20"/>
          <w:highlight w:val="none"/>
          <w14:textFill>
            <w14:solidFill>
              <w14:schemeClr w14:val="tx1"/>
            </w14:solidFill>
          </w14:textFill>
        </w:rPr>
      </w:pPr>
    </w:p>
    <w:p w14:paraId="5F79A311">
      <w:pPr>
        <w:spacing w:before="120" w:after="50"/>
        <w:rPr>
          <w:rFonts w:hint="eastAsia" w:ascii="宋体" w:hAnsi="宋体"/>
          <w:bCs/>
          <w:color w:val="000000" w:themeColor="text1"/>
          <w:sz w:val="24"/>
          <w:szCs w:val="20"/>
          <w:highlight w:val="none"/>
          <w14:textFill>
            <w14:solidFill>
              <w14:schemeClr w14:val="tx1"/>
            </w14:solidFill>
          </w14:textFill>
        </w:rPr>
      </w:pPr>
    </w:p>
    <w:p w14:paraId="5871A04F">
      <w:pPr>
        <w:spacing w:before="120" w:after="50"/>
        <w:ind w:firstLine="640"/>
        <w:rPr>
          <w:rFonts w:hint="eastAsia"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项目名称：</w:t>
      </w:r>
    </w:p>
    <w:p w14:paraId="1A1FEE70">
      <w:pPr>
        <w:spacing w:before="120" w:after="50"/>
        <w:ind w:firstLine="720"/>
        <w:rPr>
          <w:rFonts w:hint="eastAsia" w:ascii="宋体" w:hAnsi="宋体" w:cs="仿宋_GB2312"/>
          <w:bCs/>
          <w:color w:val="000000" w:themeColor="text1"/>
          <w:sz w:val="32"/>
          <w:szCs w:val="32"/>
          <w:highlight w:val="none"/>
          <w14:textFill>
            <w14:solidFill>
              <w14:schemeClr w14:val="tx1"/>
            </w14:solidFill>
          </w14:textFill>
        </w:rPr>
      </w:pPr>
    </w:p>
    <w:p w14:paraId="560AFC34">
      <w:pPr>
        <w:spacing w:before="120" w:after="50"/>
        <w:ind w:firstLine="640"/>
        <w:rPr>
          <w:rFonts w:hint="eastAsia"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项目编号：</w:t>
      </w:r>
    </w:p>
    <w:p w14:paraId="7E7A3599">
      <w:pPr>
        <w:spacing w:before="120" w:after="50"/>
        <w:ind w:firstLine="720"/>
        <w:rPr>
          <w:rFonts w:hint="eastAsia" w:ascii="宋体" w:hAnsi="宋体" w:cs="仿宋_GB2312"/>
          <w:bCs/>
          <w:color w:val="000000" w:themeColor="text1"/>
          <w:sz w:val="32"/>
          <w:szCs w:val="32"/>
          <w:highlight w:val="none"/>
          <w14:textFill>
            <w14:solidFill>
              <w14:schemeClr w14:val="tx1"/>
            </w14:solidFill>
          </w14:textFill>
        </w:rPr>
      </w:pPr>
    </w:p>
    <w:p w14:paraId="31671F33">
      <w:pPr>
        <w:pStyle w:val="7"/>
        <w:spacing w:before="50" w:after="50"/>
        <w:ind w:firstLine="640"/>
        <w:rPr>
          <w:rFonts w:hint="eastAsia"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供应商名称：</w:t>
      </w:r>
    </w:p>
    <w:p w14:paraId="5C24C1AA">
      <w:pPr>
        <w:pStyle w:val="7"/>
        <w:spacing w:before="50" w:after="50"/>
        <w:ind w:firstLine="640"/>
        <w:rPr>
          <w:rFonts w:hint="eastAsia" w:ascii="宋体" w:hAnsi="宋体" w:cs="仿宋_GB2312"/>
          <w:bCs/>
          <w:color w:val="000000" w:themeColor="text1"/>
          <w:sz w:val="32"/>
          <w:szCs w:val="32"/>
          <w:highlight w:val="none"/>
          <w14:textFill>
            <w14:solidFill>
              <w14:schemeClr w14:val="tx1"/>
            </w14:solidFill>
          </w14:textFill>
        </w:rPr>
      </w:pPr>
    </w:p>
    <w:p w14:paraId="0926844F">
      <w:pPr>
        <w:pStyle w:val="7"/>
        <w:spacing w:before="50" w:after="50"/>
        <w:ind w:firstLine="720"/>
        <w:rPr>
          <w:rFonts w:hint="eastAsia" w:ascii="宋体" w:hAnsi="宋体" w:cs="仿宋_GB2312"/>
          <w:bCs/>
          <w:color w:val="000000" w:themeColor="text1"/>
          <w:sz w:val="32"/>
          <w:szCs w:val="32"/>
          <w:highlight w:val="none"/>
          <w14:textFill>
            <w14:solidFill>
              <w14:schemeClr w14:val="tx1"/>
            </w14:solidFill>
          </w14:textFill>
        </w:rPr>
      </w:pPr>
    </w:p>
    <w:p w14:paraId="25AE6D3E">
      <w:pPr>
        <w:pStyle w:val="7"/>
        <w:spacing w:before="50" w:after="50"/>
        <w:ind w:firstLine="0"/>
        <w:rPr>
          <w:rFonts w:hint="eastAsia" w:ascii="宋体" w:hAnsi="宋体" w:cs="仿宋_GB2312"/>
          <w:bCs/>
          <w:color w:val="000000" w:themeColor="text1"/>
          <w:sz w:val="32"/>
          <w:szCs w:val="32"/>
          <w:highlight w:val="none"/>
          <w14:textFill>
            <w14:solidFill>
              <w14:schemeClr w14:val="tx1"/>
            </w14:solidFill>
          </w14:textFill>
        </w:rPr>
      </w:pPr>
    </w:p>
    <w:p w14:paraId="2FA1B340">
      <w:pPr>
        <w:pStyle w:val="7"/>
        <w:spacing w:before="50" w:after="50"/>
        <w:ind w:firstLine="1280"/>
        <w:rPr>
          <w:rFonts w:hint="eastAsia" w:ascii="宋体" w:hAnsi="宋体" w:cs="仿宋_GB2312"/>
          <w:bCs/>
          <w:color w:val="000000" w:themeColor="text1"/>
          <w:sz w:val="32"/>
          <w:szCs w:val="32"/>
          <w:highlight w:val="none"/>
          <w14:textFill>
            <w14:solidFill>
              <w14:schemeClr w14:val="tx1"/>
            </w14:solidFill>
          </w14:textFill>
        </w:rPr>
      </w:pPr>
    </w:p>
    <w:p w14:paraId="69665BEA">
      <w:pPr>
        <w:spacing w:before="120" w:after="50"/>
        <w:jc w:val="center"/>
        <w:rPr>
          <w:rFonts w:hint="eastAsia" w:ascii="宋体" w:hAnsi="宋体" w:cs="仿宋_GB2312"/>
          <w:color w:val="000000" w:themeColor="text1"/>
          <w:sz w:val="32"/>
          <w:szCs w:val="32"/>
          <w:highlight w:val="none"/>
          <w14:textFill>
            <w14:solidFill>
              <w14:schemeClr w14:val="tx1"/>
            </w14:solidFill>
          </w14:textFill>
        </w:rPr>
      </w:pPr>
      <w:r>
        <w:rPr>
          <w:rFonts w:hint="eastAsia" w:ascii="宋体" w:hAnsi="宋体" w:cs="仿宋_GB2312"/>
          <w:color w:val="000000" w:themeColor="text1"/>
          <w:sz w:val="32"/>
          <w:szCs w:val="32"/>
          <w:highlight w:val="none"/>
          <w14:textFill>
            <w14:solidFill>
              <w14:schemeClr w14:val="tx1"/>
            </w14:solidFill>
          </w14:textFill>
        </w:rPr>
        <w:t>年    月    日</w:t>
      </w:r>
    </w:p>
    <w:p w14:paraId="16E10CA8">
      <w:pPr>
        <w:spacing w:before="120" w:after="50" w:line="360" w:lineRule="auto"/>
        <w:ind w:left="142"/>
        <w:jc w:val="left"/>
        <w:rPr>
          <w:rFonts w:hint="eastAsia" w:ascii="宋体" w:hAnsi="宋体"/>
          <w:b/>
          <w:bCs/>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br w:type="page" w:clear="all"/>
      </w:r>
      <w:r>
        <w:rPr>
          <w:rFonts w:hint="eastAsia" w:ascii="宋体" w:hAnsi="宋体"/>
          <w:b/>
          <w:bCs/>
          <w:color w:val="000000" w:themeColor="text1"/>
          <w:sz w:val="32"/>
          <w:szCs w:val="32"/>
          <w:highlight w:val="none"/>
          <w14:textFill>
            <w14:solidFill>
              <w14:schemeClr w14:val="tx1"/>
            </w14:solidFill>
          </w14:textFill>
        </w:rPr>
        <w:t>2.报价文件目录</w:t>
      </w:r>
    </w:p>
    <w:p w14:paraId="52AF4B0B">
      <w:pPr>
        <w:spacing w:line="520" w:lineRule="exact"/>
        <w:jc w:val="center"/>
        <w:rPr>
          <w:rFonts w:hint="eastAsia" w:ascii="宋体" w:hAnsi="宋体" w:cs="方正小标宋简体"/>
          <w:b/>
          <w:bCs/>
          <w:color w:val="000000" w:themeColor="text1"/>
          <w:sz w:val="32"/>
          <w:szCs w:val="32"/>
          <w:highlight w:val="none"/>
          <w14:textFill>
            <w14:solidFill>
              <w14:schemeClr w14:val="tx1"/>
            </w14:solidFill>
          </w14:textFill>
        </w:rPr>
      </w:pPr>
      <w:r>
        <w:rPr>
          <w:rFonts w:hint="eastAsia" w:ascii="宋体" w:hAnsi="宋体"/>
          <w:color w:val="000000" w:themeColor="text1"/>
          <w:sz w:val="32"/>
          <w:szCs w:val="32"/>
          <w:highlight w:val="none"/>
          <w14:textFill>
            <w14:solidFill>
              <w14:schemeClr w14:val="tx1"/>
            </w14:solidFill>
          </w14:textFill>
        </w:rPr>
        <w:t>根据磋商文件规定及供应商提供的材料自行编写目录（部分格式后附）。</w:t>
      </w:r>
      <w:r>
        <w:rPr>
          <w:rFonts w:ascii="宋体" w:hAnsi="宋体"/>
          <w:b/>
          <w:bCs/>
          <w:color w:val="000000" w:themeColor="text1"/>
          <w:sz w:val="32"/>
          <w:szCs w:val="32"/>
          <w:highlight w:val="none"/>
          <w14:textFill>
            <w14:solidFill>
              <w14:schemeClr w14:val="tx1"/>
            </w14:solidFill>
          </w14:textFill>
        </w:rPr>
        <w:br w:type="page" w:clear="all"/>
      </w:r>
      <w:r>
        <w:rPr>
          <w:rFonts w:hint="eastAsia" w:ascii="宋体" w:hAnsi="宋体" w:cs="方正小标宋简体"/>
          <w:b/>
          <w:bCs/>
          <w:color w:val="000000" w:themeColor="text1"/>
          <w:sz w:val="32"/>
          <w:szCs w:val="32"/>
          <w:highlight w:val="none"/>
          <w14:textFill>
            <w14:solidFill>
              <w14:schemeClr w14:val="tx1"/>
            </w14:solidFill>
          </w14:textFill>
        </w:rPr>
        <w:t>竞标函及竞标函附录</w:t>
      </w:r>
    </w:p>
    <w:p w14:paraId="29DEBFD0">
      <w:pPr>
        <w:spacing w:line="520" w:lineRule="exact"/>
        <w:jc w:val="center"/>
        <w:rPr>
          <w:rFonts w:hint="eastAsia" w:ascii="宋体" w:hAnsi="宋体" w:cs="方正小标宋简体"/>
          <w:b/>
          <w:bCs/>
          <w:color w:val="000000" w:themeColor="text1"/>
          <w:sz w:val="32"/>
          <w:szCs w:val="32"/>
          <w:highlight w:val="none"/>
          <w14:textFill>
            <w14:solidFill>
              <w14:schemeClr w14:val="tx1"/>
            </w14:solidFill>
          </w14:textFill>
        </w:rPr>
      </w:pPr>
    </w:p>
    <w:p w14:paraId="617147BB">
      <w:pPr>
        <w:spacing w:line="520" w:lineRule="exact"/>
        <w:jc w:val="center"/>
        <w:rPr>
          <w:rFonts w:hint="eastAsia" w:ascii="宋体" w:hAnsi="宋体" w:cs="方正小标宋简体"/>
          <w:b/>
          <w:bCs/>
          <w:color w:val="000000" w:themeColor="text1"/>
          <w:sz w:val="32"/>
          <w:szCs w:val="32"/>
          <w:highlight w:val="none"/>
          <w14:textFill>
            <w14:solidFill>
              <w14:schemeClr w14:val="tx1"/>
            </w14:solidFill>
          </w14:textFill>
        </w:rPr>
      </w:pPr>
      <w:r>
        <w:rPr>
          <w:rFonts w:hint="eastAsia" w:ascii="宋体" w:hAnsi="宋体" w:cs="方正小标宋简体"/>
          <w:b/>
          <w:bCs/>
          <w:color w:val="000000" w:themeColor="text1"/>
          <w:sz w:val="32"/>
          <w:szCs w:val="32"/>
          <w:highlight w:val="none"/>
          <w14:textFill>
            <w14:solidFill>
              <w14:schemeClr w14:val="tx1"/>
            </w14:solidFill>
          </w14:textFill>
        </w:rPr>
        <w:t>（一）竞标函</w:t>
      </w:r>
    </w:p>
    <w:p w14:paraId="51D9C17A">
      <w:pPr>
        <w:spacing w:line="520" w:lineRule="exact"/>
        <w:jc w:val="center"/>
        <w:rPr>
          <w:rFonts w:hint="eastAsia" w:ascii="宋体" w:hAnsi="宋体" w:cs="方正小标宋简体"/>
          <w:b/>
          <w:bCs/>
          <w:color w:val="000000" w:themeColor="text1"/>
          <w:sz w:val="32"/>
          <w:szCs w:val="32"/>
          <w:highlight w:val="none"/>
          <w14:textFill>
            <w14:solidFill>
              <w14:schemeClr w14:val="tx1"/>
            </w14:solidFill>
          </w14:textFill>
        </w:rPr>
      </w:pPr>
    </w:p>
    <w:p w14:paraId="29E0386B">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u w:val="single"/>
          <w:lang w:eastAsia="zh-CN"/>
          <w14:textFill>
            <w14:solidFill>
              <w14:schemeClr w14:val="tx1"/>
            </w14:solidFill>
          </w14:textFill>
        </w:rPr>
        <w:t>平南县大安镇中心幼儿园</w:t>
      </w:r>
      <w:r>
        <w:rPr>
          <w:color w:val="000000" w:themeColor="text1"/>
          <w:szCs w:val="21"/>
          <w:highlight w:val="none"/>
          <w:u w:val="single"/>
          <w14:textFill>
            <w14:solidFill>
              <w14:schemeClr w14:val="tx1"/>
            </w14:solidFill>
          </w14:textFill>
        </w:rPr>
        <w:t>：</w:t>
      </w:r>
    </w:p>
    <w:p w14:paraId="56F0121E">
      <w:pPr>
        <w:pStyle w:val="237"/>
        <w:numPr>
          <w:ilvl w:val="0"/>
          <w:numId w:val="3"/>
        </w:numPr>
        <w:tabs>
          <w:tab w:val="left" w:pos="762"/>
          <w:tab w:val="left" w:pos="2074"/>
          <w:tab w:val="left" w:pos="3430"/>
          <w:tab w:val="left" w:pos="4687"/>
          <w:tab w:val="left" w:pos="7898"/>
        </w:tabs>
        <w:ind w:firstLine="440"/>
        <w:rPr>
          <w:rFonts w:ascii="Times New Roman" w:hAnsi="Times New Roman" w:cs="Times New Roman"/>
          <w:color w:val="000000" w:themeColor="text1"/>
          <w:szCs w:val="21"/>
          <w:highlight w:val="none"/>
          <w14:textFill>
            <w14:solidFill>
              <w14:schemeClr w14:val="tx1"/>
            </w14:solidFill>
          </w14:textFill>
        </w:rPr>
      </w:pPr>
      <w:bookmarkStart w:id="102" w:name="bookmark2065"/>
      <w:bookmarkEnd w:id="102"/>
      <w:r>
        <w:rPr>
          <w:rFonts w:ascii="Times New Roman" w:hAnsi="Times New Roman" w:cs="Times New Roman"/>
          <w:color w:val="000000" w:themeColor="text1"/>
          <w:szCs w:val="21"/>
          <w:highlight w:val="none"/>
          <w14:textFill>
            <w14:solidFill>
              <w14:schemeClr w14:val="tx1"/>
            </w14:solidFill>
          </w14:textFill>
        </w:rPr>
        <w:t>我方已仔细研究了</w:t>
      </w:r>
      <w:r>
        <w:rPr>
          <w:rFonts w:hint="eastAsia" w:ascii="Times New Roman" w:hAnsi="Times New Roman" w:cs="Times New Roman"/>
          <w:color w:val="000000" w:themeColor="text1"/>
          <w:szCs w:val="21"/>
          <w:highlight w:val="none"/>
          <w:u w:val="single"/>
          <w:lang w:val="en-US"/>
          <w14:textFill>
            <w14:solidFill>
              <w14:schemeClr w14:val="tx1"/>
            </w14:solidFill>
          </w14:textFill>
        </w:rPr>
        <w:t xml:space="preserve">           </w:t>
      </w:r>
      <w:r>
        <w:rPr>
          <w:rFonts w:ascii="Times New Roman" w:hAnsi="Times New Roman" w:cs="Times New Roman"/>
          <w:color w:val="000000" w:themeColor="text1"/>
          <w:szCs w:val="21"/>
          <w:highlight w:val="none"/>
          <w:u w:val="single"/>
          <w14:textFill>
            <w14:solidFill>
              <w14:schemeClr w14:val="tx1"/>
            </w14:solidFill>
          </w14:textFill>
        </w:rPr>
        <w:t>（项目名称</w:t>
      </w:r>
      <w:r>
        <w:rPr>
          <w:rFonts w:hint="eastAsia" w:ascii="Times New Roman" w:hAnsi="Times New Roman" w:cs="Times New Roman"/>
          <w:color w:val="000000" w:themeColor="text1"/>
          <w:szCs w:val="21"/>
          <w:highlight w:val="none"/>
          <w:u w:val="single"/>
          <w14:textFill>
            <w14:solidFill>
              <w14:schemeClr w14:val="tx1"/>
            </w14:solidFill>
          </w14:textFill>
        </w:rPr>
        <w:t>、项目编号</w:t>
      </w:r>
      <w:r>
        <w:rPr>
          <w:rFonts w:ascii="Times New Roman" w:hAnsi="Times New Roman" w:cs="Times New Roman"/>
          <w:color w:val="000000" w:themeColor="text1"/>
          <w:szCs w:val="21"/>
          <w:highlight w:val="none"/>
          <w:u w:val="single"/>
          <w14:textFill>
            <w14:solidFill>
              <w14:schemeClr w14:val="tx1"/>
            </w14:solidFill>
          </w14:textFill>
        </w:rPr>
        <w:t>）</w:t>
      </w:r>
      <w:r>
        <w:rPr>
          <w:rFonts w:hint="eastAsia" w:ascii="Times New Roman" w:hAnsi="Times New Roman" w:cs="Times New Roman"/>
          <w:color w:val="000000" w:themeColor="text1"/>
          <w:szCs w:val="21"/>
          <w:highlight w:val="none"/>
          <w:u w:val="single"/>
          <w:lang w:val="en-US"/>
          <w14:textFill>
            <w14:solidFill>
              <w14:schemeClr w14:val="tx1"/>
            </w14:solidFill>
          </w14:textFill>
        </w:rPr>
        <w:t xml:space="preserve">          </w:t>
      </w:r>
      <w:r>
        <w:rPr>
          <w:rFonts w:hint="eastAsia" w:ascii="Times New Roman" w:hAnsi="Times New Roman" w:cs="Times New Roman"/>
          <w:color w:val="000000" w:themeColor="text1"/>
          <w:szCs w:val="21"/>
          <w:highlight w:val="none"/>
          <w14:textFill>
            <w14:solidFill>
              <w14:schemeClr w14:val="tx1"/>
            </w14:solidFill>
          </w14:textFill>
        </w:rPr>
        <w:t>磋商</w:t>
      </w:r>
      <w:r>
        <w:rPr>
          <w:rFonts w:ascii="Times New Roman" w:hAnsi="Times New Roman" w:cs="Times New Roman"/>
          <w:color w:val="000000" w:themeColor="text1"/>
          <w:szCs w:val="21"/>
          <w:highlight w:val="none"/>
          <w14:textFill>
            <w14:solidFill>
              <w14:schemeClr w14:val="tx1"/>
            </w14:solidFill>
          </w14:textFill>
        </w:rPr>
        <w:t>文件的全部内容，愿意以人民币（大写）</w:t>
      </w:r>
      <w:r>
        <w:rPr>
          <w:rFonts w:hint="eastAsia" w:ascii="Times New Roman" w:hAnsi="Times New Roman" w:cs="Times New Roman"/>
          <w:color w:val="000000" w:themeColor="text1"/>
          <w:szCs w:val="21"/>
          <w:highlight w:val="none"/>
          <w:u w:val="single"/>
          <w:lang w:val="en-US"/>
          <w14:textFill>
            <w14:solidFill>
              <w14:schemeClr w14:val="tx1"/>
            </w14:solidFill>
          </w14:textFill>
        </w:rPr>
        <w:t xml:space="preserve">         </w:t>
      </w:r>
      <w:r>
        <w:rPr>
          <w:rFonts w:ascii="Times New Roman" w:hAnsi="Times New Roman" w:cs="Times New Roman"/>
          <w:color w:val="000000" w:themeColor="text1"/>
          <w:szCs w:val="21"/>
          <w:highlight w:val="none"/>
          <w14:textFill>
            <w14:solidFill>
              <w14:schemeClr w14:val="tx1"/>
            </w14:solidFill>
          </w14:textFill>
        </w:rPr>
        <w:t>元（¥</w:t>
      </w:r>
      <w:r>
        <w:rPr>
          <w:rFonts w:hint="eastAsia" w:ascii="Times New Roman" w:hAnsi="Times New Roman" w:cs="Times New Roman"/>
          <w:color w:val="000000" w:themeColor="text1"/>
          <w:szCs w:val="21"/>
          <w:highlight w:val="none"/>
          <w:u w:val="single"/>
          <w:lang w:val="en-US"/>
          <w14:textFill>
            <w14:solidFill>
              <w14:schemeClr w14:val="tx1"/>
            </w14:solidFill>
          </w14:textFill>
        </w:rPr>
        <w:t xml:space="preserve">        </w:t>
      </w:r>
      <w:r>
        <w:rPr>
          <w:rFonts w:ascii="Times New Roman" w:hAnsi="Times New Roman" w:cs="Times New Roman"/>
          <w:color w:val="000000" w:themeColor="text1"/>
          <w:szCs w:val="21"/>
          <w:highlight w:val="none"/>
          <w14:textFill>
            <w14:solidFill>
              <w14:schemeClr w14:val="tx1"/>
            </w14:solidFill>
          </w14:textFill>
        </w:rPr>
        <w:t>）的</w:t>
      </w:r>
      <w:r>
        <w:rPr>
          <w:rFonts w:hint="eastAsia" w:ascii="Times New Roman" w:hAnsi="Times New Roman" w:cs="Times New Roman"/>
          <w:color w:val="000000" w:themeColor="text1"/>
          <w:szCs w:val="21"/>
          <w:highlight w:val="none"/>
          <w14:textFill>
            <w14:solidFill>
              <w14:schemeClr w14:val="tx1"/>
            </w14:solidFill>
          </w14:textFill>
        </w:rPr>
        <w:t>竞</w:t>
      </w:r>
      <w:r>
        <w:rPr>
          <w:rFonts w:ascii="Times New Roman" w:hAnsi="Times New Roman" w:cs="Times New Roman"/>
          <w:color w:val="000000" w:themeColor="text1"/>
          <w:szCs w:val="21"/>
          <w:highlight w:val="none"/>
          <w14:textFill>
            <w14:solidFill>
              <w14:schemeClr w14:val="tx1"/>
            </w14:solidFill>
          </w14:textFill>
        </w:rPr>
        <w:t>标总报价，工期</w:t>
      </w:r>
      <w:r>
        <w:rPr>
          <w:rFonts w:hint="eastAsia" w:ascii="Times New Roman" w:hAnsi="Times New Roman" w:cs="Times New Roman"/>
          <w:color w:val="000000" w:themeColor="text1"/>
          <w:szCs w:val="21"/>
          <w:highlight w:val="none"/>
          <w:u w:val="single"/>
          <w:lang w:val="en-US"/>
          <w14:textFill>
            <w14:solidFill>
              <w14:schemeClr w14:val="tx1"/>
            </w14:solidFill>
          </w14:textFill>
        </w:rPr>
        <w:t xml:space="preserve">          </w:t>
      </w:r>
      <w:r>
        <w:rPr>
          <w:rFonts w:ascii="Times New Roman" w:hAnsi="Times New Roman" w:cs="Times New Roman"/>
          <w:color w:val="000000" w:themeColor="text1"/>
          <w:szCs w:val="21"/>
          <w:highlight w:val="none"/>
          <w14:textFill>
            <w14:solidFill>
              <w14:schemeClr w14:val="tx1"/>
            </w14:solidFill>
          </w14:textFill>
        </w:rPr>
        <w:t>日历天，按合同约定实施和完成承包工程，修补工程中的任何缺陷，工程质量达到</w:t>
      </w:r>
      <w:r>
        <w:rPr>
          <w:rFonts w:hint="eastAsia" w:ascii="Times New Roman" w:hAnsi="Times New Roman" w:cs="Times New Roman"/>
          <w:color w:val="000000" w:themeColor="text1"/>
          <w:szCs w:val="21"/>
          <w:highlight w:val="none"/>
          <w:u w:val="single"/>
          <w:lang w:val="en-US"/>
          <w14:textFill>
            <w14:solidFill>
              <w14:schemeClr w14:val="tx1"/>
            </w14:solidFill>
          </w14:textFill>
        </w:rPr>
        <w:t xml:space="preserve">           </w:t>
      </w:r>
      <w:r>
        <w:rPr>
          <w:rFonts w:ascii="Times New Roman" w:hAnsi="Times New Roman" w:cs="Times New Roman"/>
          <w:color w:val="000000" w:themeColor="text1"/>
          <w:szCs w:val="21"/>
          <w:highlight w:val="none"/>
          <w:u w:val="single"/>
          <w14:textFill>
            <w14:solidFill>
              <w14:schemeClr w14:val="tx1"/>
            </w14:solidFill>
          </w14:textFill>
        </w:rPr>
        <w:t xml:space="preserve"> </w:t>
      </w:r>
      <w:r>
        <w:rPr>
          <w:rFonts w:ascii="Times New Roman" w:hAnsi="Times New Roman" w:cs="Times New Roman"/>
          <w:color w:val="000000" w:themeColor="text1"/>
          <w:szCs w:val="21"/>
          <w:highlight w:val="none"/>
          <w:lang w:val="en-US" w:bidi="en-US"/>
          <w14:textFill>
            <w14:solidFill>
              <w14:schemeClr w14:val="tx1"/>
            </w14:solidFill>
          </w14:textFill>
        </w:rPr>
        <w:t>。</w:t>
      </w:r>
    </w:p>
    <w:p w14:paraId="4B1DE1D1">
      <w:pPr>
        <w:pStyle w:val="237"/>
        <w:numPr>
          <w:ilvl w:val="0"/>
          <w:numId w:val="3"/>
        </w:numPr>
        <w:tabs>
          <w:tab w:val="left" w:pos="762"/>
        </w:tabs>
        <w:ind w:firstLine="420"/>
        <w:rPr>
          <w:rFonts w:hint="eastAsia" w:ascii="Times New Roman" w:hAnsi="Times New Roman" w:cs="Times New Roman"/>
          <w:color w:val="000000" w:themeColor="text1"/>
          <w:szCs w:val="21"/>
          <w:highlight w:val="none"/>
          <w14:textFill>
            <w14:solidFill>
              <w14:schemeClr w14:val="tx1"/>
            </w14:solidFill>
          </w14:textFill>
        </w:rPr>
      </w:pPr>
      <w:bookmarkStart w:id="103" w:name="bookmark2067"/>
      <w:bookmarkEnd w:id="103"/>
      <w:bookmarkStart w:id="104" w:name="bookmark2066"/>
      <w:bookmarkEnd w:id="104"/>
      <w:bookmarkStart w:id="105" w:name="bookmark2068"/>
      <w:bookmarkEnd w:id="105"/>
      <w:r>
        <w:rPr>
          <w:rFonts w:hint="eastAsia"/>
          <w:color w:val="000000" w:themeColor="text1"/>
          <w:highlight w:val="none"/>
          <w14:textFill>
            <w14:solidFill>
              <w14:schemeClr w14:val="tx1"/>
            </w14:solidFill>
          </w14:textFill>
        </w:rPr>
        <w:t>我方承认竞标函附录是我方竞标函的组成部分。</w:t>
      </w:r>
    </w:p>
    <w:p w14:paraId="5A5330A9">
      <w:pPr>
        <w:pStyle w:val="237"/>
        <w:numPr>
          <w:ilvl w:val="0"/>
          <w:numId w:val="3"/>
        </w:numPr>
        <w:tabs>
          <w:tab w:val="left" w:pos="762"/>
        </w:tabs>
        <w:ind w:firstLine="420"/>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如我方</w:t>
      </w:r>
      <w:r>
        <w:rPr>
          <w:rFonts w:hint="eastAsia" w:ascii="Times New Roman" w:hAnsi="Times New Roman" w:cs="Times New Roman"/>
          <w:color w:val="000000" w:themeColor="text1"/>
          <w:szCs w:val="21"/>
          <w:highlight w:val="none"/>
          <w14:textFill>
            <w14:solidFill>
              <w14:schemeClr w14:val="tx1"/>
            </w14:solidFill>
          </w14:textFill>
        </w:rPr>
        <w:t>成交</w:t>
      </w:r>
      <w:r>
        <w:rPr>
          <w:rFonts w:ascii="Times New Roman" w:hAnsi="Times New Roman" w:cs="Times New Roman"/>
          <w:color w:val="000000" w:themeColor="text1"/>
          <w:szCs w:val="21"/>
          <w:highlight w:val="none"/>
          <w14:textFill>
            <w14:solidFill>
              <w14:schemeClr w14:val="tx1"/>
            </w14:solidFill>
          </w14:textFill>
        </w:rPr>
        <w:t>：</w:t>
      </w:r>
    </w:p>
    <w:p w14:paraId="7736CAF2">
      <w:pPr>
        <w:pStyle w:val="237"/>
        <w:tabs>
          <w:tab w:val="left" w:pos="903"/>
        </w:tabs>
        <w:ind w:firstLine="420"/>
        <w:rPr>
          <w:rFonts w:ascii="Times New Roman" w:hAnsi="Times New Roman" w:cs="Times New Roman"/>
          <w:color w:val="000000" w:themeColor="text1"/>
          <w:szCs w:val="21"/>
          <w:highlight w:val="none"/>
          <w14:textFill>
            <w14:solidFill>
              <w14:schemeClr w14:val="tx1"/>
            </w14:solidFill>
          </w14:textFill>
        </w:rPr>
      </w:pPr>
      <w:bookmarkStart w:id="106" w:name="bookmark2069"/>
      <w:r>
        <w:rPr>
          <w:rFonts w:ascii="Times New Roman" w:hAnsi="Times New Roman" w:cs="Times New Roman"/>
          <w:color w:val="000000" w:themeColor="text1"/>
          <w:szCs w:val="21"/>
          <w:highlight w:val="none"/>
          <w14:textFill>
            <w14:solidFill>
              <w14:schemeClr w14:val="tx1"/>
            </w14:solidFill>
          </w14:textFill>
        </w:rPr>
        <w:t>（</w:t>
      </w:r>
      <w:bookmarkEnd w:id="106"/>
      <w:r>
        <w:rPr>
          <w:rFonts w:ascii="Times New Roman" w:hAnsi="Times New Roman" w:cs="Times New Roman"/>
          <w:color w:val="000000" w:themeColor="text1"/>
          <w:szCs w:val="21"/>
          <w:highlight w:val="none"/>
          <w14:textFill>
            <w14:solidFill>
              <w14:schemeClr w14:val="tx1"/>
            </w14:solidFill>
          </w14:textFill>
        </w:rPr>
        <w:t>1）我方承诺在收到</w:t>
      </w:r>
      <w:r>
        <w:rPr>
          <w:rFonts w:hint="eastAsia" w:ascii="Times New Roman" w:hAnsi="Times New Roman" w:cs="Times New Roman"/>
          <w:color w:val="000000" w:themeColor="text1"/>
          <w:szCs w:val="21"/>
          <w:highlight w:val="none"/>
          <w14:textFill>
            <w14:solidFill>
              <w14:schemeClr w14:val="tx1"/>
            </w14:solidFill>
          </w14:textFill>
        </w:rPr>
        <w:t>成交</w:t>
      </w:r>
      <w:r>
        <w:rPr>
          <w:rFonts w:ascii="Times New Roman" w:hAnsi="Times New Roman" w:cs="Times New Roman"/>
          <w:color w:val="000000" w:themeColor="text1"/>
          <w:szCs w:val="21"/>
          <w:highlight w:val="none"/>
          <w14:textFill>
            <w14:solidFill>
              <w14:schemeClr w14:val="tx1"/>
            </w14:solidFill>
          </w14:textFill>
        </w:rPr>
        <w:t>通知书后，在</w:t>
      </w:r>
      <w:r>
        <w:rPr>
          <w:rFonts w:hint="eastAsia" w:ascii="Times New Roman" w:hAnsi="Times New Roman" w:cs="Times New Roman"/>
          <w:color w:val="000000" w:themeColor="text1"/>
          <w:szCs w:val="21"/>
          <w:highlight w:val="none"/>
          <w14:textFill>
            <w14:solidFill>
              <w14:schemeClr w14:val="tx1"/>
            </w14:solidFill>
          </w14:textFill>
        </w:rPr>
        <w:t>成交</w:t>
      </w:r>
      <w:r>
        <w:rPr>
          <w:rFonts w:ascii="Times New Roman" w:hAnsi="Times New Roman" w:cs="Times New Roman"/>
          <w:color w:val="000000" w:themeColor="text1"/>
          <w:szCs w:val="21"/>
          <w:highlight w:val="none"/>
          <w14:textFill>
            <w14:solidFill>
              <w14:schemeClr w14:val="tx1"/>
            </w14:solidFill>
          </w14:textFill>
        </w:rPr>
        <w:t>通知书规定的期限内与你方签订合同。</w:t>
      </w:r>
    </w:p>
    <w:p w14:paraId="558263D9">
      <w:pPr>
        <w:pStyle w:val="237"/>
        <w:tabs>
          <w:tab w:val="left" w:pos="903"/>
        </w:tabs>
        <w:ind w:firstLine="420"/>
        <w:rPr>
          <w:rFonts w:ascii="Times New Roman" w:hAnsi="Times New Roman" w:cs="Times New Roman"/>
          <w:color w:val="000000" w:themeColor="text1"/>
          <w:szCs w:val="21"/>
          <w:highlight w:val="none"/>
          <w14:textFill>
            <w14:solidFill>
              <w14:schemeClr w14:val="tx1"/>
            </w14:solidFill>
          </w14:textFill>
        </w:rPr>
      </w:pPr>
      <w:bookmarkStart w:id="107" w:name="bookmark2070"/>
      <w:r>
        <w:rPr>
          <w:rFonts w:ascii="Times New Roman" w:hAnsi="Times New Roman" w:cs="Times New Roman"/>
          <w:color w:val="000000" w:themeColor="text1"/>
          <w:szCs w:val="21"/>
          <w:highlight w:val="none"/>
          <w14:textFill>
            <w14:solidFill>
              <w14:schemeClr w14:val="tx1"/>
            </w14:solidFill>
          </w14:textFill>
        </w:rPr>
        <w:t>（</w:t>
      </w:r>
      <w:bookmarkEnd w:id="107"/>
      <w:r>
        <w:rPr>
          <w:rFonts w:ascii="Times New Roman" w:hAnsi="Times New Roman" w:cs="Times New Roman"/>
          <w:color w:val="000000" w:themeColor="text1"/>
          <w:szCs w:val="21"/>
          <w:highlight w:val="none"/>
          <w14:textFill>
            <w14:solidFill>
              <w14:schemeClr w14:val="tx1"/>
            </w14:solidFill>
          </w14:textFill>
        </w:rPr>
        <w:t>2）</w:t>
      </w:r>
      <w:r>
        <w:rPr>
          <w:color w:val="000000" w:themeColor="text1"/>
          <w:highlight w:val="none"/>
          <w14:textFill>
            <w14:solidFill>
              <w14:schemeClr w14:val="tx1"/>
            </w14:solidFill>
          </w14:textFill>
        </w:rPr>
        <w:t>在签订合同时不向你方提出附加条件</w:t>
      </w:r>
      <w:r>
        <w:rPr>
          <w:rFonts w:ascii="Times New Roman" w:hAnsi="Times New Roman" w:cs="Times New Roman"/>
          <w:color w:val="000000" w:themeColor="text1"/>
          <w:szCs w:val="21"/>
          <w:highlight w:val="none"/>
          <w14:textFill>
            <w14:solidFill>
              <w14:schemeClr w14:val="tx1"/>
            </w14:solidFill>
          </w14:textFill>
        </w:rPr>
        <w:t>。</w:t>
      </w:r>
    </w:p>
    <w:p w14:paraId="03CF016A">
      <w:pPr>
        <w:pStyle w:val="237"/>
        <w:tabs>
          <w:tab w:val="left" w:pos="903"/>
        </w:tabs>
        <w:ind w:firstLine="420"/>
        <w:rPr>
          <w:rFonts w:ascii="Times New Roman" w:hAnsi="Times New Roman" w:cs="Times New Roman"/>
          <w:color w:val="000000" w:themeColor="text1"/>
          <w:szCs w:val="21"/>
          <w:highlight w:val="none"/>
          <w14:textFill>
            <w14:solidFill>
              <w14:schemeClr w14:val="tx1"/>
            </w14:solidFill>
          </w14:textFill>
        </w:rPr>
      </w:pPr>
      <w:bookmarkStart w:id="108" w:name="bookmark2071"/>
      <w:r>
        <w:rPr>
          <w:rFonts w:ascii="Times New Roman" w:hAnsi="Times New Roman" w:cs="Times New Roman"/>
          <w:color w:val="000000" w:themeColor="text1"/>
          <w:szCs w:val="21"/>
          <w:highlight w:val="none"/>
          <w14:textFill>
            <w14:solidFill>
              <w14:schemeClr w14:val="tx1"/>
            </w14:solidFill>
          </w14:textFill>
        </w:rPr>
        <w:t>（</w:t>
      </w:r>
      <w:bookmarkEnd w:id="108"/>
      <w:r>
        <w:rPr>
          <w:rFonts w:ascii="Times New Roman" w:hAnsi="Times New Roman" w:cs="Times New Roman"/>
          <w:color w:val="000000" w:themeColor="text1"/>
          <w:szCs w:val="21"/>
          <w:highlight w:val="none"/>
          <w14:textFill>
            <w14:solidFill>
              <w14:schemeClr w14:val="tx1"/>
            </w14:solidFill>
          </w14:textFill>
        </w:rPr>
        <w:t>3）我方承诺按照</w:t>
      </w:r>
      <w:r>
        <w:rPr>
          <w:rFonts w:hint="eastAsia" w:ascii="Times New Roman" w:hAnsi="Times New Roman" w:cs="Times New Roman"/>
          <w:color w:val="000000" w:themeColor="text1"/>
          <w:szCs w:val="21"/>
          <w:highlight w:val="none"/>
          <w14:textFill>
            <w14:solidFill>
              <w14:schemeClr w14:val="tx1"/>
            </w14:solidFill>
          </w14:textFill>
        </w:rPr>
        <w:t>磋商</w:t>
      </w:r>
      <w:r>
        <w:rPr>
          <w:rFonts w:ascii="Times New Roman" w:hAnsi="Times New Roman" w:cs="Times New Roman"/>
          <w:color w:val="000000" w:themeColor="text1"/>
          <w:szCs w:val="21"/>
          <w:highlight w:val="none"/>
          <w14:textFill>
            <w14:solidFill>
              <w14:schemeClr w14:val="tx1"/>
            </w14:solidFill>
          </w14:textFill>
        </w:rPr>
        <w:t>文件规定向你方递交履约担保。</w:t>
      </w:r>
    </w:p>
    <w:p w14:paraId="6FEA8558">
      <w:pPr>
        <w:pStyle w:val="237"/>
        <w:tabs>
          <w:tab w:val="left" w:pos="903"/>
        </w:tabs>
        <w:ind w:firstLine="420"/>
        <w:rPr>
          <w:rFonts w:hint="eastAsia" w:ascii="Times New Roman" w:hAnsi="Times New Roman" w:cs="Times New Roman"/>
          <w:color w:val="000000" w:themeColor="text1"/>
          <w:szCs w:val="21"/>
          <w:highlight w:val="none"/>
          <w14:textFill>
            <w14:solidFill>
              <w14:schemeClr w14:val="tx1"/>
            </w14:solidFill>
          </w14:textFill>
        </w:rPr>
      </w:pPr>
      <w:bookmarkStart w:id="109" w:name="bookmark2072"/>
      <w:r>
        <w:rPr>
          <w:rFonts w:ascii="Times New Roman" w:hAnsi="Times New Roman" w:cs="Times New Roman"/>
          <w:color w:val="000000" w:themeColor="text1"/>
          <w:szCs w:val="21"/>
          <w:highlight w:val="none"/>
          <w14:textFill>
            <w14:solidFill>
              <w14:schemeClr w14:val="tx1"/>
            </w14:solidFill>
          </w14:textFill>
        </w:rPr>
        <w:t>（</w:t>
      </w:r>
      <w:bookmarkEnd w:id="109"/>
      <w:r>
        <w:rPr>
          <w:rFonts w:ascii="Times New Roman" w:hAnsi="Times New Roman" w:cs="Times New Roman"/>
          <w:color w:val="000000" w:themeColor="text1"/>
          <w:szCs w:val="21"/>
          <w:highlight w:val="none"/>
          <w14:textFill>
            <w14:solidFill>
              <w14:schemeClr w14:val="tx1"/>
            </w14:solidFill>
          </w14:textFill>
        </w:rPr>
        <w:t>4）我方承诺在合同约定的期限内完成并移交全部合同工程。</w:t>
      </w:r>
    </w:p>
    <w:p w14:paraId="6016686B">
      <w:pPr>
        <w:pStyle w:val="237"/>
        <w:numPr>
          <w:ilvl w:val="0"/>
          <w:numId w:val="3"/>
        </w:numPr>
        <w:tabs>
          <w:tab w:val="left" w:pos="762"/>
        </w:tabs>
        <w:ind w:firstLine="440"/>
        <w:rPr>
          <w:rFonts w:ascii="Times New Roman" w:hAnsi="Times New Roman" w:cs="Times New Roman"/>
          <w:color w:val="000000" w:themeColor="text1"/>
          <w:szCs w:val="21"/>
          <w:highlight w:val="none"/>
          <w14:textFill>
            <w14:solidFill>
              <w14:schemeClr w14:val="tx1"/>
            </w14:solidFill>
          </w14:textFill>
        </w:rPr>
      </w:pPr>
      <w:bookmarkStart w:id="110" w:name="bookmark2073"/>
      <w:bookmarkEnd w:id="110"/>
      <w:r>
        <w:rPr>
          <w:color w:val="000000" w:themeColor="text1"/>
          <w:highlight w:val="none"/>
          <w14:textFill>
            <w14:solidFill>
              <w14:schemeClr w14:val="tx1"/>
            </w14:solidFill>
          </w14:textFill>
        </w:rPr>
        <w:t>在合同协议书正式签署生效之前，本</w:t>
      </w:r>
      <w:r>
        <w:rPr>
          <w:rFonts w:hint="eastAsia" w:ascii="Times New Roman" w:hAnsi="Times New Roman" w:cs="Times New Roman"/>
          <w:color w:val="000000" w:themeColor="text1"/>
          <w:szCs w:val="21"/>
          <w:highlight w:val="none"/>
          <w14:textFill>
            <w14:solidFill>
              <w14:schemeClr w14:val="tx1"/>
            </w14:solidFill>
          </w14:textFill>
        </w:rPr>
        <w:t>竞</w:t>
      </w:r>
      <w:r>
        <w:rPr>
          <w:rFonts w:ascii="Times New Roman" w:hAnsi="Times New Roman" w:cs="Times New Roman"/>
          <w:color w:val="000000" w:themeColor="text1"/>
          <w:szCs w:val="21"/>
          <w:highlight w:val="none"/>
          <w14:textFill>
            <w14:solidFill>
              <w14:schemeClr w14:val="tx1"/>
            </w14:solidFill>
          </w14:textFill>
        </w:rPr>
        <w:t>标</w:t>
      </w:r>
      <w:r>
        <w:rPr>
          <w:color w:val="000000" w:themeColor="text1"/>
          <w:highlight w:val="none"/>
          <w14:textFill>
            <w14:solidFill>
              <w14:schemeClr w14:val="tx1"/>
            </w14:solidFill>
          </w14:textFill>
        </w:rPr>
        <w:t>函连同你方的</w:t>
      </w:r>
      <w:r>
        <w:rPr>
          <w:rFonts w:hint="eastAsia"/>
          <w:color w:val="000000" w:themeColor="text1"/>
          <w:highlight w:val="none"/>
          <w14:textFill>
            <w14:solidFill>
              <w14:schemeClr w14:val="tx1"/>
            </w14:solidFill>
          </w14:textFill>
        </w:rPr>
        <w:t>成交</w:t>
      </w:r>
      <w:r>
        <w:rPr>
          <w:color w:val="000000" w:themeColor="text1"/>
          <w:highlight w:val="none"/>
          <w14:textFill>
            <w14:solidFill>
              <w14:schemeClr w14:val="tx1"/>
            </w14:solidFill>
          </w14:textFill>
        </w:rPr>
        <w:t>通知书将构成我们双方之间共同遵守的文件，对双方具有约束力</w:t>
      </w:r>
      <w:r>
        <w:rPr>
          <w:rFonts w:ascii="Times New Roman" w:hAnsi="Times New Roman" w:cs="Times New Roman"/>
          <w:color w:val="000000" w:themeColor="text1"/>
          <w:szCs w:val="21"/>
          <w:highlight w:val="none"/>
          <w14:textFill>
            <w14:solidFill>
              <w14:schemeClr w14:val="tx1"/>
            </w14:solidFill>
          </w14:textFill>
        </w:rPr>
        <w:t>。</w:t>
      </w:r>
    </w:p>
    <w:p w14:paraId="71C414E2">
      <w:pPr>
        <w:spacing w:line="360" w:lineRule="auto"/>
        <w:ind w:firstLine="420"/>
        <w:rPr>
          <w:rFonts w:hint="eastAsia"/>
          <w:color w:val="000000" w:themeColor="text1"/>
          <w:szCs w:val="21"/>
          <w:highlight w:val="none"/>
          <w14:textFill>
            <w14:solidFill>
              <w14:schemeClr w14:val="tx1"/>
            </w14:solidFill>
          </w14:textFill>
        </w:rPr>
      </w:pPr>
      <w:bookmarkStart w:id="111" w:name="bookmark2074"/>
      <w:bookmarkEnd w:id="111"/>
      <w:r>
        <w:rPr>
          <w:rFonts w:hint="eastAsia"/>
          <w:color w:val="000000" w:themeColor="text1"/>
          <w:szCs w:val="21"/>
          <w:highlight w:val="none"/>
          <w14:textFill>
            <w14:solidFill>
              <w14:schemeClr w14:val="tx1"/>
            </w14:solidFill>
          </w14:textFill>
        </w:rPr>
        <w:t>5.</w:t>
      </w:r>
      <w:r>
        <w:rPr>
          <w:rFonts w:hint="eastAsia"/>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（其他补充说明）。</w:t>
      </w:r>
    </w:p>
    <w:p w14:paraId="67B09A55">
      <w:pPr>
        <w:spacing w:line="360" w:lineRule="auto"/>
        <w:jc w:val="center"/>
        <w:rPr>
          <w:rFonts w:hint="eastAsia" w:ascii="宋体" w:hAnsi="宋体" w:cs="方正小标宋简体"/>
          <w:b/>
          <w:bCs/>
          <w:color w:val="000000" w:themeColor="text1"/>
          <w:sz w:val="32"/>
          <w:szCs w:val="32"/>
          <w:highlight w:val="none"/>
          <w14:textFill>
            <w14:solidFill>
              <w14:schemeClr w14:val="tx1"/>
            </w14:solidFill>
          </w14:textFill>
        </w:rPr>
      </w:pPr>
    </w:p>
    <w:p w14:paraId="5A250DE5">
      <w:pPr>
        <w:spacing w:line="360" w:lineRule="auto"/>
        <w:ind w:right="-817" w:firstLine="264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法定代表人或者委托代理人（</w:t>
      </w:r>
      <w:r>
        <w:rPr>
          <w:rFonts w:hint="eastAsia" w:ascii="宋体" w:hAnsi="宋体" w:cs="宋体"/>
          <w:color w:val="000000" w:themeColor="text1"/>
          <w:sz w:val="24"/>
          <w:highlight w:val="none"/>
          <w14:textFill>
            <w14:solidFill>
              <w14:schemeClr w14:val="tx1"/>
            </w14:solidFill>
          </w14:textFill>
        </w:rPr>
        <w:t>签字或盖章或电子签名</w:t>
      </w:r>
      <w:r>
        <w:rPr>
          <w:rFonts w:hint="eastAsia" w:ascii="宋体" w:hAnsi="宋体" w:cs="仿宋_GB2312"/>
          <w:color w:val="000000" w:themeColor="text1"/>
          <w:sz w:val="24"/>
          <w:highlight w:val="none"/>
          <w14:textFill>
            <w14:solidFill>
              <w14:schemeClr w14:val="tx1"/>
            </w14:solidFill>
          </w14:textFill>
        </w:rPr>
        <w:t xml:space="preserve">）：                    </w:t>
      </w:r>
    </w:p>
    <w:p w14:paraId="06FF3971">
      <w:pPr>
        <w:spacing w:line="360" w:lineRule="auto"/>
        <w:ind w:right="-817" w:firstLine="264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供应商（电子签章）：      </w:t>
      </w:r>
    </w:p>
    <w:p w14:paraId="7914E936">
      <w:pPr>
        <w:pStyle w:val="237"/>
        <w:tabs>
          <w:tab w:val="left" w:pos="903"/>
        </w:tabs>
        <w:ind w:firstLine="4800"/>
        <w:rPr>
          <w:rFonts w:hint="eastAsia" w:cs="方正小标宋简体"/>
          <w:b/>
          <w:bCs/>
          <w:color w:val="000000" w:themeColor="text1"/>
          <w:sz w:val="32"/>
          <w:szCs w:val="32"/>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日期：   年   月   日</w:t>
      </w:r>
      <w:r>
        <w:rPr>
          <w:rFonts w:ascii="宋体" w:hAnsi="宋体" w:cs="方正小标宋简体"/>
          <w:b/>
          <w:bCs/>
          <w:color w:val="000000" w:themeColor="text1"/>
          <w:sz w:val="32"/>
          <w:szCs w:val="32"/>
          <w:highlight w:val="none"/>
          <w14:textFill>
            <w14:solidFill>
              <w14:schemeClr w14:val="tx1"/>
            </w14:solidFill>
          </w14:textFill>
        </w:rPr>
        <w:br w:type="page" w:clear="all"/>
      </w:r>
    </w:p>
    <w:p w14:paraId="4EE23DE4">
      <w:pPr>
        <w:spacing w:line="360" w:lineRule="auto"/>
        <w:jc w:val="center"/>
        <w:rPr>
          <w:rFonts w:hint="eastAsia" w:ascii="宋体" w:hAnsi="宋体" w:cs="方正小标宋简体"/>
          <w:b/>
          <w:bCs/>
          <w:color w:val="000000" w:themeColor="text1"/>
          <w:sz w:val="32"/>
          <w:szCs w:val="32"/>
          <w:highlight w:val="none"/>
          <w14:textFill>
            <w14:solidFill>
              <w14:schemeClr w14:val="tx1"/>
            </w14:solidFill>
          </w14:textFill>
        </w:rPr>
      </w:pPr>
      <w:r>
        <w:rPr>
          <w:rFonts w:hint="eastAsia" w:ascii="宋体" w:hAnsi="宋体" w:cs="方正小标宋简体"/>
          <w:b/>
          <w:bCs/>
          <w:color w:val="000000" w:themeColor="text1"/>
          <w:sz w:val="32"/>
          <w:szCs w:val="32"/>
          <w:highlight w:val="none"/>
          <w14:textFill>
            <w14:solidFill>
              <w14:schemeClr w14:val="tx1"/>
            </w14:solidFill>
          </w14:textFill>
        </w:rPr>
        <w:t>（二）竞标函附录</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985"/>
        <w:gridCol w:w="2126"/>
        <w:gridCol w:w="1984"/>
        <w:gridCol w:w="1843"/>
      </w:tblGrid>
      <w:tr w14:paraId="2F4AC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6A674FE0">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序</w:t>
            </w:r>
            <w:r>
              <w:rPr>
                <w:color w:val="000000" w:themeColor="text1"/>
                <w:highlight w:val="non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号</w:t>
            </w:r>
          </w:p>
        </w:tc>
        <w:tc>
          <w:tcPr>
            <w:tcW w:w="1985" w:type="dxa"/>
            <w:noWrap w:val="0"/>
            <w:vAlign w:val="center"/>
          </w:tcPr>
          <w:p w14:paraId="237AC550">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条款内容</w:t>
            </w:r>
          </w:p>
        </w:tc>
        <w:tc>
          <w:tcPr>
            <w:tcW w:w="2126" w:type="dxa"/>
            <w:noWrap w:val="0"/>
            <w:vAlign w:val="center"/>
          </w:tcPr>
          <w:p w14:paraId="6A26AD50">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合同条款号</w:t>
            </w:r>
          </w:p>
        </w:tc>
        <w:tc>
          <w:tcPr>
            <w:tcW w:w="1984" w:type="dxa"/>
            <w:noWrap w:val="0"/>
            <w:vAlign w:val="center"/>
          </w:tcPr>
          <w:p w14:paraId="10C7924A">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约定内容</w:t>
            </w:r>
          </w:p>
        </w:tc>
        <w:tc>
          <w:tcPr>
            <w:tcW w:w="1843" w:type="dxa"/>
            <w:noWrap w:val="0"/>
            <w:vAlign w:val="center"/>
          </w:tcPr>
          <w:p w14:paraId="2DFFDC6D">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供应商响应情况</w:t>
            </w:r>
          </w:p>
        </w:tc>
      </w:tr>
      <w:tr w14:paraId="15ADC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5EA171F4">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1985" w:type="dxa"/>
            <w:noWrap w:val="0"/>
            <w:vAlign w:val="center"/>
          </w:tcPr>
          <w:p w14:paraId="454AD29D">
            <w:pP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项目经理</w:t>
            </w:r>
          </w:p>
        </w:tc>
        <w:tc>
          <w:tcPr>
            <w:tcW w:w="2126" w:type="dxa"/>
            <w:noWrap w:val="0"/>
            <w:tcMar>
              <w:left w:w="170" w:type="dxa"/>
            </w:tcMar>
            <w:vAlign w:val="center"/>
          </w:tcPr>
          <w:p w14:paraId="4E6B56BC">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专用条款</w:t>
            </w:r>
          </w:p>
        </w:tc>
        <w:tc>
          <w:tcPr>
            <w:tcW w:w="1984" w:type="dxa"/>
            <w:noWrap w:val="0"/>
            <w:vAlign w:val="center"/>
          </w:tcPr>
          <w:p w14:paraId="1E69023B">
            <w:pP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姓名：</w:t>
            </w:r>
            <w:r>
              <w:rPr>
                <w:color w:val="000000" w:themeColor="text1"/>
                <w:highlight w:val="none"/>
                <w:u w:val="single"/>
                <w14:textFill>
                  <w14:solidFill>
                    <w14:schemeClr w14:val="tx1"/>
                  </w14:solidFill>
                </w14:textFill>
              </w:rPr>
              <w:t xml:space="preserve">          </w:t>
            </w:r>
          </w:p>
        </w:tc>
        <w:tc>
          <w:tcPr>
            <w:tcW w:w="1843" w:type="dxa"/>
            <w:noWrap w:val="0"/>
            <w:vAlign w:val="center"/>
          </w:tcPr>
          <w:p w14:paraId="05B61C12">
            <w:pPr>
              <w:jc w:val="center"/>
              <w:rPr>
                <w:color w:val="000000" w:themeColor="text1"/>
                <w:highlight w:val="none"/>
                <w14:textFill>
                  <w14:solidFill>
                    <w14:schemeClr w14:val="tx1"/>
                  </w14:solidFill>
                </w14:textFill>
              </w:rPr>
            </w:pPr>
          </w:p>
        </w:tc>
      </w:tr>
      <w:tr w14:paraId="449FD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2DF523BB">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w:t>
            </w:r>
          </w:p>
        </w:tc>
        <w:tc>
          <w:tcPr>
            <w:tcW w:w="1985" w:type="dxa"/>
            <w:noWrap w:val="0"/>
            <w:vAlign w:val="center"/>
          </w:tcPr>
          <w:p w14:paraId="3A26ED55">
            <w:pP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竞标有效期</w:t>
            </w:r>
          </w:p>
        </w:tc>
        <w:tc>
          <w:tcPr>
            <w:tcW w:w="2126" w:type="dxa"/>
            <w:noWrap w:val="0"/>
            <w:tcMar>
              <w:left w:w="170" w:type="dxa"/>
            </w:tcMar>
            <w:vAlign w:val="center"/>
          </w:tcPr>
          <w:p w14:paraId="4F7A87E8">
            <w:pPr>
              <w:rPr>
                <w:color w:val="000000" w:themeColor="text1"/>
                <w:highlight w:val="none"/>
                <w:u w:val="single"/>
                <w14:textFill>
                  <w14:solidFill>
                    <w14:schemeClr w14:val="tx1"/>
                  </w14:solidFill>
                </w14:textFill>
              </w:rPr>
            </w:pPr>
          </w:p>
        </w:tc>
        <w:tc>
          <w:tcPr>
            <w:tcW w:w="1984" w:type="dxa"/>
            <w:noWrap w:val="0"/>
            <w:vAlign w:val="center"/>
          </w:tcPr>
          <w:p w14:paraId="168C2BF5">
            <w:pPr>
              <w:jc w:val="center"/>
              <w:rPr>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 xml:space="preserve">自首次响应文件提交截止之日起 </w:t>
            </w:r>
            <w:r>
              <w:rPr>
                <w:rFonts w:hint="eastAsia"/>
                <w:color w:val="000000" w:themeColor="text1"/>
                <w:highlight w:val="none"/>
                <w:u w:val="single"/>
                <w:lang w:val="en-US" w:eastAsia="zh-CN"/>
                <w14:textFill>
                  <w14:solidFill>
                    <w14:schemeClr w14:val="tx1"/>
                  </w14:solidFill>
                </w14:textFill>
              </w:rPr>
              <w:t>90</w:t>
            </w:r>
            <w:r>
              <w:rPr>
                <w:rFonts w:hint="eastAsia"/>
                <w:color w:val="000000" w:themeColor="text1"/>
                <w:highlight w:val="none"/>
                <w14:textFill>
                  <w14:solidFill>
                    <w14:schemeClr w14:val="tx1"/>
                  </w14:solidFill>
                </w14:textFill>
              </w:rPr>
              <w:t xml:space="preserve"> 日。</w:t>
            </w:r>
          </w:p>
        </w:tc>
        <w:tc>
          <w:tcPr>
            <w:tcW w:w="1843" w:type="dxa"/>
            <w:noWrap w:val="0"/>
            <w:vAlign w:val="center"/>
          </w:tcPr>
          <w:p w14:paraId="26EDB798">
            <w:pPr>
              <w:jc w:val="center"/>
              <w:rPr>
                <w:color w:val="000000" w:themeColor="text1"/>
                <w:highlight w:val="none"/>
                <w14:textFill>
                  <w14:solidFill>
                    <w14:schemeClr w14:val="tx1"/>
                  </w14:solidFill>
                </w14:textFill>
              </w:rPr>
            </w:pPr>
          </w:p>
        </w:tc>
      </w:tr>
      <w:tr w14:paraId="10B19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05A2A071">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w:t>
            </w:r>
          </w:p>
        </w:tc>
        <w:tc>
          <w:tcPr>
            <w:tcW w:w="1985" w:type="dxa"/>
            <w:noWrap w:val="0"/>
            <w:vAlign w:val="center"/>
          </w:tcPr>
          <w:p w14:paraId="7329EF84">
            <w:pP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工期</w:t>
            </w:r>
          </w:p>
        </w:tc>
        <w:tc>
          <w:tcPr>
            <w:tcW w:w="2126" w:type="dxa"/>
            <w:noWrap w:val="0"/>
            <w:tcMar>
              <w:left w:w="170" w:type="dxa"/>
            </w:tcMar>
            <w:vAlign w:val="center"/>
          </w:tcPr>
          <w:p w14:paraId="354BCF88">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专用条款</w:t>
            </w:r>
          </w:p>
        </w:tc>
        <w:tc>
          <w:tcPr>
            <w:tcW w:w="1984" w:type="dxa"/>
            <w:noWrap w:val="0"/>
            <w:vAlign w:val="center"/>
          </w:tcPr>
          <w:p w14:paraId="1C3F0D6F">
            <w:pPr>
              <w:jc w:val="center"/>
              <w:rPr>
                <w:color w:val="000000" w:themeColor="text1"/>
                <w:highlight w:val="none"/>
                <w14:textFill>
                  <w14:solidFill>
                    <w14:schemeClr w14:val="tx1"/>
                  </w14:solidFill>
                </w14:textFill>
              </w:rPr>
            </w:pP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lang w:val="en-US" w:eastAsia="zh-CN"/>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日历天</w:t>
            </w:r>
          </w:p>
        </w:tc>
        <w:tc>
          <w:tcPr>
            <w:tcW w:w="1843" w:type="dxa"/>
            <w:noWrap w:val="0"/>
            <w:vAlign w:val="center"/>
          </w:tcPr>
          <w:p w14:paraId="0CE42D4A">
            <w:pPr>
              <w:jc w:val="center"/>
              <w:rPr>
                <w:color w:val="000000" w:themeColor="text1"/>
                <w:highlight w:val="none"/>
                <w14:textFill>
                  <w14:solidFill>
                    <w14:schemeClr w14:val="tx1"/>
                  </w14:solidFill>
                </w14:textFill>
              </w:rPr>
            </w:pPr>
          </w:p>
        </w:tc>
      </w:tr>
      <w:tr w14:paraId="6999C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4AAB98F2">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w:t>
            </w:r>
          </w:p>
        </w:tc>
        <w:tc>
          <w:tcPr>
            <w:tcW w:w="1985" w:type="dxa"/>
            <w:noWrap w:val="0"/>
            <w:vAlign w:val="center"/>
          </w:tcPr>
          <w:p w14:paraId="39AEF605">
            <w:pP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缺陷责任期</w:t>
            </w:r>
          </w:p>
        </w:tc>
        <w:tc>
          <w:tcPr>
            <w:tcW w:w="2126" w:type="dxa"/>
            <w:noWrap w:val="0"/>
            <w:tcMar>
              <w:left w:w="170" w:type="dxa"/>
            </w:tcMar>
            <w:vAlign w:val="center"/>
          </w:tcPr>
          <w:p w14:paraId="62621A54">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专用条款</w:t>
            </w:r>
          </w:p>
        </w:tc>
        <w:tc>
          <w:tcPr>
            <w:tcW w:w="1984" w:type="dxa"/>
            <w:noWrap w:val="0"/>
            <w:vAlign w:val="center"/>
          </w:tcPr>
          <w:p w14:paraId="2B8D36C3">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2年</w:t>
            </w:r>
          </w:p>
        </w:tc>
        <w:tc>
          <w:tcPr>
            <w:tcW w:w="1843" w:type="dxa"/>
            <w:noWrap w:val="0"/>
            <w:vAlign w:val="center"/>
          </w:tcPr>
          <w:p w14:paraId="756FB839">
            <w:pPr>
              <w:jc w:val="center"/>
              <w:rPr>
                <w:color w:val="000000" w:themeColor="text1"/>
                <w:highlight w:val="none"/>
                <w14:textFill>
                  <w14:solidFill>
                    <w14:schemeClr w14:val="tx1"/>
                  </w14:solidFill>
                </w14:textFill>
              </w:rPr>
            </w:pPr>
          </w:p>
        </w:tc>
      </w:tr>
      <w:tr w14:paraId="3E300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5FBBAA3D">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w:t>
            </w:r>
          </w:p>
        </w:tc>
        <w:tc>
          <w:tcPr>
            <w:tcW w:w="1985" w:type="dxa"/>
            <w:noWrap w:val="0"/>
            <w:vAlign w:val="center"/>
          </w:tcPr>
          <w:p w14:paraId="0D5A8CDC">
            <w:pP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发包人支付担保</w:t>
            </w:r>
          </w:p>
        </w:tc>
        <w:tc>
          <w:tcPr>
            <w:tcW w:w="2126" w:type="dxa"/>
            <w:noWrap w:val="0"/>
            <w:tcMar>
              <w:left w:w="170" w:type="dxa"/>
            </w:tcMar>
            <w:vAlign w:val="center"/>
          </w:tcPr>
          <w:p w14:paraId="55F54AB7">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专用条款</w:t>
            </w:r>
          </w:p>
        </w:tc>
        <w:tc>
          <w:tcPr>
            <w:tcW w:w="1984" w:type="dxa"/>
            <w:noWrap w:val="0"/>
            <w:vAlign w:val="center"/>
          </w:tcPr>
          <w:p w14:paraId="54FDA0B4">
            <w:pPr>
              <w:jc w:val="center"/>
              <w:rPr>
                <w:color w:val="000000" w:themeColor="text1"/>
                <w:highlight w:val="none"/>
                <w14:textFill>
                  <w14:solidFill>
                    <w14:schemeClr w14:val="tx1"/>
                  </w14:solidFill>
                </w14:textFill>
              </w:rPr>
            </w:pPr>
          </w:p>
        </w:tc>
        <w:tc>
          <w:tcPr>
            <w:tcW w:w="1843" w:type="dxa"/>
            <w:noWrap w:val="0"/>
            <w:vAlign w:val="center"/>
          </w:tcPr>
          <w:p w14:paraId="7DAE8716">
            <w:pPr>
              <w:jc w:val="center"/>
              <w:rPr>
                <w:color w:val="000000" w:themeColor="text1"/>
                <w:highlight w:val="none"/>
                <w14:textFill>
                  <w14:solidFill>
                    <w14:schemeClr w14:val="tx1"/>
                  </w14:solidFill>
                </w14:textFill>
              </w:rPr>
            </w:pPr>
          </w:p>
        </w:tc>
      </w:tr>
      <w:tr w14:paraId="61638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292817AF">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w:t>
            </w:r>
          </w:p>
        </w:tc>
        <w:tc>
          <w:tcPr>
            <w:tcW w:w="1985" w:type="dxa"/>
            <w:noWrap w:val="0"/>
            <w:vAlign w:val="center"/>
          </w:tcPr>
          <w:p w14:paraId="7C52CF83">
            <w:pP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承包人履约担保金额</w:t>
            </w:r>
          </w:p>
        </w:tc>
        <w:tc>
          <w:tcPr>
            <w:tcW w:w="2126" w:type="dxa"/>
            <w:noWrap w:val="0"/>
            <w:tcMar>
              <w:left w:w="170" w:type="dxa"/>
            </w:tcMar>
            <w:vAlign w:val="center"/>
          </w:tcPr>
          <w:p w14:paraId="72207065">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专用条款</w:t>
            </w:r>
          </w:p>
        </w:tc>
        <w:tc>
          <w:tcPr>
            <w:tcW w:w="1984" w:type="dxa"/>
            <w:noWrap w:val="0"/>
            <w:vAlign w:val="center"/>
          </w:tcPr>
          <w:p w14:paraId="18892BAE">
            <w:pPr>
              <w:jc w:val="center"/>
              <w:rPr>
                <w:color w:val="000000" w:themeColor="text1"/>
                <w:highlight w:val="none"/>
                <w14:textFill>
                  <w14:solidFill>
                    <w14:schemeClr w14:val="tx1"/>
                  </w14:solidFill>
                </w14:textFill>
              </w:rPr>
            </w:pPr>
          </w:p>
        </w:tc>
        <w:tc>
          <w:tcPr>
            <w:tcW w:w="1843" w:type="dxa"/>
            <w:noWrap w:val="0"/>
            <w:vAlign w:val="center"/>
          </w:tcPr>
          <w:p w14:paraId="3698A017">
            <w:pPr>
              <w:jc w:val="center"/>
              <w:rPr>
                <w:color w:val="000000" w:themeColor="text1"/>
                <w:highlight w:val="none"/>
                <w14:textFill>
                  <w14:solidFill>
                    <w14:schemeClr w14:val="tx1"/>
                  </w14:solidFill>
                </w14:textFill>
              </w:rPr>
            </w:pPr>
          </w:p>
        </w:tc>
      </w:tr>
      <w:tr w14:paraId="7AD7A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4F4B89E8">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7</w:t>
            </w:r>
          </w:p>
        </w:tc>
        <w:tc>
          <w:tcPr>
            <w:tcW w:w="1985" w:type="dxa"/>
            <w:noWrap w:val="0"/>
            <w:vAlign w:val="center"/>
          </w:tcPr>
          <w:p w14:paraId="2AEABA8D">
            <w:pP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分包</w:t>
            </w:r>
          </w:p>
        </w:tc>
        <w:tc>
          <w:tcPr>
            <w:tcW w:w="2126" w:type="dxa"/>
            <w:noWrap w:val="0"/>
            <w:tcMar>
              <w:left w:w="170" w:type="dxa"/>
            </w:tcMar>
            <w:vAlign w:val="center"/>
          </w:tcPr>
          <w:p w14:paraId="015EEA15">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专用条款</w:t>
            </w:r>
          </w:p>
        </w:tc>
        <w:tc>
          <w:tcPr>
            <w:tcW w:w="1984" w:type="dxa"/>
            <w:noWrap w:val="0"/>
            <w:vAlign w:val="center"/>
          </w:tcPr>
          <w:p w14:paraId="396350AE">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见分包项目情况表</w:t>
            </w:r>
          </w:p>
        </w:tc>
        <w:tc>
          <w:tcPr>
            <w:tcW w:w="1843" w:type="dxa"/>
            <w:noWrap w:val="0"/>
            <w:vAlign w:val="center"/>
          </w:tcPr>
          <w:p w14:paraId="0266D4D0">
            <w:pPr>
              <w:jc w:val="center"/>
              <w:rPr>
                <w:color w:val="000000" w:themeColor="text1"/>
                <w:highlight w:val="none"/>
                <w14:textFill>
                  <w14:solidFill>
                    <w14:schemeClr w14:val="tx1"/>
                  </w14:solidFill>
                </w14:textFill>
              </w:rPr>
            </w:pPr>
          </w:p>
        </w:tc>
      </w:tr>
      <w:tr w14:paraId="2146F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60C0D436">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8</w:t>
            </w:r>
          </w:p>
        </w:tc>
        <w:tc>
          <w:tcPr>
            <w:tcW w:w="1985" w:type="dxa"/>
            <w:noWrap w:val="0"/>
            <w:vAlign w:val="center"/>
          </w:tcPr>
          <w:p w14:paraId="33427C6B">
            <w:pP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逾期竣工违约金</w:t>
            </w:r>
          </w:p>
        </w:tc>
        <w:tc>
          <w:tcPr>
            <w:tcW w:w="2126" w:type="dxa"/>
            <w:noWrap w:val="0"/>
            <w:tcMar>
              <w:left w:w="170" w:type="dxa"/>
            </w:tcMar>
            <w:vAlign w:val="center"/>
          </w:tcPr>
          <w:p w14:paraId="0EF17CE3">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专用条款</w:t>
            </w:r>
          </w:p>
        </w:tc>
        <w:tc>
          <w:tcPr>
            <w:tcW w:w="1984" w:type="dxa"/>
            <w:noWrap w:val="0"/>
            <w:vAlign w:val="center"/>
          </w:tcPr>
          <w:p w14:paraId="031E3FCB">
            <w:pPr>
              <w:rPr>
                <w:color w:val="000000" w:themeColor="text1"/>
                <w:highlight w:val="none"/>
                <w14:textFill>
                  <w14:solidFill>
                    <w14:schemeClr w14:val="tx1"/>
                  </w14:solidFill>
                </w14:textFill>
              </w:rPr>
            </w:pPr>
          </w:p>
        </w:tc>
        <w:tc>
          <w:tcPr>
            <w:tcW w:w="1843" w:type="dxa"/>
            <w:noWrap w:val="0"/>
            <w:vAlign w:val="center"/>
          </w:tcPr>
          <w:p w14:paraId="64BD06AE">
            <w:pPr>
              <w:jc w:val="center"/>
              <w:rPr>
                <w:color w:val="000000" w:themeColor="text1"/>
                <w:highlight w:val="none"/>
                <w14:textFill>
                  <w14:solidFill>
                    <w14:schemeClr w14:val="tx1"/>
                  </w14:solidFill>
                </w14:textFill>
              </w:rPr>
            </w:pPr>
          </w:p>
        </w:tc>
      </w:tr>
      <w:tr w14:paraId="31D18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27EF112E">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9</w:t>
            </w:r>
          </w:p>
        </w:tc>
        <w:tc>
          <w:tcPr>
            <w:tcW w:w="1985" w:type="dxa"/>
            <w:noWrap w:val="0"/>
            <w:vAlign w:val="center"/>
          </w:tcPr>
          <w:p w14:paraId="569BA614">
            <w:pP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逾期竣工违约金最高限额</w:t>
            </w:r>
          </w:p>
        </w:tc>
        <w:tc>
          <w:tcPr>
            <w:tcW w:w="2126" w:type="dxa"/>
            <w:noWrap w:val="0"/>
            <w:tcMar>
              <w:left w:w="170" w:type="dxa"/>
            </w:tcMar>
            <w:vAlign w:val="center"/>
          </w:tcPr>
          <w:p w14:paraId="4E28B307">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专用条款</w:t>
            </w:r>
          </w:p>
        </w:tc>
        <w:tc>
          <w:tcPr>
            <w:tcW w:w="1984" w:type="dxa"/>
            <w:noWrap w:val="0"/>
            <w:vAlign w:val="center"/>
          </w:tcPr>
          <w:p w14:paraId="4ADAC241">
            <w:pPr>
              <w:rPr>
                <w:color w:val="000000" w:themeColor="text1"/>
                <w:highlight w:val="none"/>
                <w14:textFill>
                  <w14:solidFill>
                    <w14:schemeClr w14:val="tx1"/>
                  </w14:solidFill>
                </w14:textFill>
              </w:rPr>
            </w:pPr>
          </w:p>
        </w:tc>
        <w:tc>
          <w:tcPr>
            <w:tcW w:w="1843" w:type="dxa"/>
            <w:noWrap w:val="0"/>
            <w:vAlign w:val="center"/>
          </w:tcPr>
          <w:p w14:paraId="3EF252F1">
            <w:pPr>
              <w:jc w:val="center"/>
              <w:rPr>
                <w:color w:val="000000" w:themeColor="text1"/>
                <w:highlight w:val="none"/>
                <w14:textFill>
                  <w14:solidFill>
                    <w14:schemeClr w14:val="tx1"/>
                  </w14:solidFill>
                </w14:textFill>
              </w:rPr>
            </w:pPr>
          </w:p>
        </w:tc>
      </w:tr>
      <w:tr w14:paraId="12A9D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239BA339">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10</w:t>
            </w:r>
          </w:p>
        </w:tc>
        <w:tc>
          <w:tcPr>
            <w:tcW w:w="1985" w:type="dxa"/>
            <w:noWrap w:val="0"/>
            <w:vAlign w:val="center"/>
          </w:tcPr>
          <w:p w14:paraId="5863054B">
            <w:pP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质量标准</w:t>
            </w:r>
          </w:p>
        </w:tc>
        <w:tc>
          <w:tcPr>
            <w:tcW w:w="2126" w:type="dxa"/>
            <w:noWrap w:val="0"/>
            <w:tcMar>
              <w:left w:w="170" w:type="dxa"/>
            </w:tcMar>
            <w:vAlign w:val="center"/>
          </w:tcPr>
          <w:p w14:paraId="33E41FB7">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专用条款</w:t>
            </w:r>
          </w:p>
        </w:tc>
        <w:tc>
          <w:tcPr>
            <w:tcW w:w="1984" w:type="dxa"/>
            <w:noWrap w:val="0"/>
            <w:vAlign w:val="center"/>
          </w:tcPr>
          <w:p w14:paraId="6790A9AB">
            <w:pPr>
              <w:jc w:val="center"/>
              <w:rPr>
                <w:color w:val="000000" w:themeColor="text1"/>
                <w:highlight w:val="none"/>
                <w14:textFill>
                  <w14:solidFill>
                    <w14:schemeClr w14:val="tx1"/>
                  </w14:solidFill>
                </w14:textFill>
              </w:rPr>
            </w:pPr>
          </w:p>
        </w:tc>
        <w:tc>
          <w:tcPr>
            <w:tcW w:w="1843" w:type="dxa"/>
            <w:noWrap w:val="0"/>
            <w:vAlign w:val="center"/>
          </w:tcPr>
          <w:p w14:paraId="569F6B22">
            <w:pPr>
              <w:jc w:val="center"/>
              <w:rPr>
                <w:color w:val="000000" w:themeColor="text1"/>
                <w:highlight w:val="none"/>
                <w14:textFill>
                  <w14:solidFill>
                    <w14:schemeClr w14:val="tx1"/>
                  </w14:solidFill>
                </w14:textFill>
              </w:rPr>
            </w:pPr>
          </w:p>
        </w:tc>
      </w:tr>
      <w:tr w14:paraId="2991A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358AA549">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11</w:t>
            </w:r>
          </w:p>
        </w:tc>
        <w:tc>
          <w:tcPr>
            <w:tcW w:w="1985" w:type="dxa"/>
            <w:noWrap w:val="0"/>
            <w:vAlign w:val="center"/>
          </w:tcPr>
          <w:p w14:paraId="2457331C">
            <w:pP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预付款额度</w:t>
            </w:r>
          </w:p>
        </w:tc>
        <w:tc>
          <w:tcPr>
            <w:tcW w:w="2126" w:type="dxa"/>
            <w:noWrap w:val="0"/>
            <w:tcMar>
              <w:left w:w="170" w:type="dxa"/>
            </w:tcMar>
            <w:vAlign w:val="center"/>
          </w:tcPr>
          <w:p w14:paraId="7724FE5A">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专用条款</w:t>
            </w:r>
          </w:p>
        </w:tc>
        <w:tc>
          <w:tcPr>
            <w:tcW w:w="1984" w:type="dxa"/>
            <w:noWrap w:val="0"/>
            <w:vAlign w:val="center"/>
          </w:tcPr>
          <w:p w14:paraId="5C1A3B53">
            <w:pPr>
              <w:jc w:val="center"/>
              <w:rPr>
                <w:color w:val="000000" w:themeColor="text1"/>
                <w:highlight w:val="none"/>
                <w14:textFill>
                  <w14:solidFill>
                    <w14:schemeClr w14:val="tx1"/>
                  </w14:solidFill>
                </w14:textFill>
              </w:rPr>
            </w:pPr>
          </w:p>
        </w:tc>
        <w:tc>
          <w:tcPr>
            <w:tcW w:w="1843" w:type="dxa"/>
            <w:noWrap w:val="0"/>
            <w:vAlign w:val="center"/>
          </w:tcPr>
          <w:p w14:paraId="28D02FCE">
            <w:pPr>
              <w:jc w:val="center"/>
              <w:rPr>
                <w:color w:val="000000" w:themeColor="text1"/>
                <w:highlight w:val="none"/>
                <w14:textFill>
                  <w14:solidFill>
                    <w14:schemeClr w14:val="tx1"/>
                  </w14:solidFill>
                </w14:textFill>
              </w:rPr>
            </w:pPr>
          </w:p>
        </w:tc>
      </w:tr>
      <w:tr w14:paraId="63846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59731BCA">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12</w:t>
            </w:r>
          </w:p>
        </w:tc>
        <w:tc>
          <w:tcPr>
            <w:tcW w:w="1985" w:type="dxa"/>
            <w:noWrap w:val="0"/>
            <w:vAlign w:val="center"/>
          </w:tcPr>
          <w:p w14:paraId="0C55DA15">
            <w:pP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预付款保函金额</w:t>
            </w:r>
          </w:p>
        </w:tc>
        <w:tc>
          <w:tcPr>
            <w:tcW w:w="2126" w:type="dxa"/>
            <w:noWrap w:val="0"/>
            <w:tcMar>
              <w:left w:w="170" w:type="dxa"/>
            </w:tcMar>
            <w:vAlign w:val="center"/>
          </w:tcPr>
          <w:p w14:paraId="17F526F9">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专用条款</w:t>
            </w:r>
          </w:p>
        </w:tc>
        <w:tc>
          <w:tcPr>
            <w:tcW w:w="1984" w:type="dxa"/>
            <w:noWrap w:val="0"/>
            <w:vAlign w:val="center"/>
          </w:tcPr>
          <w:p w14:paraId="2278870C">
            <w:pPr>
              <w:jc w:val="center"/>
              <w:rPr>
                <w:color w:val="000000" w:themeColor="text1"/>
                <w:highlight w:val="none"/>
                <w14:textFill>
                  <w14:solidFill>
                    <w14:schemeClr w14:val="tx1"/>
                  </w14:solidFill>
                </w14:textFill>
              </w:rPr>
            </w:pPr>
          </w:p>
        </w:tc>
        <w:tc>
          <w:tcPr>
            <w:tcW w:w="1843" w:type="dxa"/>
            <w:noWrap w:val="0"/>
            <w:vAlign w:val="center"/>
          </w:tcPr>
          <w:p w14:paraId="48F9DDE5">
            <w:pPr>
              <w:jc w:val="center"/>
              <w:rPr>
                <w:color w:val="000000" w:themeColor="text1"/>
                <w:highlight w:val="none"/>
                <w14:textFill>
                  <w14:solidFill>
                    <w14:schemeClr w14:val="tx1"/>
                  </w14:solidFill>
                </w14:textFill>
              </w:rPr>
            </w:pPr>
          </w:p>
        </w:tc>
      </w:tr>
      <w:tr w14:paraId="6D1C8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4F9EC440">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13</w:t>
            </w:r>
          </w:p>
        </w:tc>
        <w:tc>
          <w:tcPr>
            <w:tcW w:w="1985" w:type="dxa"/>
            <w:noWrap w:val="0"/>
            <w:vAlign w:val="center"/>
          </w:tcPr>
          <w:p w14:paraId="34732293">
            <w:pP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质量保证金额度</w:t>
            </w:r>
          </w:p>
        </w:tc>
        <w:tc>
          <w:tcPr>
            <w:tcW w:w="2126" w:type="dxa"/>
            <w:noWrap w:val="0"/>
            <w:tcMar>
              <w:left w:w="170" w:type="dxa"/>
            </w:tcMar>
            <w:vAlign w:val="center"/>
          </w:tcPr>
          <w:p w14:paraId="4602AA95">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专用条款</w:t>
            </w:r>
          </w:p>
        </w:tc>
        <w:tc>
          <w:tcPr>
            <w:tcW w:w="1984" w:type="dxa"/>
            <w:noWrap w:val="0"/>
            <w:vAlign w:val="center"/>
          </w:tcPr>
          <w:p w14:paraId="56907465">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结算价的</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3</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w:t>
            </w:r>
          </w:p>
        </w:tc>
        <w:tc>
          <w:tcPr>
            <w:tcW w:w="1843" w:type="dxa"/>
            <w:noWrap w:val="0"/>
            <w:vAlign w:val="center"/>
          </w:tcPr>
          <w:p w14:paraId="298309AB">
            <w:pPr>
              <w:jc w:val="center"/>
              <w:rPr>
                <w:color w:val="000000" w:themeColor="text1"/>
                <w:highlight w:val="none"/>
                <w14:textFill>
                  <w14:solidFill>
                    <w14:schemeClr w14:val="tx1"/>
                  </w14:solidFill>
                </w14:textFill>
              </w:rPr>
            </w:pPr>
          </w:p>
        </w:tc>
      </w:tr>
      <w:tr w14:paraId="78579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74505E17">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p>
        </w:tc>
        <w:tc>
          <w:tcPr>
            <w:tcW w:w="1985" w:type="dxa"/>
            <w:noWrap w:val="0"/>
            <w:vAlign w:val="center"/>
          </w:tcPr>
          <w:p w14:paraId="05051398">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p>
        </w:tc>
        <w:tc>
          <w:tcPr>
            <w:tcW w:w="2126" w:type="dxa"/>
            <w:noWrap w:val="0"/>
            <w:tcMar>
              <w:left w:w="170" w:type="dxa"/>
            </w:tcMar>
            <w:vAlign w:val="center"/>
          </w:tcPr>
          <w:p w14:paraId="789697C4">
            <w:pPr>
              <w:rPr>
                <w:color w:val="000000" w:themeColor="text1"/>
                <w:highlight w:val="none"/>
                <w14:textFill>
                  <w14:solidFill>
                    <w14:schemeClr w14:val="tx1"/>
                  </w14:solidFill>
                </w14:textFill>
              </w:rPr>
            </w:pPr>
          </w:p>
        </w:tc>
        <w:tc>
          <w:tcPr>
            <w:tcW w:w="1984" w:type="dxa"/>
            <w:noWrap w:val="0"/>
            <w:vAlign w:val="center"/>
          </w:tcPr>
          <w:p w14:paraId="18AC4C39">
            <w:pPr>
              <w:jc w:val="center"/>
              <w:rPr>
                <w:color w:val="000000" w:themeColor="text1"/>
                <w:highlight w:val="none"/>
                <w14:textFill>
                  <w14:solidFill>
                    <w14:schemeClr w14:val="tx1"/>
                  </w14:solidFill>
                </w14:textFill>
              </w:rPr>
            </w:pPr>
          </w:p>
        </w:tc>
        <w:tc>
          <w:tcPr>
            <w:tcW w:w="1843" w:type="dxa"/>
            <w:noWrap w:val="0"/>
            <w:vAlign w:val="center"/>
          </w:tcPr>
          <w:p w14:paraId="3CC93EC3">
            <w:pPr>
              <w:jc w:val="center"/>
              <w:rPr>
                <w:color w:val="000000" w:themeColor="text1"/>
                <w:highlight w:val="none"/>
                <w14:textFill>
                  <w14:solidFill>
                    <w14:schemeClr w14:val="tx1"/>
                  </w14:solidFill>
                </w14:textFill>
              </w:rPr>
            </w:pPr>
          </w:p>
        </w:tc>
      </w:tr>
      <w:tr w14:paraId="44FDB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8930" w:type="dxa"/>
            <w:gridSpan w:val="5"/>
            <w:noWrap w:val="0"/>
            <w:vAlign w:val="center"/>
          </w:tcPr>
          <w:p w14:paraId="54DFE85D">
            <w:pPr>
              <w:spacing w:line="360" w:lineRule="auto"/>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说明：供应商在响应磋商文件中规定的实质性要求和条件的基础上，可做出其他有利于采购人的承诺。此类承诺可在本表中予以补充填写。</w:t>
            </w:r>
          </w:p>
        </w:tc>
      </w:tr>
    </w:tbl>
    <w:p w14:paraId="59BCBD90">
      <w:pPr>
        <w:spacing w:line="360" w:lineRule="auto"/>
        <w:ind w:right="-817" w:firstLine="2640"/>
        <w:contextualSpacing/>
        <w:rPr>
          <w:rFonts w:hint="eastAsia" w:ascii="宋体" w:hAnsi="宋体" w:cs="仿宋_GB2312"/>
          <w:color w:val="000000" w:themeColor="text1"/>
          <w:sz w:val="24"/>
          <w:highlight w:val="none"/>
          <w14:textFill>
            <w14:solidFill>
              <w14:schemeClr w14:val="tx1"/>
            </w14:solidFill>
          </w14:textFill>
        </w:rPr>
      </w:pPr>
    </w:p>
    <w:p w14:paraId="2DB04791">
      <w:pPr>
        <w:spacing w:line="360" w:lineRule="auto"/>
        <w:ind w:right="-817" w:firstLine="264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法定代表人或者委托代理人（签字或者</w:t>
      </w:r>
      <w:r>
        <w:rPr>
          <w:rFonts w:hint="eastAsia" w:ascii="宋体" w:hAnsi="宋体" w:cs="仿宋_GB2312"/>
          <w:color w:val="000000" w:themeColor="text1"/>
          <w:sz w:val="24"/>
          <w:highlight w:val="none"/>
          <w:lang w:eastAsia="zh-CN"/>
          <w14:textFill>
            <w14:solidFill>
              <w14:schemeClr w14:val="tx1"/>
            </w14:solidFill>
          </w14:textFill>
        </w:rPr>
        <w:t>盖章或者</w:t>
      </w:r>
      <w:r>
        <w:rPr>
          <w:rFonts w:hint="eastAsia" w:ascii="宋体" w:hAnsi="宋体" w:cs="仿宋_GB2312"/>
          <w:color w:val="000000" w:themeColor="text1"/>
          <w:sz w:val="24"/>
          <w:highlight w:val="none"/>
          <w14:textFill>
            <w14:solidFill>
              <w14:schemeClr w14:val="tx1"/>
            </w14:solidFill>
          </w14:textFill>
        </w:rPr>
        <w:t xml:space="preserve">电子签名）：                    </w:t>
      </w:r>
    </w:p>
    <w:p w14:paraId="5EEFC3F6">
      <w:pPr>
        <w:spacing w:line="360" w:lineRule="auto"/>
        <w:ind w:right="-817" w:firstLine="264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供应商（电子签章）：      </w:t>
      </w:r>
    </w:p>
    <w:p w14:paraId="630839B4">
      <w:pPr>
        <w:spacing w:line="360" w:lineRule="auto"/>
        <w:jc w:val="center"/>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日期：   年   月   日</w:t>
      </w:r>
    </w:p>
    <w:p w14:paraId="79684D09">
      <w:pPr>
        <w:spacing w:line="360" w:lineRule="auto"/>
        <w:jc w:val="center"/>
        <w:rPr>
          <w:rFonts w:hint="eastAsia" w:ascii="方正小标宋简体" w:hAnsi="方正小标宋简体" w:eastAsia="方正小标宋简体" w:cs="方正小标宋简体"/>
          <w:bCs/>
          <w:color w:val="000000" w:themeColor="text1"/>
          <w:sz w:val="32"/>
          <w:szCs w:val="32"/>
          <w:highlight w:val="none"/>
          <w14:textFill>
            <w14:solidFill>
              <w14:schemeClr w14:val="tx1"/>
            </w14:solidFill>
          </w14:textFill>
        </w:rPr>
      </w:pPr>
      <w:r>
        <w:rPr>
          <w:rFonts w:ascii="宋体" w:hAnsi="宋体" w:cs="仿宋_GB2312"/>
          <w:color w:val="000000" w:themeColor="text1"/>
          <w:sz w:val="24"/>
          <w:highlight w:val="none"/>
          <w14:textFill>
            <w14:solidFill>
              <w14:schemeClr w14:val="tx1"/>
            </w14:solidFill>
          </w14:textFill>
        </w:rPr>
        <w:br w:type="page" w:clear="all"/>
      </w:r>
      <w:r>
        <w:rPr>
          <w:rFonts w:hint="eastAsia" w:ascii="宋体" w:hAnsi="宋体" w:cs="方正小标宋简体"/>
          <w:b/>
          <w:bCs/>
          <w:color w:val="000000" w:themeColor="text1"/>
          <w:sz w:val="32"/>
          <w:szCs w:val="32"/>
          <w:highlight w:val="none"/>
          <w14:textFill>
            <w14:solidFill>
              <w14:schemeClr w14:val="tx1"/>
            </w14:solidFill>
          </w14:textFill>
        </w:rPr>
        <w:t>竞标报价表</w:t>
      </w:r>
    </w:p>
    <w:p w14:paraId="496F9BC1">
      <w:pPr>
        <w:spacing w:line="440" w:lineRule="exact"/>
        <w:jc w:val="center"/>
        <w:rPr>
          <w:rFonts w:hint="eastAsia" w:ascii="方正小标宋简体" w:hAnsi="方正小标宋简体" w:eastAsia="方正小标宋简体" w:cs="方正小标宋简体"/>
          <w:bCs/>
          <w:color w:val="000000" w:themeColor="text1"/>
          <w:sz w:val="32"/>
          <w:szCs w:val="32"/>
          <w:highlight w:val="none"/>
          <w14:textFill>
            <w14:solidFill>
              <w14:schemeClr w14:val="tx1"/>
            </w14:solidFill>
          </w14:textFill>
        </w:rPr>
      </w:pPr>
    </w:p>
    <w:p w14:paraId="22B84299">
      <w:pPr>
        <w:spacing w:line="360" w:lineRule="auto"/>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项目名称：</w:t>
      </w:r>
      <w:r>
        <w:rPr>
          <w:rFonts w:hint="eastAsia" w:ascii="宋体" w:hAnsi="宋体" w:cs="仿宋_GB2312"/>
          <w:color w:val="000000" w:themeColor="text1"/>
          <w:sz w:val="24"/>
          <w:highlight w:val="none"/>
          <w:u w:val="singl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项目编号：</w:t>
      </w:r>
      <w:r>
        <w:rPr>
          <w:rFonts w:hint="eastAsia" w:ascii="宋体" w:hAnsi="宋体" w:cs="仿宋_GB2312"/>
          <w:color w:val="000000" w:themeColor="text1"/>
          <w:sz w:val="24"/>
          <w:highlight w:val="none"/>
          <w:u w:val="singl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 xml:space="preserve">     </w:t>
      </w:r>
    </w:p>
    <w:p w14:paraId="406B7700">
      <w:pPr>
        <w:spacing w:line="360" w:lineRule="auto"/>
        <w:contextualSpacing/>
        <w:rPr>
          <w:rFonts w:hint="eastAsia" w:ascii="宋体" w:hAnsi="宋体" w:cs="仿宋_GB2312"/>
          <w:color w:val="000000" w:themeColor="text1"/>
          <w:sz w:val="24"/>
          <w:highlight w:val="none"/>
          <w:u w:val="singl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分标（如有）：</w:t>
      </w:r>
      <w:r>
        <w:rPr>
          <w:rFonts w:hint="eastAsia" w:ascii="宋体" w:hAnsi="宋体" w:cs="仿宋_GB2312"/>
          <w:color w:val="000000" w:themeColor="text1"/>
          <w:sz w:val="24"/>
          <w:highlight w:val="none"/>
          <w:u w:val="single"/>
          <w14:textFill>
            <w14:solidFill>
              <w14:schemeClr w14:val="tx1"/>
            </w14:solidFill>
          </w14:textFill>
        </w:rPr>
        <w:t xml:space="preserve">            </w:t>
      </w:r>
    </w:p>
    <w:p w14:paraId="71E5EFC5">
      <w:pPr>
        <w:spacing w:line="360" w:lineRule="auto"/>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供应商名称：</w:t>
      </w:r>
      <w:r>
        <w:rPr>
          <w:rFonts w:hint="eastAsia" w:ascii="宋体" w:hAnsi="宋体" w:cs="仿宋_GB2312"/>
          <w:color w:val="000000" w:themeColor="text1"/>
          <w:sz w:val="24"/>
          <w:highlight w:val="none"/>
          <w:u w:val="singl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 xml:space="preserve">   </w:t>
      </w:r>
    </w:p>
    <w:p w14:paraId="2D4D62BA">
      <w:pPr>
        <w:spacing w:line="360" w:lineRule="auto"/>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                                                单位：元</w:t>
      </w:r>
    </w:p>
    <w:tbl>
      <w:tblPr>
        <w:tblStyle w:val="45"/>
        <w:tblW w:w="9095"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2712"/>
        <w:gridCol w:w="1505"/>
        <w:gridCol w:w="3107"/>
        <w:gridCol w:w="1184"/>
      </w:tblGrid>
      <w:tr w14:paraId="21C56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0"/>
            <w:vAlign w:val="center"/>
          </w:tcPr>
          <w:p w14:paraId="7543C934">
            <w:pPr>
              <w:spacing w:line="360" w:lineRule="auto"/>
              <w:contextualSpacing/>
              <w:jc w:val="center"/>
              <w:rPr>
                <w:rFonts w:ascii="宋体" w:hAnsi="宋体" w:cs="仿宋_GB2312"/>
                <w:color w:val="000000" w:themeColor="text1"/>
                <w:sz w:val="24"/>
                <w:highlight w:val="none"/>
                <w14:textFill>
                  <w14:solidFill>
                    <w14:schemeClr w14:val="tx1"/>
                  </w14:solidFill>
                </w14:textFill>
              </w:rPr>
            </w:pPr>
            <w:r>
              <w:rPr>
                <w:rFonts w:ascii="宋体" w:hAnsi="宋体" w:cs="仿宋_GB2312"/>
                <w:color w:val="000000" w:themeColor="text1"/>
                <w:sz w:val="24"/>
                <w:highlight w:val="none"/>
                <w14:textFill>
                  <w14:solidFill>
                    <w14:schemeClr w14:val="tx1"/>
                  </w14:solidFill>
                </w14:textFill>
              </w:rPr>
              <w:t>序号</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00A032F4">
            <w:pPr>
              <w:spacing w:line="360" w:lineRule="auto"/>
              <w:contextualSpacing/>
              <w:jc w:val="center"/>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项目</w:t>
            </w:r>
            <w:r>
              <w:rPr>
                <w:rFonts w:ascii="宋体" w:hAnsi="宋体" w:cs="仿宋_GB2312"/>
                <w:color w:val="000000" w:themeColor="text1"/>
                <w:sz w:val="24"/>
                <w:highlight w:val="none"/>
                <w14:textFill>
                  <w14:solidFill>
                    <w14:schemeClr w14:val="tx1"/>
                  </w14:solidFill>
                </w14:textFill>
              </w:rPr>
              <w:t>名称</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590B687E">
            <w:pPr>
              <w:spacing w:line="360" w:lineRule="auto"/>
              <w:contextualSpacing/>
              <w:jc w:val="center"/>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数量及单位</w:t>
            </w:r>
          </w:p>
        </w:tc>
        <w:tc>
          <w:tcPr>
            <w:tcW w:w="3107" w:type="dxa"/>
            <w:tcBorders>
              <w:top w:val="single" w:color="auto" w:sz="4" w:space="0"/>
              <w:left w:val="single" w:color="auto" w:sz="4" w:space="0"/>
              <w:bottom w:val="single" w:color="auto" w:sz="4" w:space="0"/>
              <w:right w:val="single" w:color="auto" w:sz="4" w:space="0"/>
            </w:tcBorders>
            <w:noWrap w:val="0"/>
            <w:vAlign w:val="center"/>
          </w:tcPr>
          <w:p w14:paraId="7DC0B3CD">
            <w:pPr>
              <w:spacing w:line="360" w:lineRule="auto"/>
              <w:contextualSpacing/>
              <w:jc w:val="center"/>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总价</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1F3E08F4">
            <w:pPr>
              <w:spacing w:line="360" w:lineRule="auto"/>
              <w:contextualSpacing/>
              <w:jc w:val="center"/>
              <w:rPr>
                <w:rFonts w:ascii="宋体" w:hAnsi="宋体" w:cs="仿宋_GB2312"/>
                <w:color w:val="000000" w:themeColor="text1"/>
                <w:sz w:val="24"/>
                <w:highlight w:val="none"/>
                <w14:textFill>
                  <w14:solidFill>
                    <w14:schemeClr w14:val="tx1"/>
                  </w14:solidFill>
                </w14:textFill>
              </w:rPr>
            </w:pPr>
            <w:r>
              <w:rPr>
                <w:rFonts w:ascii="宋体" w:hAnsi="宋体" w:cs="仿宋_GB2312"/>
                <w:color w:val="000000" w:themeColor="text1"/>
                <w:sz w:val="24"/>
                <w:highlight w:val="none"/>
                <w14:textFill>
                  <w14:solidFill>
                    <w14:schemeClr w14:val="tx1"/>
                  </w14:solidFill>
                </w14:textFill>
              </w:rPr>
              <w:t>备注</w:t>
            </w:r>
          </w:p>
        </w:tc>
      </w:tr>
      <w:tr w14:paraId="5B017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0"/>
            <w:vAlign w:val="center"/>
          </w:tcPr>
          <w:p w14:paraId="7BC0620A">
            <w:pPr>
              <w:spacing w:line="360" w:lineRule="auto"/>
              <w:contextualSpacing/>
              <w:jc w:val="center"/>
              <w:rPr>
                <w:rFonts w:ascii="宋体" w:hAnsi="宋体" w:cs="仿宋_GB2312"/>
                <w:color w:val="000000" w:themeColor="text1"/>
                <w:sz w:val="24"/>
                <w:highlight w:val="none"/>
                <w14:textFill>
                  <w14:solidFill>
                    <w14:schemeClr w14:val="tx1"/>
                  </w14:solidFill>
                </w14:textFill>
              </w:rPr>
            </w:pPr>
            <w:r>
              <w:rPr>
                <w:rFonts w:ascii="宋体" w:hAnsi="宋体" w:cs="仿宋_GB2312"/>
                <w:color w:val="000000" w:themeColor="text1"/>
                <w:sz w:val="24"/>
                <w:highlight w:val="none"/>
                <w14:textFill>
                  <w14:solidFill>
                    <w14:schemeClr w14:val="tx1"/>
                  </w14:solidFill>
                </w14:textFill>
              </w:rPr>
              <w:t>1</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7318D34F">
            <w:pPr>
              <w:spacing w:line="360" w:lineRule="auto"/>
              <w:contextualSpacing/>
              <w:jc w:val="center"/>
              <w:rPr>
                <w:rFonts w:ascii="宋体" w:hAnsi="宋体" w:cs="仿宋_GB2312"/>
                <w:color w:val="000000" w:themeColor="text1"/>
                <w:sz w:val="24"/>
                <w:highlight w:val="none"/>
                <w14:textFill>
                  <w14:solidFill>
                    <w14:schemeClr w14:val="tx1"/>
                  </w14:solidFill>
                </w14:textFill>
              </w:rPr>
            </w:pPr>
          </w:p>
        </w:tc>
        <w:tc>
          <w:tcPr>
            <w:tcW w:w="1505" w:type="dxa"/>
            <w:tcBorders>
              <w:top w:val="single" w:color="auto" w:sz="4" w:space="0"/>
              <w:left w:val="single" w:color="auto" w:sz="4" w:space="0"/>
              <w:bottom w:val="single" w:color="auto" w:sz="4" w:space="0"/>
              <w:right w:val="single" w:color="auto" w:sz="4" w:space="0"/>
            </w:tcBorders>
            <w:noWrap w:val="0"/>
            <w:vAlign w:val="center"/>
          </w:tcPr>
          <w:p w14:paraId="0B6AAC02">
            <w:pPr>
              <w:spacing w:line="360" w:lineRule="auto"/>
              <w:contextualSpacing/>
              <w:jc w:val="center"/>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1项</w:t>
            </w:r>
          </w:p>
        </w:tc>
        <w:tc>
          <w:tcPr>
            <w:tcW w:w="3107" w:type="dxa"/>
            <w:tcBorders>
              <w:top w:val="single" w:color="auto" w:sz="4" w:space="0"/>
              <w:left w:val="single" w:color="auto" w:sz="4" w:space="0"/>
              <w:bottom w:val="single" w:color="auto" w:sz="4" w:space="0"/>
              <w:right w:val="single" w:color="auto" w:sz="4" w:space="0"/>
            </w:tcBorders>
            <w:noWrap w:val="0"/>
            <w:vAlign w:val="top"/>
          </w:tcPr>
          <w:p w14:paraId="1D84414B">
            <w:pPr>
              <w:spacing w:line="360" w:lineRule="auto"/>
              <w:contextualSpacing/>
              <w:rPr>
                <w:rFonts w:ascii="宋体" w:hAnsi="宋体" w:cs="仿宋_GB2312"/>
                <w:color w:val="000000" w:themeColor="text1"/>
                <w:sz w:val="24"/>
                <w:highlight w:val="none"/>
                <w14:textFill>
                  <w14:solidFill>
                    <w14:schemeClr w14:val="tx1"/>
                  </w14:solidFill>
                </w14:textFill>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369986AA">
            <w:pPr>
              <w:spacing w:line="360" w:lineRule="auto"/>
              <w:contextualSpacing/>
              <w:rPr>
                <w:rFonts w:ascii="宋体" w:hAnsi="宋体" w:cs="仿宋_GB2312"/>
                <w:color w:val="000000" w:themeColor="text1"/>
                <w:sz w:val="24"/>
                <w:highlight w:val="none"/>
                <w14:textFill>
                  <w14:solidFill>
                    <w14:schemeClr w14:val="tx1"/>
                  </w14:solidFill>
                </w14:textFill>
              </w:rPr>
            </w:pPr>
          </w:p>
        </w:tc>
      </w:tr>
      <w:tr w14:paraId="4CC41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095" w:type="dxa"/>
            <w:gridSpan w:val="5"/>
            <w:tcBorders>
              <w:top w:val="single" w:color="auto" w:sz="4" w:space="0"/>
              <w:left w:val="single" w:color="auto" w:sz="4" w:space="0"/>
              <w:bottom w:val="single" w:color="auto" w:sz="4" w:space="0"/>
              <w:right w:val="single" w:color="auto" w:sz="4" w:space="0"/>
            </w:tcBorders>
            <w:noWrap w:val="0"/>
            <w:vAlign w:val="center"/>
          </w:tcPr>
          <w:p w14:paraId="5EE1AF1B">
            <w:pPr>
              <w:spacing w:line="360" w:lineRule="auto"/>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合计金额（人民币）</w:t>
            </w:r>
            <w:r>
              <w:rPr>
                <w:rFonts w:hint="eastAsia" w:ascii="宋体" w:hAnsi="宋体" w:cs="仿宋_GB2312"/>
                <w:color w:val="000000" w:themeColor="text1"/>
                <w:sz w:val="24"/>
                <w:highlight w:val="none"/>
                <w:u w:val="single"/>
                <w14:textFill>
                  <w14:solidFill>
                    <w14:schemeClr w14:val="tx1"/>
                  </w14:solidFill>
                </w14:textFill>
              </w:rPr>
              <w:t xml:space="preserve">大写：                      </w:t>
            </w:r>
            <w:r>
              <w:rPr>
                <w:rFonts w:hint="eastAsia" w:ascii="宋体" w:hAnsi="宋体" w:cs="仿宋_GB2312"/>
                <w:color w:val="000000" w:themeColor="text1"/>
                <w:sz w:val="24"/>
                <w:highlight w:val="none"/>
                <w14:textFill>
                  <w14:solidFill>
                    <w14:schemeClr w14:val="tx1"/>
                  </w14:solidFill>
                </w14:textFill>
              </w:rPr>
              <w:t xml:space="preserve"> （¥</w:t>
            </w:r>
            <w:r>
              <w:rPr>
                <w:rFonts w:hint="eastAsia" w:ascii="宋体" w:hAnsi="宋体" w:cs="仿宋_GB2312"/>
                <w:color w:val="000000" w:themeColor="text1"/>
                <w:sz w:val="24"/>
                <w:highlight w:val="none"/>
                <w:u w:val="singl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w:t>
            </w:r>
          </w:p>
        </w:tc>
      </w:tr>
    </w:tbl>
    <w:p w14:paraId="55DFA065">
      <w:pPr>
        <w:spacing w:line="360" w:lineRule="auto"/>
        <w:contextualSpacing/>
        <w:jc w:val="left"/>
        <w:rPr>
          <w:rFonts w:ascii="宋体" w:hAnsi="宋体" w:cs="仿宋_GB2312"/>
          <w:color w:val="000000" w:themeColor="text1"/>
          <w:sz w:val="24"/>
          <w:highlight w:val="none"/>
          <w14:textFill>
            <w14:solidFill>
              <w14:schemeClr w14:val="tx1"/>
            </w14:solidFill>
          </w14:textFill>
        </w:rPr>
      </w:pPr>
    </w:p>
    <w:p w14:paraId="72E0CE10">
      <w:pPr>
        <w:spacing w:line="360" w:lineRule="auto"/>
        <w:contextualSpacing/>
        <w:jc w:val="left"/>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注: </w:t>
      </w:r>
    </w:p>
    <w:p w14:paraId="62A69EDB">
      <w:pPr>
        <w:spacing w:line="360" w:lineRule="auto"/>
        <w:ind w:firstLine="480"/>
        <w:contextualSpacing/>
        <w:jc w:val="left"/>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1. 供应商的报价表必须加盖供应商电子签章并由法定代表人或者委托代理人签字或者电子签名，</w:t>
      </w:r>
      <w:r>
        <w:rPr>
          <w:rFonts w:hint="eastAsia" w:ascii="宋体" w:hAnsi="宋体" w:cs="仿宋_GB2312"/>
          <w:b/>
          <w:color w:val="000000" w:themeColor="text1"/>
          <w:sz w:val="24"/>
          <w:highlight w:val="none"/>
          <w14:textFill>
            <w14:solidFill>
              <w14:schemeClr w14:val="tx1"/>
            </w14:solidFill>
          </w14:textFill>
        </w:rPr>
        <w:t>否则其响应文件按无效处理</w:t>
      </w:r>
      <w:r>
        <w:rPr>
          <w:rFonts w:hint="eastAsia" w:ascii="宋体" w:hAnsi="宋体" w:cs="仿宋_GB2312"/>
          <w:color w:val="000000" w:themeColor="text1"/>
          <w:sz w:val="24"/>
          <w:highlight w:val="none"/>
          <w14:textFill>
            <w14:solidFill>
              <w14:schemeClr w14:val="tx1"/>
            </w14:solidFill>
          </w14:textFill>
        </w:rPr>
        <w:t>。</w:t>
      </w:r>
    </w:p>
    <w:p w14:paraId="20D01EF8">
      <w:pPr>
        <w:spacing w:line="360" w:lineRule="auto"/>
        <w:ind w:firstLine="480"/>
        <w:contextualSpacing/>
        <w:jc w:val="left"/>
        <w:rPr>
          <w:rFonts w:hint="eastAsia" w:ascii="宋体" w:hAnsi="宋体" w:cs="仿宋_GB2312"/>
          <w:b/>
          <w:color w:val="000000" w:themeColor="text1"/>
          <w:sz w:val="24"/>
          <w:highlight w:val="none"/>
          <w14:textFill>
            <w14:solidFill>
              <w14:schemeClr w14:val="tx1"/>
            </w14:solidFill>
          </w14:textFill>
        </w:rPr>
      </w:pPr>
      <w:r>
        <w:rPr>
          <w:rFonts w:hint="eastAsia" w:ascii="宋体" w:hAnsi="宋体" w:cs="仿宋_GB2312"/>
          <w:bCs/>
          <w:color w:val="000000" w:themeColor="text1"/>
          <w:sz w:val="24"/>
          <w:highlight w:val="none"/>
          <w14:textFill>
            <w14:solidFill>
              <w14:schemeClr w14:val="tx1"/>
            </w14:solidFill>
          </w14:textFill>
        </w:rPr>
        <w:t>2.</w:t>
      </w:r>
      <w:r>
        <w:rPr>
          <w:rFonts w:hint="eastAsia" w:ascii="宋体" w:hAnsi="宋体" w:cs="仿宋_GB2312"/>
          <w:color w:val="000000" w:themeColor="text1"/>
          <w:sz w:val="24"/>
          <w:highlight w:val="none"/>
          <w14:textFill>
            <w14:solidFill>
              <w14:schemeClr w14:val="tx1"/>
            </w14:solidFill>
          </w14:textFill>
        </w:rPr>
        <w:t xml:space="preserve"> 报价一经涂改，应在涂改处加盖供应商公章或者加盖电子签章或者由法定代表人或者授权委托人签字</w:t>
      </w:r>
      <w:r>
        <w:rPr>
          <w:rFonts w:hint="eastAsia" w:ascii="宋体" w:hAnsi="宋体"/>
          <w:color w:val="000000" w:themeColor="text1"/>
          <w:sz w:val="24"/>
          <w:highlight w:val="none"/>
          <w14:textFill>
            <w14:solidFill>
              <w14:schemeClr w14:val="tx1"/>
            </w14:solidFill>
          </w14:textFill>
        </w:rPr>
        <w:t>（或者电子签名）</w:t>
      </w:r>
      <w:r>
        <w:rPr>
          <w:rFonts w:hint="eastAsia" w:ascii="宋体" w:hAnsi="宋体" w:cs="仿宋_GB2312"/>
          <w:b/>
          <w:color w:val="000000" w:themeColor="text1"/>
          <w:sz w:val="24"/>
          <w:highlight w:val="none"/>
          <w14:textFill>
            <w14:solidFill>
              <w14:schemeClr w14:val="tx1"/>
            </w14:solidFill>
          </w14:textFill>
        </w:rPr>
        <w:t>，否则其响应文件按无效处理。</w:t>
      </w:r>
    </w:p>
    <w:p w14:paraId="7008C878">
      <w:pPr>
        <w:spacing w:line="360" w:lineRule="auto"/>
        <w:ind w:firstLine="480"/>
        <w:contextualSpacing/>
        <w:jc w:val="left"/>
        <w:rPr>
          <w:rFonts w:ascii="宋体" w:hAnsi="宋体" w:cs="仿宋_GB2312"/>
          <w:b/>
          <w:color w:val="000000" w:themeColor="text1"/>
          <w:sz w:val="24"/>
          <w:highlight w:val="none"/>
          <w14:textFill>
            <w14:solidFill>
              <w14:schemeClr w14:val="tx1"/>
            </w14:solidFill>
          </w14:textFill>
        </w:rPr>
      </w:pPr>
      <w:r>
        <w:rPr>
          <w:rFonts w:ascii="宋体" w:hAnsi="宋体" w:cs="仿宋_GB2312"/>
          <w:color w:val="000000" w:themeColor="text1"/>
          <w:sz w:val="24"/>
          <w:highlight w:val="none"/>
          <w14:textFill>
            <w14:solidFill>
              <w14:schemeClr w14:val="tx1"/>
            </w14:solidFill>
          </w14:textFill>
        </w:rPr>
        <w:t>3</w:t>
      </w:r>
      <w:r>
        <w:rPr>
          <w:rFonts w:hint="eastAsia" w:ascii="宋体" w:hAnsi="宋体" w:cs="仿宋_GB2312"/>
          <w:color w:val="000000" w:themeColor="text1"/>
          <w:sz w:val="24"/>
          <w:highlight w:val="none"/>
          <w14:textFill>
            <w14:solidFill>
              <w14:schemeClr w14:val="tx1"/>
            </w14:solidFill>
          </w14:textFill>
        </w:rPr>
        <w:t>.如为联合体竞标，“供应商名称”处必须列明联合体各方名称，标注联合体牵头人名称，</w:t>
      </w:r>
      <w:r>
        <w:rPr>
          <w:rFonts w:hint="eastAsia" w:ascii="宋体" w:hAnsi="宋体" w:cs="仿宋_GB2312"/>
          <w:b/>
          <w:color w:val="000000" w:themeColor="text1"/>
          <w:sz w:val="24"/>
          <w:highlight w:val="none"/>
          <w14:textFill>
            <w14:solidFill>
              <w14:schemeClr w14:val="tx1"/>
            </w14:solidFill>
          </w14:textFill>
        </w:rPr>
        <w:t>否则其响应文件按无效处理。</w:t>
      </w:r>
    </w:p>
    <w:p w14:paraId="3DA6598A">
      <w:pPr>
        <w:spacing w:line="360" w:lineRule="auto"/>
        <w:ind w:firstLine="480"/>
        <w:contextualSpacing/>
        <w:jc w:val="left"/>
        <w:rPr>
          <w:rFonts w:hint="eastAsia" w:ascii="宋体" w:hAnsi="宋体" w:cs="仿宋_GB2312"/>
          <w:color w:val="000000" w:themeColor="text1"/>
          <w:sz w:val="24"/>
          <w:highlight w:val="none"/>
          <w14:textFill>
            <w14:solidFill>
              <w14:schemeClr w14:val="tx1"/>
            </w14:solidFill>
          </w14:textFill>
        </w:rPr>
      </w:pPr>
      <w:r>
        <w:rPr>
          <w:rFonts w:ascii="宋体" w:hAnsi="宋体" w:cs="仿宋_GB2312"/>
          <w:color w:val="000000" w:themeColor="text1"/>
          <w:sz w:val="24"/>
          <w:highlight w:val="none"/>
          <w14:textFill>
            <w14:solidFill>
              <w14:schemeClr w14:val="tx1"/>
            </w14:solidFill>
          </w14:textFill>
        </w:rPr>
        <w:t>4</w:t>
      </w:r>
      <w:r>
        <w:rPr>
          <w:rFonts w:hint="eastAsia" w:ascii="宋体" w:hAnsi="宋体" w:cs="仿宋_GB2312"/>
          <w:color w:val="000000" w:themeColor="text1"/>
          <w:sz w:val="24"/>
          <w:highlight w:val="none"/>
          <w14:textFill>
            <w14:solidFill>
              <w14:schemeClr w14:val="tx1"/>
            </w14:solidFill>
          </w14:textFill>
        </w:rPr>
        <w:t>. 如为联合体竞标，</w:t>
      </w:r>
      <w:r>
        <w:rPr>
          <w:rFonts w:hint="eastAsia" w:ascii="宋体" w:hAnsi="宋体"/>
          <w:color w:val="000000" w:themeColor="text1"/>
          <w:spacing w:val="-6"/>
          <w:sz w:val="24"/>
          <w:highlight w:val="none"/>
          <w14:textFill>
            <w14:solidFill>
              <w14:schemeClr w14:val="tx1"/>
            </w14:solidFill>
          </w14:textFill>
        </w:rPr>
        <w:t xml:space="preserve"> 盖章处须加盖联合体牵头人电子签章</w:t>
      </w:r>
      <w:r>
        <w:rPr>
          <w:rFonts w:hint="eastAsia" w:ascii="宋体" w:hAnsi="宋体" w:cs="仿宋_GB2312"/>
          <w:color w:val="000000" w:themeColor="text1"/>
          <w:sz w:val="24"/>
          <w:highlight w:val="none"/>
          <w14:textFill>
            <w14:solidFill>
              <w14:schemeClr w14:val="tx1"/>
            </w14:solidFill>
          </w14:textFill>
        </w:rPr>
        <w:t>，</w:t>
      </w:r>
      <w:r>
        <w:rPr>
          <w:rFonts w:hint="eastAsia" w:ascii="宋体" w:hAnsi="宋体" w:cs="仿宋_GB2312"/>
          <w:b/>
          <w:color w:val="000000" w:themeColor="text1"/>
          <w:sz w:val="24"/>
          <w:highlight w:val="none"/>
          <w14:textFill>
            <w14:solidFill>
              <w14:schemeClr w14:val="tx1"/>
            </w14:solidFill>
          </w14:textFill>
        </w:rPr>
        <w:t>否则其响应文件按无效处理。</w:t>
      </w:r>
    </w:p>
    <w:p w14:paraId="283707F4">
      <w:pPr>
        <w:spacing w:line="360" w:lineRule="auto"/>
        <w:ind w:firstLine="480"/>
        <w:contextualSpacing/>
        <w:rPr>
          <w:rFonts w:hint="eastAsia" w:ascii="宋体" w:hAnsi="宋体" w:cs="仿宋_GB2312"/>
          <w:color w:val="000000" w:themeColor="text1"/>
          <w:sz w:val="24"/>
          <w:highlight w:val="none"/>
          <w14:textFill>
            <w14:solidFill>
              <w14:schemeClr w14:val="tx1"/>
            </w14:solidFill>
          </w14:textFill>
        </w:rPr>
      </w:pPr>
      <w:r>
        <w:rPr>
          <w:rFonts w:ascii="宋体" w:hAnsi="宋体" w:cs="仿宋_GB2312"/>
          <w:color w:val="000000" w:themeColor="text1"/>
          <w:sz w:val="24"/>
          <w:highlight w:val="none"/>
          <w14:textFill>
            <w14:solidFill>
              <w14:schemeClr w14:val="tx1"/>
            </w14:solidFill>
          </w14:textFill>
        </w:rPr>
        <w:t>5</w:t>
      </w:r>
      <w:r>
        <w:rPr>
          <w:rFonts w:hint="eastAsia" w:ascii="宋体" w:hAnsi="宋体" w:cs="仿宋_GB2312"/>
          <w:color w:val="000000" w:themeColor="text1"/>
          <w:sz w:val="24"/>
          <w:highlight w:val="none"/>
          <w14:textFill>
            <w14:solidFill>
              <w14:schemeClr w14:val="tx1"/>
            </w14:solidFill>
          </w14:textFill>
        </w:rPr>
        <w:t>.</w:t>
      </w:r>
      <w:r>
        <w:rPr>
          <w:rFonts w:hint="eastAsia" w:ascii="宋体" w:hAnsi="宋体" w:cs="仿宋_GB2312"/>
          <w:color w:val="000000" w:themeColor="text1"/>
          <w:spacing w:val="-6"/>
          <w:sz w:val="24"/>
          <w:highlight w:val="none"/>
          <w14:textFill>
            <w14:solidFill>
              <w14:schemeClr w14:val="tx1"/>
            </w14:solidFill>
          </w14:textFill>
        </w:rPr>
        <w:t>如有多分标，分别列明各分标的报价表，</w:t>
      </w:r>
      <w:r>
        <w:rPr>
          <w:rFonts w:hint="eastAsia" w:ascii="宋体" w:hAnsi="宋体" w:cs="仿宋_GB2312"/>
          <w:b/>
          <w:color w:val="000000" w:themeColor="text1"/>
          <w:spacing w:val="-6"/>
          <w:sz w:val="24"/>
          <w:highlight w:val="none"/>
          <w14:textFill>
            <w14:solidFill>
              <w14:schemeClr w14:val="tx1"/>
            </w14:solidFill>
          </w14:textFill>
        </w:rPr>
        <w:t>否则其响应文件按无效处理。</w:t>
      </w:r>
    </w:p>
    <w:p w14:paraId="008A25EB">
      <w:pPr>
        <w:spacing w:line="360" w:lineRule="auto"/>
        <w:ind w:right="-817"/>
        <w:contextualSpacing/>
        <w:rPr>
          <w:rFonts w:hint="eastAsia" w:ascii="宋体" w:hAnsi="宋体" w:cs="仿宋_GB2312"/>
          <w:color w:val="000000" w:themeColor="text1"/>
          <w:sz w:val="24"/>
          <w:highlight w:val="none"/>
          <w14:textFill>
            <w14:solidFill>
              <w14:schemeClr w14:val="tx1"/>
            </w14:solidFill>
          </w14:textFill>
        </w:rPr>
      </w:pPr>
    </w:p>
    <w:p w14:paraId="0C1BD496">
      <w:pPr>
        <w:spacing w:line="360" w:lineRule="auto"/>
        <w:ind w:right="-817" w:firstLine="264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法定代表人或者委托代理人（签字或者电子签名）：                    </w:t>
      </w:r>
    </w:p>
    <w:p w14:paraId="2F45C9C1">
      <w:pPr>
        <w:spacing w:line="360" w:lineRule="auto"/>
        <w:ind w:right="-817" w:firstLine="264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供应商（电子签章）：      </w:t>
      </w:r>
    </w:p>
    <w:p w14:paraId="0C0F59FA">
      <w:pPr>
        <w:spacing w:line="360" w:lineRule="auto"/>
        <w:ind w:right="-817" w:firstLine="408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日期：   年   月   日</w:t>
      </w:r>
    </w:p>
    <w:p w14:paraId="36F5056A">
      <w:pPr>
        <w:spacing w:line="360" w:lineRule="auto"/>
        <w:contextualSpacing/>
        <w:jc w:val="center"/>
        <w:rPr>
          <w:rFonts w:hint="eastAsia" w:ascii="宋体" w:hAnsi="宋体" w:cs="仿宋_GB2312"/>
          <w:b/>
          <w:color w:val="000000" w:themeColor="text1"/>
          <w:sz w:val="32"/>
          <w:szCs w:val="32"/>
          <w:highlight w:val="none"/>
          <w14:textFill>
            <w14:solidFill>
              <w14:schemeClr w14:val="tx1"/>
            </w14:solidFill>
          </w14:textFill>
        </w:rPr>
      </w:pPr>
      <w:r>
        <w:rPr>
          <w:rFonts w:ascii="宋体" w:hAnsi="宋体" w:cs="仿宋_GB2312"/>
          <w:color w:val="000000" w:themeColor="text1"/>
          <w:sz w:val="24"/>
          <w:highlight w:val="none"/>
          <w14:textFill>
            <w14:solidFill>
              <w14:schemeClr w14:val="tx1"/>
            </w14:solidFill>
          </w14:textFill>
        </w:rPr>
        <w:br w:type="page" w:clear="all"/>
      </w:r>
      <w:r>
        <w:rPr>
          <w:rFonts w:hint="eastAsia" w:ascii="宋体" w:hAnsi="宋体" w:cs="宋体"/>
          <w:b/>
          <w:color w:val="000000" w:themeColor="text1"/>
          <w:sz w:val="32"/>
          <w:szCs w:val="32"/>
          <w:highlight w:val="none"/>
          <w14:textFill>
            <w14:solidFill>
              <w14:schemeClr w14:val="tx1"/>
            </w14:solidFill>
          </w14:textFill>
        </w:rPr>
        <w:t>已标价工程量清单</w:t>
      </w:r>
    </w:p>
    <w:p w14:paraId="5F1FA634">
      <w:pPr>
        <w:spacing w:line="360" w:lineRule="auto"/>
        <w:ind w:firstLine="42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 </w:t>
      </w:r>
      <w:r>
        <w:rPr>
          <w:rFonts w:hint="eastAsia" w:cs="宋体"/>
          <w:color w:val="000000" w:themeColor="text1"/>
          <w:highlight w:val="none"/>
          <w14:textFill>
            <w14:solidFill>
              <w14:schemeClr w14:val="tx1"/>
            </w14:solidFill>
          </w14:textFill>
        </w:rPr>
        <w:t>已标价工程量清单应按第五章</w:t>
      </w:r>
      <w:r>
        <w:rPr>
          <w:rFonts w:hint="eastAsia"/>
          <w:color w:val="000000" w:themeColor="text1"/>
          <w:highlight w:val="none"/>
          <w14:textFill>
            <w14:solidFill>
              <w14:schemeClr w14:val="tx1"/>
            </w14:solidFill>
          </w14:textFill>
        </w:rPr>
        <w:t>“工程量清单及图纸”</w:t>
      </w:r>
      <w:r>
        <w:rPr>
          <w:rFonts w:hint="eastAsia" w:cs="宋体"/>
          <w:color w:val="000000" w:themeColor="text1"/>
          <w:highlight w:val="none"/>
          <w14:textFill>
            <w14:solidFill>
              <w14:schemeClr w14:val="tx1"/>
            </w14:solidFill>
          </w14:textFill>
        </w:rPr>
        <w:t>中的相关表格及竞标报价说明填写。构成合同文件的已标价工程量清单包括第五章</w:t>
      </w:r>
      <w:r>
        <w:rPr>
          <w:rFonts w:hint="eastAsia"/>
          <w:color w:val="000000" w:themeColor="text1"/>
          <w:highlight w:val="none"/>
          <w14:textFill>
            <w14:solidFill>
              <w14:schemeClr w14:val="tx1"/>
            </w14:solidFill>
          </w14:textFill>
        </w:rPr>
        <w:t>“工程量清单及图纸”</w:t>
      </w:r>
      <w:r>
        <w:rPr>
          <w:rFonts w:hint="eastAsia" w:cs="宋体"/>
          <w:color w:val="000000" w:themeColor="text1"/>
          <w:highlight w:val="none"/>
          <w14:textFill>
            <w14:solidFill>
              <w14:schemeClr w14:val="tx1"/>
            </w14:solidFill>
          </w14:textFill>
        </w:rPr>
        <w:t>有关工程量清单、竞标报价以及其他说明的内容。</w:t>
      </w:r>
    </w:p>
    <w:p w14:paraId="1BF44ECA">
      <w:pPr>
        <w:spacing w:line="360" w:lineRule="auto"/>
        <w:ind w:firstLine="42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2. </w:t>
      </w:r>
      <w:r>
        <w:rPr>
          <w:rFonts w:hint="eastAsia" w:cs="宋体"/>
          <w:color w:val="000000" w:themeColor="text1"/>
          <w:highlight w:val="none"/>
          <w14:textFill>
            <w14:solidFill>
              <w14:schemeClr w14:val="tx1"/>
            </w14:solidFill>
          </w14:textFill>
        </w:rPr>
        <w:t>一般计税法建设工程已标价工程量清单表格按</w:t>
      </w:r>
      <w:r>
        <w:rPr>
          <w:rFonts w:hint="eastAsia" w:hAnsi="宋体" w:cs="宋体"/>
          <w:color w:val="000000" w:themeColor="text1"/>
          <w:highlight w:val="none"/>
          <w14:textFill>
            <w14:solidFill>
              <w14:schemeClr w14:val="tx1"/>
            </w14:solidFill>
          </w14:textFill>
        </w:rPr>
        <w:t>《关于建筑业实施营业税改征增值税后广西壮族自治区建设工程计价依据调整的通知》（桂建标〔</w:t>
      </w:r>
      <w:r>
        <w:rPr>
          <w:rFonts w:hAnsi="宋体"/>
          <w:color w:val="000000" w:themeColor="text1"/>
          <w:highlight w:val="none"/>
          <w14:textFill>
            <w14:solidFill>
              <w14:schemeClr w14:val="tx1"/>
            </w14:solidFill>
          </w14:textFill>
        </w:rPr>
        <w:t>2016</w:t>
      </w:r>
      <w:r>
        <w:rPr>
          <w:rFonts w:hint="eastAsia" w:hAnsi="宋体" w:cs="宋体"/>
          <w:color w:val="000000" w:themeColor="text1"/>
          <w:highlight w:val="none"/>
          <w14:textFill>
            <w14:solidFill>
              <w14:schemeClr w14:val="tx1"/>
            </w14:solidFill>
          </w14:textFill>
        </w:rPr>
        <w:t>〕</w:t>
      </w:r>
      <w:r>
        <w:rPr>
          <w:rFonts w:hAnsi="宋体"/>
          <w:color w:val="000000" w:themeColor="text1"/>
          <w:highlight w:val="none"/>
          <w14:textFill>
            <w14:solidFill>
              <w14:schemeClr w14:val="tx1"/>
            </w14:solidFill>
          </w14:textFill>
        </w:rPr>
        <w:t>17</w:t>
      </w:r>
      <w:r>
        <w:rPr>
          <w:rFonts w:hint="eastAsia" w:hAnsi="宋体" w:cs="宋体"/>
          <w:color w:val="000000" w:themeColor="text1"/>
          <w:highlight w:val="none"/>
          <w14:textFill>
            <w14:solidFill>
              <w14:schemeClr w14:val="tx1"/>
            </w14:solidFill>
          </w14:textFill>
        </w:rPr>
        <w:t>号）</w:t>
      </w:r>
      <w:r>
        <w:rPr>
          <w:rFonts w:hint="eastAsia" w:ascii="宋体" w:hAnsi="宋体" w:cs="宋体"/>
          <w:color w:val="000000" w:themeColor="text1"/>
          <w:highlight w:val="none"/>
          <w14:textFill>
            <w14:solidFill>
              <w14:schemeClr w14:val="tx1"/>
            </w14:solidFill>
          </w14:textFill>
        </w:rPr>
        <w:t>附件“增值税一般计税方法工程计价表”</w:t>
      </w:r>
      <w:r>
        <w:rPr>
          <w:rFonts w:hint="eastAsia" w:cs="宋体"/>
          <w:color w:val="000000" w:themeColor="text1"/>
          <w:highlight w:val="none"/>
          <w14:textFill>
            <w14:solidFill>
              <w14:schemeClr w14:val="tx1"/>
            </w14:solidFill>
          </w14:textFill>
        </w:rPr>
        <w:t>要求提供，简易计税法表格按《</w:t>
      </w:r>
      <w:r>
        <w:rPr>
          <w:color w:val="000000" w:themeColor="text1"/>
          <w:highlight w:val="none"/>
          <w14:textFill>
            <w14:solidFill>
              <w14:schemeClr w14:val="tx1"/>
            </w14:solidFill>
          </w14:textFill>
        </w:rPr>
        <w:t>&lt;</w:t>
      </w:r>
      <w:r>
        <w:rPr>
          <w:rFonts w:hint="eastAsia" w:cs="宋体"/>
          <w:color w:val="000000" w:themeColor="text1"/>
          <w:highlight w:val="none"/>
          <w14:textFill>
            <w14:solidFill>
              <w14:schemeClr w14:val="tx1"/>
            </w14:solidFill>
          </w14:textFill>
        </w:rPr>
        <w:t>建设工程工程量清单计价规范</w:t>
      </w:r>
      <w:r>
        <w:rPr>
          <w:color w:val="000000" w:themeColor="text1"/>
          <w:highlight w:val="none"/>
          <w14:textFill>
            <w14:solidFill>
              <w14:schemeClr w14:val="tx1"/>
            </w14:solidFill>
          </w14:textFill>
        </w:rPr>
        <w:t>&gt;</w:t>
      </w:r>
      <w:r>
        <w:rPr>
          <w:rFonts w:hint="eastAsia"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GB5050-2013</w:t>
      </w:r>
      <w:r>
        <w:rPr>
          <w:rFonts w:hint="eastAsia" w:cs="宋体"/>
          <w:color w:val="000000" w:themeColor="text1"/>
          <w:highlight w:val="none"/>
          <w14:textFill>
            <w14:solidFill>
              <w14:schemeClr w14:val="tx1"/>
            </w14:solidFill>
          </w14:textFill>
        </w:rPr>
        <w:t>）广西壮族自治区实施细则》要求的表格提供，但规费和税费按照</w:t>
      </w:r>
      <w:r>
        <w:rPr>
          <w:rFonts w:hint="eastAsia" w:hAnsi="宋体" w:cs="宋体"/>
          <w:color w:val="000000" w:themeColor="text1"/>
          <w:highlight w:val="none"/>
          <w14:textFill>
            <w14:solidFill>
              <w14:schemeClr w14:val="tx1"/>
            </w14:solidFill>
          </w14:textFill>
        </w:rPr>
        <w:t>《关于建筑业实施营业税改征增值税后广西壮族自治区建设工程计价依据调整的通知》（桂建标〔</w:t>
      </w:r>
      <w:r>
        <w:rPr>
          <w:rFonts w:hAnsi="宋体"/>
          <w:color w:val="000000" w:themeColor="text1"/>
          <w:highlight w:val="none"/>
          <w14:textFill>
            <w14:solidFill>
              <w14:schemeClr w14:val="tx1"/>
            </w14:solidFill>
          </w14:textFill>
        </w:rPr>
        <w:t>2016</w:t>
      </w:r>
      <w:r>
        <w:rPr>
          <w:rFonts w:hint="eastAsia" w:hAnsi="宋体" w:cs="宋体"/>
          <w:color w:val="000000" w:themeColor="text1"/>
          <w:highlight w:val="none"/>
          <w14:textFill>
            <w14:solidFill>
              <w14:schemeClr w14:val="tx1"/>
            </w14:solidFill>
          </w14:textFill>
        </w:rPr>
        <w:t>〕</w:t>
      </w:r>
      <w:r>
        <w:rPr>
          <w:rFonts w:hAnsi="宋体"/>
          <w:color w:val="000000" w:themeColor="text1"/>
          <w:highlight w:val="none"/>
          <w14:textFill>
            <w14:solidFill>
              <w14:schemeClr w14:val="tx1"/>
            </w14:solidFill>
          </w14:textFill>
        </w:rPr>
        <w:t>17</w:t>
      </w:r>
      <w:r>
        <w:rPr>
          <w:rFonts w:hint="eastAsia" w:hAnsi="宋体" w:cs="宋体"/>
          <w:color w:val="000000" w:themeColor="text1"/>
          <w:highlight w:val="none"/>
          <w14:textFill>
            <w14:solidFill>
              <w14:schemeClr w14:val="tx1"/>
            </w14:solidFill>
          </w14:textFill>
        </w:rPr>
        <w:t>号）、《自治区住房城乡建设厅关于调整建设工程计价增值税税率的通知》（桂建标〔2018〕14号）、《自治区住房城乡建设厅关于调整建设工程计价增值税税率的通知》（桂建标〔2019〕12号）</w:t>
      </w:r>
      <w:r>
        <w:rPr>
          <w:rFonts w:hint="eastAsia" w:ascii="宋体" w:hAnsi="宋体" w:cs="宋体"/>
          <w:color w:val="000000" w:themeColor="text1"/>
          <w:highlight w:val="none"/>
          <w14:textFill>
            <w14:solidFill>
              <w14:schemeClr w14:val="tx1"/>
            </w14:solidFill>
          </w14:textFill>
        </w:rPr>
        <w:t>调整</w:t>
      </w:r>
      <w:r>
        <w:rPr>
          <w:rFonts w:hint="eastAsia" w:cs="宋体"/>
          <w:color w:val="000000" w:themeColor="text1"/>
          <w:highlight w:val="none"/>
          <w14:textFill>
            <w14:solidFill>
              <w14:schemeClr w14:val="tx1"/>
            </w14:solidFill>
          </w14:textFill>
        </w:rPr>
        <w:t>，具体内容包括：</w:t>
      </w:r>
    </w:p>
    <w:p w14:paraId="3695053E">
      <w:pPr>
        <w:spacing w:line="360" w:lineRule="auto"/>
        <w:ind w:firstLine="63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1.1 </w:t>
      </w:r>
      <w:r>
        <w:rPr>
          <w:rFonts w:hint="eastAsia" w:cs="宋体"/>
          <w:color w:val="000000" w:themeColor="text1"/>
          <w:highlight w:val="none"/>
          <w14:textFill>
            <w14:solidFill>
              <w14:schemeClr w14:val="tx1"/>
            </w14:solidFill>
          </w14:textFill>
        </w:rPr>
        <w:t>投标总价（封</w:t>
      </w:r>
      <w:r>
        <w:rPr>
          <w:color w:val="000000" w:themeColor="text1"/>
          <w:highlight w:val="none"/>
          <w14:textFill>
            <w14:solidFill>
              <w14:schemeClr w14:val="tx1"/>
            </w14:solidFill>
          </w14:textFill>
        </w:rPr>
        <w:t>-3</w:t>
      </w:r>
      <w:r>
        <w:rPr>
          <w:rFonts w:hint="eastAsia" w:cs="宋体"/>
          <w:color w:val="000000" w:themeColor="text1"/>
          <w:highlight w:val="none"/>
          <w14:textFill>
            <w14:solidFill>
              <w14:schemeClr w14:val="tx1"/>
            </w14:solidFill>
          </w14:textFill>
        </w:rPr>
        <w:t>）</w:t>
      </w:r>
    </w:p>
    <w:p w14:paraId="482AF1F9">
      <w:pPr>
        <w:spacing w:line="360" w:lineRule="auto"/>
        <w:ind w:firstLine="63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1.2 </w:t>
      </w:r>
      <w:r>
        <w:rPr>
          <w:rFonts w:hint="eastAsia" w:cs="宋体"/>
          <w:color w:val="000000" w:themeColor="text1"/>
          <w:highlight w:val="none"/>
          <w14:textFill>
            <w14:solidFill>
              <w14:schemeClr w14:val="tx1"/>
            </w14:solidFill>
          </w14:textFill>
        </w:rPr>
        <w:t>投标总价（扉</w:t>
      </w:r>
      <w:r>
        <w:rPr>
          <w:color w:val="000000" w:themeColor="text1"/>
          <w:highlight w:val="none"/>
          <w14:textFill>
            <w14:solidFill>
              <w14:schemeClr w14:val="tx1"/>
            </w14:solidFill>
          </w14:textFill>
        </w:rPr>
        <w:t>-3</w:t>
      </w:r>
      <w:r>
        <w:rPr>
          <w:rFonts w:hint="eastAsia" w:cs="宋体"/>
          <w:color w:val="000000" w:themeColor="text1"/>
          <w:highlight w:val="none"/>
          <w14:textFill>
            <w14:solidFill>
              <w14:schemeClr w14:val="tx1"/>
            </w14:solidFill>
          </w14:textFill>
        </w:rPr>
        <w:t>）</w:t>
      </w:r>
    </w:p>
    <w:p w14:paraId="3BF03F07">
      <w:pPr>
        <w:spacing w:line="360" w:lineRule="auto"/>
        <w:ind w:firstLine="63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1.3 </w:t>
      </w:r>
      <w:r>
        <w:rPr>
          <w:rFonts w:hint="eastAsia" w:cs="宋体"/>
          <w:color w:val="000000" w:themeColor="text1"/>
          <w:highlight w:val="none"/>
          <w14:textFill>
            <w14:solidFill>
              <w14:schemeClr w14:val="tx1"/>
            </w14:solidFill>
          </w14:textFill>
        </w:rPr>
        <w:t>总说明（表</w:t>
      </w:r>
      <w:r>
        <w:rPr>
          <w:color w:val="000000" w:themeColor="text1"/>
          <w:highlight w:val="none"/>
          <w14:textFill>
            <w14:solidFill>
              <w14:schemeClr w14:val="tx1"/>
            </w14:solidFill>
          </w14:textFill>
        </w:rPr>
        <w:t>-01</w:t>
      </w:r>
      <w:r>
        <w:rPr>
          <w:rFonts w:hint="eastAsia" w:cs="宋体"/>
          <w:color w:val="000000" w:themeColor="text1"/>
          <w:highlight w:val="none"/>
          <w14:textFill>
            <w14:solidFill>
              <w14:schemeClr w14:val="tx1"/>
            </w14:solidFill>
          </w14:textFill>
        </w:rPr>
        <w:t>）</w:t>
      </w:r>
    </w:p>
    <w:p w14:paraId="2A1CAC97">
      <w:pPr>
        <w:spacing w:line="360" w:lineRule="auto"/>
        <w:ind w:firstLine="63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1.4 </w:t>
      </w:r>
      <w:r>
        <w:rPr>
          <w:rFonts w:hint="eastAsia" w:cs="宋体"/>
          <w:color w:val="000000" w:themeColor="text1"/>
          <w:highlight w:val="none"/>
          <w14:textFill>
            <w14:solidFill>
              <w14:schemeClr w14:val="tx1"/>
            </w14:solidFill>
          </w14:textFill>
        </w:rPr>
        <w:t>建设项目投标报价汇总表（表</w:t>
      </w:r>
      <w:r>
        <w:rPr>
          <w:color w:val="000000" w:themeColor="text1"/>
          <w:highlight w:val="none"/>
          <w14:textFill>
            <w14:solidFill>
              <w14:schemeClr w14:val="tx1"/>
            </w14:solidFill>
          </w14:textFill>
        </w:rPr>
        <w:t>-02</w:t>
      </w:r>
      <w:r>
        <w:rPr>
          <w:rFonts w:hint="eastAsia" w:cs="宋体"/>
          <w:color w:val="000000" w:themeColor="text1"/>
          <w:highlight w:val="none"/>
          <w14:textFill>
            <w14:solidFill>
              <w14:schemeClr w14:val="tx1"/>
            </w14:solidFill>
          </w14:textFill>
        </w:rPr>
        <w:t>）</w:t>
      </w:r>
    </w:p>
    <w:p w14:paraId="4506F935">
      <w:pPr>
        <w:spacing w:line="360" w:lineRule="auto"/>
        <w:ind w:firstLine="63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1.5 </w:t>
      </w:r>
      <w:r>
        <w:rPr>
          <w:rFonts w:hint="eastAsia" w:cs="宋体"/>
          <w:color w:val="000000" w:themeColor="text1"/>
          <w:highlight w:val="none"/>
          <w14:textFill>
            <w14:solidFill>
              <w14:schemeClr w14:val="tx1"/>
            </w14:solidFill>
          </w14:textFill>
        </w:rPr>
        <w:t>单项工程投标报价汇总表（表</w:t>
      </w:r>
      <w:r>
        <w:rPr>
          <w:color w:val="000000" w:themeColor="text1"/>
          <w:highlight w:val="none"/>
          <w14:textFill>
            <w14:solidFill>
              <w14:schemeClr w14:val="tx1"/>
            </w14:solidFill>
          </w14:textFill>
        </w:rPr>
        <w:t>-03</w:t>
      </w:r>
      <w:r>
        <w:rPr>
          <w:rFonts w:hint="eastAsia" w:cs="宋体"/>
          <w:color w:val="000000" w:themeColor="text1"/>
          <w:highlight w:val="none"/>
          <w14:textFill>
            <w14:solidFill>
              <w14:schemeClr w14:val="tx1"/>
            </w14:solidFill>
          </w14:textFill>
        </w:rPr>
        <w:t>）</w:t>
      </w:r>
    </w:p>
    <w:p w14:paraId="4D1E0A47">
      <w:pPr>
        <w:spacing w:line="360" w:lineRule="auto"/>
        <w:ind w:firstLine="63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1.6 </w:t>
      </w:r>
      <w:r>
        <w:rPr>
          <w:rFonts w:hint="eastAsia" w:cs="宋体"/>
          <w:color w:val="000000" w:themeColor="text1"/>
          <w:highlight w:val="none"/>
          <w14:textFill>
            <w14:solidFill>
              <w14:schemeClr w14:val="tx1"/>
            </w14:solidFill>
          </w14:textFill>
        </w:rPr>
        <w:t>单位工程投标报价汇总表（表</w:t>
      </w:r>
      <w:r>
        <w:rPr>
          <w:color w:val="000000" w:themeColor="text1"/>
          <w:highlight w:val="none"/>
          <w14:textFill>
            <w14:solidFill>
              <w14:schemeClr w14:val="tx1"/>
            </w14:solidFill>
          </w14:textFill>
        </w:rPr>
        <w:t>-04</w:t>
      </w:r>
      <w:r>
        <w:rPr>
          <w:rFonts w:hint="eastAsia" w:cs="宋体"/>
          <w:color w:val="000000" w:themeColor="text1"/>
          <w:highlight w:val="none"/>
          <w14:textFill>
            <w14:solidFill>
              <w14:schemeClr w14:val="tx1"/>
            </w14:solidFill>
          </w14:textFill>
        </w:rPr>
        <w:t>）</w:t>
      </w:r>
    </w:p>
    <w:p w14:paraId="1F197731">
      <w:pPr>
        <w:spacing w:line="360" w:lineRule="auto"/>
        <w:ind w:firstLine="63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1.7 </w:t>
      </w:r>
      <w:r>
        <w:rPr>
          <w:rFonts w:hint="eastAsia" w:cs="宋体"/>
          <w:color w:val="000000" w:themeColor="text1"/>
          <w:highlight w:val="none"/>
          <w14:textFill>
            <w14:solidFill>
              <w14:schemeClr w14:val="tx1"/>
            </w14:solidFill>
          </w14:textFill>
        </w:rPr>
        <w:t>分部分项工程和单价措施项目清单与计价表（表</w:t>
      </w:r>
      <w:r>
        <w:rPr>
          <w:color w:val="000000" w:themeColor="text1"/>
          <w:highlight w:val="none"/>
          <w14:textFill>
            <w14:solidFill>
              <w14:schemeClr w14:val="tx1"/>
            </w14:solidFill>
          </w14:textFill>
        </w:rPr>
        <w:t>-08</w:t>
      </w:r>
      <w:r>
        <w:rPr>
          <w:rFonts w:hint="eastAsia" w:cs="宋体"/>
          <w:color w:val="000000" w:themeColor="text1"/>
          <w:highlight w:val="none"/>
          <w14:textFill>
            <w14:solidFill>
              <w14:schemeClr w14:val="tx1"/>
            </w14:solidFill>
          </w14:textFill>
        </w:rPr>
        <w:t>）</w:t>
      </w:r>
    </w:p>
    <w:p w14:paraId="3E7A0CC3">
      <w:pPr>
        <w:spacing w:line="360" w:lineRule="auto"/>
        <w:ind w:firstLine="63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1.8 </w:t>
      </w:r>
      <w:r>
        <w:rPr>
          <w:rFonts w:hint="eastAsia" w:cs="宋体"/>
          <w:color w:val="000000" w:themeColor="text1"/>
          <w:highlight w:val="none"/>
          <w14:textFill>
            <w14:solidFill>
              <w14:schemeClr w14:val="tx1"/>
            </w14:solidFill>
          </w14:textFill>
        </w:rPr>
        <w:t>工程量清单综合单价分析表（表</w:t>
      </w:r>
      <w:r>
        <w:rPr>
          <w:color w:val="000000" w:themeColor="text1"/>
          <w:highlight w:val="none"/>
          <w14:textFill>
            <w14:solidFill>
              <w14:schemeClr w14:val="tx1"/>
            </w14:solidFill>
          </w14:textFill>
        </w:rPr>
        <w:t>-09</w:t>
      </w:r>
      <w:r>
        <w:rPr>
          <w:rFonts w:hint="eastAsia" w:cs="宋体"/>
          <w:color w:val="000000" w:themeColor="text1"/>
          <w:highlight w:val="none"/>
          <w14:textFill>
            <w14:solidFill>
              <w14:schemeClr w14:val="tx1"/>
            </w14:solidFill>
          </w14:textFill>
        </w:rPr>
        <w:t>）</w:t>
      </w:r>
    </w:p>
    <w:p w14:paraId="6C675FB8">
      <w:pPr>
        <w:spacing w:line="360" w:lineRule="auto"/>
        <w:ind w:firstLine="63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1.9 </w:t>
      </w:r>
      <w:r>
        <w:rPr>
          <w:rFonts w:hint="eastAsia" w:cs="宋体"/>
          <w:color w:val="000000" w:themeColor="text1"/>
          <w:highlight w:val="none"/>
          <w14:textFill>
            <w14:solidFill>
              <w14:schemeClr w14:val="tx1"/>
            </w14:solidFill>
          </w14:textFill>
        </w:rPr>
        <w:t>主要清单项目工料机分析表（表</w:t>
      </w:r>
      <w:r>
        <w:rPr>
          <w:color w:val="000000" w:themeColor="text1"/>
          <w:highlight w:val="none"/>
          <w14:textFill>
            <w14:solidFill>
              <w14:schemeClr w14:val="tx1"/>
            </w14:solidFill>
          </w14:textFill>
        </w:rPr>
        <w:t>-10</w:t>
      </w:r>
      <w:r>
        <w:rPr>
          <w:rFonts w:hint="eastAsia" w:cs="宋体"/>
          <w:color w:val="000000" w:themeColor="text1"/>
          <w:highlight w:val="none"/>
          <w14:textFill>
            <w14:solidFill>
              <w14:schemeClr w14:val="tx1"/>
            </w14:solidFill>
          </w14:textFill>
        </w:rPr>
        <w:t>）【备注：可按要求有选择的提供】</w:t>
      </w:r>
    </w:p>
    <w:p w14:paraId="74B65A71">
      <w:pPr>
        <w:spacing w:line="360" w:lineRule="auto"/>
        <w:ind w:firstLine="63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1.10 </w:t>
      </w:r>
      <w:r>
        <w:rPr>
          <w:rFonts w:hint="eastAsia" w:cs="宋体"/>
          <w:color w:val="000000" w:themeColor="text1"/>
          <w:highlight w:val="none"/>
          <w14:textFill>
            <w14:solidFill>
              <w14:schemeClr w14:val="tx1"/>
            </w14:solidFill>
          </w14:textFill>
        </w:rPr>
        <w:t>总价措施项目清单与计价表（表</w:t>
      </w:r>
      <w:r>
        <w:rPr>
          <w:color w:val="000000" w:themeColor="text1"/>
          <w:highlight w:val="none"/>
          <w14:textFill>
            <w14:solidFill>
              <w14:schemeClr w14:val="tx1"/>
            </w14:solidFill>
          </w14:textFill>
        </w:rPr>
        <w:t>-11</w:t>
      </w:r>
      <w:r>
        <w:rPr>
          <w:rFonts w:hint="eastAsia" w:cs="宋体"/>
          <w:color w:val="000000" w:themeColor="text1"/>
          <w:highlight w:val="none"/>
          <w14:textFill>
            <w14:solidFill>
              <w14:schemeClr w14:val="tx1"/>
            </w14:solidFill>
          </w14:textFill>
        </w:rPr>
        <w:t>）</w:t>
      </w:r>
    </w:p>
    <w:p w14:paraId="0FEA75CD">
      <w:pPr>
        <w:spacing w:line="360" w:lineRule="auto"/>
        <w:ind w:firstLine="63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1.11 </w:t>
      </w:r>
      <w:r>
        <w:rPr>
          <w:rFonts w:hint="eastAsia" w:cs="宋体"/>
          <w:color w:val="000000" w:themeColor="text1"/>
          <w:highlight w:val="none"/>
          <w14:textFill>
            <w14:solidFill>
              <w14:schemeClr w14:val="tx1"/>
            </w14:solidFill>
          </w14:textFill>
        </w:rPr>
        <w:t>其他项目清单与计价汇总表（表</w:t>
      </w:r>
      <w:r>
        <w:rPr>
          <w:color w:val="000000" w:themeColor="text1"/>
          <w:highlight w:val="none"/>
          <w14:textFill>
            <w14:solidFill>
              <w14:schemeClr w14:val="tx1"/>
            </w14:solidFill>
          </w14:textFill>
        </w:rPr>
        <w:t>-12</w:t>
      </w:r>
      <w:r>
        <w:rPr>
          <w:rFonts w:hint="eastAsia" w:cs="宋体"/>
          <w:color w:val="000000" w:themeColor="text1"/>
          <w:highlight w:val="none"/>
          <w14:textFill>
            <w14:solidFill>
              <w14:schemeClr w14:val="tx1"/>
            </w14:solidFill>
          </w14:textFill>
        </w:rPr>
        <w:t>）</w:t>
      </w:r>
    </w:p>
    <w:p w14:paraId="469237C4">
      <w:pPr>
        <w:spacing w:line="360" w:lineRule="auto"/>
        <w:ind w:firstLine="63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1.12 </w:t>
      </w:r>
      <w:r>
        <w:rPr>
          <w:rFonts w:hint="eastAsia" w:cs="宋体"/>
          <w:color w:val="000000" w:themeColor="text1"/>
          <w:highlight w:val="none"/>
          <w14:textFill>
            <w14:solidFill>
              <w14:schemeClr w14:val="tx1"/>
            </w14:solidFill>
          </w14:textFill>
        </w:rPr>
        <w:t>暂列金额明细表（表</w:t>
      </w:r>
      <w:r>
        <w:rPr>
          <w:color w:val="000000" w:themeColor="text1"/>
          <w:highlight w:val="none"/>
          <w14:textFill>
            <w14:solidFill>
              <w14:schemeClr w14:val="tx1"/>
            </w14:solidFill>
          </w14:textFill>
        </w:rPr>
        <w:t>12-1</w:t>
      </w:r>
      <w:r>
        <w:rPr>
          <w:rFonts w:hint="eastAsia" w:cs="宋体"/>
          <w:color w:val="000000" w:themeColor="text1"/>
          <w:highlight w:val="none"/>
          <w14:textFill>
            <w14:solidFill>
              <w14:schemeClr w14:val="tx1"/>
            </w14:solidFill>
          </w14:textFill>
        </w:rPr>
        <w:t>）</w:t>
      </w:r>
    </w:p>
    <w:p w14:paraId="4B76B138">
      <w:pPr>
        <w:spacing w:line="360" w:lineRule="auto"/>
        <w:ind w:firstLine="63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1.13 </w:t>
      </w:r>
      <w:r>
        <w:rPr>
          <w:rFonts w:hint="eastAsia" w:cs="宋体"/>
          <w:color w:val="000000" w:themeColor="text1"/>
          <w:highlight w:val="none"/>
          <w14:textFill>
            <w14:solidFill>
              <w14:schemeClr w14:val="tx1"/>
            </w14:solidFill>
          </w14:textFill>
        </w:rPr>
        <w:t>材料（工程设备）暂估单价及调整表（表</w:t>
      </w:r>
      <w:r>
        <w:rPr>
          <w:color w:val="000000" w:themeColor="text1"/>
          <w:highlight w:val="none"/>
          <w14:textFill>
            <w14:solidFill>
              <w14:schemeClr w14:val="tx1"/>
            </w14:solidFill>
          </w14:textFill>
        </w:rPr>
        <w:t>12-2</w:t>
      </w:r>
      <w:r>
        <w:rPr>
          <w:rFonts w:hint="eastAsia" w:cs="宋体"/>
          <w:color w:val="000000" w:themeColor="text1"/>
          <w:highlight w:val="none"/>
          <w14:textFill>
            <w14:solidFill>
              <w14:schemeClr w14:val="tx1"/>
            </w14:solidFill>
          </w14:textFill>
        </w:rPr>
        <w:t>）</w:t>
      </w:r>
    </w:p>
    <w:p w14:paraId="18680E63">
      <w:pPr>
        <w:spacing w:line="360" w:lineRule="auto"/>
        <w:ind w:firstLine="63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1.14 </w:t>
      </w:r>
      <w:r>
        <w:rPr>
          <w:rFonts w:hint="eastAsia" w:cs="宋体"/>
          <w:color w:val="000000" w:themeColor="text1"/>
          <w:highlight w:val="none"/>
          <w14:textFill>
            <w14:solidFill>
              <w14:schemeClr w14:val="tx1"/>
            </w14:solidFill>
          </w14:textFill>
        </w:rPr>
        <w:t>专业工程暂估价及结算价表（表</w:t>
      </w:r>
      <w:r>
        <w:rPr>
          <w:color w:val="000000" w:themeColor="text1"/>
          <w:highlight w:val="none"/>
          <w14:textFill>
            <w14:solidFill>
              <w14:schemeClr w14:val="tx1"/>
            </w14:solidFill>
          </w14:textFill>
        </w:rPr>
        <w:t>12-3</w:t>
      </w:r>
      <w:r>
        <w:rPr>
          <w:rFonts w:hint="eastAsia" w:cs="宋体"/>
          <w:color w:val="000000" w:themeColor="text1"/>
          <w:highlight w:val="none"/>
          <w14:textFill>
            <w14:solidFill>
              <w14:schemeClr w14:val="tx1"/>
            </w14:solidFill>
          </w14:textFill>
        </w:rPr>
        <w:t>）</w:t>
      </w:r>
    </w:p>
    <w:p w14:paraId="7C90AD44">
      <w:pPr>
        <w:spacing w:line="360" w:lineRule="auto"/>
        <w:ind w:firstLine="63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1.15</w:t>
      </w:r>
      <w:r>
        <w:rPr>
          <w:rFonts w:hint="eastAsia" w:cs="宋体"/>
          <w:color w:val="000000" w:themeColor="text1"/>
          <w:highlight w:val="none"/>
          <w14:textFill>
            <w14:solidFill>
              <w14:schemeClr w14:val="tx1"/>
            </w14:solidFill>
          </w14:textFill>
        </w:rPr>
        <w:t>计日工表（表</w:t>
      </w:r>
      <w:r>
        <w:rPr>
          <w:color w:val="000000" w:themeColor="text1"/>
          <w:highlight w:val="none"/>
          <w14:textFill>
            <w14:solidFill>
              <w14:schemeClr w14:val="tx1"/>
            </w14:solidFill>
          </w14:textFill>
        </w:rPr>
        <w:t>12-4</w:t>
      </w:r>
      <w:r>
        <w:rPr>
          <w:rFonts w:hint="eastAsia" w:cs="宋体"/>
          <w:color w:val="000000" w:themeColor="text1"/>
          <w:highlight w:val="none"/>
          <w14:textFill>
            <w14:solidFill>
              <w14:schemeClr w14:val="tx1"/>
            </w14:solidFill>
          </w14:textFill>
        </w:rPr>
        <w:t>）</w:t>
      </w:r>
    </w:p>
    <w:p w14:paraId="6DDAFA72">
      <w:pPr>
        <w:spacing w:line="360" w:lineRule="auto"/>
        <w:ind w:firstLine="63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1.16 </w:t>
      </w:r>
      <w:r>
        <w:rPr>
          <w:rFonts w:hint="eastAsia" w:cs="宋体"/>
          <w:color w:val="000000" w:themeColor="text1"/>
          <w:highlight w:val="none"/>
          <w14:textFill>
            <w14:solidFill>
              <w14:schemeClr w14:val="tx1"/>
            </w14:solidFill>
          </w14:textFill>
        </w:rPr>
        <w:t>总承包服务费计价表（表</w:t>
      </w:r>
      <w:r>
        <w:rPr>
          <w:color w:val="000000" w:themeColor="text1"/>
          <w:highlight w:val="none"/>
          <w14:textFill>
            <w14:solidFill>
              <w14:schemeClr w14:val="tx1"/>
            </w14:solidFill>
          </w14:textFill>
        </w:rPr>
        <w:t>12-5</w:t>
      </w:r>
      <w:r>
        <w:rPr>
          <w:rFonts w:hint="eastAsia" w:cs="宋体"/>
          <w:color w:val="000000" w:themeColor="text1"/>
          <w:highlight w:val="none"/>
          <w14:textFill>
            <w14:solidFill>
              <w14:schemeClr w14:val="tx1"/>
            </w14:solidFill>
          </w14:textFill>
        </w:rPr>
        <w:t>）</w:t>
      </w:r>
    </w:p>
    <w:p w14:paraId="04BE54C7">
      <w:pPr>
        <w:spacing w:line="360" w:lineRule="auto"/>
        <w:ind w:firstLine="63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1.17 </w:t>
      </w:r>
      <w:r>
        <w:rPr>
          <w:rFonts w:hint="eastAsia" w:cs="宋体"/>
          <w:color w:val="000000" w:themeColor="text1"/>
          <w:highlight w:val="none"/>
          <w14:textFill>
            <w14:solidFill>
              <w14:schemeClr w14:val="tx1"/>
            </w14:solidFill>
          </w14:textFill>
        </w:rPr>
        <w:t>税前项目清单与计价表（表</w:t>
      </w:r>
      <w:r>
        <w:rPr>
          <w:color w:val="000000" w:themeColor="text1"/>
          <w:highlight w:val="none"/>
          <w14:textFill>
            <w14:solidFill>
              <w14:schemeClr w14:val="tx1"/>
            </w14:solidFill>
          </w14:textFill>
        </w:rPr>
        <w:t>-14</w:t>
      </w:r>
      <w:r>
        <w:rPr>
          <w:rFonts w:hint="eastAsia" w:cs="宋体"/>
          <w:color w:val="000000" w:themeColor="text1"/>
          <w:highlight w:val="none"/>
          <w14:textFill>
            <w14:solidFill>
              <w14:schemeClr w14:val="tx1"/>
            </w14:solidFill>
          </w14:textFill>
        </w:rPr>
        <w:t>）</w:t>
      </w:r>
    </w:p>
    <w:p w14:paraId="7E7325F6">
      <w:pPr>
        <w:spacing w:line="360" w:lineRule="auto"/>
        <w:ind w:firstLine="63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1.18 </w:t>
      </w:r>
      <w:r>
        <w:rPr>
          <w:rFonts w:hint="eastAsia" w:cs="宋体"/>
          <w:color w:val="000000" w:themeColor="text1"/>
          <w:highlight w:val="none"/>
          <w14:textFill>
            <w14:solidFill>
              <w14:schemeClr w14:val="tx1"/>
            </w14:solidFill>
          </w14:textFill>
        </w:rPr>
        <w:t>规费、增值税计价表（表</w:t>
      </w:r>
      <w:r>
        <w:rPr>
          <w:color w:val="000000" w:themeColor="text1"/>
          <w:highlight w:val="none"/>
          <w14:textFill>
            <w14:solidFill>
              <w14:schemeClr w14:val="tx1"/>
            </w14:solidFill>
          </w14:textFill>
        </w:rPr>
        <w:t>-15</w:t>
      </w:r>
      <w:r>
        <w:rPr>
          <w:rFonts w:hint="eastAsia" w:cs="宋体"/>
          <w:color w:val="000000" w:themeColor="text1"/>
          <w:highlight w:val="none"/>
          <w14:textFill>
            <w14:solidFill>
              <w14:schemeClr w14:val="tx1"/>
            </w14:solidFill>
          </w14:textFill>
        </w:rPr>
        <w:t>）</w:t>
      </w:r>
    </w:p>
    <w:p w14:paraId="37AE7E8C">
      <w:pPr>
        <w:spacing w:line="360" w:lineRule="auto"/>
        <w:ind w:firstLine="63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1.19 </w:t>
      </w:r>
      <w:r>
        <w:rPr>
          <w:rFonts w:hint="eastAsia" w:cs="宋体"/>
          <w:color w:val="000000" w:themeColor="text1"/>
          <w:highlight w:val="none"/>
          <w14:textFill>
            <w14:solidFill>
              <w14:schemeClr w14:val="tx1"/>
            </w14:solidFill>
          </w14:textFill>
        </w:rPr>
        <w:t>发包人提供主要材料和工程设备一览表（表</w:t>
      </w:r>
      <w:r>
        <w:rPr>
          <w:color w:val="000000" w:themeColor="text1"/>
          <w:highlight w:val="none"/>
          <w14:textFill>
            <w14:solidFill>
              <w14:schemeClr w14:val="tx1"/>
            </w14:solidFill>
          </w14:textFill>
        </w:rPr>
        <w:t>-21</w:t>
      </w:r>
      <w:r>
        <w:rPr>
          <w:rFonts w:hint="eastAsia" w:cs="宋体"/>
          <w:color w:val="000000" w:themeColor="text1"/>
          <w:highlight w:val="none"/>
          <w14:textFill>
            <w14:solidFill>
              <w14:schemeClr w14:val="tx1"/>
            </w14:solidFill>
          </w14:textFill>
        </w:rPr>
        <w:t>）</w:t>
      </w:r>
    </w:p>
    <w:p w14:paraId="545DF40E">
      <w:pPr>
        <w:spacing w:line="360" w:lineRule="auto"/>
        <w:ind w:firstLine="63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1.20 </w:t>
      </w:r>
      <w:r>
        <w:rPr>
          <w:rFonts w:hint="eastAsia" w:cs="宋体"/>
          <w:color w:val="000000" w:themeColor="text1"/>
          <w:highlight w:val="none"/>
          <w14:textFill>
            <w14:solidFill>
              <w14:schemeClr w14:val="tx1"/>
            </w14:solidFill>
          </w14:textFill>
        </w:rPr>
        <w:t>允许调整主要材料和工程设备一览表（适用于造价信息差额调整法）（表</w:t>
      </w:r>
      <w:r>
        <w:rPr>
          <w:color w:val="000000" w:themeColor="text1"/>
          <w:highlight w:val="none"/>
          <w14:textFill>
            <w14:solidFill>
              <w14:schemeClr w14:val="tx1"/>
            </w14:solidFill>
          </w14:textFill>
        </w:rPr>
        <w:t>-22</w:t>
      </w:r>
      <w:r>
        <w:rPr>
          <w:rFonts w:hint="eastAsia" w:cs="宋体"/>
          <w:color w:val="000000" w:themeColor="text1"/>
          <w:highlight w:val="none"/>
          <w14:textFill>
            <w14:solidFill>
              <w14:schemeClr w14:val="tx1"/>
            </w14:solidFill>
          </w14:textFill>
        </w:rPr>
        <w:t>）</w:t>
      </w:r>
    </w:p>
    <w:p w14:paraId="3D2C5E78">
      <w:pPr>
        <w:spacing w:line="360" w:lineRule="auto"/>
        <w:ind w:firstLine="63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1.21 </w:t>
      </w:r>
      <w:r>
        <w:rPr>
          <w:rFonts w:hint="eastAsia" w:cs="宋体"/>
          <w:color w:val="000000" w:themeColor="text1"/>
          <w:highlight w:val="none"/>
          <w14:textFill>
            <w14:solidFill>
              <w14:schemeClr w14:val="tx1"/>
            </w14:solidFill>
          </w14:textFill>
        </w:rPr>
        <w:t>允许调整主要材料和工程设备一览表（适用于价格指数差额调整法）（表</w:t>
      </w:r>
      <w:r>
        <w:rPr>
          <w:color w:val="000000" w:themeColor="text1"/>
          <w:highlight w:val="none"/>
          <w14:textFill>
            <w14:solidFill>
              <w14:schemeClr w14:val="tx1"/>
            </w14:solidFill>
          </w14:textFill>
        </w:rPr>
        <w:t>-23</w:t>
      </w:r>
      <w:r>
        <w:rPr>
          <w:rFonts w:hint="eastAsia" w:cs="宋体"/>
          <w:color w:val="000000" w:themeColor="text1"/>
          <w:highlight w:val="none"/>
          <w14:textFill>
            <w14:solidFill>
              <w14:schemeClr w14:val="tx1"/>
            </w14:solidFill>
          </w14:textFill>
        </w:rPr>
        <w:t>）</w:t>
      </w:r>
    </w:p>
    <w:p w14:paraId="07C6880B">
      <w:pPr>
        <w:spacing w:line="360" w:lineRule="auto"/>
        <w:ind w:firstLine="63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1.22</w:t>
      </w:r>
      <w:r>
        <w:rPr>
          <w:rFonts w:hint="eastAsia" w:cs="宋体"/>
          <w:color w:val="000000" w:themeColor="text1"/>
          <w:highlight w:val="none"/>
          <w14:textFill>
            <w14:solidFill>
              <w14:schemeClr w14:val="tx1"/>
            </w14:solidFill>
          </w14:textFill>
        </w:rPr>
        <w:t>本工程</w:t>
      </w:r>
      <w:r>
        <w:rPr>
          <w:rFonts w:cs="宋体"/>
          <w:color w:val="000000" w:themeColor="text1"/>
          <w:highlight w:val="none"/>
          <w:lang w:val="en"/>
          <w14:textFill>
            <w14:solidFill>
              <w14:schemeClr w14:val="tx1"/>
            </w14:solidFill>
          </w14:textFill>
        </w:rPr>
        <w:t>材料和工程设备</w:t>
      </w:r>
      <w:r>
        <w:rPr>
          <w:rFonts w:hint="eastAsia" w:cs="宋体"/>
          <w:color w:val="000000" w:themeColor="text1"/>
          <w:highlight w:val="none"/>
          <w14:textFill>
            <w14:solidFill>
              <w14:schemeClr w14:val="tx1"/>
            </w14:solidFill>
          </w14:textFill>
        </w:rPr>
        <w:t>一览表（表-24）</w:t>
      </w:r>
    </w:p>
    <w:p w14:paraId="413B79DF">
      <w:pPr>
        <w:spacing w:line="360" w:lineRule="auto"/>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备注：</w:t>
      </w:r>
    </w:p>
    <w:p w14:paraId="182BF096">
      <w:pPr>
        <w:spacing w:line="360" w:lineRule="auto"/>
        <w:ind w:firstLine="422"/>
        <w:rPr>
          <w:b/>
          <w:bCs/>
          <w:color w:val="000000" w:themeColor="text1"/>
          <w:highlight w:val="none"/>
          <w14:textFill>
            <w14:solidFill>
              <w14:schemeClr w14:val="tx1"/>
            </w14:solidFill>
          </w14:textFill>
        </w:rPr>
      </w:pPr>
      <w:r>
        <w:rPr>
          <w:rFonts w:hint="eastAsia" w:cs="宋体"/>
          <w:b/>
          <w:bCs/>
          <w:color w:val="000000" w:themeColor="text1"/>
          <w:highlight w:val="none"/>
          <w14:textFill>
            <w14:solidFill>
              <w14:schemeClr w14:val="tx1"/>
            </w14:solidFill>
          </w14:textFill>
        </w:rPr>
        <w:t>（</w:t>
      </w:r>
      <w:r>
        <w:rPr>
          <w:b/>
          <w:bCs/>
          <w:color w:val="000000" w:themeColor="text1"/>
          <w:highlight w:val="none"/>
          <w14:textFill>
            <w14:solidFill>
              <w14:schemeClr w14:val="tx1"/>
            </w14:solidFill>
          </w14:textFill>
        </w:rPr>
        <w:t>1</w:t>
      </w:r>
      <w:r>
        <w:rPr>
          <w:rFonts w:hint="eastAsia" w:cs="宋体"/>
          <w:b/>
          <w:bCs/>
          <w:color w:val="000000" w:themeColor="text1"/>
          <w:highlight w:val="none"/>
          <w14:textFill>
            <w14:solidFill>
              <w14:schemeClr w14:val="tx1"/>
            </w14:solidFill>
          </w14:textFill>
        </w:rPr>
        <w:t>）供应商在上传竞标报价文件时应上传纸质投标总价封面的原件扫描件。</w:t>
      </w:r>
      <w:r>
        <w:rPr>
          <w:rFonts w:hint="eastAsia" w:cs="宋体"/>
          <w:b/>
          <w:bCs/>
          <w:color w:val="000000" w:themeColor="text1"/>
          <w:highlight w:val="none"/>
          <w:lang w:eastAsia="zh-CN"/>
          <w14:textFill>
            <w14:solidFill>
              <w14:schemeClr w14:val="tx1"/>
            </w14:solidFill>
          </w14:textFill>
        </w:rPr>
        <w:t>竞</w:t>
      </w:r>
      <w:r>
        <w:rPr>
          <w:rFonts w:hint="eastAsia" w:cs="宋体"/>
          <w:b/>
          <w:bCs/>
          <w:color w:val="000000" w:themeColor="text1"/>
          <w:highlight w:val="none"/>
          <w14:textFill>
            <w14:solidFill>
              <w14:schemeClr w14:val="tx1"/>
            </w14:solidFill>
          </w14:textFill>
        </w:rPr>
        <w:t>标总价封面必须经供应商盖章，并由法定代表人（或其授权人）签字（或盖章），同时由编制人签字盖专用章。</w:t>
      </w:r>
    </w:p>
    <w:p w14:paraId="32027406">
      <w:pPr>
        <w:spacing w:line="360" w:lineRule="auto"/>
        <w:ind w:firstLine="420"/>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2</w:t>
      </w:r>
      <w:r>
        <w:rPr>
          <w:rFonts w:hint="eastAsia"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1.8</w:t>
      </w:r>
      <w:r>
        <w:rPr>
          <w:rFonts w:hint="eastAsia" w:cs="宋体"/>
          <w:color w:val="000000" w:themeColor="text1"/>
          <w:highlight w:val="none"/>
          <w14:textFill>
            <w14:solidFill>
              <w14:schemeClr w14:val="tx1"/>
            </w14:solidFill>
          </w14:textFill>
        </w:rPr>
        <w:t>工程量清单综合单价分析表和</w:t>
      </w:r>
      <w:r>
        <w:rPr>
          <w:color w:val="000000" w:themeColor="text1"/>
          <w:highlight w:val="none"/>
          <w14:textFill>
            <w14:solidFill>
              <w14:schemeClr w14:val="tx1"/>
            </w14:solidFill>
          </w14:textFill>
        </w:rPr>
        <w:t>1.9</w:t>
      </w:r>
      <w:r>
        <w:rPr>
          <w:rFonts w:hint="eastAsia" w:cs="宋体"/>
          <w:color w:val="000000" w:themeColor="text1"/>
          <w:highlight w:val="none"/>
          <w14:textFill>
            <w14:solidFill>
              <w14:schemeClr w14:val="tx1"/>
            </w14:solidFill>
          </w14:textFill>
        </w:rPr>
        <w:t>主要清单项目工料机分析表要求附上。</w:t>
      </w:r>
    </w:p>
    <w:p w14:paraId="06654BC7">
      <w:pPr>
        <w:spacing w:line="360" w:lineRule="auto"/>
        <w:ind w:firstLine="420"/>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3</w:t>
      </w:r>
      <w:r>
        <w:rPr>
          <w:rFonts w:hint="eastAsia" w:cs="宋体"/>
          <w:color w:val="000000" w:themeColor="text1"/>
          <w:highlight w:val="none"/>
          <w14:textFill>
            <w14:solidFill>
              <w14:schemeClr w14:val="tx1"/>
            </w14:solidFill>
          </w14:textFill>
        </w:rPr>
        <w:t>）已标价工程量清单表格要严格按照招标工程量清单给出的表格要求和内容填报。如本工程在合同中约定采用造价信息价差调整法，1.</w:t>
      </w:r>
      <w:r>
        <w:rPr>
          <w:color w:val="000000" w:themeColor="text1"/>
          <w:highlight w:val="none"/>
          <w14:textFill>
            <w14:solidFill>
              <w14:schemeClr w14:val="tx1"/>
            </w14:solidFill>
          </w14:textFill>
        </w:rPr>
        <w:t xml:space="preserve">18 </w:t>
      </w:r>
      <w:r>
        <w:rPr>
          <w:rFonts w:hint="eastAsia" w:cs="宋体"/>
          <w:color w:val="000000" w:themeColor="text1"/>
          <w:highlight w:val="none"/>
          <w14:textFill>
            <w14:solidFill>
              <w14:schemeClr w14:val="tx1"/>
            </w14:solidFill>
          </w14:textFill>
        </w:rPr>
        <w:t>允许调整主要材料和工程设备一览表（适用于造价信息差额调整法）（表</w:t>
      </w:r>
      <w:r>
        <w:rPr>
          <w:color w:val="000000" w:themeColor="text1"/>
          <w:highlight w:val="none"/>
          <w14:textFill>
            <w14:solidFill>
              <w14:schemeClr w14:val="tx1"/>
            </w14:solidFill>
          </w14:textFill>
        </w:rPr>
        <w:t>-22</w:t>
      </w:r>
      <w:r>
        <w:rPr>
          <w:rFonts w:hint="eastAsia" w:cs="宋体"/>
          <w:color w:val="000000" w:themeColor="text1"/>
          <w:highlight w:val="none"/>
          <w14:textFill>
            <w14:solidFill>
              <w14:schemeClr w14:val="tx1"/>
            </w14:solidFill>
          </w14:textFill>
        </w:rPr>
        <w:t>）载明的主要材料和工程设备为本工程允许调整的材料和工程设备，招标工程量清单必须提供该表格，且不能提供空白表。以下表格视工程实际需要选用，如该工程不发生如下表格相关项目和费用，招标工程量清单不应列入该部分表格，已标价工程量清单亦不包括这部分表格。</w:t>
      </w:r>
    </w:p>
    <w:p w14:paraId="70EA9E7B">
      <w:pPr>
        <w:spacing w:line="360" w:lineRule="auto"/>
        <w:ind w:firstLine="42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①</w:t>
      </w:r>
      <w:r>
        <w:rPr>
          <w:rFonts w:hint="eastAsia" w:cs="宋体"/>
          <w:color w:val="000000" w:themeColor="text1"/>
          <w:highlight w:val="none"/>
          <w14:textFill>
            <w14:solidFill>
              <w14:schemeClr w14:val="tx1"/>
            </w14:solidFill>
          </w14:textFill>
        </w:rPr>
        <w:t>建设项目投标报价汇总表（表</w:t>
      </w:r>
      <w:r>
        <w:rPr>
          <w:color w:val="000000" w:themeColor="text1"/>
          <w:highlight w:val="none"/>
          <w14:textFill>
            <w14:solidFill>
              <w14:schemeClr w14:val="tx1"/>
            </w14:solidFill>
          </w14:textFill>
        </w:rPr>
        <w:t>-02</w:t>
      </w:r>
      <w:r>
        <w:rPr>
          <w:rFonts w:hint="eastAsia" w:cs="宋体"/>
          <w:color w:val="000000" w:themeColor="text1"/>
          <w:highlight w:val="none"/>
          <w14:textFill>
            <w14:solidFill>
              <w14:schemeClr w14:val="tx1"/>
            </w14:solidFill>
          </w14:textFill>
        </w:rPr>
        <w:t>）</w:t>
      </w:r>
    </w:p>
    <w:p w14:paraId="505BBC11">
      <w:pPr>
        <w:spacing w:line="360" w:lineRule="auto"/>
        <w:ind w:firstLine="420"/>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②暂列金额明细表（表</w:t>
      </w:r>
      <w:r>
        <w:rPr>
          <w:color w:val="000000" w:themeColor="text1"/>
          <w:highlight w:val="none"/>
          <w14:textFill>
            <w14:solidFill>
              <w14:schemeClr w14:val="tx1"/>
            </w14:solidFill>
          </w14:textFill>
        </w:rPr>
        <w:t>12-1</w:t>
      </w:r>
      <w:r>
        <w:rPr>
          <w:rFonts w:hint="eastAsia" w:cs="宋体"/>
          <w:color w:val="000000" w:themeColor="text1"/>
          <w:highlight w:val="none"/>
          <w14:textFill>
            <w14:solidFill>
              <w14:schemeClr w14:val="tx1"/>
            </w14:solidFill>
          </w14:textFill>
        </w:rPr>
        <w:t>）</w:t>
      </w:r>
    </w:p>
    <w:p w14:paraId="3A970EA8">
      <w:pPr>
        <w:spacing w:line="360" w:lineRule="auto"/>
        <w:ind w:firstLine="420"/>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③材料（工程设备）暂估单位及调整表（表</w:t>
      </w:r>
      <w:r>
        <w:rPr>
          <w:color w:val="000000" w:themeColor="text1"/>
          <w:highlight w:val="none"/>
          <w14:textFill>
            <w14:solidFill>
              <w14:schemeClr w14:val="tx1"/>
            </w14:solidFill>
          </w14:textFill>
        </w:rPr>
        <w:t>12-2</w:t>
      </w:r>
      <w:r>
        <w:rPr>
          <w:rFonts w:hint="eastAsia" w:cs="宋体"/>
          <w:color w:val="000000" w:themeColor="text1"/>
          <w:highlight w:val="none"/>
          <w14:textFill>
            <w14:solidFill>
              <w14:schemeClr w14:val="tx1"/>
            </w14:solidFill>
          </w14:textFill>
        </w:rPr>
        <w:t>）</w:t>
      </w:r>
    </w:p>
    <w:p w14:paraId="0B65F872">
      <w:pPr>
        <w:spacing w:line="360" w:lineRule="auto"/>
        <w:ind w:firstLine="420"/>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④专业工程暂估价及结算价表（表</w:t>
      </w:r>
      <w:r>
        <w:rPr>
          <w:color w:val="000000" w:themeColor="text1"/>
          <w:highlight w:val="none"/>
          <w14:textFill>
            <w14:solidFill>
              <w14:schemeClr w14:val="tx1"/>
            </w14:solidFill>
          </w14:textFill>
        </w:rPr>
        <w:t>12-3</w:t>
      </w:r>
      <w:r>
        <w:rPr>
          <w:rFonts w:hint="eastAsia" w:cs="宋体"/>
          <w:color w:val="000000" w:themeColor="text1"/>
          <w:highlight w:val="none"/>
          <w14:textFill>
            <w14:solidFill>
              <w14:schemeClr w14:val="tx1"/>
            </w14:solidFill>
          </w14:textFill>
        </w:rPr>
        <w:t>）</w:t>
      </w:r>
    </w:p>
    <w:p w14:paraId="0847AFBB">
      <w:pPr>
        <w:spacing w:line="360" w:lineRule="auto"/>
        <w:ind w:firstLine="420"/>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⑤计日工表表</w:t>
      </w:r>
      <w:r>
        <w:rPr>
          <w:color w:val="000000" w:themeColor="text1"/>
          <w:highlight w:val="none"/>
          <w14:textFill>
            <w14:solidFill>
              <w14:schemeClr w14:val="tx1"/>
            </w14:solidFill>
          </w14:textFill>
        </w:rPr>
        <w:t>12-4</w:t>
      </w:r>
      <w:r>
        <w:rPr>
          <w:rFonts w:hint="eastAsia" w:cs="宋体"/>
          <w:color w:val="000000" w:themeColor="text1"/>
          <w:highlight w:val="none"/>
          <w14:textFill>
            <w14:solidFill>
              <w14:schemeClr w14:val="tx1"/>
            </w14:solidFill>
          </w14:textFill>
        </w:rPr>
        <w:t>）</w:t>
      </w:r>
    </w:p>
    <w:p w14:paraId="12A35431">
      <w:pPr>
        <w:spacing w:line="360" w:lineRule="auto"/>
        <w:ind w:firstLine="420"/>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⑥总承包服务费计价表（表</w:t>
      </w:r>
      <w:r>
        <w:rPr>
          <w:color w:val="000000" w:themeColor="text1"/>
          <w:highlight w:val="none"/>
          <w14:textFill>
            <w14:solidFill>
              <w14:schemeClr w14:val="tx1"/>
            </w14:solidFill>
          </w14:textFill>
        </w:rPr>
        <w:t>12-5</w:t>
      </w:r>
      <w:r>
        <w:rPr>
          <w:rFonts w:hint="eastAsia" w:cs="宋体"/>
          <w:color w:val="000000" w:themeColor="text1"/>
          <w:highlight w:val="none"/>
          <w14:textFill>
            <w14:solidFill>
              <w14:schemeClr w14:val="tx1"/>
            </w14:solidFill>
          </w14:textFill>
        </w:rPr>
        <w:t>）</w:t>
      </w:r>
    </w:p>
    <w:p w14:paraId="63ED8635">
      <w:pPr>
        <w:spacing w:line="360" w:lineRule="auto"/>
        <w:ind w:firstLine="420"/>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⑦税前项目清单与计价表（表</w:t>
      </w:r>
      <w:r>
        <w:rPr>
          <w:color w:val="000000" w:themeColor="text1"/>
          <w:highlight w:val="none"/>
          <w14:textFill>
            <w14:solidFill>
              <w14:schemeClr w14:val="tx1"/>
            </w14:solidFill>
          </w14:textFill>
        </w:rPr>
        <w:t>-14</w:t>
      </w:r>
      <w:r>
        <w:rPr>
          <w:rFonts w:hint="eastAsia" w:cs="宋体"/>
          <w:color w:val="000000" w:themeColor="text1"/>
          <w:highlight w:val="none"/>
          <w14:textFill>
            <w14:solidFill>
              <w14:schemeClr w14:val="tx1"/>
            </w14:solidFill>
          </w14:textFill>
        </w:rPr>
        <w:t>）</w:t>
      </w:r>
    </w:p>
    <w:p w14:paraId="5AE33A3D">
      <w:pPr>
        <w:spacing w:line="360" w:lineRule="auto"/>
        <w:ind w:firstLine="420"/>
        <w:rPr>
          <w:rFonts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w:instrText>
      </w:r>
      <w:r>
        <w:rPr>
          <w:rFonts w:hint="eastAsia"/>
          <w:color w:val="000000" w:themeColor="text1"/>
          <w:highlight w:val="none"/>
          <w14:textFill>
            <w14:solidFill>
              <w14:schemeClr w14:val="tx1"/>
            </w14:solidFill>
          </w14:textFill>
        </w:rPr>
        <w:instrText xml:space="preserve">= 8 \* GB3</w:instrText>
      </w:r>
      <w:r>
        <w:rPr>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⑧</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允许调整主要材料和工程设备一览表（适用于价格指数差额调整法）（表</w:t>
      </w:r>
      <w:r>
        <w:rPr>
          <w:color w:val="000000" w:themeColor="text1"/>
          <w:highlight w:val="none"/>
          <w14:textFill>
            <w14:solidFill>
              <w14:schemeClr w14:val="tx1"/>
            </w14:solidFill>
          </w14:textFill>
        </w:rPr>
        <w:t>-23</w:t>
      </w:r>
      <w:r>
        <w:rPr>
          <w:rFonts w:hint="eastAsia" w:cs="宋体"/>
          <w:color w:val="000000" w:themeColor="text1"/>
          <w:highlight w:val="none"/>
          <w14:textFill>
            <w14:solidFill>
              <w14:schemeClr w14:val="tx1"/>
            </w14:solidFill>
          </w14:textFill>
        </w:rPr>
        <w:t>）</w:t>
      </w:r>
    </w:p>
    <w:p w14:paraId="4CE87FB2">
      <w:pPr>
        <w:spacing w:line="360" w:lineRule="auto"/>
        <w:ind w:firstLine="420"/>
        <w:contextualSpacing/>
        <w:jc w:val="left"/>
        <w:rPr>
          <w:rFonts w:hint="eastAsia" w:hAnsi="宋体" w:cs="宋体"/>
          <w:color w:val="000000" w:themeColor="text1"/>
          <w:highlight w:val="none"/>
          <w:lang w:val="en"/>
          <w14:textFill>
            <w14:solidFill>
              <w14:schemeClr w14:val="tx1"/>
            </w14:solidFill>
          </w14:textFill>
        </w:rPr>
      </w:pPr>
      <w:r>
        <w:rPr>
          <w:rFonts w:hint="eastAsia" w:cs="宋体"/>
          <w:color w:val="000000" w:themeColor="text1"/>
          <w:highlight w:val="none"/>
          <w14:textFill>
            <w14:solidFill>
              <w14:schemeClr w14:val="tx1"/>
            </w14:solidFill>
          </w14:textFill>
        </w:rPr>
        <w:t>注：</w:t>
      </w:r>
      <w:r>
        <w:rPr>
          <w:rFonts w:hint="eastAsia" w:hAnsi="宋体" w:cs="宋体"/>
          <w:color w:val="000000" w:themeColor="text1"/>
          <w:highlight w:val="none"/>
          <w:lang w:val="en"/>
          <w14:textFill>
            <w14:solidFill>
              <w14:schemeClr w14:val="tx1"/>
            </w14:solidFill>
          </w14:textFill>
        </w:rPr>
        <w:t>因</w:t>
      </w:r>
      <w:r>
        <w:rPr>
          <w:rFonts w:hint="eastAsia" w:hAnsi="宋体" w:cs="宋体"/>
          <w:color w:val="000000" w:themeColor="text1"/>
          <w:highlight w:val="none"/>
          <w14:textFill>
            <w14:solidFill>
              <w14:schemeClr w14:val="tx1"/>
            </w14:solidFill>
          </w14:textFill>
        </w:rPr>
        <w:t>2021年《广西壮族自治区</w:t>
      </w:r>
      <w:r>
        <w:rPr>
          <w:rFonts w:hint="eastAsia" w:hAnsi="宋体" w:cs="宋体"/>
          <w:color w:val="000000" w:themeColor="text1"/>
          <w:highlight w:val="none"/>
          <w:lang w:val="en"/>
          <w14:textFill>
            <w14:solidFill>
              <w14:schemeClr w14:val="tx1"/>
            </w14:solidFill>
          </w14:textFill>
        </w:rPr>
        <w:t>园林绿化及仿古建筑工程费用定额</w:t>
      </w:r>
      <w:r>
        <w:rPr>
          <w:rFonts w:hint="eastAsia" w:hAnsi="宋体" w:cs="宋体"/>
          <w:color w:val="000000" w:themeColor="text1"/>
          <w:highlight w:val="none"/>
          <w14:textFill>
            <w14:solidFill>
              <w14:schemeClr w14:val="tx1"/>
            </w14:solidFill>
          </w14:textFill>
        </w:rPr>
        <w:t>》采用全费用综合单价形式，故园林绿化及仿古建筑工程的已标价工程量清单</w:t>
      </w:r>
      <w:r>
        <w:rPr>
          <w:rFonts w:hint="eastAsia" w:cs="黑体"/>
          <w:color w:val="000000" w:themeColor="text1"/>
          <w:highlight w:val="none"/>
          <w14:textFill>
            <w14:solidFill>
              <w14:schemeClr w14:val="tx1"/>
            </w14:solidFill>
          </w14:textFill>
        </w:rPr>
        <w:t>采用</w:t>
      </w:r>
      <w:r>
        <w:rPr>
          <w:rFonts w:hint="eastAsia" w:hAnsi="宋体" w:cs="宋体"/>
          <w:color w:val="000000" w:themeColor="text1"/>
          <w:highlight w:val="none"/>
          <w:lang w:val="en"/>
          <w14:textFill>
            <w14:solidFill>
              <w14:schemeClr w14:val="tx1"/>
            </w14:solidFill>
          </w14:textFill>
        </w:rPr>
        <w:t>《自治区住房和城乡建设厅关于建设工程造价改革试点项目招投标及计价规定调整的通知》（桂建标〔2021〕6号）中附件1《建设工程工程量清单计价规范（GB50500-2013）广西壮族自治区实施细则》（适用于工程造价改革试点项目）相关表格，具体以招标人另册发放的工程量清单及相关说明为准。</w:t>
      </w:r>
    </w:p>
    <w:p w14:paraId="2D6D6C5B">
      <w:pPr>
        <w:spacing w:line="360" w:lineRule="auto"/>
        <w:contextualSpacing/>
        <w:jc w:val="center"/>
        <w:rPr>
          <w:rFonts w:hint="eastAsia" w:ascii="宋体" w:hAnsi="宋体"/>
          <w:b/>
          <w:bCs/>
          <w:color w:val="000000" w:themeColor="text1"/>
          <w:sz w:val="32"/>
          <w:szCs w:val="32"/>
          <w:highlight w:val="none"/>
          <w14:textFill>
            <w14:solidFill>
              <w14:schemeClr w14:val="tx1"/>
            </w14:solidFill>
          </w14:textFill>
        </w:rPr>
      </w:pPr>
      <w:r>
        <w:rPr>
          <w:rFonts w:ascii="宋体" w:hAnsi="宋体" w:cs="仿宋_GB2312"/>
          <w:color w:val="000000" w:themeColor="text1"/>
          <w:sz w:val="24"/>
          <w:highlight w:val="none"/>
          <w14:textFill>
            <w14:solidFill>
              <w14:schemeClr w14:val="tx1"/>
            </w14:solidFill>
          </w14:textFill>
        </w:rPr>
        <w:br w:type="page" w:clear="all"/>
      </w:r>
    </w:p>
    <w:p w14:paraId="59E2B154">
      <w:pPr>
        <w:spacing w:line="360" w:lineRule="auto"/>
        <w:ind w:firstLine="643"/>
        <w:contextualSpacing/>
        <w:jc w:val="center"/>
        <w:rPr>
          <w:rFonts w:hint="eastAsia" w:ascii="宋体" w:hAnsi="宋体"/>
          <w:b/>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三、</w:t>
      </w:r>
      <w:r>
        <w:rPr>
          <w:rFonts w:hint="eastAsia" w:ascii="宋体" w:hAnsi="宋体"/>
          <w:b/>
          <w:color w:val="000000" w:themeColor="text1"/>
          <w:sz w:val="32"/>
          <w:szCs w:val="32"/>
          <w:highlight w:val="none"/>
          <w14:textFill>
            <w14:solidFill>
              <w14:schemeClr w14:val="tx1"/>
            </w14:solidFill>
          </w14:textFill>
        </w:rPr>
        <w:t>商务技术文件格式</w:t>
      </w:r>
    </w:p>
    <w:p w14:paraId="68B9CE49">
      <w:pPr>
        <w:spacing w:before="120" w:after="50" w:line="360" w:lineRule="auto"/>
        <w:jc w:val="left"/>
        <w:rPr>
          <w:rFonts w:hint="eastAsia"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1.商务技术文件封面格式</w:t>
      </w:r>
    </w:p>
    <w:p w14:paraId="3B2BC081">
      <w:pPr>
        <w:spacing w:before="120" w:after="50"/>
        <w:rPr>
          <w:rFonts w:hint="eastAsia" w:ascii="宋体" w:hAnsi="宋体"/>
          <w:bCs/>
          <w:color w:val="000000" w:themeColor="text1"/>
          <w:sz w:val="32"/>
          <w:szCs w:val="20"/>
          <w:highlight w:val="none"/>
          <w14:textFill>
            <w14:solidFill>
              <w14:schemeClr w14:val="tx1"/>
            </w14:solidFill>
          </w14:textFill>
        </w:rPr>
      </w:pPr>
    </w:p>
    <w:p w14:paraId="1884E39E">
      <w:pPr>
        <w:spacing w:before="120" w:after="50"/>
        <w:jc w:val="center"/>
        <w:rPr>
          <w:rFonts w:hint="eastAsia"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44"/>
          <w:szCs w:val="44"/>
          <w:highlight w:val="none"/>
          <w14:textFill>
            <w14:solidFill>
              <w14:schemeClr w14:val="tx1"/>
            </w14:solidFill>
          </w14:textFill>
        </w:rPr>
        <w:t>电 子 响 应 文 件</w:t>
      </w:r>
    </w:p>
    <w:p w14:paraId="3D1CD434">
      <w:pPr>
        <w:spacing w:before="120" w:after="50"/>
        <w:rPr>
          <w:rFonts w:hint="eastAsia" w:ascii="宋体" w:hAnsi="宋体"/>
          <w:color w:val="000000" w:themeColor="text1"/>
          <w:sz w:val="24"/>
          <w:szCs w:val="20"/>
          <w:highlight w:val="none"/>
          <w14:textFill>
            <w14:solidFill>
              <w14:schemeClr w14:val="tx1"/>
            </w14:solidFill>
          </w14:textFill>
        </w:rPr>
      </w:pPr>
    </w:p>
    <w:p w14:paraId="1605A463">
      <w:pPr>
        <w:spacing w:before="120" w:after="50"/>
        <w:rPr>
          <w:rFonts w:hint="eastAsia" w:ascii="宋体" w:hAnsi="宋体"/>
          <w:color w:val="000000" w:themeColor="text1"/>
          <w:sz w:val="24"/>
          <w:szCs w:val="20"/>
          <w:highlight w:val="none"/>
          <w14:textFill>
            <w14:solidFill>
              <w14:schemeClr w14:val="tx1"/>
            </w14:solidFill>
          </w14:textFill>
        </w:rPr>
      </w:pPr>
    </w:p>
    <w:p w14:paraId="7180271B">
      <w:pPr>
        <w:spacing w:before="120" w:after="50"/>
        <w:jc w:val="cente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t>商  务  技  术  文  件</w:t>
      </w:r>
    </w:p>
    <w:p w14:paraId="5C69190A">
      <w:pPr>
        <w:spacing w:before="120" w:after="50"/>
        <w:rPr>
          <w:rFonts w:hint="eastAsia" w:ascii="宋体" w:hAnsi="宋体"/>
          <w:bCs/>
          <w:color w:val="000000" w:themeColor="text1"/>
          <w:sz w:val="24"/>
          <w:szCs w:val="20"/>
          <w:highlight w:val="none"/>
          <w14:textFill>
            <w14:solidFill>
              <w14:schemeClr w14:val="tx1"/>
            </w14:solidFill>
          </w14:textFill>
        </w:rPr>
      </w:pPr>
    </w:p>
    <w:p w14:paraId="46F27391">
      <w:pPr>
        <w:spacing w:before="120" w:after="50"/>
        <w:rPr>
          <w:rFonts w:hint="eastAsia" w:ascii="宋体" w:hAnsi="宋体"/>
          <w:bCs/>
          <w:color w:val="000000" w:themeColor="text1"/>
          <w:sz w:val="24"/>
          <w:szCs w:val="20"/>
          <w:highlight w:val="none"/>
          <w14:textFill>
            <w14:solidFill>
              <w14:schemeClr w14:val="tx1"/>
            </w14:solidFill>
          </w14:textFill>
        </w:rPr>
      </w:pPr>
    </w:p>
    <w:p w14:paraId="5E4860D5">
      <w:pPr>
        <w:spacing w:before="120" w:after="50"/>
        <w:rPr>
          <w:rFonts w:hint="eastAsia" w:ascii="宋体" w:hAnsi="宋体"/>
          <w:bCs/>
          <w:color w:val="000000" w:themeColor="text1"/>
          <w:sz w:val="24"/>
          <w:szCs w:val="20"/>
          <w:highlight w:val="none"/>
          <w14:textFill>
            <w14:solidFill>
              <w14:schemeClr w14:val="tx1"/>
            </w14:solidFill>
          </w14:textFill>
        </w:rPr>
      </w:pPr>
    </w:p>
    <w:p w14:paraId="19B7BF72">
      <w:pPr>
        <w:spacing w:before="120" w:after="50"/>
        <w:rPr>
          <w:rFonts w:hint="eastAsia" w:ascii="宋体" w:hAnsi="宋体"/>
          <w:bCs/>
          <w:color w:val="000000" w:themeColor="text1"/>
          <w:sz w:val="24"/>
          <w:szCs w:val="20"/>
          <w:highlight w:val="none"/>
          <w14:textFill>
            <w14:solidFill>
              <w14:schemeClr w14:val="tx1"/>
            </w14:solidFill>
          </w14:textFill>
        </w:rPr>
      </w:pPr>
    </w:p>
    <w:p w14:paraId="393839C1">
      <w:pPr>
        <w:spacing w:before="120" w:after="50"/>
        <w:rPr>
          <w:rFonts w:hint="eastAsia" w:ascii="宋体" w:hAnsi="宋体"/>
          <w:bCs/>
          <w:color w:val="000000" w:themeColor="text1"/>
          <w:sz w:val="24"/>
          <w:szCs w:val="20"/>
          <w:highlight w:val="none"/>
          <w14:textFill>
            <w14:solidFill>
              <w14:schemeClr w14:val="tx1"/>
            </w14:solidFill>
          </w14:textFill>
        </w:rPr>
      </w:pPr>
    </w:p>
    <w:p w14:paraId="3D0C6393">
      <w:pPr>
        <w:spacing w:before="120" w:after="50"/>
        <w:ind w:firstLine="640"/>
        <w:rPr>
          <w:rFonts w:hint="eastAsia"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项目名称：</w:t>
      </w:r>
    </w:p>
    <w:p w14:paraId="1F54DCAA">
      <w:pPr>
        <w:spacing w:before="120" w:after="50"/>
        <w:ind w:firstLine="720"/>
        <w:rPr>
          <w:rFonts w:hint="eastAsia" w:ascii="宋体" w:hAnsi="宋体" w:cs="仿宋_GB2312"/>
          <w:bCs/>
          <w:color w:val="000000" w:themeColor="text1"/>
          <w:sz w:val="32"/>
          <w:szCs w:val="32"/>
          <w:highlight w:val="none"/>
          <w14:textFill>
            <w14:solidFill>
              <w14:schemeClr w14:val="tx1"/>
            </w14:solidFill>
          </w14:textFill>
        </w:rPr>
      </w:pPr>
    </w:p>
    <w:p w14:paraId="15A22C91">
      <w:pPr>
        <w:spacing w:before="120" w:after="50"/>
        <w:ind w:firstLine="640"/>
        <w:rPr>
          <w:rFonts w:hint="eastAsia"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项目编号：</w:t>
      </w:r>
    </w:p>
    <w:p w14:paraId="0994831B">
      <w:pPr>
        <w:spacing w:before="120" w:after="50"/>
        <w:rPr>
          <w:rFonts w:hint="eastAsia" w:ascii="宋体" w:hAnsi="宋体" w:cs="仿宋_GB2312"/>
          <w:bCs/>
          <w:color w:val="000000" w:themeColor="text1"/>
          <w:sz w:val="32"/>
          <w:szCs w:val="32"/>
          <w:highlight w:val="none"/>
          <w14:textFill>
            <w14:solidFill>
              <w14:schemeClr w14:val="tx1"/>
            </w14:solidFill>
          </w14:textFill>
        </w:rPr>
      </w:pPr>
    </w:p>
    <w:p w14:paraId="217660C7">
      <w:pPr>
        <w:pStyle w:val="7"/>
        <w:spacing w:before="50" w:after="50"/>
        <w:ind w:firstLine="640"/>
        <w:rPr>
          <w:rFonts w:hint="eastAsia"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供应商名称：</w:t>
      </w:r>
    </w:p>
    <w:p w14:paraId="556B6E16">
      <w:pPr>
        <w:pStyle w:val="7"/>
        <w:spacing w:before="50" w:after="50"/>
        <w:ind w:firstLine="640"/>
        <w:rPr>
          <w:rFonts w:hint="eastAsia" w:ascii="宋体" w:hAnsi="宋体" w:cs="仿宋_GB2312"/>
          <w:bCs/>
          <w:color w:val="000000" w:themeColor="text1"/>
          <w:sz w:val="32"/>
          <w:szCs w:val="32"/>
          <w:highlight w:val="none"/>
          <w14:textFill>
            <w14:solidFill>
              <w14:schemeClr w14:val="tx1"/>
            </w14:solidFill>
          </w14:textFill>
        </w:rPr>
      </w:pPr>
    </w:p>
    <w:p w14:paraId="156B19E3">
      <w:pPr>
        <w:pStyle w:val="7"/>
        <w:spacing w:before="50" w:after="50"/>
        <w:ind w:firstLine="720"/>
        <w:rPr>
          <w:rFonts w:hint="eastAsia" w:ascii="宋体" w:hAnsi="宋体" w:cs="仿宋_GB2312"/>
          <w:bCs/>
          <w:color w:val="000000" w:themeColor="text1"/>
          <w:sz w:val="32"/>
          <w:szCs w:val="32"/>
          <w:highlight w:val="none"/>
          <w14:textFill>
            <w14:solidFill>
              <w14:schemeClr w14:val="tx1"/>
            </w14:solidFill>
          </w14:textFill>
        </w:rPr>
      </w:pPr>
    </w:p>
    <w:p w14:paraId="48CCCF6A">
      <w:pPr>
        <w:pStyle w:val="7"/>
        <w:spacing w:before="50" w:after="50"/>
        <w:ind w:firstLine="0"/>
        <w:rPr>
          <w:rFonts w:hint="eastAsia" w:ascii="宋体" w:hAnsi="宋体" w:cs="仿宋_GB2312"/>
          <w:bCs/>
          <w:color w:val="000000" w:themeColor="text1"/>
          <w:sz w:val="32"/>
          <w:szCs w:val="32"/>
          <w:highlight w:val="none"/>
          <w14:textFill>
            <w14:solidFill>
              <w14:schemeClr w14:val="tx1"/>
            </w14:solidFill>
          </w14:textFill>
        </w:rPr>
      </w:pPr>
    </w:p>
    <w:p w14:paraId="743DE6F4">
      <w:pPr>
        <w:pStyle w:val="7"/>
        <w:spacing w:before="50" w:after="50"/>
        <w:ind w:firstLine="1280"/>
        <w:rPr>
          <w:rFonts w:hint="eastAsia" w:ascii="宋体" w:hAnsi="宋体" w:cs="仿宋_GB2312"/>
          <w:bCs/>
          <w:color w:val="000000" w:themeColor="text1"/>
          <w:sz w:val="32"/>
          <w:szCs w:val="32"/>
          <w:highlight w:val="none"/>
          <w14:textFill>
            <w14:solidFill>
              <w14:schemeClr w14:val="tx1"/>
            </w14:solidFill>
          </w14:textFill>
        </w:rPr>
      </w:pPr>
    </w:p>
    <w:p w14:paraId="05D2097E">
      <w:pPr>
        <w:spacing w:before="120" w:after="50"/>
        <w:jc w:val="center"/>
        <w:rPr>
          <w:rFonts w:hint="eastAsia" w:ascii="宋体" w:hAnsi="宋体" w:cs="仿宋_GB2312"/>
          <w:color w:val="000000" w:themeColor="text1"/>
          <w:sz w:val="32"/>
          <w:szCs w:val="32"/>
          <w:highlight w:val="none"/>
          <w14:textFill>
            <w14:solidFill>
              <w14:schemeClr w14:val="tx1"/>
            </w14:solidFill>
          </w14:textFill>
        </w:rPr>
      </w:pPr>
      <w:r>
        <w:rPr>
          <w:rFonts w:hint="eastAsia" w:ascii="宋体" w:hAnsi="宋体" w:cs="仿宋_GB2312"/>
          <w:color w:val="000000" w:themeColor="text1"/>
          <w:sz w:val="32"/>
          <w:szCs w:val="32"/>
          <w:highlight w:val="none"/>
          <w14:textFill>
            <w14:solidFill>
              <w14:schemeClr w14:val="tx1"/>
            </w14:solidFill>
          </w14:textFill>
        </w:rPr>
        <w:t>年    月    日</w:t>
      </w:r>
    </w:p>
    <w:p w14:paraId="65C2DB25">
      <w:pPr>
        <w:spacing w:before="120" w:after="50" w:line="360" w:lineRule="auto"/>
        <w:ind w:right="480" w:firstLine="240"/>
        <w:jc w:val="left"/>
        <w:rPr>
          <w:rFonts w:hint="eastAsia" w:ascii="宋体" w:hAnsi="宋体"/>
          <w:b/>
          <w:bCs/>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br w:type="page" w:clear="all"/>
      </w:r>
      <w:r>
        <w:rPr>
          <w:rFonts w:hint="eastAsia" w:ascii="宋体" w:hAnsi="宋体"/>
          <w:b/>
          <w:bCs/>
          <w:color w:val="000000" w:themeColor="text1"/>
          <w:sz w:val="32"/>
          <w:szCs w:val="32"/>
          <w:highlight w:val="none"/>
          <w14:textFill>
            <w14:solidFill>
              <w14:schemeClr w14:val="tx1"/>
            </w14:solidFill>
          </w14:textFill>
        </w:rPr>
        <w:t>2.商务技术文件目录</w:t>
      </w:r>
    </w:p>
    <w:p w14:paraId="7F5E195E">
      <w:pPr>
        <w:spacing w:before="120" w:after="50" w:line="360" w:lineRule="auto"/>
        <w:ind w:firstLine="640"/>
        <w:rPr>
          <w:rFonts w:hint="eastAsia" w:ascii="宋体" w:hAnsi="宋体"/>
          <w:color w:val="000000" w:themeColor="text1"/>
          <w:sz w:val="32"/>
          <w:szCs w:val="32"/>
          <w:highlight w:val="none"/>
          <w14:textFill>
            <w14:solidFill>
              <w14:schemeClr w14:val="tx1"/>
            </w14:solidFill>
          </w14:textFill>
        </w:rPr>
      </w:pPr>
      <w:r>
        <w:rPr>
          <w:rFonts w:hint="eastAsia" w:ascii="宋体" w:hAnsi="宋体"/>
          <w:color w:val="000000" w:themeColor="text1"/>
          <w:sz w:val="32"/>
          <w:szCs w:val="32"/>
          <w:highlight w:val="none"/>
          <w14:textFill>
            <w14:solidFill>
              <w14:schemeClr w14:val="tx1"/>
            </w14:solidFill>
          </w14:textFill>
        </w:rPr>
        <w:t>根据磋商文件规定及供应商提供的材料自行编写目录（部分格式后附）。</w:t>
      </w:r>
    </w:p>
    <w:p w14:paraId="58001FD0">
      <w:pPr>
        <w:spacing w:line="400" w:lineRule="exact"/>
        <w:rPr>
          <w:rFonts w:hint="eastAsia" w:ascii="仿宋_GB2312" w:hAnsi="仿宋_GB2312" w:eastAsia="仿宋_GB2312" w:cs="仿宋_GB2312"/>
          <w:color w:val="000000" w:themeColor="text1"/>
          <w:sz w:val="32"/>
          <w:szCs w:val="32"/>
          <w:highlight w:val="none"/>
          <w14:textFill>
            <w14:solidFill>
              <w14:schemeClr w14:val="tx1"/>
            </w14:solidFill>
          </w14:textFill>
        </w:rPr>
      </w:pPr>
    </w:p>
    <w:p w14:paraId="17D1415C">
      <w:pPr>
        <w:spacing w:line="520" w:lineRule="exact"/>
        <w:jc w:val="center"/>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br w:type="page" w:clear="all"/>
      </w: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无串通竞标行为的承诺函</w:t>
      </w:r>
    </w:p>
    <w:p w14:paraId="51C5353F">
      <w:pPr>
        <w:spacing w:line="360" w:lineRule="auto"/>
        <w:ind w:firstLine="640"/>
        <w:contextualSpacing/>
        <w:rPr>
          <w:rFonts w:hint="eastAsia" w:ascii="仿宋_GB2312" w:hAnsi="仿宋_GB2312" w:eastAsia="仿宋_GB2312" w:cs="仿宋_GB2312"/>
          <w:color w:val="000000" w:themeColor="text1"/>
          <w:sz w:val="32"/>
          <w:szCs w:val="32"/>
          <w:highlight w:val="none"/>
          <w14:textFill>
            <w14:solidFill>
              <w14:schemeClr w14:val="tx1"/>
            </w14:solidFill>
          </w14:textFill>
        </w:rPr>
      </w:pPr>
    </w:p>
    <w:p w14:paraId="15988F07">
      <w:pPr>
        <w:spacing w:line="360" w:lineRule="auto"/>
        <w:ind w:firstLine="482"/>
        <w:contextualSpacing/>
        <w:rPr>
          <w:rFonts w:hint="eastAsia" w:ascii="宋体" w:hAnsi="宋体" w:cs="仿宋_GB2312"/>
          <w:b/>
          <w:bCs/>
          <w:color w:val="000000" w:themeColor="text1"/>
          <w:sz w:val="24"/>
          <w:highlight w:val="none"/>
          <w14:textFill>
            <w14:solidFill>
              <w14:schemeClr w14:val="tx1"/>
            </w14:solidFill>
          </w14:textFill>
        </w:rPr>
      </w:pPr>
      <w:r>
        <w:rPr>
          <w:rFonts w:hint="eastAsia" w:ascii="宋体" w:hAnsi="宋体" w:cs="仿宋_GB2312"/>
          <w:b/>
          <w:bCs/>
          <w:color w:val="000000" w:themeColor="text1"/>
          <w:sz w:val="24"/>
          <w:highlight w:val="none"/>
          <w14:textFill>
            <w14:solidFill>
              <w14:schemeClr w14:val="tx1"/>
            </w14:solidFill>
          </w14:textFill>
        </w:rPr>
        <w:t>一、我方承诺无下列相互串通竞标的情形：</w:t>
      </w:r>
    </w:p>
    <w:p w14:paraId="18B3AA8E">
      <w:pPr>
        <w:spacing w:line="360" w:lineRule="auto"/>
        <w:ind w:firstLine="48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1.不同供应商的响应文件由同一单位或者个人编制； </w:t>
      </w:r>
    </w:p>
    <w:p w14:paraId="3FA2C71A">
      <w:pPr>
        <w:spacing w:line="360" w:lineRule="auto"/>
        <w:ind w:firstLine="48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2.不同供应商委托同一单位或者个人办理竞标事宜；</w:t>
      </w:r>
    </w:p>
    <w:p w14:paraId="62BD0F27">
      <w:pPr>
        <w:spacing w:line="360" w:lineRule="auto"/>
        <w:ind w:firstLine="48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3.不同供应商的响应文件载明的项目管理员为同一个人；</w:t>
      </w:r>
    </w:p>
    <w:p w14:paraId="09FB3BCA">
      <w:pPr>
        <w:spacing w:line="360" w:lineRule="auto"/>
        <w:ind w:firstLine="48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4.不</w:t>
      </w:r>
      <w:r>
        <w:rPr>
          <w:rFonts w:hint="eastAsia" w:ascii="宋体" w:hAnsi="宋体" w:cs="仿宋_GB2312"/>
          <w:color w:val="000000" w:themeColor="text1"/>
          <w:spacing w:val="-6"/>
          <w:sz w:val="24"/>
          <w:highlight w:val="none"/>
          <w14:textFill>
            <w14:solidFill>
              <w14:schemeClr w14:val="tx1"/>
            </w14:solidFill>
          </w14:textFill>
        </w:rPr>
        <w:t>同供应商的响应文件异常一致或者竞标报价呈规律性差异；</w:t>
      </w:r>
    </w:p>
    <w:p w14:paraId="06316816">
      <w:pPr>
        <w:spacing w:line="360" w:lineRule="auto"/>
        <w:ind w:firstLine="48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5.不同供应商的响应文件相互混装；</w:t>
      </w:r>
    </w:p>
    <w:p w14:paraId="3072D435">
      <w:pPr>
        <w:spacing w:line="360" w:lineRule="auto"/>
        <w:ind w:firstLine="48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6.不同供应商的磋商保证金从同一单位或者个人账户转出。</w:t>
      </w:r>
    </w:p>
    <w:p w14:paraId="4043C248">
      <w:pPr>
        <w:spacing w:line="360" w:lineRule="auto"/>
        <w:ind w:firstLine="482"/>
        <w:contextualSpacing/>
        <w:rPr>
          <w:rFonts w:hint="eastAsia" w:ascii="宋体" w:hAnsi="宋体" w:cs="仿宋_GB2312"/>
          <w:b/>
          <w:bCs/>
          <w:color w:val="000000" w:themeColor="text1"/>
          <w:sz w:val="24"/>
          <w:highlight w:val="none"/>
          <w14:textFill>
            <w14:solidFill>
              <w14:schemeClr w14:val="tx1"/>
            </w14:solidFill>
          </w14:textFill>
        </w:rPr>
      </w:pPr>
      <w:r>
        <w:rPr>
          <w:rFonts w:hint="eastAsia" w:ascii="宋体" w:hAnsi="宋体" w:cs="仿宋_GB2312"/>
          <w:b/>
          <w:bCs/>
          <w:color w:val="000000" w:themeColor="text1"/>
          <w:sz w:val="24"/>
          <w:highlight w:val="none"/>
          <w14:textFill>
            <w14:solidFill>
              <w14:schemeClr w14:val="tx1"/>
            </w14:solidFill>
          </w14:textFill>
        </w:rPr>
        <w:t>二、我方承诺无下列恶意串通的情形：</w:t>
      </w:r>
    </w:p>
    <w:p w14:paraId="02811382">
      <w:pPr>
        <w:spacing w:line="360" w:lineRule="auto"/>
        <w:ind w:firstLine="48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1.供应商直接或者间接从采购人或者采购代理机构处获得其他供应商的相关信息并修改其响应文件；</w:t>
      </w:r>
    </w:p>
    <w:p w14:paraId="2CD6236A">
      <w:pPr>
        <w:spacing w:line="360" w:lineRule="auto"/>
        <w:ind w:firstLine="48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2.供应商按照采购人或者采购代理机构的授意撤换、修改响应文件；</w:t>
      </w:r>
    </w:p>
    <w:p w14:paraId="2E197466">
      <w:pPr>
        <w:spacing w:line="360" w:lineRule="auto"/>
        <w:ind w:firstLine="48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3.供</w:t>
      </w:r>
      <w:r>
        <w:rPr>
          <w:rFonts w:hint="eastAsia" w:ascii="宋体" w:hAnsi="宋体" w:cs="仿宋_GB2312"/>
          <w:color w:val="000000" w:themeColor="text1"/>
          <w:spacing w:val="-6"/>
          <w:sz w:val="24"/>
          <w:highlight w:val="none"/>
          <w14:textFill>
            <w14:solidFill>
              <w14:schemeClr w14:val="tx1"/>
            </w14:solidFill>
          </w14:textFill>
        </w:rPr>
        <w:t>应商之间协商报价、技术方案等响应文件的实质性内容；</w:t>
      </w:r>
    </w:p>
    <w:p w14:paraId="21934433">
      <w:pPr>
        <w:spacing w:line="360" w:lineRule="auto"/>
        <w:ind w:firstLine="48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4.属于同一集团、协会、商会等组织成员的供应商按照该组织要求协同参加政府采购活动；</w:t>
      </w:r>
    </w:p>
    <w:p w14:paraId="29AC1585">
      <w:pPr>
        <w:spacing w:line="360" w:lineRule="auto"/>
        <w:ind w:firstLine="48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5.供应商之间事先约定一致抬高或者压低竞标报价，或者在竞争性磋商项目中事先约定轮流以高价位或者低价位成交，或者事先约定由某一特定供应商成交，然后再参加竞标；</w:t>
      </w:r>
    </w:p>
    <w:p w14:paraId="49C2639C">
      <w:pPr>
        <w:spacing w:line="360" w:lineRule="auto"/>
        <w:ind w:firstLine="48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6.供应商之间商定部分供应商放弃参加政府采购活动或者放弃成交；</w:t>
      </w:r>
    </w:p>
    <w:p w14:paraId="41743EC6">
      <w:pPr>
        <w:spacing w:line="360" w:lineRule="auto"/>
        <w:ind w:firstLine="48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7.供应商与采购人或者采购代理机构之间、供应商相互之间，为</w:t>
      </w:r>
      <w:r>
        <w:rPr>
          <w:rFonts w:hint="eastAsia" w:ascii="宋体" w:hAnsi="宋体" w:cs="仿宋_GB2312"/>
          <w:color w:val="000000" w:themeColor="text1"/>
          <w:spacing w:val="-6"/>
          <w:sz w:val="24"/>
          <w:highlight w:val="none"/>
          <w14:textFill>
            <w14:solidFill>
              <w14:schemeClr w14:val="tx1"/>
            </w14:solidFill>
          </w14:textFill>
        </w:rPr>
        <w:t>谋求特定供应商成交或者排斥其他供应商的其他串通行为。</w:t>
      </w:r>
    </w:p>
    <w:p w14:paraId="23990960">
      <w:pPr>
        <w:spacing w:line="360" w:lineRule="auto"/>
        <w:ind w:firstLine="480"/>
        <w:contextualSpacing/>
        <w:rPr>
          <w:rFonts w:hint="eastAsia" w:ascii="宋体" w:hAnsi="宋体" w:cs="仿宋_GB2312"/>
          <w:color w:val="000000" w:themeColor="text1"/>
          <w:sz w:val="24"/>
          <w:highlight w:val="none"/>
          <w14:textFill>
            <w14:solidFill>
              <w14:schemeClr w14:val="tx1"/>
            </w14:solidFill>
          </w14:textFill>
        </w:rPr>
      </w:pPr>
    </w:p>
    <w:p w14:paraId="41095A60">
      <w:pPr>
        <w:spacing w:line="360" w:lineRule="auto"/>
        <w:ind w:firstLine="482"/>
        <w:contextualSpacing/>
        <w:rPr>
          <w:rFonts w:hint="eastAsia" w:ascii="宋体" w:hAnsi="宋体" w:cs="仿宋_GB2312"/>
          <w:b/>
          <w:bCs/>
          <w:color w:val="000000" w:themeColor="text1"/>
          <w:sz w:val="24"/>
          <w:highlight w:val="none"/>
          <w14:textFill>
            <w14:solidFill>
              <w14:schemeClr w14:val="tx1"/>
            </w14:solidFill>
          </w14:textFill>
        </w:rPr>
      </w:pPr>
      <w:r>
        <w:rPr>
          <w:rFonts w:hint="eastAsia" w:ascii="宋体" w:hAnsi="宋体" w:cs="仿宋_GB2312"/>
          <w:b/>
          <w:bCs/>
          <w:color w:val="000000" w:themeColor="text1"/>
          <w:sz w:val="24"/>
          <w:highlight w:val="none"/>
          <w14:textFill>
            <w14:solidFill>
              <w14:schemeClr w14:val="tx1"/>
            </w14:solidFill>
          </w14:textFill>
        </w:rPr>
        <w:t>以上情形一经核查属实，我方愿意承担一切后果，并不再寻求任何旨在减轻或者免除法律责任的辩解。</w:t>
      </w:r>
    </w:p>
    <w:p w14:paraId="1EDCFF0D">
      <w:pPr>
        <w:spacing w:line="360" w:lineRule="auto"/>
        <w:contextualSpacing/>
        <w:rPr>
          <w:rFonts w:hint="eastAsia" w:ascii="宋体" w:hAnsi="宋体" w:cs="仿宋_GB2312"/>
          <w:color w:val="000000" w:themeColor="text1"/>
          <w:sz w:val="24"/>
          <w:highlight w:val="none"/>
          <w14:textFill>
            <w14:solidFill>
              <w14:schemeClr w14:val="tx1"/>
            </w14:solidFill>
          </w14:textFill>
        </w:rPr>
      </w:pPr>
    </w:p>
    <w:p w14:paraId="1F3157F6">
      <w:pPr>
        <w:spacing w:line="360" w:lineRule="auto"/>
        <w:ind w:firstLine="36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供应商（电子签章）：</w:t>
      </w:r>
    </w:p>
    <w:p w14:paraId="430841B9">
      <w:pPr>
        <w:spacing w:line="360" w:lineRule="auto"/>
        <w:ind w:firstLine="480"/>
        <w:contextualSpacing/>
        <w:jc w:val="center"/>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                               年   月   日</w:t>
      </w:r>
    </w:p>
    <w:p w14:paraId="2ECE2961">
      <w:pPr>
        <w:spacing w:line="520" w:lineRule="exact"/>
        <w:jc w:val="center"/>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br w:type="page" w:clear="all"/>
      </w: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t>法定代表人证明书</w:t>
      </w:r>
    </w:p>
    <w:p w14:paraId="3616398B">
      <w:pPr>
        <w:spacing w:line="360" w:lineRule="auto"/>
        <w:ind w:left="540"/>
        <w:contextualSpacing/>
        <w:rPr>
          <w:rFonts w:hint="eastAsia" w:ascii="仿宋_GB2312" w:hAnsi="仿宋_GB2312" w:eastAsia="仿宋_GB2312" w:cs="仿宋_GB2312"/>
          <w:color w:val="000000" w:themeColor="text1"/>
          <w:sz w:val="32"/>
          <w:szCs w:val="32"/>
          <w:highlight w:val="none"/>
          <w14:textFill>
            <w14:solidFill>
              <w14:schemeClr w14:val="tx1"/>
            </w14:solidFill>
          </w14:textFill>
        </w:rPr>
      </w:pPr>
    </w:p>
    <w:p w14:paraId="0DAA5208">
      <w:pPr>
        <w:spacing w:line="360" w:lineRule="auto"/>
        <w:ind w:left="54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供应商名称：</w:t>
      </w:r>
      <w:r>
        <w:rPr>
          <w:rFonts w:hint="eastAsia" w:ascii="宋体" w:hAnsi="宋体" w:cs="宋体"/>
          <w:color w:val="000000" w:themeColor="text1"/>
          <w:sz w:val="24"/>
          <w:highlight w:val="none"/>
          <w:u w:val="single"/>
          <w14:textFill>
            <w14:solidFill>
              <w14:schemeClr w14:val="tx1"/>
            </w14:solidFill>
          </w14:textFill>
        </w:rPr>
        <w:t xml:space="preserve">                                         </w:t>
      </w:r>
    </w:p>
    <w:p w14:paraId="5A19A9C9">
      <w:pPr>
        <w:spacing w:line="360" w:lineRule="auto"/>
        <w:ind w:left="54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    址：</w:t>
      </w:r>
      <w:r>
        <w:rPr>
          <w:rFonts w:hint="eastAsia" w:ascii="宋体" w:hAnsi="宋体" w:cs="宋体"/>
          <w:color w:val="000000" w:themeColor="text1"/>
          <w:sz w:val="24"/>
          <w:highlight w:val="none"/>
          <w:u w:val="single"/>
          <w14:textFill>
            <w14:solidFill>
              <w14:schemeClr w14:val="tx1"/>
            </w14:solidFill>
          </w14:textFill>
        </w:rPr>
        <w:t xml:space="preserve">                                           </w:t>
      </w:r>
    </w:p>
    <w:p w14:paraId="25937CA8">
      <w:pPr>
        <w:spacing w:line="360" w:lineRule="auto"/>
        <w:ind w:left="54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姓    名：</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性     别：</w:t>
      </w:r>
      <w:r>
        <w:rPr>
          <w:rFonts w:hint="eastAsia" w:ascii="宋体" w:hAnsi="宋体" w:cs="宋体"/>
          <w:color w:val="000000" w:themeColor="text1"/>
          <w:sz w:val="24"/>
          <w:highlight w:val="none"/>
          <w:u w:val="single"/>
          <w14:textFill>
            <w14:solidFill>
              <w14:schemeClr w14:val="tx1"/>
            </w14:solidFill>
          </w14:textFill>
        </w:rPr>
        <w:t xml:space="preserve">                </w:t>
      </w:r>
    </w:p>
    <w:p w14:paraId="2621FD71">
      <w:pPr>
        <w:spacing w:line="360" w:lineRule="auto"/>
        <w:ind w:left="540"/>
        <w:contextualSpacing/>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年    龄：</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职     务：</w:t>
      </w:r>
      <w:r>
        <w:rPr>
          <w:rFonts w:hint="eastAsia" w:ascii="宋体" w:hAnsi="宋体" w:cs="宋体"/>
          <w:color w:val="000000" w:themeColor="text1"/>
          <w:sz w:val="24"/>
          <w:highlight w:val="none"/>
          <w:u w:val="single"/>
          <w14:textFill>
            <w14:solidFill>
              <w14:schemeClr w14:val="tx1"/>
            </w14:solidFill>
          </w14:textFill>
        </w:rPr>
        <w:t xml:space="preserve">                </w:t>
      </w:r>
    </w:p>
    <w:p w14:paraId="0104ABAD">
      <w:pPr>
        <w:spacing w:line="360" w:lineRule="auto"/>
        <w:ind w:left="54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身份证号码：</w:t>
      </w:r>
      <w:r>
        <w:rPr>
          <w:rFonts w:hint="eastAsia" w:ascii="宋体" w:hAnsi="宋体" w:cs="宋体"/>
          <w:color w:val="000000" w:themeColor="text1"/>
          <w:sz w:val="24"/>
          <w:highlight w:val="none"/>
          <w:u w:val="single"/>
          <w14:textFill>
            <w14:solidFill>
              <w14:schemeClr w14:val="tx1"/>
            </w14:solidFill>
          </w14:textFill>
        </w:rPr>
        <w:t xml:space="preserve">                                        </w:t>
      </w:r>
    </w:p>
    <w:p w14:paraId="2B3AB43C">
      <w:pPr>
        <w:spacing w:line="360" w:lineRule="auto"/>
        <w:ind w:firstLine="48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系</w:t>
      </w:r>
      <w:r>
        <w:rPr>
          <w:rFonts w:hint="eastAsia" w:ascii="宋体" w:hAnsi="宋体" w:cs="宋体"/>
          <w:color w:val="000000" w:themeColor="text1"/>
          <w:sz w:val="24"/>
          <w:highlight w:val="none"/>
          <w:u w:val="single"/>
          <w14:textFill>
            <w14:solidFill>
              <w14:schemeClr w14:val="tx1"/>
            </w14:solidFill>
          </w14:textFill>
        </w:rPr>
        <w:t>（供应商名称）</w:t>
      </w:r>
      <w:r>
        <w:rPr>
          <w:rFonts w:hint="eastAsia" w:ascii="宋体" w:hAnsi="宋体" w:cs="宋体"/>
          <w:color w:val="000000" w:themeColor="text1"/>
          <w:sz w:val="24"/>
          <w:highlight w:val="none"/>
          <w14:textFill>
            <w14:solidFill>
              <w14:schemeClr w14:val="tx1"/>
            </w14:solidFill>
          </w14:textFill>
        </w:rPr>
        <w:t>的法定代表人。</w:t>
      </w:r>
    </w:p>
    <w:p w14:paraId="062137F8">
      <w:pPr>
        <w:spacing w:line="360" w:lineRule="auto"/>
        <w:ind w:left="54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特此证明。</w:t>
      </w:r>
    </w:p>
    <w:p w14:paraId="436CDFBA">
      <w:pPr>
        <w:spacing w:line="360" w:lineRule="auto"/>
        <w:ind w:left="540"/>
        <w:contextualSpacing/>
        <w:rPr>
          <w:rFonts w:hint="eastAsia" w:ascii="宋体" w:hAnsi="宋体" w:cs="仿宋_GB2312"/>
          <w:color w:val="000000" w:themeColor="text1"/>
          <w:sz w:val="24"/>
          <w:highlight w:val="none"/>
          <w14:textFill>
            <w14:solidFill>
              <w14:schemeClr w14:val="tx1"/>
            </w14:solidFill>
          </w14:textFill>
        </w:rPr>
      </w:pPr>
    </w:p>
    <w:p w14:paraId="42CFAE5C">
      <w:pPr>
        <w:spacing w:line="360" w:lineRule="auto"/>
        <w:ind w:left="540"/>
        <w:contextualSpacing/>
        <w:rPr>
          <w:rFonts w:hint="eastAsia" w:ascii="宋体" w:hAnsi="宋体" w:cs="仿宋_GB2312"/>
          <w:color w:val="000000" w:themeColor="text1"/>
          <w:sz w:val="24"/>
          <w:highlight w:val="none"/>
          <w14:textFill>
            <w14:solidFill>
              <w14:schemeClr w14:val="tx1"/>
            </w14:solidFill>
          </w14:textFill>
        </w:rPr>
      </w:pPr>
    </w:p>
    <w:p w14:paraId="3460E207">
      <w:pPr>
        <w:spacing w:line="360" w:lineRule="auto"/>
        <w:ind w:left="540"/>
        <w:contextualSpacing/>
        <w:rPr>
          <w:rFonts w:hint="eastAsia" w:ascii="宋体" w:hAnsi="宋体" w:cs="仿宋_GB2312"/>
          <w:color w:val="000000" w:themeColor="text1"/>
          <w:sz w:val="24"/>
          <w:highlight w:val="none"/>
          <w14:textFill>
            <w14:solidFill>
              <w14:schemeClr w14:val="tx1"/>
            </w14:solidFill>
          </w14:textFill>
        </w:rPr>
      </w:pPr>
    </w:p>
    <w:p w14:paraId="03CC01E2">
      <w:pPr>
        <w:spacing w:line="360" w:lineRule="auto"/>
        <w:ind w:left="54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附件：法定代表人有效身份证正反面复印件</w:t>
      </w:r>
    </w:p>
    <w:p w14:paraId="4470FEB0">
      <w:pPr>
        <w:spacing w:line="360" w:lineRule="auto"/>
        <w:ind w:left="540"/>
        <w:contextualSpacing/>
        <w:rPr>
          <w:rFonts w:hint="eastAsia" w:ascii="宋体" w:hAnsi="宋体" w:cs="仿宋_GB2312"/>
          <w:color w:val="000000" w:themeColor="text1"/>
          <w:sz w:val="24"/>
          <w:highlight w:val="none"/>
          <w14:textFill>
            <w14:solidFill>
              <w14:schemeClr w14:val="tx1"/>
            </w14:solidFill>
          </w14:textFill>
        </w:rPr>
      </w:pPr>
    </w:p>
    <w:p w14:paraId="3DE779A2">
      <w:pPr>
        <w:spacing w:line="360" w:lineRule="auto"/>
        <w:ind w:left="540" w:firstLine="3000"/>
        <w:contextualSpacing/>
        <w:jc w:val="left"/>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供应商（电子签章）：</w:t>
      </w:r>
    </w:p>
    <w:p w14:paraId="74321191">
      <w:pPr>
        <w:spacing w:line="360" w:lineRule="auto"/>
        <w:ind w:firstLine="408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年  月  日</w:t>
      </w:r>
    </w:p>
    <w:p w14:paraId="3FD8E016">
      <w:pPr>
        <w:spacing w:line="360" w:lineRule="auto"/>
        <w:contextualSpacing/>
        <w:jc w:val="center"/>
        <w:rPr>
          <w:rFonts w:hint="eastAsia" w:ascii="宋体" w:hAnsi="宋体" w:cs="仿宋_GB2312"/>
          <w:b/>
          <w:color w:val="000000" w:themeColor="text1"/>
          <w:sz w:val="24"/>
          <w:highlight w:val="none"/>
          <w14:textFill>
            <w14:solidFill>
              <w14:schemeClr w14:val="tx1"/>
            </w14:solidFill>
          </w14:textFill>
        </w:rPr>
      </w:pPr>
    </w:p>
    <w:p w14:paraId="7E1981EE">
      <w:pPr>
        <w:spacing w:line="360" w:lineRule="auto"/>
        <w:contextualSpacing/>
        <w:jc w:val="left"/>
        <w:rPr>
          <w:rFonts w:hint="eastAsia" w:ascii="宋体" w:hAnsi="宋体" w:cs="仿宋_GB2312"/>
          <w:color w:val="000000" w:themeColor="text1"/>
          <w:sz w:val="24"/>
          <w:highlight w:val="none"/>
          <w14:textFill>
            <w14:solidFill>
              <w14:schemeClr w14:val="tx1"/>
            </w14:solidFill>
          </w14:textFill>
        </w:rPr>
      </w:pPr>
    </w:p>
    <w:p w14:paraId="339A94C7">
      <w:pPr>
        <w:spacing w:line="300" w:lineRule="auto"/>
        <w:jc w:val="left"/>
        <w:rPr>
          <w:rFonts w:hint="eastAsia" w:ascii="宋体" w:hAnsi="宋体"/>
          <w:b/>
          <w:color w:val="000000" w:themeColor="text1"/>
          <w:szCs w:val="21"/>
          <w:highlight w:val="none"/>
          <w14:textFill>
            <w14:solidFill>
              <w14:schemeClr w14:val="tx1"/>
            </w14:solidFill>
          </w14:textFill>
        </w:rPr>
      </w:pPr>
    </w:p>
    <w:p w14:paraId="4C4A5FF2">
      <w:pPr>
        <w:spacing w:line="500" w:lineRule="exact"/>
        <w:jc w:val="cente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br w:type="page" w:clear="all"/>
      </w:r>
    </w:p>
    <w:p w14:paraId="5C4FB5F5">
      <w:pPr>
        <w:spacing w:line="520" w:lineRule="exact"/>
        <w:jc w:val="cente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pPr>
      <w:bookmarkStart w:id="112" w:name="_Hlk65853643"/>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授权委托书</w:t>
      </w:r>
    </w:p>
    <w:p w14:paraId="7904592F">
      <w:pPr>
        <w:spacing w:line="520" w:lineRule="exact"/>
        <w:jc w:val="center"/>
        <w:rPr>
          <w:rFonts w:hint="eastAsia" w:ascii="方正小标宋简体" w:hAnsi="方正小标宋简体" w:eastAsia="方正小标宋简体" w:cs="方正小标宋简体"/>
          <w:color w:val="000000" w:themeColor="text1"/>
          <w:sz w:val="32"/>
          <w:szCs w:val="32"/>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32"/>
          <w:szCs w:val="32"/>
          <w:highlight w:val="none"/>
          <w14:textFill>
            <w14:solidFill>
              <w14:schemeClr w14:val="tx1"/>
            </w14:solidFill>
          </w14:textFill>
        </w:rPr>
        <w:t>（非联合体竞标格式）</w:t>
      </w:r>
    </w:p>
    <w:p w14:paraId="36DE5078">
      <w:pPr>
        <w:spacing w:line="520" w:lineRule="exact"/>
        <w:jc w:val="cente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32"/>
          <w:szCs w:val="32"/>
          <w:highlight w:val="none"/>
          <w14:textFill>
            <w14:solidFill>
              <w14:schemeClr w14:val="tx1"/>
            </w14:solidFill>
          </w14:textFill>
        </w:rPr>
        <w:t>（如有委托时）</w:t>
      </w:r>
    </w:p>
    <w:p w14:paraId="09C1D0C2">
      <w:pPr>
        <w:spacing w:line="520" w:lineRule="exact"/>
        <w:rPr>
          <w:rFonts w:hint="eastAsia" w:ascii="仿宋_GB2312" w:hAnsi="仿宋_GB2312" w:eastAsia="仿宋_GB2312" w:cs="仿宋_GB2312"/>
          <w:color w:val="000000" w:themeColor="text1"/>
          <w:sz w:val="32"/>
          <w:szCs w:val="32"/>
          <w:highlight w:val="none"/>
          <w14:textFill>
            <w14:solidFill>
              <w14:schemeClr w14:val="tx1"/>
            </w14:solidFill>
          </w14:textFill>
        </w:rPr>
      </w:pPr>
    </w:p>
    <w:p w14:paraId="6B7248B0">
      <w:pPr>
        <w:spacing w:line="360" w:lineRule="auto"/>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致：</w:t>
      </w:r>
      <w:r>
        <w:rPr>
          <w:rFonts w:hint="eastAsia" w:ascii="宋体" w:hAnsi="宋体" w:cs="仿宋_GB2312"/>
          <w:color w:val="000000" w:themeColor="text1"/>
          <w:sz w:val="24"/>
          <w:highlight w:val="none"/>
          <w:u w:val="single"/>
          <w:lang w:eastAsia="zh-CN"/>
          <w14:textFill>
            <w14:solidFill>
              <w14:schemeClr w14:val="tx1"/>
            </w14:solidFill>
          </w14:textFill>
        </w:rPr>
        <w:t>平南县大安镇中心幼儿园</w:t>
      </w:r>
      <w:r>
        <w:rPr>
          <w:rFonts w:hint="eastAsia" w:ascii="宋体" w:hAnsi="宋体" w:cs="仿宋_GB2312"/>
          <w:color w:val="000000" w:themeColor="text1"/>
          <w:sz w:val="24"/>
          <w:highlight w:val="none"/>
          <w14:textFill>
            <w14:solidFill>
              <w14:schemeClr w14:val="tx1"/>
            </w14:solidFill>
          </w14:textFill>
        </w:rPr>
        <w:t>：</w:t>
      </w:r>
    </w:p>
    <w:p w14:paraId="1A5B7A35">
      <w:pPr>
        <w:spacing w:line="360" w:lineRule="auto"/>
        <w:ind w:firstLine="480"/>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我</w:t>
      </w:r>
      <w:r>
        <w:rPr>
          <w:rFonts w:hint="eastAsia" w:ascii="宋体" w:hAnsi="宋体" w:cs="仿宋_GB2312"/>
          <w:color w:val="000000" w:themeColor="text1"/>
          <w:sz w:val="24"/>
          <w:highlight w:val="none"/>
          <w:u w:val="single"/>
          <w14:textFill>
            <w14:solidFill>
              <w14:schemeClr w14:val="tx1"/>
            </w14:solidFill>
          </w14:textFill>
        </w:rPr>
        <w:t xml:space="preserve">  （姓名）  </w:t>
      </w:r>
      <w:r>
        <w:rPr>
          <w:rFonts w:hint="eastAsia" w:ascii="宋体" w:hAnsi="宋体" w:cs="仿宋_GB2312"/>
          <w:color w:val="000000" w:themeColor="text1"/>
          <w:sz w:val="24"/>
          <w:highlight w:val="none"/>
          <w14:textFill>
            <w14:solidFill>
              <w14:schemeClr w14:val="tx1"/>
            </w14:solidFill>
          </w14:textFill>
        </w:rPr>
        <w:t>系</w:t>
      </w:r>
      <w:r>
        <w:rPr>
          <w:rFonts w:hint="eastAsia" w:ascii="宋体" w:hAnsi="宋体" w:cs="仿宋_GB2312"/>
          <w:color w:val="000000" w:themeColor="text1"/>
          <w:sz w:val="24"/>
          <w:highlight w:val="none"/>
          <w:u w:val="single"/>
          <w14:textFill>
            <w14:solidFill>
              <w14:schemeClr w14:val="tx1"/>
            </w14:solidFill>
          </w14:textFill>
        </w:rPr>
        <w:t xml:space="preserve">  （供应商名称）  </w:t>
      </w:r>
      <w:r>
        <w:rPr>
          <w:rFonts w:hint="eastAsia" w:ascii="宋体" w:hAnsi="宋体" w:cs="仿宋_GB2312"/>
          <w:color w:val="000000" w:themeColor="text1"/>
          <w:sz w:val="24"/>
          <w:highlight w:val="none"/>
          <w14:textFill>
            <w14:solidFill>
              <w14:schemeClr w14:val="tx1"/>
            </w14:solidFill>
          </w14:textFill>
        </w:rPr>
        <w:t>的（</w:t>
      </w:r>
      <w:r>
        <w:rPr>
          <w:rFonts w:hint="eastAsia" w:ascii="宋体" w:hAnsi="宋体" w:cs="仿宋_GB2312"/>
          <w:color w:val="000000" w:themeColor="text1"/>
          <w:sz w:val="24"/>
          <w:highlight w:val="none"/>
          <w:u w:val="single"/>
          <w14:textFill>
            <w14:solidFill>
              <w14:schemeClr w14:val="tx1"/>
            </w14:solidFill>
          </w14:textFill>
        </w:rPr>
        <w:t>□法定代表人/□负责人</w:t>
      </w:r>
      <w:r>
        <w:rPr>
          <w:rFonts w:hint="eastAsia" w:ascii="宋体" w:hAnsi="宋体" w:cs="仿宋_GB2312"/>
          <w:color w:val="000000" w:themeColor="text1"/>
          <w:sz w:val="24"/>
          <w:highlight w:val="none"/>
          <w14:textFill>
            <w14:solidFill>
              <w14:schemeClr w14:val="tx1"/>
            </w14:solidFill>
          </w14:textFill>
        </w:rPr>
        <w:t>），现授权</w:t>
      </w:r>
      <w:r>
        <w:rPr>
          <w:rFonts w:hint="eastAsia" w:ascii="宋体" w:hAnsi="宋体" w:cs="仿宋_GB2312"/>
          <w:color w:val="000000" w:themeColor="text1"/>
          <w:sz w:val="24"/>
          <w:highlight w:val="none"/>
          <w:u w:val="single"/>
          <w14:textFill>
            <w14:solidFill>
              <w14:schemeClr w14:val="tx1"/>
            </w14:solidFill>
          </w14:textFill>
        </w:rPr>
        <w:t xml:space="preserve"> （姓名） </w:t>
      </w:r>
      <w:r>
        <w:rPr>
          <w:rFonts w:hint="eastAsia" w:ascii="宋体" w:hAnsi="宋体" w:cs="仿宋_GB2312"/>
          <w:color w:val="000000" w:themeColor="text1"/>
          <w:sz w:val="24"/>
          <w:highlight w:val="none"/>
          <w14:textFill>
            <w14:solidFill>
              <w14:schemeClr w14:val="tx1"/>
            </w14:solidFill>
          </w14:textFill>
        </w:rPr>
        <w:t>以我方的名义参加项目的竞标活动，并代表我方全权办理针对上述项目的所有采购程序和环节的具体事务和签署相关文件。</w:t>
      </w:r>
    </w:p>
    <w:p w14:paraId="426BF6E1">
      <w:pPr>
        <w:spacing w:line="360" w:lineRule="auto"/>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    我方对委托代理人的签字</w:t>
      </w:r>
      <w:r>
        <w:rPr>
          <w:rFonts w:hint="eastAsia" w:ascii="宋体" w:hAnsi="宋体"/>
          <w:color w:val="000000" w:themeColor="text1"/>
          <w:sz w:val="24"/>
          <w:highlight w:val="none"/>
          <w14:textFill>
            <w14:solidFill>
              <w14:schemeClr w14:val="tx1"/>
            </w14:solidFill>
          </w14:textFill>
        </w:rPr>
        <w:t>或者电子签名</w:t>
      </w:r>
      <w:r>
        <w:rPr>
          <w:rFonts w:hint="eastAsia" w:ascii="宋体" w:hAnsi="宋体" w:cs="仿宋_GB2312"/>
          <w:color w:val="000000" w:themeColor="text1"/>
          <w:sz w:val="24"/>
          <w:highlight w:val="none"/>
          <w14:textFill>
            <w14:solidFill>
              <w14:schemeClr w14:val="tx1"/>
            </w14:solidFill>
          </w14:textFill>
        </w:rPr>
        <w:t>事项负全部责任。</w:t>
      </w:r>
    </w:p>
    <w:p w14:paraId="42EAF559">
      <w:pPr>
        <w:spacing w:line="360" w:lineRule="auto"/>
        <w:ind w:firstLine="480"/>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本授权书自签署之日起生效，在撤销授权的书面通知以前，本授权书一直有效。委托代理人在授权书有效期内签署的所有文件不因授权的撤销而失效。</w:t>
      </w:r>
    </w:p>
    <w:p w14:paraId="4AD3287B">
      <w:pPr>
        <w:spacing w:line="360" w:lineRule="auto"/>
        <w:ind w:firstLine="480"/>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委托代理人无转委托权，特此委托。</w:t>
      </w:r>
    </w:p>
    <w:p w14:paraId="21C4C5A9">
      <w:pPr>
        <w:spacing w:line="360" w:lineRule="auto"/>
        <w:ind w:firstLine="480"/>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附：法定代表人身份证明书及委托代理人有效身份证正反面复印件</w:t>
      </w:r>
    </w:p>
    <w:p w14:paraId="14DFA91B">
      <w:pPr>
        <w:spacing w:line="360" w:lineRule="auto"/>
        <w:rPr>
          <w:rFonts w:hint="eastAsia" w:ascii="宋体" w:hAnsi="宋体" w:cs="仿宋_GB2312"/>
          <w:color w:val="000000" w:themeColor="text1"/>
          <w:sz w:val="24"/>
          <w:highlight w:val="none"/>
          <w14:textFill>
            <w14:solidFill>
              <w14:schemeClr w14:val="tx1"/>
            </w14:solidFill>
          </w14:textFill>
        </w:rPr>
      </w:pPr>
    </w:p>
    <w:p w14:paraId="4868C140">
      <w:pPr>
        <w:spacing w:line="360" w:lineRule="auto"/>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委托代理人（签字或者盖章或者电子签名）： </w:t>
      </w:r>
    </w:p>
    <w:p w14:paraId="567C1073">
      <w:pPr>
        <w:spacing w:line="360" w:lineRule="auto"/>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委托代理人身份证号码： </w:t>
      </w:r>
    </w:p>
    <w:p w14:paraId="1051B9C6">
      <w:pPr>
        <w:spacing w:line="360" w:lineRule="auto"/>
        <w:contextualSpacing/>
        <w:rPr>
          <w:rFonts w:hint="eastAsia" w:ascii="宋体" w:hAnsi="宋体" w:cs="仿宋_GB2312"/>
          <w:color w:val="000000" w:themeColor="text1"/>
          <w:sz w:val="24"/>
          <w:highlight w:val="none"/>
          <w14:textFill>
            <w14:solidFill>
              <w14:schemeClr w14:val="tx1"/>
            </w14:solidFill>
          </w14:textFill>
        </w:rPr>
      </w:pPr>
    </w:p>
    <w:p w14:paraId="636739F0">
      <w:pPr>
        <w:spacing w:line="360" w:lineRule="auto"/>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法定代表人（签字或者盖章或者电子签名）：                    </w:t>
      </w:r>
    </w:p>
    <w:p w14:paraId="0A2690D2">
      <w:pPr>
        <w:spacing w:line="360" w:lineRule="auto"/>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                             </w:t>
      </w:r>
    </w:p>
    <w:p w14:paraId="048E7999">
      <w:pPr>
        <w:spacing w:line="360" w:lineRule="auto"/>
        <w:contextualSpacing/>
        <w:rPr>
          <w:rFonts w:hint="eastAsia" w:ascii="宋体" w:hAnsi="宋体" w:cs="仿宋_GB2312"/>
          <w:color w:val="000000" w:themeColor="text1"/>
          <w:sz w:val="24"/>
          <w:highlight w:val="none"/>
          <w14:textFill>
            <w14:solidFill>
              <w14:schemeClr w14:val="tx1"/>
            </w14:solidFill>
          </w14:textFill>
        </w:rPr>
      </w:pPr>
    </w:p>
    <w:p w14:paraId="68DB83A0">
      <w:pPr>
        <w:spacing w:line="360" w:lineRule="auto"/>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                         供应商（电子签章）：                      </w:t>
      </w:r>
    </w:p>
    <w:p w14:paraId="48556EEF">
      <w:pPr>
        <w:spacing w:line="360" w:lineRule="auto"/>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                                         年    月    日</w:t>
      </w:r>
    </w:p>
    <w:p w14:paraId="108DB08D">
      <w:pPr>
        <w:spacing w:line="360" w:lineRule="auto"/>
        <w:rPr>
          <w:rFonts w:hint="eastAsia" w:ascii="宋体" w:hAnsi="宋体" w:cs="仿宋_GB2312"/>
          <w:color w:val="000000" w:themeColor="text1"/>
          <w:sz w:val="24"/>
          <w:highlight w:val="none"/>
          <w14:textFill>
            <w14:solidFill>
              <w14:schemeClr w14:val="tx1"/>
            </w14:solidFill>
          </w14:textFill>
        </w:rPr>
      </w:pPr>
    </w:p>
    <w:p w14:paraId="26BAD004">
      <w:pPr>
        <w:spacing w:line="360" w:lineRule="auto"/>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注：法定代表人必须在授权委托书上签字</w:t>
      </w:r>
      <w:r>
        <w:rPr>
          <w:rFonts w:hint="eastAsia" w:ascii="宋体" w:hAnsi="宋体"/>
          <w:color w:val="000000" w:themeColor="text1"/>
          <w:sz w:val="24"/>
          <w:highlight w:val="none"/>
          <w14:textFill>
            <w14:solidFill>
              <w14:schemeClr w14:val="tx1"/>
            </w14:solidFill>
          </w14:textFill>
        </w:rPr>
        <w:t>或者电子签名</w:t>
      </w:r>
      <w:r>
        <w:rPr>
          <w:rFonts w:hint="eastAsia" w:ascii="宋体" w:hAnsi="宋体" w:cs="仿宋_GB2312"/>
          <w:color w:val="000000" w:themeColor="text1"/>
          <w:sz w:val="24"/>
          <w:highlight w:val="none"/>
          <w14:textFill>
            <w14:solidFill>
              <w14:schemeClr w14:val="tx1"/>
            </w14:solidFill>
          </w14:textFill>
        </w:rPr>
        <w:t>，委托代理人必须在授权委托书上签字或者电子签名，</w:t>
      </w:r>
      <w:r>
        <w:rPr>
          <w:rFonts w:hint="eastAsia" w:ascii="宋体" w:hAnsi="宋体" w:cs="仿宋_GB2312"/>
          <w:b/>
          <w:color w:val="000000" w:themeColor="text1"/>
          <w:sz w:val="24"/>
          <w:highlight w:val="none"/>
          <w14:textFill>
            <w14:solidFill>
              <w14:schemeClr w14:val="tx1"/>
            </w14:solidFill>
          </w14:textFill>
        </w:rPr>
        <w:t>否则其响应文件按无效处理。</w:t>
      </w:r>
    </w:p>
    <w:bookmarkEnd w:id="112"/>
    <w:p w14:paraId="67CAE52B">
      <w:pPr>
        <w:spacing w:line="360" w:lineRule="auto"/>
        <w:ind w:firstLine="420"/>
        <w:jc w:val="left"/>
        <w:rPr>
          <w:rFonts w:hint="eastAsia" w:ascii="仿宋_GB2312" w:hAnsi="仿宋_GB2312" w:eastAsia="仿宋_GB2312" w:cs="仿宋_GB2312"/>
          <w:color w:val="000000" w:themeColor="text1"/>
          <w:szCs w:val="21"/>
          <w:highlight w:val="none"/>
          <w14:textFill>
            <w14:solidFill>
              <w14:schemeClr w14:val="tx1"/>
            </w14:solidFill>
          </w14:textFill>
        </w:rPr>
      </w:pPr>
    </w:p>
    <w:p w14:paraId="3A04FDEE">
      <w:pPr>
        <w:spacing w:line="360" w:lineRule="auto"/>
        <w:contextualSpacing/>
        <w:jc w:val="center"/>
        <w:rPr>
          <w:rFonts w:hint="eastAsia" w:ascii="宋体" w:hAnsi="宋体" w:cs="方正小标宋简体"/>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br w:type="page" w:clear="all"/>
      </w:r>
      <w:r>
        <w:rPr>
          <w:rFonts w:ascii="方正小标宋简体" w:hAnsi="方正小标宋简体" w:eastAsia="方正小标宋简体" w:cs="方正小标宋简体"/>
          <w:bCs/>
          <w:color w:val="000000" w:themeColor="text1"/>
          <w:sz w:val="44"/>
          <w:szCs w:val="44"/>
          <w:highlight w:val="none"/>
          <w14:textFill>
            <w14:solidFill>
              <w14:schemeClr w14:val="tx1"/>
            </w14:solidFill>
          </w14:textFill>
        </w:rPr>
        <w:t xml:space="preserve"> </w:t>
      </w:r>
      <w:r>
        <w:rPr>
          <w:rFonts w:hint="eastAsia" w:ascii="宋体" w:hAnsi="宋体" w:cs="方正小标宋简体"/>
          <w:b/>
          <w:bCs/>
          <w:color w:val="000000" w:themeColor="text1"/>
          <w:sz w:val="32"/>
          <w:szCs w:val="32"/>
          <w:highlight w:val="none"/>
          <w14:textFill>
            <w14:solidFill>
              <w14:schemeClr w14:val="tx1"/>
            </w14:solidFill>
          </w14:textFill>
        </w:rPr>
        <w:t>施工组织设计（参考格式）</w:t>
      </w:r>
    </w:p>
    <w:p w14:paraId="6E7F0DCB">
      <w:pPr>
        <w:spacing w:line="360" w:lineRule="auto"/>
        <w:ind w:firstLine="420"/>
        <w:rPr>
          <w:rFonts w:cs="宋体"/>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t xml:space="preserve"> 施工组织</w:t>
      </w:r>
      <w:r>
        <w:rPr>
          <w:rFonts w:hint="eastAsia"/>
          <w:color w:val="000000" w:themeColor="text1"/>
          <w:highlight w:val="none"/>
          <w14:textFill>
            <w14:solidFill>
              <w14:schemeClr w14:val="tx1"/>
            </w14:solidFill>
          </w14:textFill>
        </w:rPr>
        <w:t>设计</w:t>
      </w:r>
      <w:r>
        <w:rPr>
          <w:rFonts w:hint="eastAsia" w:ascii="宋体" w:hAnsi="宋体"/>
          <w:color w:val="000000" w:themeColor="text1"/>
          <w:highlight w:val="none"/>
          <w14:textFill>
            <w14:solidFill>
              <w14:schemeClr w14:val="tx1"/>
            </w14:solidFill>
          </w14:textFill>
        </w:rPr>
        <w:t>应</w:t>
      </w:r>
      <w:r>
        <w:rPr>
          <w:rFonts w:hint="eastAsia"/>
          <w:color w:val="000000" w:themeColor="text1"/>
          <w:highlight w:val="none"/>
          <w:lang w:eastAsia="zh-CN"/>
          <w14:textFill>
            <w14:solidFill>
              <w14:schemeClr w14:val="tx1"/>
            </w14:solidFill>
          </w14:textFill>
        </w:rPr>
        <w:t>按</w:t>
      </w:r>
      <w:r>
        <w:rPr>
          <w:rFonts w:hint="eastAsia"/>
          <w:color w:val="000000" w:themeColor="text1"/>
          <w:highlight w:val="none"/>
          <w14:textFill>
            <w14:solidFill>
              <w14:schemeClr w14:val="tx1"/>
            </w14:solidFill>
          </w14:textFill>
        </w:rPr>
        <w:t>以下内容顺序编制，可</w:t>
      </w:r>
      <w:r>
        <w:rPr>
          <w:rFonts w:hint="eastAsia" w:ascii="宋体" w:hAnsi="宋体"/>
          <w:color w:val="000000" w:themeColor="text1"/>
          <w:highlight w:val="none"/>
          <w14:textFill>
            <w14:solidFill>
              <w14:schemeClr w14:val="tx1"/>
            </w14:solidFill>
          </w14:textFill>
        </w:rPr>
        <w:t>采用文字并结合图表形式说明施工方法，</w:t>
      </w:r>
      <w:r>
        <w:rPr>
          <w:color w:val="000000" w:themeColor="text1"/>
          <w:highlight w:val="none"/>
          <w14:textFill>
            <w14:solidFill>
              <w14:schemeClr w14:val="tx1"/>
            </w14:solidFill>
          </w14:textFill>
        </w:rPr>
        <w:t>施工组织</w:t>
      </w:r>
      <w:r>
        <w:rPr>
          <w:rFonts w:hint="eastAsia"/>
          <w:color w:val="000000" w:themeColor="text1"/>
          <w:highlight w:val="none"/>
          <w14:textFill>
            <w14:solidFill>
              <w14:schemeClr w14:val="tx1"/>
            </w14:solidFill>
          </w14:textFill>
        </w:rPr>
        <w:t>设计具体</w:t>
      </w:r>
      <w:r>
        <w:rPr>
          <w:color w:val="000000" w:themeColor="text1"/>
          <w:highlight w:val="none"/>
          <w14:textFill>
            <w14:solidFill>
              <w14:schemeClr w14:val="tx1"/>
            </w14:solidFill>
          </w14:textFill>
        </w:rPr>
        <w:t>内容</w:t>
      </w:r>
      <w:r>
        <w:rPr>
          <w:rFonts w:hint="eastAsia" w:cs="宋体"/>
          <w:color w:val="000000" w:themeColor="text1"/>
          <w:highlight w:val="none"/>
          <w14:textFill>
            <w14:solidFill>
              <w14:schemeClr w14:val="tx1"/>
            </w14:solidFill>
          </w14:textFill>
        </w:rPr>
        <w:t>如下：</w:t>
      </w:r>
    </w:p>
    <w:p w14:paraId="567BF3BF">
      <w:pPr>
        <w:spacing w:line="360" w:lineRule="auto"/>
        <w:ind w:firstLine="42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（1）概述</w:t>
      </w:r>
    </w:p>
    <w:p w14:paraId="0BF22A7F">
      <w:pPr>
        <w:spacing w:line="360" w:lineRule="auto"/>
        <w:ind w:firstLine="42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（2）主要施工方法；</w:t>
      </w:r>
    </w:p>
    <w:p w14:paraId="0077797B">
      <w:pPr>
        <w:spacing w:line="360" w:lineRule="auto"/>
        <w:ind w:firstLine="4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（3）拟投入的主要物资计划</w:t>
      </w:r>
    </w:p>
    <w:p w14:paraId="7C26008A">
      <w:pPr>
        <w:spacing w:line="360" w:lineRule="auto"/>
        <w:ind w:firstLine="42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4</w:t>
      </w:r>
      <w:r>
        <w:rPr>
          <w:rFonts w:hint="eastAsia"/>
          <w:color w:val="000000" w:themeColor="text1"/>
          <w:highlight w:val="none"/>
          <w14:textFill>
            <w14:solidFill>
              <w14:schemeClr w14:val="tx1"/>
            </w14:solidFill>
          </w14:textFill>
        </w:rPr>
        <w:t>）劳动力安排计划；</w:t>
      </w:r>
    </w:p>
    <w:p w14:paraId="4148F4CF">
      <w:pPr>
        <w:spacing w:line="360" w:lineRule="auto"/>
        <w:ind w:firstLine="42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5</w:t>
      </w:r>
      <w:r>
        <w:rPr>
          <w:rFonts w:hint="eastAsia"/>
          <w:color w:val="000000" w:themeColor="text1"/>
          <w:highlight w:val="none"/>
          <w14:textFill>
            <w14:solidFill>
              <w14:schemeClr w14:val="tx1"/>
            </w14:solidFill>
          </w14:textFill>
        </w:rPr>
        <w:t>）确保工程质量的技术组织措施；</w:t>
      </w:r>
    </w:p>
    <w:p w14:paraId="06B60CCC">
      <w:pPr>
        <w:spacing w:line="360" w:lineRule="auto"/>
        <w:ind w:firstLine="42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6</w:t>
      </w:r>
      <w:r>
        <w:rPr>
          <w:rFonts w:hint="eastAsia"/>
          <w:color w:val="000000" w:themeColor="text1"/>
          <w:highlight w:val="none"/>
          <w14:textFill>
            <w14:solidFill>
              <w14:schemeClr w14:val="tx1"/>
            </w14:solidFill>
          </w14:textFill>
        </w:rPr>
        <w:t>）确保安全生产的技术组织措施；</w:t>
      </w:r>
    </w:p>
    <w:p w14:paraId="14DE3571">
      <w:pPr>
        <w:spacing w:line="360" w:lineRule="auto"/>
        <w:ind w:firstLine="42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7</w:t>
      </w:r>
      <w:r>
        <w:rPr>
          <w:rFonts w:hint="eastAsia"/>
          <w:color w:val="000000" w:themeColor="text1"/>
          <w:highlight w:val="none"/>
          <w14:textFill>
            <w14:solidFill>
              <w14:schemeClr w14:val="tx1"/>
            </w14:solidFill>
          </w14:textFill>
        </w:rPr>
        <w:t>）确保工期的技术组织措施；</w:t>
      </w:r>
    </w:p>
    <w:p w14:paraId="563DCCDE">
      <w:pPr>
        <w:spacing w:line="360" w:lineRule="auto"/>
        <w:ind w:firstLine="42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8</w:t>
      </w:r>
      <w:r>
        <w:rPr>
          <w:rFonts w:hint="eastAsia"/>
          <w:color w:val="000000" w:themeColor="text1"/>
          <w:highlight w:val="none"/>
          <w14:textFill>
            <w14:solidFill>
              <w14:schemeClr w14:val="tx1"/>
            </w14:solidFill>
          </w14:textFill>
        </w:rPr>
        <w:t>）确保文明施工的技术组织措施；</w:t>
      </w:r>
    </w:p>
    <w:p w14:paraId="3A7296FB">
      <w:pPr>
        <w:spacing w:line="360" w:lineRule="auto"/>
        <w:ind w:firstLine="42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9</w:t>
      </w:r>
      <w:r>
        <w:rPr>
          <w:rFonts w:hint="eastAsia"/>
          <w:color w:val="000000" w:themeColor="text1"/>
          <w:highlight w:val="none"/>
          <w14:textFill>
            <w14:solidFill>
              <w14:schemeClr w14:val="tx1"/>
            </w14:solidFill>
          </w14:textFill>
        </w:rPr>
        <w:t>）工程施工的重点和难点及保证措施；</w:t>
      </w:r>
    </w:p>
    <w:p w14:paraId="7BE95E3E">
      <w:pPr>
        <w:spacing w:line="360" w:lineRule="auto"/>
        <w:ind w:firstLine="4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t>0</w:t>
      </w:r>
      <w:r>
        <w:rPr>
          <w:rFonts w:hint="eastAsia"/>
          <w:color w:val="000000" w:themeColor="text1"/>
          <w:highlight w:val="none"/>
          <w14:textFill>
            <w14:solidFill>
              <w14:schemeClr w14:val="tx1"/>
            </w14:solidFill>
          </w14:textFill>
        </w:rPr>
        <w:t>）施工总平面布置图；</w:t>
      </w:r>
    </w:p>
    <w:p w14:paraId="28785A5C">
      <w:pPr>
        <w:spacing w:line="360" w:lineRule="auto"/>
        <w:ind w:firstLine="42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）其他（</w:t>
      </w:r>
      <w:r>
        <w:rPr>
          <w:color w:val="000000" w:themeColor="text1"/>
          <w:highlight w:val="none"/>
          <w14:textFill>
            <w14:solidFill>
              <w14:schemeClr w14:val="tx1"/>
            </w14:solidFill>
          </w14:textFill>
        </w:rPr>
        <w:t>如有）</w:t>
      </w:r>
      <w:r>
        <w:rPr>
          <w:rFonts w:hint="eastAsia"/>
          <w:color w:val="000000" w:themeColor="text1"/>
          <w:highlight w:val="none"/>
          <w14:textFill>
            <w14:solidFill>
              <w14:schemeClr w14:val="tx1"/>
            </w14:solidFill>
          </w14:textFill>
        </w:rPr>
        <w:t>（与第四章“评审程序、评审方法和评审标准”中的评审</w:t>
      </w:r>
      <w:r>
        <w:rPr>
          <w:color w:val="000000" w:themeColor="text1"/>
          <w:highlight w:val="none"/>
          <w14:textFill>
            <w14:solidFill>
              <w14:schemeClr w14:val="tx1"/>
            </w14:solidFill>
          </w14:textFill>
        </w:rPr>
        <w:t>标准一致</w:t>
      </w:r>
      <w:r>
        <w:rPr>
          <w:rFonts w:hint="eastAsia"/>
          <w:color w:val="000000" w:themeColor="text1"/>
          <w:highlight w:val="none"/>
          <w14:textFill>
            <w14:solidFill>
              <w14:schemeClr w14:val="tx1"/>
            </w14:solidFill>
          </w14:textFill>
        </w:rPr>
        <w:t>）</w:t>
      </w:r>
    </w:p>
    <w:p w14:paraId="444CC327">
      <w:pPr>
        <w:spacing w:line="360" w:lineRule="auto"/>
        <w:ind w:firstLine="4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 技术标</w:t>
      </w:r>
      <w:r>
        <w:rPr>
          <w:color w:val="000000" w:themeColor="text1"/>
          <w:highlight w:val="none"/>
          <w14:textFill>
            <w14:solidFill>
              <w14:schemeClr w14:val="tx1"/>
            </w14:solidFill>
          </w14:textFill>
        </w:rPr>
        <w:t>施工组织</w:t>
      </w:r>
      <w:r>
        <w:rPr>
          <w:rFonts w:hint="eastAsia"/>
          <w:color w:val="000000" w:themeColor="text1"/>
          <w:highlight w:val="none"/>
          <w14:textFill>
            <w14:solidFill>
              <w14:schemeClr w14:val="tx1"/>
            </w14:solidFill>
          </w14:textFill>
        </w:rPr>
        <w:t>设计除采用文字表述外可附下列图表，图表及格式要求附后。</w:t>
      </w:r>
    </w:p>
    <w:p w14:paraId="7E40E2FE">
      <w:pPr>
        <w:spacing w:line="360" w:lineRule="auto"/>
        <w:ind w:firstLine="4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附表一</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劳动力计划表</w:t>
      </w:r>
    </w:p>
    <w:p w14:paraId="6C501DB0">
      <w:pPr>
        <w:spacing w:line="360" w:lineRule="auto"/>
        <w:ind w:firstLine="4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附表二</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计划开、竣工日期和施工进度计划（网络图或横道图）</w:t>
      </w:r>
    </w:p>
    <w:p w14:paraId="5D830CBB">
      <w:pPr>
        <w:spacing w:line="360" w:lineRule="auto"/>
        <w:ind w:firstLine="4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附表三</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施工总平面图</w:t>
      </w:r>
    </w:p>
    <w:p w14:paraId="3AD7902A">
      <w:pPr>
        <w:spacing w:line="360" w:lineRule="auto"/>
        <w:ind w:firstLine="42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附表四</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临时用地表</w:t>
      </w:r>
    </w:p>
    <w:p w14:paraId="551E442C">
      <w:pPr>
        <w:spacing w:line="360" w:lineRule="auto"/>
        <w:ind w:firstLine="420"/>
        <w:rPr>
          <w:rFonts w:hint="eastAsia"/>
          <w:color w:val="000000" w:themeColor="text1"/>
          <w:highlight w:val="none"/>
          <w14:textFill>
            <w14:solidFill>
              <w14:schemeClr w14:val="tx1"/>
            </w14:solidFill>
          </w14:textFill>
        </w:rPr>
      </w:pPr>
    </w:p>
    <w:p w14:paraId="730B8D90">
      <w:pPr>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br w:type="page" w:clear="all"/>
      </w:r>
    </w:p>
    <w:p w14:paraId="11081484">
      <w:pPr>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附表一：劳动力计划表</w:t>
      </w:r>
    </w:p>
    <w:p w14:paraId="64D084D0">
      <w:pP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单位：人</w:t>
      </w:r>
    </w:p>
    <w:tbl>
      <w:tblPr>
        <w:tblStyle w:val="45"/>
        <w:tblW w:w="84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3"/>
        <w:gridCol w:w="961"/>
        <w:gridCol w:w="1257"/>
        <w:gridCol w:w="1257"/>
        <w:gridCol w:w="1258"/>
        <w:gridCol w:w="1257"/>
        <w:gridCol w:w="1258"/>
      </w:tblGrid>
      <w:tr w14:paraId="57E3A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noWrap w:val="0"/>
            <w:vAlign w:val="center"/>
          </w:tcPr>
          <w:p w14:paraId="4EC31325">
            <w:pPr>
              <w:spacing w:line="360" w:lineRule="auto"/>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工种</w:t>
            </w:r>
          </w:p>
        </w:tc>
        <w:tc>
          <w:tcPr>
            <w:tcW w:w="7248" w:type="dxa"/>
            <w:gridSpan w:val="6"/>
            <w:noWrap w:val="0"/>
            <w:vAlign w:val="center"/>
          </w:tcPr>
          <w:p w14:paraId="15E49B62">
            <w:pPr>
              <w:spacing w:line="360" w:lineRule="auto"/>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按工程施工阶段投入劳动力情况</w:t>
            </w:r>
          </w:p>
        </w:tc>
      </w:tr>
      <w:tr w14:paraId="5FF10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noWrap w:val="0"/>
            <w:vAlign w:val="center"/>
          </w:tcPr>
          <w:p w14:paraId="2D515775">
            <w:pPr>
              <w:spacing w:line="360" w:lineRule="auto"/>
              <w:jc w:val="center"/>
              <w:rPr>
                <w:color w:val="000000" w:themeColor="text1"/>
                <w:highlight w:val="none"/>
                <w14:textFill>
                  <w14:solidFill>
                    <w14:schemeClr w14:val="tx1"/>
                  </w14:solidFill>
                </w14:textFill>
              </w:rPr>
            </w:pPr>
          </w:p>
        </w:tc>
        <w:tc>
          <w:tcPr>
            <w:tcW w:w="961" w:type="dxa"/>
            <w:noWrap w:val="0"/>
            <w:vAlign w:val="center"/>
          </w:tcPr>
          <w:p w14:paraId="2ED210C2">
            <w:pPr>
              <w:spacing w:line="360" w:lineRule="auto"/>
              <w:jc w:val="center"/>
              <w:rPr>
                <w:color w:val="000000" w:themeColor="text1"/>
                <w:highlight w:val="none"/>
                <w14:textFill>
                  <w14:solidFill>
                    <w14:schemeClr w14:val="tx1"/>
                  </w14:solidFill>
                </w14:textFill>
              </w:rPr>
            </w:pPr>
          </w:p>
        </w:tc>
        <w:tc>
          <w:tcPr>
            <w:tcW w:w="1257" w:type="dxa"/>
            <w:noWrap w:val="0"/>
            <w:vAlign w:val="center"/>
          </w:tcPr>
          <w:p w14:paraId="5DE9AAB2">
            <w:pPr>
              <w:spacing w:line="360" w:lineRule="auto"/>
              <w:jc w:val="center"/>
              <w:rPr>
                <w:color w:val="000000" w:themeColor="text1"/>
                <w:highlight w:val="none"/>
                <w14:textFill>
                  <w14:solidFill>
                    <w14:schemeClr w14:val="tx1"/>
                  </w14:solidFill>
                </w14:textFill>
              </w:rPr>
            </w:pPr>
          </w:p>
        </w:tc>
        <w:tc>
          <w:tcPr>
            <w:tcW w:w="1257" w:type="dxa"/>
            <w:noWrap w:val="0"/>
            <w:vAlign w:val="center"/>
          </w:tcPr>
          <w:p w14:paraId="76039A71">
            <w:pPr>
              <w:spacing w:line="360" w:lineRule="auto"/>
              <w:jc w:val="center"/>
              <w:rPr>
                <w:color w:val="000000" w:themeColor="text1"/>
                <w:highlight w:val="none"/>
                <w14:textFill>
                  <w14:solidFill>
                    <w14:schemeClr w14:val="tx1"/>
                  </w14:solidFill>
                </w14:textFill>
              </w:rPr>
            </w:pPr>
          </w:p>
        </w:tc>
        <w:tc>
          <w:tcPr>
            <w:tcW w:w="1258" w:type="dxa"/>
            <w:noWrap w:val="0"/>
            <w:vAlign w:val="center"/>
          </w:tcPr>
          <w:p w14:paraId="6D74D965">
            <w:pPr>
              <w:spacing w:line="360" w:lineRule="auto"/>
              <w:jc w:val="center"/>
              <w:rPr>
                <w:color w:val="000000" w:themeColor="text1"/>
                <w:highlight w:val="none"/>
                <w14:textFill>
                  <w14:solidFill>
                    <w14:schemeClr w14:val="tx1"/>
                  </w14:solidFill>
                </w14:textFill>
              </w:rPr>
            </w:pPr>
          </w:p>
        </w:tc>
        <w:tc>
          <w:tcPr>
            <w:tcW w:w="1257" w:type="dxa"/>
            <w:noWrap w:val="0"/>
            <w:vAlign w:val="center"/>
          </w:tcPr>
          <w:p w14:paraId="6C0D7B80">
            <w:pPr>
              <w:spacing w:line="360" w:lineRule="auto"/>
              <w:jc w:val="center"/>
              <w:rPr>
                <w:color w:val="000000" w:themeColor="text1"/>
                <w:highlight w:val="none"/>
                <w14:textFill>
                  <w14:solidFill>
                    <w14:schemeClr w14:val="tx1"/>
                  </w14:solidFill>
                </w14:textFill>
              </w:rPr>
            </w:pPr>
          </w:p>
        </w:tc>
        <w:tc>
          <w:tcPr>
            <w:tcW w:w="1258" w:type="dxa"/>
            <w:noWrap w:val="0"/>
            <w:vAlign w:val="center"/>
          </w:tcPr>
          <w:p w14:paraId="168E8780">
            <w:pPr>
              <w:spacing w:line="360" w:lineRule="auto"/>
              <w:jc w:val="center"/>
              <w:rPr>
                <w:color w:val="000000" w:themeColor="text1"/>
                <w:highlight w:val="none"/>
                <w14:textFill>
                  <w14:solidFill>
                    <w14:schemeClr w14:val="tx1"/>
                  </w14:solidFill>
                </w14:textFill>
              </w:rPr>
            </w:pPr>
          </w:p>
        </w:tc>
      </w:tr>
      <w:tr w14:paraId="15E67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noWrap w:val="0"/>
            <w:vAlign w:val="center"/>
          </w:tcPr>
          <w:p w14:paraId="1935DE74">
            <w:pPr>
              <w:spacing w:line="360" w:lineRule="auto"/>
              <w:jc w:val="center"/>
              <w:rPr>
                <w:color w:val="000000" w:themeColor="text1"/>
                <w:highlight w:val="none"/>
                <w14:textFill>
                  <w14:solidFill>
                    <w14:schemeClr w14:val="tx1"/>
                  </w14:solidFill>
                </w14:textFill>
              </w:rPr>
            </w:pPr>
          </w:p>
        </w:tc>
        <w:tc>
          <w:tcPr>
            <w:tcW w:w="961" w:type="dxa"/>
            <w:noWrap w:val="0"/>
            <w:vAlign w:val="center"/>
          </w:tcPr>
          <w:p w14:paraId="6E91D7A3">
            <w:pPr>
              <w:spacing w:line="360" w:lineRule="auto"/>
              <w:jc w:val="center"/>
              <w:rPr>
                <w:color w:val="000000" w:themeColor="text1"/>
                <w:highlight w:val="none"/>
                <w14:textFill>
                  <w14:solidFill>
                    <w14:schemeClr w14:val="tx1"/>
                  </w14:solidFill>
                </w14:textFill>
              </w:rPr>
            </w:pPr>
          </w:p>
        </w:tc>
        <w:tc>
          <w:tcPr>
            <w:tcW w:w="1257" w:type="dxa"/>
            <w:noWrap w:val="0"/>
            <w:vAlign w:val="center"/>
          </w:tcPr>
          <w:p w14:paraId="4314B929">
            <w:pPr>
              <w:spacing w:line="360" w:lineRule="auto"/>
              <w:jc w:val="center"/>
              <w:rPr>
                <w:color w:val="000000" w:themeColor="text1"/>
                <w:highlight w:val="none"/>
                <w14:textFill>
                  <w14:solidFill>
                    <w14:schemeClr w14:val="tx1"/>
                  </w14:solidFill>
                </w14:textFill>
              </w:rPr>
            </w:pPr>
          </w:p>
        </w:tc>
        <w:tc>
          <w:tcPr>
            <w:tcW w:w="1257" w:type="dxa"/>
            <w:noWrap w:val="0"/>
            <w:vAlign w:val="center"/>
          </w:tcPr>
          <w:p w14:paraId="0FF4D7CA">
            <w:pPr>
              <w:spacing w:line="360" w:lineRule="auto"/>
              <w:jc w:val="center"/>
              <w:rPr>
                <w:color w:val="000000" w:themeColor="text1"/>
                <w:highlight w:val="none"/>
                <w14:textFill>
                  <w14:solidFill>
                    <w14:schemeClr w14:val="tx1"/>
                  </w14:solidFill>
                </w14:textFill>
              </w:rPr>
            </w:pPr>
          </w:p>
        </w:tc>
        <w:tc>
          <w:tcPr>
            <w:tcW w:w="1258" w:type="dxa"/>
            <w:noWrap w:val="0"/>
            <w:vAlign w:val="center"/>
          </w:tcPr>
          <w:p w14:paraId="5135A4F8">
            <w:pPr>
              <w:spacing w:line="360" w:lineRule="auto"/>
              <w:jc w:val="center"/>
              <w:rPr>
                <w:color w:val="000000" w:themeColor="text1"/>
                <w:highlight w:val="none"/>
                <w14:textFill>
                  <w14:solidFill>
                    <w14:schemeClr w14:val="tx1"/>
                  </w14:solidFill>
                </w14:textFill>
              </w:rPr>
            </w:pPr>
          </w:p>
        </w:tc>
        <w:tc>
          <w:tcPr>
            <w:tcW w:w="1257" w:type="dxa"/>
            <w:noWrap w:val="0"/>
            <w:vAlign w:val="center"/>
          </w:tcPr>
          <w:p w14:paraId="4C9BD2E6">
            <w:pPr>
              <w:spacing w:line="360" w:lineRule="auto"/>
              <w:jc w:val="center"/>
              <w:rPr>
                <w:color w:val="000000" w:themeColor="text1"/>
                <w:highlight w:val="none"/>
                <w14:textFill>
                  <w14:solidFill>
                    <w14:schemeClr w14:val="tx1"/>
                  </w14:solidFill>
                </w14:textFill>
              </w:rPr>
            </w:pPr>
          </w:p>
        </w:tc>
        <w:tc>
          <w:tcPr>
            <w:tcW w:w="1258" w:type="dxa"/>
            <w:noWrap w:val="0"/>
            <w:vAlign w:val="center"/>
          </w:tcPr>
          <w:p w14:paraId="25585CC6">
            <w:pPr>
              <w:spacing w:line="360" w:lineRule="auto"/>
              <w:jc w:val="center"/>
              <w:rPr>
                <w:color w:val="000000" w:themeColor="text1"/>
                <w:highlight w:val="none"/>
                <w14:textFill>
                  <w14:solidFill>
                    <w14:schemeClr w14:val="tx1"/>
                  </w14:solidFill>
                </w14:textFill>
              </w:rPr>
            </w:pPr>
          </w:p>
        </w:tc>
      </w:tr>
      <w:tr w14:paraId="0D798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noWrap w:val="0"/>
            <w:vAlign w:val="center"/>
          </w:tcPr>
          <w:p w14:paraId="62AEFDA0">
            <w:pPr>
              <w:spacing w:line="360" w:lineRule="auto"/>
              <w:jc w:val="center"/>
              <w:rPr>
                <w:color w:val="000000" w:themeColor="text1"/>
                <w:highlight w:val="none"/>
                <w14:textFill>
                  <w14:solidFill>
                    <w14:schemeClr w14:val="tx1"/>
                  </w14:solidFill>
                </w14:textFill>
              </w:rPr>
            </w:pPr>
          </w:p>
        </w:tc>
        <w:tc>
          <w:tcPr>
            <w:tcW w:w="961" w:type="dxa"/>
            <w:noWrap w:val="0"/>
            <w:vAlign w:val="center"/>
          </w:tcPr>
          <w:p w14:paraId="5F9A97C2">
            <w:pPr>
              <w:spacing w:line="360" w:lineRule="auto"/>
              <w:jc w:val="center"/>
              <w:rPr>
                <w:color w:val="000000" w:themeColor="text1"/>
                <w:highlight w:val="none"/>
                <w14:textFill>
                  <w14:solidFill>
                    <w14:schemeClr w14:val="tx1"/>
                  </w14:solidFill>
                </w14:textFill>
              </w:rPr>
            </w:pPr>
          </w:p>
        </w:tc>
        <w:tc>
          <w:tcPr>
            <w:tcW w:w="1257" w:type="dxa"/>
            <w:noWrap w:val="0"/>
            <w:vAlign w:val="center"/>
          </w:tcPr>
          <w:p w14:paraId="19DCB3C0">
            <w:pPr>
              <w:spacing w:line="360" w:lineRule="auto"/>
              <w:jc w:val="center"/>
              <w:rPr>
                <w:color w:val="000000" w:themeColor="text1"/>
                <w:highlight w:val="none"/>
                <w14:textFill>
                  <w14:solidFill>
                    <w14:schemeClr w14:val="tx1"/>
                  </w14:solidFill>
                </w14:textFill>
              </w:rPr>
            </w:pPr>
          </w:p>
        </w:tc>
        <w:tc>
          <w:tcPr>
            <w:tcW w:w="1257" w:type="dxa"/>
            <w:noWrap w:val="0"/>
            <w:vAlign w:val="center"/>
          </w:tcPr>
          <w:p w14:paraId="64BA8190">
            <w:pPr>
              <w:spacing w:line="360" w:lineRule="auto"/>
              <w:jc w:val="center"/>
              <w:rPr>
                <w:color w:val="000000" w:themeColor="text1"/>
                <w:highlight w:val="none"/>
                <w14:textFill>
                  <w14:solidFill>
                    <w14:schemeClr w14:val="tx1"/>
                  </w14:solidFill>
                </w14:textFill>
              </w:rPr>
            </w:pPr>
          </w:p>
        </w:tc>
        <w:tc>
          <w:tcPr>
            <w:tcW w:w="1258" w:type="dxa"/>
            <w:noWrap w:val="0"/>
            <w:vAlign w:val="center"/>
          </w:tcPr>
          <w:p w14:paraId="0A21FFE4">
            <w:pPr>
              <w:spacing w:line="360" w:lineRule="auto"/>
              <w:jc w:val="center"/>
              <w:rPr>
                <w:color w:val="000000" w:themeColor="text1"/>
                <w:highlight w:val="none"/>
                <w14:textFill>
                  <w14:solidFill>
                    <w14:schemeClr w14:val="tx1"/>
                  </w14:solidFill>
                </w14:textFill>
              </w:rPr>
            </w:pPr>
          </w:p>
        </w:tc>
        <w:tc>
          <w:tcPr>
            <w:tcW w:w="1257" w:type="dxa"/>
            <w:noWrap w:val="0"/>
            <w:vAlign w:val="center"/>
          </w:tcPr>
          <w:p w14:paraId="27FBA693">
            <w:pPr>
              <w:spacing w:line="360" w:lineRule="auto"/>
              <w:jc w:val="center"/>
              <w:rPr>
                <w:color w:val="000000" w:themeColor="text1"/>
                <w:highlight w:val="none"/>
                <w14:textFill>
                  <w14:solidFill>
                    <w14:schemeClr w14:val="tx1"/>
                  </w14:solidFill>
                </w14:textFill>
              </w:rPr>
            </w:pPr>
          </w:p>
        </w:tc>
        <w:tc>
          <w:tcPr>
            <w:tcW w:w="1258" w:type="dxa"/>
            <w:noWrap w:val="0"/>
            <w:vAlign w:val="center"/>
          </w:tcPr>
          <w:p w14:paraId="519B1181">
            <w:pPr>
              <w:spacing w:line="360" w:lineRule="auto"/>
              <w:jc w:val="center"/>
              <w:rPr>
                <w:color w:val="000000" w:themeColor="text1"/>
                <w:highlight w:val="none"/>
                <w14:textFill>
                  <w14:solidFill>
                    <w14:schemeClr w14:val="tx1"/>
                  </w14:solidFill>
                </w14:textFill>
              </w:rPr>
            </w:pPr>
          </w:p>
        </w:tc>
      </w:tr>
      <w:tr w14:paraId="14F97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noWrap w:val="0"/>
            <w:vAlign w:val="center"/>
          </w:tcPr>
          <w:p w14:paraId="02C68932">
            <w:pPr>
              <w:spacing w:line="360" w:lineRule="auto"/>
              <w:jc w:val="center"/>
              <w:rPr>
                <w:color w:val="000000" w:themeColor="text1"/>
                <w:highlight w:val="none"/>
                <w14:textFill>
                  <w14:solidFill>
                    <w14:schemeClr w14:val="tx1"/>
                  </w14:solidFill>
                </w14:textFill>
              </w:rPr>
            </w:pPr>
          </w:p>
        </w:tc>
        <w:tc>
          <w:tcPr>
            <w:tcW w:w="961" w:type="dxa"/>
            <w:noWrap w:val="0"/>
            <w:vAlign w:val="center"/>
          </w:tcPr>
          <w:p w14:paraId="3BA1A57B">
            <w:pPr>
              <w:spacing w:line="360" w:lineRule="auto"/>
              <w:jc w:val="center"/>
              <w:rPr>
                <w:color w:val="000000" w:themeColor="text1"/>
                <w:highlight w:val="none"/>
                <w14:textFill>
                  <w14:solidFill>
                    <w14:schemeClr w14:val="tx1"/>
                  </w14:solidFill>
                </w14:textFill>
              </w:rPr>
            </w:pPr>
          </w:p>
        </w:tc>
        <w:tc>
          <w:tcPr>
            <w:tcW w:w="1257" w:type="dxa"/>
            <w:noWrap w:val="0"/>
            <w:vAlign w:val="center"/>
          </w:tcPr>
          <w:p w14:paraId="2A996FF1">
            <w:pPr>
              <w:spacing w:line="360" w:lineRule="auto"/>
              <w:jc w:val="center"/>
              <w:rPr>
                <w:color w:val="000000" w:themeColor="text1"/>
                <w:highlight w:val="none"/>
                <w14:textFill>
                  <w14:solidFill>
                    <w14:schemeClr w14:val="tx1"/>
                  </w14:solidFill>
                </w14:textFill>
              </w:rPr>
            </w:pPr>
          </w:p>
        </w:tc>
        <w:tc>
          <w:tcPr>
            <w:tcW w:w="1257" w:type="dxa"/>
            <w:noWrap w:val="0"/>
            <w:vAlign w:val="center"/>
          </w:tcPr>
          <w:p w14:paraId="6D1F4F66">
            <w:pPr>
              <w:spacing w:line="360" w:lineRule="auto"/>
              <w:jc w:val="center"/>
              <w:rPr>
                <w:color w:val="000000" w:themeColor="text1"/>
                <w:highlight w:val="none"/>
                <w14:textFill>
                  <w14:solidFill>
                    <w14:schemeClr w14:val="tx1"/>
                  </w14:solidFill>
                </w14:textFill>
              </w:rPr>
            </w:pPr>
          </w:p>
        </w:tc>
        <w:tc>
          <w:tcPr>
            <w:tcW w:w="1258" w:type="dxa"/>
            <w:noWrap w:val="0"/>
            <w:vAlign w:val="center"/>
          </w:tcPr>
          <w:p w14:paraId="545BCECE">
            <w:pPr>
              <w:spacing w:line="360" w:lineRule="auto"/>
              <w:jc w:val="center"/>
              <w:rPr>
                <w:color w:val="000000" w:themeColor="text1"/>
                <w:highlight w:val="none"/>
                <w14:textFill>
                  <w14:solidFill>
                    <w14:schemeClr w14:val="tx1"/>
                  </w14:solidFill>
                </w14:textFill>
              </w:rPr>
            </w:pPr>
          </w:p>
        </w:tc>
        <w:tc>
          <w:tcPr>
            <w:tcW w:w="1257" w:type="dxa"/>
            <w:noWrap w:val="0"/>
            <w:vAlign w:val="center"/>
          </w:tcPr>
          <w:p w14:paraId="6E753496">
            <w:pPr>
              <w:spacing w:line="360" w:lineRule="auto"/>
              <w:jc w:val="center"/>
              <w:rPr>
                <w:color w:val="000000" w:themeColor="text1"/>
                <w:highlight w:val="none"/>
                <w14:textFill>
                  <w14:solidFill>
                    <w14:schemeClr w14:val="tx1"/>
                  </w14:solidFill>
                </w14:textFill>
              </w:rPr>
            </w:pPr>
          </w:p>
        </w:tc>
        <w:tc>
          <w:tcPr>
            <w:tcW w:w="1258" w:type="dxa"/>
            <w:noWrap w:val="0"/>
            <w:vAlign w:val="center"/>
          </w:tcPr>
          <w:p w14:paraId="34CD9041">
            <w:pPr>
              <w:spacing w:line="360" w:lineRule="auto"/>
              <w:jc w:val="center"/>
              <w:rPr>
                <w:color w:val="000000" w:themeColor="text1"/>
                <w:highlight w:val="none"/>
                <w14:textFill>
                  <w14:solidFill>
                    <w14:schemeClr w14:val="tx1"/>
                  </w14:solidFill>
                </w14:textFill>
              </w:rPr>
            </w:pPr>
          </w:p>
        </w:tc>
      </w:tr>
      <w:tr w14:paraId="6C664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noWrap w:val="0"/>
            <w:vAlign w:val="center"/>
          </w:tcPr>
          <w:p w14:paraId="12C11277">
            <w:pPr>
              <w:spacing w:line="360" w:lineRule="auto"/>
              <w:jc w:val="center"/>
              <w:rPr>
                <w:color w:val="000000" w:themeColor="text1"/>
                <w:highlight w:val="none"/>
                <w14:textFill>
                  <w14:solidFill>
                    <w14:schemeClr w14:val="tx1"/>
                  </w14:solidFill>
                </w14:textFill>
              </w:rPr>
            </w:pPr>
          </w:p>
        </w:tc>
        <w:tc>
          <w:tcPr>
            <w:tcW w:w="961" w:type="dxa"/>
            <w:noWrap w:val="0"/>
            <w:vAlign w:val="center"/>
          </w:tcPr>
          <w:p w14:paraId="560502F9">
            <w:pPr>
              <w:spacing w:line="360" w:lineRule="auto"/>
              <w:jc w:val="center"/>
              <w:rPr>
                <w:color w:val="000000" w:themeColor="text1"/>
                <w:highlight w:val="none"/>
                <w14:textFill>
                  <w14:solidFill>
                    <w14:schemeClr w14:val="tx1"/>
                  </w14:solidFill>
                </w14:textFill>
              </w:rPr>
            </w:pPr>
          </w:p>
        </w:tc>
        <w:tc>
          <w:tcPr>
            <w:tcW w:w="1257" w:type="dxa"/>
            <w:noWrap w:val="0"/>
            <w:vAlign w:val="center"/>
          </w:tcPr>
          <w:p w14:paraId="3B1C0436">
            <w:pPr>
              <w:spacing w:line="360" w:lineRule="auto"/>
              <w:jc w:val="center"/>
              <w:rPr>
                <w:color w:val="000000" w:themeColor="text1"/>
                <w:highlight w:val="none"/>
                <w14:textFill>
                  <w14:solidFill>
                    <w14:schemeClr w14:val="tx1"/>
                  </w14:solidFill>
                </w14:textFill>
              </w:rPr>
            </w:pPr>
          </w:p>
        </w:tc>
        <w:tc>
          <w:tcPr>
            <w:tcW w:w="1257" w:type="dxa"/>
            <w:noWrap w:val="0"/>
            <w:vAlign w:val="center"/>
          </w:tcPr>
          <w:p w14:paraId="38F965F7">
            <w:pPr>
              <w:spacing w:line="360" w:lineRule="auto"/>
              <w:jc w:val="center"/>
              <w:rPr>
                <w:color w:val="000000" w:themeColor="text1"/>
                <w:highlight w:val="none"/>
                <w14:textFill>
                  <w14:solidFill>
                    <w14:schemeClr w14:val="tx1"/>
                  </w14:solidFill>
                </w14:textFill>
              </w:rPr>
            </w:pPr>
          </w:p>
        </w:tc>
        <w:tc>
          <w:tcPr>
            <w:tcW w:w="1258" w:type="dxa"/>
            <w:noWrap w:val="0"/>
            <w:vAlign w:val="center"/>
          </w:tcPr>
          <w:p w14:paraId="792A9C6E">
            <w:pPr>
              <w:spacing w:line="360" w:lineRule="auto"/>
              <w:jc w:val="center"/>
              <w:rPr>
                <w:color w:val="000000" w:themeColor="text1"/>
                <w:highlight w:val="none"/>
                <w14:textFill>
                  <w14:solidFill>
                    <w14:schemeClr w14:val="tx1"/>
                  </w14:solidFill>
                </w14:textFill>
              </w:rPr>
            </w:pPr>
          </w:p>
        </w:tc>
        <w:tc>
          <w:tcPr>
            <w:tcW w:w="1257" w:type="dxa"/>
            <w:noWrap w:val="0"/>
            <w:vAlign w:val="center"/>
          </w:tcPr>
          <w:p w14:paraId="55D49921">
            <w:pPr>
              <w:spacing w:line="360" w:lineRule="auto"/>
              <w:jc w:val="center"/>
              <w:rPr>
                <w:color w:val="000000" w:themeColor="text1"/>
                <w:highlight w:val="none"/>
                <w14:textFill>
                  <w14:solidFill>
                    <w14:schemeClr w14:val="tx1"/>
                  </w14:solidFill>
                </w14:textFill>
              </w:rPr>
            </w:pPr>
          </w:p>
        </w:tc>
        <w:tc>
          <w:tcPr>
            <w:tcW w:w="1258" w:type="dxa"/>
            <w:noWrap w:val="0"/>
            <w:vAlign w:val="center"/>
          </w:tcPr>
          <w:p w14:paraId="3C32EA43">
            <w:pPr>
              <w:spacing w:line="360" w:lineRule="auto"/>
              <w:jc w:val="center"/>
              <w:rPr>
                <w:color w:val="000000" w:themeColor="text1"/>
                <w:highlight w:val="none"/>
                <w14:textFill>
                  <w14:solidFill>
                    <w14:schemeClr w14:val="tx1"/>
                  </w14:solidFill>
                </w14:textFill>
              </w:rPr>
            </w:pPr>
          </w:p>
        </w:tc>
      </w:tr>
      <w:tr w14:paraId="4494B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noWrap w:val="0"/>
            <w:vAlign w:val="center"/>
          </w:tcPr>
          <w:p w14:paraId="153D34EF">
            <w:pPr>
              <w:spacing w:line="360" w:lineRule="auto"/>
              <w:jc w:val="center"/>
              <w:rPr>
                <w:color w:val="000000" w:themeColor="text1"/>
                <w:highlight w:val="none"/>
                <w14:textFill>
                  <w14:solidFill>
                    <w14:schemeClr w14:val="tx1"/>
                  </w14:solidFill>
                </w14:textFill>
              </w:rPr>
            </w:pPr>
          </w:p>
        </w:tc>
        <w:tc>
          <w:tcPr>
            <w:tcW w:w="961" w:type="dxa"/>
            <w:noWrap w:val="0"/>
            <w:vAlign w:val="center"/>
          </w:tcPr>
          <w:p w14:paraId="6696CD9A">
            <w:pPr>
              <w:spacing w:line="360" w:lineRule="auto"/>
              <w:jc w:val="center"/>
              <w:rPr>
                <w:color w:val="000000" w:themeColor="text1"/>
                <w:highlight w:val="none"/>
                <w14:textFill>
                  <w14:solidFill>
                    <w14:schemeClr w14:val="tx1"/>
                  </w14:solidFill>
                </w14:textFill>
              </w:rPr>
            </w:pPr>
          </w:p>
        </w:tc>
        <w:tc>
          <w:tcPr>
            <w:tcW w:w="1257" w:type="dxa"/>
            <w:noWrap w:val="0"/>
            <w:vAlign w:val="center"/>
          </w:tcPr>
          <w:p w14:paraId="02555C44">
            <w:pPr>
              <w:spacing w:line="360" w:lineRule="auto"/>
              <w:jc w:val="center"/>
              <w:rPr>
                <w:color w:val="000000" w:themeColor="text1"/>
                <w:highlight w:val="none"/>
                <w14:textFill>
                  <w14:solidFill>
                    <w14:schemeClr w14:val="tx1"/>
                  </w14:solidFill>
                </w14:textFill>
              </w:rPr>
            </w:pPr>
          </w:p>
        </w:tc>
        <w:tc>
          <w:tcPr>
            <w:tcW w:w="1257" w:type="dxa"/>
            <w:noWrap w:val="0"/>
            <w:vAlign w:val="center"/>
          </w:tcPr>
          <w:p w14:paraId="5EEDFAFC">
            <w:pPr>
              <w:spacing w:line="360" w:lineRule="auto"/>
              <w:jc w:val="center"/>
              <w:rPr>
                <w:color w:val="000000" w:themeColor="text1"/>
                <w:highlight w:val="none"/>
                <w14:textFill>
                  <w14:solidFill>
                    <w14:schemeClr w14:val="tx1"/>
                  </w14:solidFill>
                </w14:textFill>
              </w:rPr>
            </w:pPr>
          </w:p>
        </w:tc>
        <w:tc>
          <w:tcPr>
            <w:tcW w:w="1258" w:type="dxa"/>
            <w:noWrap w:val="0"/>
            <w:vAlign w:val="center"/>
          </w:tcPr>
          <w:p w14:paraId="67ED1345">
            <w:pPr>
              <w:spacing w:line="360" w:lineRule="auto"/>
              <w:jc w:val="center"/>
              <w:rPr>
                <w:color w:val="000000" w:themeColor="text1"/>
                <w:highlight w:val="none"/>
                <w14:textFill>
                  <w14:solidFill>
                    <w14:schemeClr w14:val="tx1"/>
                  </w14:solidFill>
                </w14:textFill>
              </w:rPr>
            </w:pPr>
          </w:p>
        </w:tc>
        <w:tc>
          <w:tcPr>
            <w:tcW w:w="1257" w:type="dxa"/>
            <w:noWrap w:val="0"/>
            <w:vAlign w:val="center"/>
          </w:tcPr>
          <w:p w14:paraId="0EB235E6">
            <w:pPr>
              <w:spacing w:line="360" w:lineRule="auto"/>
              <w:jc w:val="center"/>
              <w:rPr>
                <w:color w:val="000000" w:themeColor="text1"/>
                <w:highlight w:val="none"/>
                <w14:textFill>
                  <w14:solidFill>
                    <w14:schemeClr w14:val="tx1"/>
                  </w14:solidFill>
                </w14:textFill>
              </w:rPr>
            </w:pPr>
          </w:p>
        </w:tc>
        <w:tc>
          <w:tcPr>
            <w:tcW w:w="1258" w:type="dxa"/>
            <w:noWrap w:val="0"/>
            <w:vAlign w:val="center"/>
          </w:tcPr>
          <w:p w14:paraId="516EE202">
            <w:pPr>
              <w:spacing w:line="360" w:lineRule="auto"/>
              <w:jc w:val="center"/>
              <w:rPr>
                <w:color w:val="000000" w:themeColor="text1"/>
                <w:highlight w:val="none"/>
                <w14:textFill>
                  <w14:solidFill>
                    <w14:schemeClr w14:val="tx1"/>
                  </w14:solidFill>
                </w14:textFill>
              </w:rPr>
            </w:pPr>
          </w:p>
        </w:tc>
      </w:tr>
    </w:tbl>
    <w:p w14:paraId="009F246D">
      <w:pPr>
        <w:rPr>
          <w:color w:val="000000" w:themeColor="text1"/>
          <w:highlight w:val="none"/>
          <w14:textFill>
            <w14:solidFill>
              <w14:schemeClr w14:val="tx1"/>
            </w14:solidFill>
          </w14:textFill>
        </w:rPr>
      </w:pPr>
    </w:p>
    <w:p w14:paraId="49DAF282">
      <w:pPr>
        <w:rPr>
          <w:b/>
          <w:bCs/>
          <w:color w:val="000000" w:themeColor="text1"/>
          <w:highlight w:val="none"/>
          <w14:textFill>
            <w14:solidFill>
              <w14:schemeClr w14:val="tx1"/>
            </w14:solidFill>
          </w14:textFill>
        </w:rPr>
      </w:pPr>
    </w:p>
    <w:p w14:paraId="2E068FBB">
      <w:pP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附表二：计划开、竣工日期和施工进度计划（网络图或横道图）</w:t>
      </w:r>
    </w:p>
    <w:p w14:paraId="4E63D6EF">
      <w:pPr>
        <w:spacing w:line="460" w:lineRule="exact"/>
        <w:ind w:left="-6" w:firstLine="42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 </w:t>
      </w:r>
      <w:r>
        <w:rPr>
          <w:rFonts w:hint="eastAsia" w:cs="宋体"/>
          <w:color w:val="000000" w:themeColor="text1"/>
          <w:highlight w:val="none"/>
          <w14:textFill>
            <w14:solidFill>
              <w14:schemeClr w14:val="tx1"/>
            </w14:solidFill>
          </w14:textFill>
        </w:rPr>
        <w:t>供应商应提交施工进度计划，说明按磋商文件要求的工期进行施工的各个关键日期。成交的供应商还应按合同条件有关条款的要求提交详细的施工进度计划。</w:t>
      </w:r>
    </w:p>
    <w:p w14:paraId="6297D11D">
      <w:pPr>
        <w:spacing w:line="460" w:lineRule="exact"/>
        <w:ind w:left="-6" w:firstLine="42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2. </w:t>
      </w:r>
      <w:r>
        <w:rPr>
          <w:rFonts w:hint="eastAsia" w:cs="宋体"/>
          <w:color w:val="000000" w:themeColor="text1"/>
          <w:highlight w:val="none"/>
          <w14:textFill>
            <w14:solidFill>
              <w14:schemeClr w14:val="tx1"/>
            </w14:solidFill>
          </w14:textFill>
        </w:rPr>
        <w:t>施工进度计划可采用网络图（或横道图）表示，说明计划开工日期和各分项工程各阶段的完工日期和分包合同签订的日期。</w:t>
      </w:r>
    </w:p>
    <w:p w14:paraId="3BF2A337">
      <w:pPr>
        <w:spacing w:line="460" w:lineRule="exact"/>
        <w:ind w:left="-6" w:firstLine="42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3. </w:t>
      </w:r>
      <w:r>
        <w:rPr>
          <w:rFonts w:hint="eastAsia" w:cs="宋体"/>
          <w:color w:val="000000" w:themeColor="text1"/>
          <w:highlight w:val="none"/>
          <w14:textFill>
            <w14:solidFill>
              <w14:schemeClr w14:val="tx1"/>
            </w14:solidFill>
          </w14:textFill>
        </w:rPr>
        <w:t>施工进度计划应与施工组织设计相适应。</w:t>
      </w:r>
    </w:p>
    <w:p w14:paraId="24C2CC4E">
      <w:pPr>
        <w:spacing w:line="360" w:lineRule="auto"/>
        <w:ind w:left="-6" w:firstLine="420"/>
        <w:rPr>
          <w:color w:val="000000" w:themeColor="text1"/>
          <w:highlight w:val="none"/>
          <w14:textFill>
            <w14:solidFill>
              <w14:schemeClr w14:val="tx1"/>
            </w14:solidFill>
          </w14:textFill>
        </w:rPr>
      </w:pPr>
    </w:p>
    <w:p w14:paraId="74C328D0">
      <w:pPr>
        <w:rPr>
          <w:color w:val="000000" w:themeColor="text1"/>
          <w:highlight w:val="none"/>
          <w14:textFill>
            <w14:solidFill>
              <w14:schemeClr w14:val="tx1"/>
            </w14:solidFill>
          </w14:textFill>
        </w:rPr>
      </w:pPr>
    </w:p>
    <w:p w14:paraId="23186084">
      <w:pP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附表三：施工总平面图</w:t>
      </w:r>
    </w:p>
    <w:p w14:paraId="0B7F36E1">
      <w:pPr>
        <w:spacing w:line="460" w:lineRule="exact"/>
        <w:ind w:firstLine="420"/>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供应商应递交一份施工总平面图，绘出现场临时设施布置图表并附文字说明，说明临时设施、加工车间、现场办公、设备及仓储、供电、供水、卫生、生活、道路、消防等设施的情况和布置。</w:t>
      </w:r>
    </w:p>
    <w:p w14:paraId="1D069F92">
      <w:pPr>
        <w:rPr>
          <w:color w:val="000000" w:themeColor="text1"/>
          <w:highlight w:val="none"/>
          <w14:textFill>
            <w14:solidFill>
              <w14:schemeClr w14:val="tx1"/>
            </w14:solidFill>
          </w14:textFill>
        </w:rPr>
      </w:pPr>
    </w:p>
    <w:p w14:paraId="74016A38">
      <w:pPr>
        <w:rPr>
          <w:color w:val="000000" w:themeColor="text1"/>
          <w:highlight w:val="none"/>
          <w14:textFill>
            <w14:solidFill>
              <w14:schemeClr w14:val="tx1"/>
            </w14:solidFill>
          </w14:textFill>
        </w:rPr>
      </w:pPr>
    </w:p>
    <w:p w14:paraId="788B56EE">
      <w:pP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附表四：临时用地表</w:t>
      </w:r>
    </w:p>
    <w:tbl>
      <w:tblPr>
        <w:tblStyle w:val="45"/>
        <w:tblW w:w="9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6"/>
        <w:gridCol w:w="2357"/>
        <w:gridCol w:w="2356"/>
        <w:gridCol w:w="2136"/>
      </w:tblGrid>
      <w:tr w14:paraId="27082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356" w:type="dxa"/>
            <w:noWrap w:val="0"/>
            <w:vAlign w:val="center"/>
          </w:tcPr>
          <w:p w14:paraId="53838947">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用途</w:t>
            </w:r>
          </w:p>
        </w:tc>
        <w:tc>
          <w:tcPr>
            <w:tcW w:w="2357" w:type="dxa"/>
            <w:noWrap w:val="0"/>
            <w:vAlign w:val="center"/>
          </w:tcPr>
          <w:p w14:paraId="48169D42">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面积（平方米）</w:t>
            </w:r>
          </w:p>
        </w:tc>
        <w:tc>
          <w:tcPr>
            <w:tcW w:w="2356" w:type="dxa"/>
            <w:noWrap w:val="0"/>
            <w:vAlign w:val="center"/>
          </w:tcPr>
          <w:p w14:paraId="2E42DA17">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位置</w:t>
            </w:r>
          </w:p>
        </w:tc>
        <w:tc>
          <w:tcPr>
            <w:tcW w:w="2136" w:type="dxa"/>
            <w:noWrap w:val="0"/>
            <w:vAlign w:val="center"/>
          </w:tcPr>
          <w:p w14:paraId="5EFD9DCE">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需用时间</w:t>
            </w:r>
          </w:p>
        </w:tc>
      </w:tr>
      <w:tr w14:paraId="3275E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noWrap w:val="0"/>
            <w:vAlign w:val="top"/>
          </w:tcPr>
          <w:p w14:paraId="78419F7C">
            <w:pPr>
              <w:rPr>
                <w:color w:val="000000" w:themeColor="text1"/>
                <w:highlight w:val="none"/>
                <w14:textFill>
                  <w14:solidFill>
                    <w14:schemeClr w14:val="tx1"/>
                  </w14:solidFill>
                </w14:textFill>
              </w:rPr>
            </w:pPr>
          </w:p>
        </w:tc>
        <w:tc>
          <w:tcPr>
            <w:tcW w:w="2357" w:type="dxa"/>
            <w:noWrap w:val="0"/>
            <w:vAlign w:val="top"/>
          </w:tcPr>
          <w:p w14:paraId="63097051">
            <w:pPr>
              <w:rPr>
                <w:color w:val="000000" w:themeColor="text1"/>
                <w:highlight w:val="none"/>
                <w14:textFill>
                  <w14:solidFill>
                    <w14:schemeClr w14:val="tx1"/>
                  </w14:solidFill>
                </w14:textFill>
              </w:rPr>
            </w:pPr>
          </w:p>
        </w:tc>
        <w:tc>
          <w:tcPr>
            <w:tcW w:w="2356" w:type="dxa"/>
            <w:noWrap w:val="0"/>
            <w:vAlign w:val="top"/>
          </w:tcPr>
          <w:p w14:paraId="6D13D53C">
            <w:pPr>
              <w:rPr>
                <w:color w:val="000000" w:themeColor="text1"/>
                <w:highlight w:val="none"/>
                <w14:textFill>
                  <w14:solidFill>
                    <w14:schemeClr w14:val="tx1"/>
                  </w14:solidFill>
                </w14:textFill>
              </w:rPr>
            </w:pPr>
          </w:p>
        </w:tc>
        <w:tc>
          <w:tcPr>
            <w:tcW w:w="2136" w:type="dxa"/>
            <w:noWrap w:val="0"/>
            <w:vAlign w:val="top"/>
          </w:tcPr>
          <w:p w14:paraId="428A90FB">
            <w:pPr>
              <w:rPr>
                <w:color w:val="000000" w:themeColor="text1"/>
                <w:highlight w:val="none"/>
                <w14:textFill>
                  <w14:solidFill>
                    <w14:schemeClr w14:val="tx1"/>
                  </w14:solidFill>
                </w14:textFill>
              </w:rPr>
            </w:pPr>
          </w:p>
        </w:tc>
      </w:tr>
      <w:tr w14:paraId="128B3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noWrap w:val="0"/>
            <w:vAlign w:val="top"/>
          </w:tcPr>
          <w:p w14:paraId="23629E6C">
            <w:pPr>
              <w:rPr>
                <w:color w:val="000000" w:themeColor="text1"/>
                <w:highlight w:val="none"/>
                <w14:textFill>
                  <w14:solidFill>
                    <w14:schemeClr w14:val="tx1"/>
                  </w14:solidFill>
                </w14:textFill>
              </w:rPr>
            </w:pPr>
          </w:p>
        </w:tc>
        <w:tc>
          <w:tcPr>
            <w:tcW w:w="2357" w:type="dxa"/>
            <w:noWrap w:val="0"/>
            <w:vAlign w:val="top"/>
          </w:tcPr>
          <w:p w14:paraId="263F906A">
            <w:pPr>
              <w:rPr>
                <w:color w:val="000000" w:themeColor="text1"/>
                <w:highlight w:val="none"/>
                <w14:textFill>
                  <w14:solidFill>
                    <w14:schemeClr w14:val="tx1"/>
                  </w14:solidFill>
                </w14:textFill>
              </w:rPr>
            </w:pPr>
          </w:p>
        </w:tc>
        <w:tc>
          <w:tcPr>
            <w:tcW w:w="2356" w:type="dxa"/>
            <w:noWrap w:val="0"/>
            <w:vAlign w:val="top"/>
          </w:tcPr>
          <w:p w14:paraId="6D15529E">
            <w:pPr>
              <w:rPr>
                <w:color w:val="000000" w:themeColor="text1"/>
                <w:highlight w:val="none"/>
                <w14:textFill>
                  <w14:solidFill>
                    <w14:schemeClr w14:val="tx1"/>
                  </w14:solidFill>
                </w14:textFill>
              </w:rPr>
            </w:pPr>
          </w:p>
        </w:tc>
        <w:tc>
          <w:tcPr>
            <w:tcW w:w="2136" w:type="dxa"/>
            <w:noWrap w:val="0"/>
            <w:vAlign w:val="top"/>
          </w:tcPr>
          <w:p w14:paraId="666B6749">
            <w:pPr>
              <w:rPr>
                <w:color w:val="000000" w:themeColor="text1"/>
                <w:highlight w:val="none"/>
                <w14:textFill>
                  <w14:solidFill>
                    <w14:schemeClr w14:val="tx1"/>
                  </w14:solidFill>
                </w14:textFill>
              </w:rPr>
            </w:pPr>
          </w:p>
        </w:tc>
      </w:tr>
      <w:tr w14:paraId="21522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356" w:type="dxa"/>
            <w:noWrap w:val="0"/>
            <w:vAlign w:val="top"/>
          </w:tcPr>
          <w:p w14:paraId="5886A41D">
            <w:pPr>
              <w:rPr>
                <w:color w:val="000000" w:themeColor="text1"/>
                <w:highlight w:val="none"/>
                <w14:textFill>
                  <w14:solidFill>
                    <w14:schemeClr w14:val="tx1"/>
                  </w14:solidFill>
                </w14:textFill>
              </w:rPr>
            </w:pPr>
          </w:p>
        </w:tc>
        <w:tc>
          <w:tcPr>
            <w:tcW w:w="2357" w:type="dxa"/>
            <w:noWrap w:val="0"/>
            <w:vAlign w:val="top"/>
          </w:tcPr>
          <w:p w14:paraId="048C8A4B">
            <w:pPr>
              <w:rPr>
                <w:color w:val="000000" w:themeColor="text1"/>
                <w:highlight w:val="none"/>
                <w14:textFill>
                  <w14:solidFill>
                    <w14:schemeClr w14:val="tx1"/>
                  </w14:solidFill>
                </w14:textFill>
              </w:rPr>
            </w:pPr>
          </w:p>
        </w:tc>
        <w:tc>
          <w:tcPr>
            <w:tcW w:w="2356" w:type="dxa"/>
            <w:noWrap w:val="0"/>
            <w:vAlign w:val="top"/>
          </w:tcPr>
          <w:p w14:paraId="66CB1858">
            <w:pPr>
              <w:rPr>
                <w:color w:val="000000" w:themeColor="text1"/>
                <w:highlight w:val="none"/>
                <w14:textFill>
                  <w14:solidFill>
                    <w14:schemeClr w14:val="tx1"/>
                  </w14:solidFill>
                </w14:textFill>
              </w:rPr>
            </w:pPr>
          </w:p>
        </w:tc>
        <w:tc>
          <w:tcPr>
            <w:tcW w:w="2136" w:type="dxa"/>
            <w:noWrap w:val="0"/>
            <w:vAlign w:val="top"/>
          </w:tcPr>
          <w:p w14:paraId="025CE9F6">
            <w:pPr>
              <w:rPr>
                <w:color w:val="000000" w:themeColor="text1"/>
                <w:highlight w:val="none"/>
                <w14:textFill>
                  <w14:solidFill>
                    <w14:schemeClr w14:val="tx1"/>
                  </w14:solidFill>
                </w14:textFill>
              </w:rPr>
            </w:pPr>
          </w:p>
        </w:tc>
      </w:tr>
      <w:tr w14:paraId="2A835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noWrap w:val="0"/>
            <w:vAlign w:val="top"/>
          </w:tcPr>
          <w:p w14:paraId="58CAD3F9">
            <w:pPr>
              <w:rPr>
                <w:color w:val="000000" w:themeColor="text1"/>
                <w:highlight w:val="none"/>
                <w14:textFill>
                  <w14:solidFill>
                    <w14:schemeClr w14:val="tx1"/>
                  </w14:solidFill>
                </w14:textFill>
              </w:rPr>
            </w:pPr>
          </w:p>
        </w:tc>
        <w:tc>
          <w:tcPr>
            <w:tcW w:w="2357" w:type="dxa"/>
            <w:noWrap w:val="0"/>
            <w:vAlign w:val="top"/>
          </w:tcPr>
          <w:p w14:paraId="3D8E724F">
            <w:pPr>
              <w:rPr>
                <w:color w:val="000000" w:themeColor="text1"/>
                <w:highlight w:val="none"/>
                <w14:textFill>
                  <w14:solidFill>
                    <w14:schemeClr w14:val="tx1"/>
                  </w14:solidFill>
                </w14:textFill>
              </w:rPr>
            </w:pPr>
          </w:p>
        </w:tc>
        <w:tc>
          <w:tcPr>
            <w:tcW w:w="2356" w:type="dxa"/>
            <w:noWrap w:val="0"/>
            <w:vAlign w:val="top"/>
          </w:tcPr>
          <w:p w14:paraId="2572052E">
            <w:pPr>
              <w:rPr>
                <w:color w:val="000000" w:themeColor="text1"/>
                <w:highlight w:val="none"/>
                <w14:textFill>
                  <w14:solidFill>
                    <w14:schemeClr w14:val="tx1"/>
                  </w14:solidFill>
                </w14:textFill>
              </w:rPr>
            </w:pPr>
          </w:p>
        </w:tc>
        <w:tc>
          <w:tcPr>
            <w:tcW w:w="2136" w:type="dxa"/>
            <w:noWrap w:val="0"/>
            <w:vAlign w:val="top"/>
          </w:tcPr>
          <w:p w14:paraId="15C0481A">
            <w:pPr>
              <w:rPr>
                <w:color w:val="000000" w:themeColor="text1"/>
                <w:highlight w:val="none"/>
                <w14:textFill>
                  <w14:solidFill>
                    <w14:schemeClr w14:val="tx1"/>
                  </w14:solidFill>
                </w14:textFill>
              </w:rPr>
            </w:pPr>
          </w:p>
        </w:tc>
      </w:tr>
    </w:tbl>
    <w:p w14:paraId="3480B1B6">
      <w:pPr>
        <w:spacing w:line="360" w:lineRule="auto"/>
        <w:ind w:firstLine="880"/>
        <w:rPr>
          <w:rFonts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p>
    <w:p w14:paraId="1D515E35">
      <w:pPr>
        <w:pStyle w:val="9"/>
        <w:rPr>
          <w:rFonts w:hint="eastAsia" w:ascii="宋体" w:hAnsi="宋体" w:cs="宋体"/>
          <w:b w:val="0"/>
          <w:color w:val="000000" w:themeColor="text1"/>
          <w:sz w:val="28"/>
          <w:szCs w:val="28"/>
          <w:highlight w:val="none"/>
          <w14:textFill>
            <w14:solidFill>
              <w14:schemeClr w14:val="tx1"/>
            </w14:solidFill>
          </w14:textFill>
        </w:rPr>
      </w:pPr>
      <w:r>
        <w:rPr>
          <w:rFonts w:ascii="方正小标宋简体" w:hAnsi="方正小标宋简体" w:eastAsia="方正小标宋简体" w:cs="方正小标宋简体"/>
          <w:bCs w:val="0"/>
          <w:color w:val="000000" w:themeColor="text1"/>
          <w:sz w:val="44"/>
          <w:szCs w:val="44"/>
          <w:highlight w:val="none"/>
          <w14:textFill>
            <w14:solidFill>
              <w14:schemeClr w14:val="tx1"/>
            </w14:solidFill>
          </w14:textFill>
        </w:rPr>
        <w:br w:type="page" w:clear="all"/>
      </w:r>
      <w:bookmarkStart w:id="113" w:name="bookmark2230"/>
      <w:bookmarkStart w:id="114" w:name="bookmark2228"/>
      <w:bookmarkStart w:id="115" w:name="bookmark2229"/>
      <w:r>
        <w:rPr>
          <w:rFonts w:hint="eastAsia" w:ascii="宋体" w:hAnsi="宋体" w:cs="宋体"/>
          <w:b w:val="0"/>
          <w:color w:val="000000" w:themeColor="text1"/>
          <w:sz w:val="28"/>
          <w:szCs w:val="28"/>
          <w:highlight w:val="none"/>
          <w14:textFill>
            <w14:solidFill>
              <w14:schemeClr w14:val="tx1"/>
            </w14:solidFill>
          </w14:textFill>
        </w:rPr>
        <w:t>附件一：拟投入本合同的主要施工设备表</w:t>
      </w:r>
      <w:bookmarkEnd w:id="113"/>
      <w:bookmarkEnd w:id="114"/>
      <w:bookmarkEnd w:id="115"/>
    </w:p>
    <w:p w14:paraId="582D524C">
      <w:pPr>
        <w:rPr>
          <w:rFonts w:hint="eastAsia"/>
          <w:color w:val="000000" w:themeColor="text1"/>
          <w:highlight w:val="none"/>
          <w14:textFill>
            <w14:solidFill>
              <w14:schemeClr w14:val="tx1"/>
            </w14:solidFill>
          </w14:textFill>
        </w:rPr>
      </w:pPr>
    </w:p>
    <w:p w14:paraId="6DD221E9">
      <w:pPr>
        <w:jc w:val="center"/>
        <w:rPr>
          <w:rFonts w:hint="eastAsia" w:ascii="宋体" w:hAnsi="宋体" w:cs="宋体"/>
          <w:b/>
          <w:bCs/>
          <w:color w:val="000000" w:themeColor="text1"/>
          <w:sz w:val="28"/>
          <w:szCs w:val="28"/>
          <w:highlight w:val="none"/>
          <w14:textFill>
            <w14:solidFill>
              <w14:schemeClr w14:val="tx1"/>
            </w14:solidFill>
          </w14:textFill>
        </w:rPr>
      </w:pPr>
      <w:bookmarkStart w:id="116" w:name="bookmark2231"/>
      <w:bookmarkStart w:id="117" w:name="bookmark2232"/>
      <w:bookmarkStart w:id="118" w:name="bookmark2233"/>
      <w:bookmarkStart w:id="119" w:name="_Toc13379"/>
      <w:bookmarkStart w:id="120" w:name="_Toc19570"/>
      <w:r>
        <w:rPr>
          <w:rFonts w:hint="eastAsia" w:ascii="宋体" w:hAnsi="宋体" w:cs="宋体"/>
          <w:b/>
          <w:bCs/>
          <w:color w:val="000000" w:themeColor="text1"/>
          <w:sz w:val="28"/>
          <w:szCs w:val="28"/>
          <w:highlight w:val="none"/>
          <w14:textFill>
            <w14:solidFill>
              <w14:schemeClr w14:val="tx1"/>
            </w14:solidFill>
          </w14:textFill>
        </w:rPr>
        <w:t>拟投入本合同的主要施工设备表</w:t>
      </w:r>
      <w:bookmarkEnd w:id="116"/>
      <w:bookmarkEnd w:id="117"/>
      <w:bookmarkEnd w:id="118"/>
      <w:bookmarkEnd w:id="119"/>
      <w:bookmarkEnd w:id="120"/>
    </w:p>
    <w:p w14:paraId="7B7BFA95">
      <w:pPr>
        <w:jc w:val="center"/>
        <w:rPr>
          <w:color w:val="000000" w:themeColor="text1"/>
          <w:highlight w:val="none"/>
          <w14:textFill>
            <w14:solidFill>
              <w14:schemeClr w14:val="tx1"/>
            </w14:solidFill>
          </w14:textFill>
        </w:rPr>
      </w:pPr>
    </w:p>
    <w:tbl>
      <w:tblPr>
        <w:tblStyle w:val="45"/>
        <w:tblW w:w="0" w:type="auto"/>
        <w:jc w:val="center"/>
        <w:tblLayout w:type="fixed"/>
        <w:tblCellMar>
          <w:top w:w="0" w:type="dxa"/>
          <w:left w:w="10" w:type="dxa"/>
          <w:bottom w:w="0" w:type="dxa"/>
          <w:right w:w="10" w:type="dxa"/>
        </w:tblCellMar>
      </w:tblPr>
      <w:tblGrid>
        <w:gridCol w:w="293"/>
        <w:gridCol w:w="1133"/>
        <w:gridCol w:w="864"/>
        <w:gridCol w:w="869"/>
        <w:gridCol w:w="864"/>
        <w:gridCol w:w="864"/>
        <w:gridCol w:w="864"/>
        <w:gridCol w:w="864"/>
        <w:gridCol w:w="864"/>
        <w:gridCol w:w="874"/>
      </w:tblGrid>
      <w:tr w14:paraId="51160709">
        <w:tblPrEx>
          <w:tblCellMar>
            <w:top w:w="0" w:type="dxa"/>
            <w:left w:w="10" w:type="dxa"/>
            <w:bottom w:w="0" w:type="dxa"/>
            <w:right w:w="10" w:type="dxa"/>
          </w:tblCellMar>
        </w:tblPrEx>
        <w:trPr>
          <w:trHeight w:val="1142" w:hRule="exact"/>
          <w:jc w:val="center"/>
        </w:trPr>
        <w:tc>
          <w:tcPr>
            <w:tcW w:w="293" w:type="dxa"/>
            <w:tcBorders>
              <w:top w:val="single" w:color="auto" w:sz="4" w:space="0"/>
              <w:left w:val="single" w:color="auto" w:sz="4" w:space="0"/>
            </w:tcBorders>
            <w:noWrap w:val="0"/>
            <w:vAlign w:val="center"/>
          </w:tcPr>
          <w:p w14:paraId="166E479D">
            <w:pPr>
              <w:pStyle w:val="312"/>
              <w:spacing w:line="264" w:lineRule="exact"/>
              <w:ind w:firstLine="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序 号</w:t>
            </w:r>
          </w:p>
        </w:tc>
        <w:tc>
          <w:tcPr>
            <w:tcW w:w="1133" w:type="dxa"/>
            <w:tcBorders>
              <w:top w:val="single" w:color="auto" w:sz="4" w:space="0"/>
              <w:left w:val="single" w:color="auto" w:sz="4" w:space="0"/>
            </w:tcBorders>
            <w:noWrap w:val="0"/>
            <w:vAlign w:val="center"/>
          </w:tcPr>
          <w:p w14:paraId="56FBDD4C">
            <w:pPr>
              <w:pStyle w:val="312"/>
              <w:spacing w:line="269" w:lineRule="exact"/>
              <w:ind w:left="180" w:firstLine="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施工机械</w:t>
            </w:r>
          </w:p>
          <w:p w14:paraId="4AB5A946">
            <w:pPr>
              <w:pStyle w:val="312"/>
              <w:spacing w:line="269" w:lineRule="exact"/>
              <w:ind w:left="180" w:firstLine="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名 称</w:t>
            </w:r>
          </w:p>
        </w:tc>
        <w:tc>
          <w:tcPr>
            <w:tcW w:w="864" w:type="dxa"/>
            <w:tcBorders>
              <w:top w:val="single" w:color="auto" w:sz="4" w:space="0"/>
              <w:left w:val="single" w:color="auto" w:sz="4" w:space="0"/>
            </w:tcBorders>
            <w:noWrap w:val="0"/>
            <w:vAlign w:val="center"/>
          </w:tcPr>
          <w:p w14:paraId="640C947A">
            <w:pPr>
              <w:pStyle w:val="312"/>
              <w:spacing w:after="60" w:line="240" w:lineRule="auto"/>
              <w:ind w:firstLine="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型号</w:t>
            </w:r>
          </w:p>
          <w:p w14:paraId="0E54D7E4">
            <w:pPr>
              <w:pStyle w:val="312"/>
              <w:spacing w:line="240" w:lineRule="auto"/>
              <w:ind w:firstLine="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规格</w:t>
            </w:r>
          </w:p>
        </w:tc>
        <w:tc>
          <w:tcPr>
            <w:tcW w:w="869" w:type="dxa"/>
            <w:tcBorders>
              <w:top w:val="single" w:color="auto" w:sz="4" w:space="0"/>
              <w:left w:val="single" w:color="auto" w:sz="4" w:space="0"/>
            </w:tcBorders>
            <w:noWrap w:val="0"/>
            <w:vAlign w:val="center"/>
          </w:tcPr>
          <w:p w14:paraId="7F7A7FEC">
            <w:pPr>
              <w:pStyle w:val="312"/>
              <w:spacing w:line="240" w:lineRule="auto"/>
              <w:ind w:firstLine="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数量</w:t>
            </w:r>
          </w:p>
        </w:tc>
        <w:tc>
          <w:tcPr>
            <w:tcW w:w="864" w:type="dxa"/>
            <w:tcBorders>
              <w:top w:val="single" w:color="auto" w:sz="4" w:space="0"/>
              <w:left w:val="single" w:color="auto" w:sz="4" w:space="0"/>
            </w:tcBorders>
            <w:noWrap w:val="0"/>
            <w:vAlign w:val="center"/>
          </w:tcPr>
          <w:p w14:paraId="166735D8">
            <w:pPr>
              <w:pStyle w:val="312"/>
              <w:spacing w:line="266" w:lineRule="exact"/>
              <w:ind w:firstLine="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制造 年份</w:t>
            </w:r>
          </w:p>
        </w:tc>
        <w:tc>
          <w:tcPr>
            <w:tcW w:w="864" w:type="dxa"/>
            <w:tcBorders>
              <w:top w:val="single" w:color="auto" w:sz="4" w:space="0"/>
              <w:left w:val="single" w:color="auto" w:sz="4" w:space="0"/>
            </w:tcBorders>
            <w:noWrap w:val="0"/>
            <w:vAlign w:val="center"/>
          </w:tcPr>
          <w:p w14:paraId="52DC1DAE">
            <w:pPr>
              <w:pStyle w:val="312"/>
              <w:spacing w:line="265" w:lineRule="exact"/>
              <w:ind w:firstLine="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 xml:space="preserve">额定功率 </w:t>
            </w:r>
            <w:r>
              <w:rPr>
                <w:rFonts w:ascii="Times New Roman" w:hAnsi="Times New Roman" w:eastAsia="Times New Roman" w:cs="Times New Roman"/>
                <w:color w:val="000000" w:themeColor="text1"/>
                <w:sz w:val="21"/>
                <w:szCs w:val="21"/>
                <w:highlight w:val="none"/>
                <w:lang w:val="en-US" w:bidi="en-US"/>
                <w14:textFill>
                  <w14:solidFill>
                    <w14:schemeClr w14:val="tx1"/>
                  </w14:solidFill>
                </w14:textFill>
              </w:rPr>
              <w:t>（KW）</w:t>
            </w:r>
            <w:r>
              <w:rPr>
                <w:color w:val="000000" w:themeColor="text1"/>
                <w:sz w:val="21"/>
                <w:szCs w:val="21"/>
                <w:highlight w:val="none"/>
                <w14:textFill>
                  <w14:solidFill>
                    <w14:schemeClr w14:val="tx1"/>
                  </w14:solidFill>
                </w14:textFill>
              </w:rPr>
              <w:t>或 生产能力</w:t>
            </w:r>
          </w:p>
        </w:tc>
        <w:tc>
          <w:tcPr>
            <w:tcW w:w="864" w:type="dxa"/>
            <w:tcBorders>
              <w:top w:val="single" w:color="auto" w:sz="4" w:space="0"/>
              <w:left w:val="single" w:color="auto" w:sz="4" w:space="0"/>
            </w:tcBorders>
            <w:noWrap w:val="0"/>
            <w:vAlign w:val="center"/>
          </w:tcPr>
          <w:p w14:paraId="554E14E8">
            <w:pPr>
              <w:pStyle w:val="312"/>
              <w:spacing w:line="240" w:lineRule="auto"/>
              <w:ind w:firstLine="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现在何处</w:t>
            </w:r>
          </w:p>
        </w:tc>
        <w:tc>
          <w:tcPr>
            <w:tcW w:w="864" w:type="dxa"/>
            <w:tcBorders>
              <w:top w:val="single" w:color="auto" w:sz="4" w:space="0"/>
              <w:left w:val="single" w:color="auto" w:sz="4" w:space="0"/>
            </w:tcBorders>
            <w:noWrap w:val="0"/>
            <w:vAlign w:val="center"/>
          </w:tcPr>
          <w:p w14:paraId="47EDE5C8">
            <w:pPr>
              <w:pStyle w:val="312"/>
              <w:spacing w:line="240" w:lineRule="auto"/>
              <w:ind w:firstLine="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进场时间</w:t>
            </w:r>
          </w:p>
        </w:tc>
        <w:tc>
          <w:tcPr>
            <w:tcW w:w="864" w:type="dxa"/>
            <w:tcBorders>
              <w:top w:val="single" w:color="auto" w:sz="4" w:space="0"/>
              <w:left w:val="single" w:color="auto" w:sz="4" w:space="0"/>
            </w:tcBorders>
            <w:noWrap w:val="0"/>
            <w:vAlign w:val="center"/>
          </w:tcPr>
          <w:p w14:paraId="5D3DF22D">
            <w:pPr>
              <w:pStyle w:val="312"/>
              <w:spacing w:line="240" w:lineRule="auto"/>
              <w:ind w:firstLine="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退场时间</w:t>
            </w:r>
          </w:p>
        </w:tc>
        <w:tc>
          <w:tcPr>
            <w:tcW w:w="874" w:type="dxa"/>
            <w:tcBorders>
              <w:top w:val="single" w:color="auto" w:sz="4" w:space="0"/>
              <w:left w:val="single" w:color="auto" w:sz="4" w:space="0"/>
              <w:right w:val="single" w:color="auto" w:sz="4" w:space="0"/>
            </w:tcBorders>
            <w:noWrap w:val="0"/>
            <w:vAlign w:val="center"/>
          </w:tcPr>
          <w:p w14:paraId="1E4EAB34">
            <w:pPr>
              <w:pStyle w:val="312"/>
              <w:spacing w:line="257" w:lineRule="exact"/>
              <w:ind w:firstLine="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用于施工 部位</w:t>
            </w:r>
          </w:p>
        </w:tc>
      </w:tr>
      <w:tr w14:paraId="40A1B4D9">
        <w:tblPrEx>
          <w:tblCellMar>
            <w:top w:w="0" w:type="dxa"/>
            <w:left w:w="10" w:type="dxa"/>
            <w:bottom w:w="0" w:type="dxa"/>
            <w:right w:w="10" w:type="dxa"/>
          </w:tblCellMar>
        </w:tblPrEx>
        <w:trPr>
          <w:trHeight w:val="566" w:hRule="exact"/>
          <w:jc w:val="center"/>
        </w:trPr>
        <w:tc>
          <w:tcPr>
            <w:tcW w:w="293" w:type="dxa"/>
            <w:tcBorders>
              <w:top w:val="single" w:color="auto" w:sz="4" w:space="0"/>
              <w:left w:val="single" w:color="auto" w:sz="4" w:space="0"/>
            </w:tcBorders>
            <w:noWrap w:val="0"/>
            <w:vAlign w:val="top"/>
          </w:tcPr>
          <w:p w14:paraId="4F38F66C">
            <w:pPr>
              <w:rPr>
                <w:color w:val="000000" w:themeColor="text1"/>
                <w:szCs w:val="21"/>
                <w:highlight w:val="none"/>
                <w14:textFill>
                  <w14:solidFill>
                    <w14:schemeClr w14:val="tx1"/>
                  </w14:solidFill>
                </w14:textFill>
              </w:rPr>
            </w:pPr>
          </w:p>
        </w:tc>
        <w:tc>
          <w:tcPr>
            <w:tcW w:w="1133" w:type="dxa"/>
            <w:tcBorders>
              <w:top w:val="single" w:color="auto" w:sz="4" w:space="0"/>
              <w:left w:val="single" w:color="auto" w:sz="4" w:space="0"/>
            </w:tcBorders>
            <w:noWrap w:val="0"/>
            <w:vAlign w:val="top"/>
          </w:tcPr>
          <w:p w14:paraId="589C014B">
            <w:pPr>
              <w:rPr>
                <w:color w:val="000000" w:themeColor="text1"/>
                <w:szCs w:val="21"/>
                <w:highlight w:val="none"/>
                <w14:textFill>
                  <w14:solidFill>
                    <w14:schemeClr w14:val="tx1"/>
                  </w14:solidFill>
                </w14:textFill>
              </w:rPr>
            </w:pPr>
          </w:p>
        </w:tc>
        <w:tc>
          <w:tcPr>
            <w:tcW w:w="864" w:type="dxa"/>
            <w:tcBorders>
              <w:top w:val="single" w:color="auto" w:sz="4" w:space="0"/>
              <w:left w:val="single" w:color="auto" w:sz="4" w:space="0"/>
            </w:tcBorders>
            <w:noWrap w:val="0"/>
            <w:vAlign w:val="top"/>
          </w:tcPr>
          <w:p w14:paraId="43E7472B">
            <w:pPr>
              <w:rPr>
                <w:color w:val="000000" w:themeColor="text1"/>
                <w:szCs w:val="21"/>
                <w:highlight w:val="none"/>
                <w14:textFill>
                  <w14:solidFill>
                    <w14:schemeClr w14:val="tx1"/>
                  </w14:solidFill>
                </w14:textFill>
              </w:rPr>
            </w:pPr>
          </w:p>
        </w:tc>
        <w:tc>
          <w:tcPr>
            <w:tcW w:w="869" w:type="dxa"/>
            <w:tcBorders>
              <w:top w:val="single" w:color="auto" w:sz="4" w:space="0"/>
              <w:left w:val="single" w:color="auto" w:sz="4" w:space="0"/>
            </w:tcBorders>
            <w:noWrap w:val="0"/>
            <w:vAlign w:val="top"/>
          </w:tcPr>
          <w:p w14:paraId="644D52B0">
            <w:pPr>
              <w:rPr>
                <w:color w:val="000000" w:themeColor="text1"/>
                <w:szCs w:val="21"/>
                <w:highlight w:val="none"/>
                <w14:textFill>
                  <w14:solidFill>
                    <w14:schemeClr w14:val="tx1"/>
                  </w14:solidFill>
                </w14:textFill>
              </w:rPr>
            </w:pPr>
          </w:p>
        </w:tc>
        <w:tc>
          <w:tcPr>
            <w:tcW w:w="864" w:type="dxa"/>
            <w:tcBorders>
              <w:top w:val="single" w:color="auto" w:sz="4" w:space="0"/>
              <w:left w:val="single" w:color="auto" w:sz="4" w:space="0"/>
            </w:tcBorders>
            <w:noWrap w:val="0"/>
            <w:vAlign w:val="top"/>
          </w:tcPr>
          <w:p w14:paraId="5F541619">
            <w:pPr>
              <w:rPr>
                <w:color w:val="000000" w:themeColor="text1"/>
                <w:szCs w:val="21"/>
                <w:highlight w:val="none"/>
                <w14:textFill>
                  <w14:solidFill>
                    <w14:schemeClr w14:val="tx1"/>
                  </w14:solidFill>
                </w14:textFill>
              </w:rPr>
            </w:pPr>
          </w:p>
        </w:tc>
        <w:tc>
          <w:tcPr>
            <w:tcW w:w="864" w:type="dxa"/>
            <w:tcBorders>
              <w:top w:val="single" w:color="auto" w:sz="4" w:space="0"/>
              <w:left w:val="single" w:color="auto" w:sz="4" w:space="0"/>
            </w:tcBorders>
            <w:noWrap w:val="0"/>
            <w:vAlign w:val="top"/>
          </w:tcPr>
          <w:p w14:paraId="112FEE9F">
            <w:pPr>
              <w:rPr>
                <w:color w:val="000000" w:themeColor="text1"/>
                <w:szCs w:val="21"/>
                <w:highlight w:val="none"/>
                <w14:textFill>
                  <w14:solidFill>
                    <w14:schemeClr w14:val="tx1"/>
                  </w14:solidFill>
                </w14:textFill>
              </w:rPr>
            </w:pPr>
          </w:p>
        </w:tc>
        <w:tc>
          <w:tcPr>
            <w:tcW w:w="864" w:type="dxa"/>
            <w:tcBorders>
              <w:top w:val="single" w:color="auto" w:sz="4" w:space="0"/>
              <w:left w:val="single" w:color="auto" w:sz="4" w:space="0"/>
            </w:tcBorders>
            <w:noWrap w:val="0"/>
            <w:vAlign w:val="top"/>
          </w:tcPr>
          <w:p w14:paraId="24BAB74A">
            <w:pPr>
              <w:rPr>
                <w:color w:val="000000" w:themeColor="text1"/>
                <w:szCs w:val="21"/>
                <w:highlight w:val="none"/>
                <w14:textFill>
                  <w14:solidFill>
                    <w14:schemeClr w14:val="tx1"/>
                  </w14:solidFill>
                </w14:textFill>
              </w:rPr>
            </w:pPr>
          </w:p>
        </w:tc>
        <w:tc>
          <w:tcPr>
            <w:tcW w:w="864" w:type="dxa"/>
            <w:tcBorders>
              <w:top w:val="single" w:color="auto" w:sz="4" w:space="0"/>
              <w:left w:val="single" w:color="auto" w:sz="4" w:space="0"/>
            </w:tcBorders>
            <w:noWrap w:val="0"/>
            <w:vAlign w:val="top"/>
          </w:tcPr>
          <w:p w14:paraId="0F0928F3">
            <w:pPr>
              <w:rPr>
                <w:color w:val="000000" w:themeColor="text1"/>
                <w:szCs w:val="21"/>
                <w:highlight w:val="none"/>
                <w14:textFill>
                  <w14:solidFill>
                    <w14:schemeClr w14:val="tx1"/>
                  </w14:solidFill>
                </w14:textFill>
              </w:rPr>
            </w:pPr>
          </w:p>
        </w:tc>
        <w:tc>
          <w:tcPr>
            <w:tcW w:w="864" w:type="dxa"/>
            <w:tcBorders>
              <w:top w:val="single" w:color="auto" w:sz="4" w:space="0"/>
              <w:left w:val="single" w:color="auto" w:sz="4" w:space="0"/>
            </w:tcBorders>
            <w:noWrap w:val="0"/>
            <w:vAlign w:val="top"/>
          </w:tcPr>
          <w:p w14:paraId="66601B9C">
            <w:pPr>
              <w:rPr>
                <w:color w:val="000000" w:themeColor="text1"/>
                <w:szCs w:val="21"/>
                <w:highlight w:val="none"/>
                <w14:textFill>
                  <w14:solidFill>
                    <w14:schemeClr w14:val="tx1"/>
                  </w14:solidFill>
                </w14:textFill>
              </w:rPr>
            </w:pPr>
          </w:p>
        </w:tc>
        <w:tc>
          <w:tcPr>
            <w:tcW w:w="874" w:type="dxa"/>
            <w:tcBorders>
              <w:top w:val="single" w:color="auto" w:sz="4" w:space="0"/>
              <w:left w:val="single" w:color="auto" w:sz="4" w:space="0"/>
              <w:right w:val="single" w:color="auto" w:sz="4" w:space="0"/>
            </w:tcBorders>
            <w:noWrap w:val="0"/>
            <w:vAlign w:val="top"/>
          </w:tcPr>
          <w:p w14:paraId="62E8879E">
            <w:pPr>
              <w:rPr>
                <w:color w:val="000000" w:themeColor="text1"/>
                <w:szCs w:val="21"/>
                <w:highlight w:val="none"/>
                <w14:textFill>
                  <w14:solidFill>
                    <w14:schemeClr w14:val="tx1"/>
                  </w14:solidFill>
                </w14:textFill>
              </w:rPr>
            </w:pPr>
          </w:p>
        </w:tc>
      </w:tr>
      <w:tr w14:paraId="28E96D29">
        <w:tblPrEx>
          <w:tblCellMar>
            <w:top w:w="0" w:type="dxa"/>
            <w:left w:w="10" w:type="dxa"/>
            <w:bottom w:w="0" w:type="dxa"/>
            <w:right w:w="10" w:type="dxa"/>
          </w:tblCellMar>
        </w:tblPrEx>
        <w:trPr>
          <w:trHeight w:val="566" w:hRule="exact"/>
          <w:jc w:val="center"/>
        </w:trPr>
        <w:tc>
          <w:tcPr>
            <w:tcW w:w="293" w:type="dxa"/>
            <w:tcBorders>
              <w:top w:val="single" w:color="auto" w:sz="4" w:space="0"/>
              <w:left w:val="single" w:color="auto" w:sz="4" w:space="0"/>
            </w:tcBorders>
            <w:noWrap w:val="0"/>
            <w:vAlign w:val="top"/>
          </w:tcPr>
          <w:p w14:paraId="1D011F33">
            <w:pPr>
              <w:rPr>
                <w:color w:val="000000" w:themeColor="text1"/>
                <w:szCs w:val="21"/>
                <w:highlight w:val="none"/>
                <w14:textFill>
                  <w14:solidFill>
                    <w14:schemeClr w14:val="tx1"/>
                  </w14:solidFill>
                </w14:textFill>
              </w:rPr>
            </w:pPr>
          </w:p>
        </w:tc>
        <w:tc>
          <w:tcPr>
            <w:tcW w:w="1133" w:type="dxa"/>
            <w:tcBorders>
              <w:top w:val="single" w:color="auto" w:sz="4" w:space="0"/>
              <w:left w:val="single" w:color="auto" w:sz="4" w:space="0"/>
            </w:tcBorders>
            <w:noWrap w:val="0"/>
            <w:vAlign w:val="top"/>
          </w:tcPr>
          <w:p w14:paraId="21C14357">
            <w:pPr>
              <w:rPr>
                <w:color w:val="000000" w:themeColor="text1"/>
                <w:szCs w:val="21"/>
                <w:highlight w:val="none"/>
                <w14:textFill>
                  <w14:solidFill>
                    <w14:schemeClr w14:val="tx1"/>
                  </w14:solidFill>
                </w14:textFill>
              </w:rPr>
            </w:pPr>
          </w:p>
        </w:tc>
        <w:tc>
          <w:tcPr>
            <w:tcW w:w="864" w:type="dxa"/>
            <w:tcBorders>
              <w:top w:val="single" w:color="auto" w:sz="4" w:space="0"/>
              <w:left w:val="single" w:color="auto" w:sz="4" w:space="0"/>
            </w:tcBorders>
            <w:noWrap w:val="0"/>
            <w:vAlign w:val="top"/>
          </w:tcPr>
          <w:p w14:paraId="4D10D4DA">
            <w:pPr>
              <w:rPr>
                <w:color w:val="000000" w:themeColor="text1"/>
                <w:szCs w:val="21"/>
                <w:highlight w:val="none"/>
                <w14:textFill>
                  <w14:solidFill>
                    <w14:schemeClr w14:val="tx1"/>
                  </w14:solidFill>
                </w14:textFill>
              </w:rPr>
            </w:pPr>
          </w:p>
        </w:tc>
        <w:tc>
          <w:tcPr>
            <w:tcW w:w="869" w:type="dxa"/>
            <w:tcBorders>
              <w:top w:val="single" w:color="auto" w:sz="4" w:space="0"/>
              <w:left w:val="single" w:color="auto" w:sz="4" w:space="0"/>
            </w:tcBorders>
            <w:noWrap w:val="0"/>
            <w:vAlign w:val="top"/>
          </w:tcPr>
          <w:p w14:paraId="4B0D8489">
            <w:pPr>
              <w:rPr>
                <w:color w:val="000000" w:themeColor="text1"/>
                <w:szCs w:val="21"/>
                <w:highlight w:val="none"/>
                <w14:textFill>
                  <w14:solidFill>
                    <w14:schemeClr w14:val="tx1"/>
                  </w14:solidFill>
                </w14:textFill>
              </w:rPr>
            </w:pPr>
          </w:p>
        </w:tc>
        <w:tc>
          <w:tcPr>
            <w:tcW w:w="864" w:type="dxa"/>
            <w:tcBorders>
              <w:top w:val="single" w:color="auto" w:sz="4" w:space="0"/>
              <w:left w:val="single" w:color="auto" w:sz="4" w:space="0"/>
            </w:tcBorders>
            <w:noWrap w:val="0"/>
            <w:vAlign w:val="top"/>
          </w:tcPr>
          <w:p w14:paraId="36D04212">
            <w:pPr>
              <w:rPr>
                <w:color w:val="000000" w:themeColor="text1"/>
                <w:szCs w:val="21"/>
                <w:highlight w:val="none"/>
                <w14:textFill>
                  <w14:solidFill>
                    <w14:schemeClr w14:val="tx1"/>
                  </w14:solidFill>
                </w14:textFill>
              </w:rPr>
            </w:pPr>
          </w:p>
        </w:tc>
        <w:tc>
          <w:tcPr>
            <w:tcW w:w="864" w:type="dxa"/>
            <w:tcBorders>
              <w:top w:val="single" w:color="auto" w:sz="4" w:space="0"/>
              <w:left w:val="single" w:color="auto" w:sz="4" w:space="0"/>
            </w:tcBorders>
            <w:noWrap w:val="0"/>
            <w:vAlign w:val="top"/>
          </w:tcPr>
          <w:p w14:paraId="2D96F51A">
            <w:pPr>
              <w:rPr>
                <w:color w:val="000000" w:themeColor="text1"/>
                <w:szCs w:val="21"/>
                <w:highlight w:val="none"/>
                <w14:textFill>
                  <w14:solidFill>
                    <w14:schemeClr w14:val="tx1"/>
                  </w14:solidFill>
                </w14:textFill>
              </w:rPr>
            </w:pPr>
          </w:p>
        </w:tc>
        <w:tc>
          <w:tcPr>
            <w:tcW w:w="864" w:type="dxa"/>
            <w:tcBorders>
              <w:top w:val="single" w:color="auto" w:sz="4" w:space="0"/>
              <w:left w:val="single" w:color="auto" w:sz="4" w:space="0"/>
            </w:tcBorders>
            <w:noWrap w:val="0"/>
            <w:vAlign w:val="top"/>
          </w:tcPr>
          <w:p w14:paraId="39E1FDD0">
            <w:pPr>
              <w:rPr>
                <w:color w:val="000000" w:themeColor="text1"/>
                <w:szCs w:val="21"/>
                <w:highlight w:val="none"/>
                <w14:textFill>
                  <w14:solidFill>
                    <w14:schemeClr w14:val="tx1"/>
                  </w14:solidFill>
                </w14:textFill>
              </w:rPr>
            </w:pPr>
          </w:p>
        </w:tc>
        <w:tc>
          <w:tcPr>
            <w:tcW w:w="864" w:type="dxa"/>
            <w:tcBorders>
              <w:top w:val="single" w:color="auto" w:sz="4" w:space="0"/>
              <w:left w:val="single" w:color="auto" w:sz="4" w:space="0"/>
            </w:tcBorders>
            <w:noWrap w:val="0"/>
            <w:vAlign w:val="top"/>
          </w:tcPr>
          <w:p w14:paraId="655DECA6">
            <w:pPr>
              <w:rPr>
                <w:color w:val="000000" w:themeColor="text1"/>
                <w:szCs w:val="21"/>
                <w:highlight w:val="none"/>
                <w14:textFill>
                  <w14:solidFill>
                    <w14:schemeClr w14:val="tx1"/>
                  </w14:solidFill>
                </w14:textFill>
              </w:rPr>
            </w:pPr>
          </w:p>
        </w:tc>
        <w:tc>
          <w:tcPr>
            <w:tcW w:w="864" w:type="dxa"/>
            <w:tcBorders>
              <w:top w:val="single" w:color="auto" w:sz="4" w:space="0"/>
              <w:left w:val="single" w:color="auto" w:sz="4" w:space="0"/>
            </w:tcBorders>
            <w:noWrap w:val="0"/>
            <w:vAlign w:val="top"/>
          </w:tcPr>
          <w:p w14:paraId="04141A23">
            <w:pPr>
              <w:rPr>
                <w:color w:val="000000" w:themeColor="text1"/>
                <w:szCs w:val="21"/>
                <w:highlight w:val="none"/>
                <w14:textFill>
                  <w14:solidFill>
                    <w14:schemeClr w14:val="tx1"/>
                  </w14:solidFill>
                </w14:textFill>
              </w:rPr>
            </w:pPr>
          </w:p>
        </w:tc>
        <w:tc>
          <w:tcPr>
            <w:tcW w:w="874" w:type="dxa"/>
            <w:tcBorders>
              <w:top w:val="single" w:color="auto" w:sz="4" w:space="0"/>
              <w:left w:val="single" w:color="auto" w:sz="4" w:space="0"/>
              <w:right w:val="single" w:color="auto" w:sz="4" w:space="0"/>
            </w:tcBorders>
            <w:noWrap w:val="0"/>
            <w:vAlign w:val="top"/>
          </w:tcPr>
          <w:p w14:paraId="66A742DB">
            <w:pPr>
              <w:rPr>
                <w:color w:val="000000" w:themeColor="text1"/>
                <w:szCs w:val="21"/>
                <w:highlight w:val="none"/>
                <w14:textFill>
                  <w14:solidFill>
                    <w14:schemeClr w14:val="tx1"/>
                  </w14:solidFill>
                </w14:textFill>
              </w:rPr>
            </w:pPr>
          </w:p>
        </w:tc>
      </w:tr>
      <w:tr w14:paraId="055D372A">
        <w:tblPrEx>
          <w:tblCellMar>
            <w:top w:w="0" w:type="dxa"/>
            <w:left w:w="10" w:type="dxa"/>
            <w:bottom w:w="0" w:type="dxa"/>
            <w:right w:w="10" w:type="dxa"/>
          </w:tblCellMar>
        </w:tblPrEx>
        <w:trPr>
          <w:trHeight w:val="566" w:hRule="exact"/>
          <w:jc w:val="center"/>
        </w:trPr>
        <w:tc>
          <w:tcPr>
            <w:tcW w:w="293" w:type="dxa"/>
            <w:tcBorders>
              <w:top w:val="single" w:color="auto" w:sz="4" w:space="0"/>
              <w:left w:val="single" w:color="auto" w:sz="4" w:space="0"/>
            </w:tcBorders>
            <w:noWrap w:val="0"/>
            <w:vAlign w:val="top"/>
          </w:tcPr>
          <w:p w14:paraId="0BF83FCB">
            <w:pPr>
              <w:rPr>
                <w:color w:val="000000" w:themeColor="text1"/>
                <w:szCs w:val="21"/>
                <w:highlight w:val="none"/>
                <w14:textFill>
                  <w14:solidFill>
                    <w14:schemeClr w14:val="tx1"/>
                  </w14:solidFill>
                </w14:textFill>
              </w:rPr>
            </w:pPr>
          </w:p>
        </w:tc>
        <w:tc>
          <w:tcPr>
            <w:tcW w:w="1133" w:type="dxa"/>
            <w:tcBorders>
              <w:top w:val="single" w:color="auto" w:sz="4" w:space="0"/>
              <w:left w:val="single" w:color="auto" w:sz="4" w:space="0"/>
            </w:tcBorders>
            <w:noWrap w:val="0"/>
            <w:vAlign w:val="top"/>
          </w:tcPr>
          <w:p w14:paraId="022051BD">
            <w:pPr>
              <w:rPr>
                <w:color w:val="000000" w:themeColor="text1"/>
                <w:szCs w:val="21"/>
                <w:highlight w:val="none"/>
                <w14:textFill>
                  <w14:solidFill>
                    <w14:schemeClr w14:val="tx1"/>
                  </w14:solidFill>
                </w14:textFill>
              </w:rPr>
            </w:pPr>
          </w:p>
        </w:tc>
        <w:tc>
          <w:tcPr>
            <w:tcW w:w="864" w:type="dxa"/>
            <w:tcBorders>
              <w:top w:val="single" w:color="auto" w:sz="4" w:space="0"/>
              <w:left w:val="single" w:color="auto" w:sz="4" w:space="0"/>
            </w:tcBorders>
            <w:noWrap w:val="0"/>
            <w:vAlign w:val="top"/>
          </w:tcPr>
          <w:p w14:paraId="2527BD0E">
            <w:pPr>
              <w:rPr>
                <w:color w:val="000000" w:themeColor="text1"/>
                <w:szCs w:val="21"/>
                <w:highlight w:val="none"/>
                <w14:textFill>
                  <w14:solidFill>
                    <w14:schemeClr w14:val="tx1"/>
                  </w14:solidFill>
                </w14:textFill>
              </w:rPr>
            </w:pPr>
          </w:p>
        </w:tc>
        <w:tc>
          <w:tcPr>
            <w:tcW w:w="869" w:type="dxa"/>
            <w:tcBorders>
              <w:top w:val="single" w:color="auto" w:sz="4" w:space="0"/>
              <w:left w:val="single" w:color="auto" w:sz="4" w:space="0"/>
            </w:tcBorders>
            <w:noWrap w:val="0"/>
            <w:vAlign w:val="top"/>
          </w:tcPr>
          <w:p w14:paraId="7F726381">
            <w:pPr>
              <w:rPr>
                <w:color w:val="000000" w:themeColor="text1"/>
                <w:szCs w:val="21"/>
                <w:highlight w:val="none"/>
                <w14:textFill>
                  <w14:solidFill>
                    <w14:schemeClr w14:val="tx1"/>
                  </w14:solidFill>
                </w14:textFill>
              </w:rPr>
            </w:pPr>
          </w:p>
        </w:tc>
        <w:tc>
          <w:tcPr>
            <w:tcW w:w="864" w:type="dxa"/>
            <w:tcBorders>
              <w:top w:val="single" w:color="auto" w:sz="4" w:space="0"/>
              <w:left w:val="single" w:color="auto" w:sz="4" w:space="0"/>
            </w:tcBorders>
            <w:noWrap w:val="0"/>
            <w:vAlign w:val="top"/>
          </w:tcPr>
          <w:p w14:paraId="1BCA3211">
            <w:pPr>
              <w:rPr>
                <w:color w:val="000000" w:themeColor="text1"/>
                <w:szCs w:val="21"/>
                <w:highlight w:val="none"/>
                <w14:textFill>
                  <w14:solidFill>
                    <w14:schemeClr w14:val="tx1"/>
                  </w14:solidFill>
                </w14:textFill>
              </w:rPr>
            </w:pPr>
          </w:p>
        </w:tc>
        <w:tc>
          <w:tcPr>
            <w:tcW w:w="864" w:type="dxa"/>
            <w:tcBorders>
              <w:top w:val="single" w:color="auto" w:sz="4" w:space="0"/>
              <w:left w:val="single" w:color="auto" w:sz="4" w:space="0"/>
            </w:tcBorders>
            <w:noWrap w:val="0"/>
            <w:vAlign w:val="top"/>
          </w:tcPr>
          <w:p w14:paraId="06589AA4">
            <w:pPr>
              <w:rPr>
                <w:color w:val="000000" w:themeColor="text1"/>
                <w:szCs w:val="21"/>
                <w:highlight w:val="none"/>
                <w14:textFill>
                  <w14:solidFill>
                    <w14:schemeClr w14:val="tx1"/>
                  </w14:solidFill>
                </w14:textFill>
              </w:rPr>
            </w:pPr>
          </w:p>
        </w:tc>
        <w:tc>
          <w:tcPr>
            <w:tcW w:w="864" w:type="dxa"/>
            <w:tcBorders>
              <w:top w:val="single" w:color="auto" w:sz="4" w:space="0"/>
              <w:left w:val="single" w:color="auto" w:sz="4" w:space="0"/>
            </w:tcBorders>
            <w:noWrap w:val="0"/>
            <w:vAlign w:val="top"/>
          </w:tcPr>
          <w:p w14:paraId="0459EA00">
            <w:pPr>
              <w:rPr>
                <w:color w:val="000000" w:themeColor="text1"/>
                <w:szCs w:val="21"/>
                <w:highlight w:val="none"/>
                <w14:textFill>
                  <w14:solidFill>
                    <w14:schemeClr w14:val="tx1"/>
                  </w14:solidFill>
                </w14:textFill>
              </w:rPr>
            </w:pPr>
          </w:p>
        </w:tc>
        <w:tc>
          <w:tcPr>
            <w:tcW w:w="864" w:type="dxa"/>
            <w:tcBorders>
              <w:top w:val="single" w:color="auto" w:sz="4" w:space="0"/>
              <w:left w:val="single" w:color="auto" w:sz="4" w:space="0"/>
            </w:tcBorders>
            <w:noWrap w:val="0"/>
            <w:vAlign w:val="top"/>
          </w:tcPr>
          <w:p w14:paraId="51115B1D">
            <w:pPr>
              <w:rPr>
                <w:color w:val="000000" w:themeColor="text1"/>
                <w:szCs w:val="21"/>
                <w:highlight w:val="none"/>
                <w14:textFill>
                  <w14:solidFill>
                    <w14:schemeClr w14:val="tx1"/>
                  </w14:solidFill>
                </w14:textFill>
              </w:rPr>
            </w:pPr>
          </w:p>
        </w:tc>
        <w:tc>
          <w:tcPr>
            <w:tcW w:w="864" w:type="dxa"/>
            <w:tcBorders>
              <w:top w:val="single" w:color="auto" w:sz="4" w:space="0"/>
              <w:left w:val="single" w:color="auto" w:sz="4" w:space="0"/>
            </w:tcBorders>
            <w:noWrap w:val="0"/>
            <w:vAlign w:val="top"/>
          </w:tcPr>
          <w:p w14:paraId="30FD0305">
            <w:pPr>
              <w:rPr>
                <w:color w:val="000000" w:themeColor="text1"/>
                <w:szCs w:val="21"/>
                <w:highlight w:val="none"/>
                <w14:textFill>
                  <w14:solidFill>
                    <w14:schemeClr w14:val="tx1"/>
                  </w14:solidFill>
                </w14:textFill>
              </w:rPr>
            </w:pPr>
          </w:p>
        </w:tc>
        <w:tc>
          <w:tcPr>
            <w:tcW w:w="874" w:type="dxa"/>
            <w:tcBorders>
              <w:top w:val="single" w:color="auto" w:sz="4" w:space="0"/>
              <w:left w:val="single" w:color="auto" w:sz="4" w:space="0"/>
              <w:right w:val="single" w:color="auto" w:sz="4" w:space="0"/>
            </w:tcBorders>
            <w:noWrap w:val="0"/>
            <w:vAlign w:val="top"/>
          </w:tcPr>
          <w:p w14:paraId="71445460">
            <w:pPr>
              <w:rPr>
                <w:color w:val="000000" w:themeColor="text1"/>
                <w:szCs w:val="21"/>
                <w:highlight w:val="none"/>
                <w14:textFill>
                  <w14:solidFill>
                    <w14:schemeClr w14:val="tx1"/>
                  </w14:solidFill>
                </w14:textFill>
              </w:rPr>
            </w:pPr>
          </w:p>
        </w:tc>
      </w:tr>
      <w:tr w14:paraId="66F56B00">
        <w:tblPrEx>
          <w:tblCellMar>
            <w:top w:w="0" w:type="dxa"/>
            <w:left w:w="10" w:type="dxa"/>
            <w:bottom w:w="0" w:type="dxa"/>
            <w:right w:w="10" w:type="dxa"/>
          </w:tblCellMar>
        </w:tblPrEx>
        <w:trPr>
          <w:trHeight w:val="566" w:hRule="exact"/>
          <w:jc w:val="center"/>
        </w:trPr>
        <w:tc>
          <w:tcPr>
            <w:tcW w:w="293" w:type="dxa"/>
            <w:tcBorders>
              <w:top w:val="single" w:color="auto" w:sz="4" w:space="0"/>
              <w:left w:val="single" w:color="auto" w:sz="4" w:space="0"/>
            </w:tcBorders>
            <w:noWrap w:val="0"/>
            <w:vAlign w:val="top"/>
          </w:tcPr>
          <w:p w14:paraId="67986510">
            <w:pPr>
              <w:rPr>
                <w:color w:val="000000" w:themeColor="text1"/>
                <w:szCs w:val="21"/>
                <w:highlight w:val="none"/>
                <w14:textFill>
                  <w14:solidFill>
                    <w14:schemeClr w14:val="tx1"/>
                  </w14:solidFill>
                </w14:textFill>
              </w:rPr>
            </w:pPr>
          </w:p>
        </w:tc>
        <w:tc>
          <w:tcPr>
            <w:tcW w:w="1133" w:type="dxa"/>
            <w:tcBorders>
              <w:top w:val="single" w:color="auto" w:sz="4" w:space="0"/>
              <w:left w:val="single" w:color="auto" w:sz="4" w:space="0"/>
            </w:tcBorders>
            <w:noWrap w:val="0"/>
            <w:vAlign w:val="top"/>
          </w:tcPr>
          <w:p w14:paraId="4927523A">
            <w:pPr>
              <w:rPr>
                <w:color w:val="000000" w:themeColor="text1"/>
                <w:szCs w:val="21"/>
                <w:highlight w:val="none"/>
                <w14:textFill>
                  <w14:solidFill>
                    <w14:schemeClr w14:val="tx1"/>
                  </w14:solidFill>
                </w14:textFill>
              </w:rPr>
            </w:pPr>
          </w:p>
        </w:tc>
        <w:tc>
          <w:tcPr>
            <w:tcW w:w="864" w:type="dxa"/>
            <w:tcBorders>
              <w:top w:val="single" w:color="auto" w:sz="4" w:space="0"/>
              <w:left w:val="single" w:color="auto" w:sz="4" w:space="0"/>
            </w:tcBorders>
            <w:noWrap w:val="0"/>
            <w:vAlign w:val="top"/>
          </w:tcPr>
          <w:p w14:paraId="4CE8B7D5">
            <w:pPr>
              <w:rPr>
                <w:color w:val="000000" w:themeColor="text1"/>
                <w:szCs w:val="21"/>
                <w:highlight w:val="none"/>
                <w14:textFill>
                  <w14:solidFill>
                    <w14:schemeClr w14:val="tx1"/>
                  </w14:solidFill>
                </w14:textFill>
              </w:rPr>
            </w:pPr>
          </w:p>
        </w:tc>
        <w:tc>
          <w:tcPr>
            <w:tcW w:w="869" w:type="dxa"/>
            <w:tcBorders>
              <w:top w:val="single" w:color="auto" w:sz="4" w:space="0"/>
              <w:left w:val="single" w:color="auto" w:sz="4" w:space="0"/>
            </w:tcBorders>
            <w:noWrap w:val="0"/>
            <w:vAlign w:val="top"/>
          </w:tcPr>
          <w:p w14:paraId="38F17E07">
            <w:pPr>
              <w:rPr>
                <w:color w:val="000000" w:themeColor="text1"/>
                <w:szCs w:val="21"/>
                <w:highlight w:val="none"/>
                <w14:textFill>
                  <w14:solidFill>
                    <w14:schemeClr w14:val="tx1"/>
                  </w14:solidFill>
                </w14:textFill>
              </w:rPr>
            </w:pPr>
          </w:p>
        </w:tc>
        <w:tc>
          <w:tcPr>
            <w:tcW w:w="864" w:type="dxa"/>
            <w:tcBorders>
              <w:top w:val="single" w:color="auto" w:sz="4" w:space="0"/>
              <w:left w:val="single" w:color="auto" w:sz="4" w:space="0"/>
            </w:tcBorders>
            <w:noWrap w:val="0"/>
            <w:vAlign w:val="top"/>
          </w:tcPr>
          <w:p w14:paraId="1C9DA0EC">
            <w:pPr>
              <w:rPr>
                <w:color w:val="000000" w:themeColor="text1"/>
                <w:szCs w:val="21"/>
                <w:highlight w:val="none"/>
                <w14:textFill>
                  <w14:solidFill>
                    <w14:schemeClr w14:val="tx1"/>
                  </w14:solidFill>
                </w14:textFill>
              </w:rPr>
            </w:pPr>
          </w:p>
        </w:tc>
        <w:tc>
          <w:tcPr>
            <w:tcW w:w="864" w:type="dxa"/>
            <w:tcBorders>
              <w:top w:val="single" w:color="auto" w:sz="4" w:space="0"/>
              <w:left w:val="single" w:color="auto" w:sz="4" w:space="0"/>
            </w:tcBorders>
            <w:noWrap w:val="0"/>
            <w:vAlign w:val="top"/>
          </w:tcPr>
          <w:p w14:paraId="5B320787">
            <w:pPr>
              <w:rPr>
                <w:color w:val="000000" w:themeColor="text1"/>
                <w:szCs w:val="21"/>
                <w:highlight w:val="none"/>
                <w14:textFill>
                  <w14:solidFill>
                    <w14:schemeClr w14:val="tx1"/>
                  </w14:solidFill>
                </w14:textFill>
              </w:rPr>
            </w:pPr>
          </w:p>
        </w:tc>
        <w:tc>
          <w:tcPr>
            <w:tcW w:w="864" w:type="dxa"/>
            <w:tcBorders>
              <w:top w:val="single" w:color="auto" w:sz="4" w:space="0"/>
              <w:left w:val="single" w:color="auto" w:sz="4" w:space="0"/>
            </w:tcBorders>
            <w:noWrap w:val="0"/>
            <w:vAlign w:val="top"/>
          </w:tcPr>
          <w:p w14:paraId="3BF78758">
            <w:pPr>
              <w:rPr>
                <w:color w:val="000000" w:themeColor="text1"/>
                <w:szCs w:val="21"/>
                <w:highlight w:val="none"/>
                <w14:textFill>
                  <w14:solidFill>
                    <w14:schemeClr w14:val="tx1"/>
                  </w14:solidFill>
                </w14:textFill>
              </w:rPr>
            </w:pPr>
          </w:p>
        </w:tc>
        <w:tc>
          <w:tcPr>
            <w:tcW w:w="864" w:type="dxa"/>
            <w:tcBorders>
              <w:top w:val="single" w:color="auto" w:sz="4" w:space="0"/>
              <w:left w:val="single" w:color="auto" w:sz="4" w:space="0"/>
            </w:tcBorders>
            <w:noWrap w:val="0"/>
            <w:vAlign w:val="top"/>
          </w:tcPr>
          <w:p w14:paraId="2B07DAFC">
            <w:pPr>
              <w:rPr>
                <w:color w:val="000000" w:themeColor="text1"/>
                <w:szCs w:val="21"/>
                <w:highlight w:val="none"/>
                <w14:textFill>
                  <w14:solidFill>
                    <w14:schemeClr w14:val="tx1"/>
                  </w14:solidFill>
                </w14:textFill>
              </w:rPr>
            </w:pPr>
          </w:p>
        </w:tc>
        <w:tc>
          <w:tcPr>
            <w:tcW w:w="864" w:type="dxa"/>
            <w:tcBorders>
              <w:top w:val="single" w:color="auto" w:sz="4" w:space="0"/>
              <w:left w:val="single" w:color="auto" w:sz="4" w:space="0"/>
            </w:tcBorders>
            <w:noWrap w:val="0"/>
            <w:vAlign w:val="top"/>
          </w:tcPr>
          <w:p w14:paraId="723884CD">
            <w:pPr>
              <w:rPr>
                <w:color w:val="000000" w:themeColor="text1"/>
                <w:szCs w:val="21"/>
                <w:highlight w:val="none"/>
                <w14:textFill>
                  <w14:solidFill>
                    <w14:schemeClr w14:val="tx1"/>
                  </w14:solidFill>
                </w14:textFill>
              </w:rPr>
            </w:pPr>
          </w:p>
        </w:tc>
        <w:tc>
          <w:tcPr>
            <w:tcW w:w="874" w:type="dxa"/>
            <w:tcBorders>
              <w:top w:val="single" w:color="auto" w:sz="4" w:space="0"/>
              <w:left w:val="single" w:color="auto" w:sz="4" w:space="0"/>
              <w:right w:val="single" w:color="auto" w:sz="4" w:space="0"/>
            </w:tcBorders>
            <w:noWrap w:val="0"/>
            <w:vAlign w:val="top"/>
          </w:tcPr>
          <w:p w14:paraId="7CB30868">
            <w:pPr>
              <w:rPr>
                <w:color w:val="000000" w:themeColor="text1"/>
                <w:szCs w:val="21"/>
                <w:highlight w:val="none"/>
                <w14:textFill>
                  <w14:solidFill>
                    <w14:schemeClr w14:val="tx1"/>
                  </w14:solidFill>
                </w14:textFill>
              </w:rPr>
            </w:pPr>
          </w:p>
        </w:tc>
      </w:tr>
      <w:tr w14:paraId="38A9E525">
        <w:tblPrEx>
          <w:tblCellMar>
            <w:top w:w="0" w:type="dxa"/>
            <w:left w:w="10" w:type="dxa"/>
            <w:bottom w:w="0" w:type="dxa"/>
            <w:right w:w="10" w:type="dxa"/>
          </w:tblCellMar>
        </w:tblPrEx>
        <w:trPr>
          <w:trHeight w:val="566" w:hRule="exact"/>
          <w:jc w:val="center"/>
        </w:trPr>
        <w:tc>
          <w:tcPr>
            <w:tcW w:w="293" w:type="dxa"/>
            <w:tcBorders>
              <w:top w:val="single" w:color="auto" w:sz="4" w:space="0"/>
              <w:left w:val="single" w:color="auto" w:sz="4" w:space="0"/>
            </w:tcBorders>
            <w:noWrap w:val="0"/>
            <w:vAlign w:val="top"/>
          </w:tcPr>
          <w:p w14:paraId="6E72BADB">
            <w:pPr>
              <w:rPr>
                <w:color w:val="000000" w:themeColor="text1"/>
                <w:szCs w:val="21"/>
                <w:highlight w:val="none"/>
                <w14:textFill>
                  <w14:solidFill>
                    <w14:schemeClr w14:val="tx1"/>
                  </w14:solidFill>
                </w14:textFill>
              </w:rPr>
            </w:pPr>
          </w:p>
        </w:tc>
        <w:tc>
          <w:tcPr>
            <w:tcW w:w="1133" w:type="dxa"/>
            <w:tcBorders>
              <w:top w:val="single" w:color="auto" w:sz="4" w:space="0"/>
              <w:left w:val="single" w:color="auto" w:sz="4" w:space="0"/>
            </w:tcBorders>
            <w:noWrap w:val="0"/>
            <w:vAlign w:val="top"/>
          </w:tcPr>
          <w:p w14:paraId="3C1B33B4">
            <w:pPr>
              <w:rPr>
                <w:color w:val="000000" w:themeColor="text1"/>
                <w:szCs w:val="21"/>
                <w:highlight w:val="none"/>
                <w14:textFill>
                  <w14:solidFill>
                    <w14:schemeClr w14:val="tx1"/>
                  </w14:solidFill>
                </w14:textFill>
              </w:rPr>
            </w:pPr>
          </w:p>
        </w:tc>
        <w:tc>
          <w:tcPr>
            <w:tcW w:w="864" w:type="dxa"/>
            <w:tcBorders>
              <w:top w:val="single" w:color="auto" w:sz="4" w:space="0"/>
              <w:left w:val="single" w:color="auto" w:sz="4" w:space="0"/>
            </w:tcBorders>
            <w:noWrap w:val="0"/>
            <w:vAlign w:val="top"/>
          </w:tcPr>
          <w:p w14:paraId="1871FD41">
            <w:pPr>
              <w:rPr>
                <w:color w:val="000000" w:themeColor="text1"/>
                <w:szCs w:val="21"/>
                <w:highlight w:val="none"/>
                <w14:textFill>
                  <w14:solidFill>
                    <w14:schemeClr w14:val="tx1"/>
                  </w14:solidFill>
                </w14:textFill>
              </w:rPr>
            </w:pPr>
          </w:p>
        </w:tc>
        <w:tc>
          <w:tcPr>
            <w:tcW w:w="869" w:type="dxa"/>
            <w:tcBorders>
              <w:top w:val="single" w:color="auto" w:sz="4" w:space="0"/>
              <w:left w:val="single" w:color="auto" w:sz="4" w:space="0"/>
            </w:tcBorders>
            <w:noWrap w:val="0"/>
            <w:vAlign w:val="top"/>
          </w:tcPr>
          <w:p w14:paraId="59131225">
            <w:pPr>
              <w:rPr>
                <w:color w:val="000000" w:themeColor="text1"/>
                <w:szCs w:val="21"/>
                <w:highlight w:val="none"/>
                <w14:textFill>
                  <w14:solidFill>
                    <w14:schemeClr w14:val="tx1"/>
                  </w14:solidFill>
                </w14:textFill>
              </w:rPr>
            </w:pPr>
          </w:p>
        </w:tc>
        <w:tc>
          <w:tcPr>
            <w:tcW w:w="864" w:type="dxa"/>
            <w:tcBorders>
              <w:top w:val="single" w:color="auto" w:sz="4" w:space="0"/>
              <w:left w:val="single" w:color="auto" w:sz="4" w:space="0"/>
            </w:tcBorders>
            <w:noWrap w:val="0"/>
            <w:vAlign w:val="top"/>
          </w:tcPr>
          <w:p w14:paraId="29E89078">
            <w:pPr>
              <w:rPr>
                <w:color w:val="000000" w:themeColor="text1"/>
                <w:szCs w:val="21"/>
                <w:highlight w:val="none"/>
                <w14:textFill>
                  <w14:solidFill>
                    <w14:schemeClr w14:val="tx1"/>
                  </w14:solidFill>
                </w14:textFill>
              </w:rPr>
            </w:pPr>
          </w:p>
        </w:tc>
        <w:tc>
          <w:tcPr>
            <w:tcW w:w="864" w:type="dxa"/>
            <w:tcBorders>
              <w:top w:val="single" w:color="auto" w:sz="4" w:space="0"/>
              <w:left w:val="single" w:color="auto" w:sz="4" w:space="0"/>
            </w:tcBorders>
            <w:noWrap w:val="0"/>
            <w:vAlign w:val="top"/>
          </w:tcPr>
          <w:p w14:paraId="3E81E698">
            <w:pPr>
              <w:rPr>
                <w:color w:val="000000" w:themeColor="text1"/>
                <w:szCs w:val="21"/>
                <w:highlight w:val="none"/>
                <w14:textFill>
                  <w14:solidFill>
                    <w14:schemeClr w14:val="tx1"/>
                  </w14:solidFill>
                </w14:textFill>
              </w:rPr>
            </w:pPr>
          </w:p>
        </w:tc>
        <w:tc>
          <w:tcPr>
            <w:tcW w:w="864" w:type="dxa"/>
            <w:tcBorders>
              <w:top w:val="single" w:color="auto" w:sz="4" w:space="0"/>
              <w:left w:val="single" w:color="auto" w:sz="4" w:space="0"/>
            </w:tcBorders>
            <w:noWrap w:val="0"/>
            <w:vAlign w:val="top"/>
          </w:tcPr>
          <w:p w14:paraId="6E5E9E86">
            <w:pPr>
              <w:rPr>
                <w:color w:val="000000" w:themeColor="text1"/>
                <w:szCs w:val="21"/>
                <w:highlight w:val="none"/>
                <w14:textFill>
                  <w14:solidFill>
                    <w14:schemeClr w14:val="tx1"/>
                  </w14:solidFill>
                </w14:textFill>
              </w:rPr>
            </w:pPr>
          </w:p>
        </w:tc>
        <w:tc>
          <w:tcPr>
            <w:tcW w:w="864" w:type="dxa"/>
            <w:tcBorders>
              <w:top w:val="single" w:color="auto" w:sz="4" w:space="0"/>
              <w:left w:val="single" w:color="auto" w:sz="4" w:space="0"/>
            </w:tcBorders>
            <w:noWrap w:val="0"/>
            <w:vAlign w:val="top"/>
          </w:tcPr>
          <w:p w14:paraId="2D8FDF0E">
            <w:pPr>
              <w:rPr>
                <w:color w:val="000000" w:themeColor="text1"/>
                <w:szCs w:val="21"/>
                <w:highlight w:val="none"/>
                <w14:textFill>
                  <w14:solidFill>
                    <w14:schemeClr w14:val="tx1"/>
                  </w14:solidFill>
                </w14:textFill>
              </w:rPr>
            </w:pPr>
          </w:p>
        </w:tc>
        <w:tc>
          <w:tcPr>
            <w:tcW w:w="864" w:type="dxa"/>
            <w:tcBorders>
              <w:top w:val="single" w:color="auto" w:sz="4" w:space="0"/>
              <w:left w:val="single" w:color="auto" w:sz="4" w:space="0"/>
            </w:tcBorders>
            <w:noWrap w:val="0"/>
            <w:vAlign w:val="top"/>
          </w:tcPr>
          <w:p w14:paraId="7640AF95">
            <w:pPr>
              <w:rPr>
                <w:color w:val="000000" w:themeColor="text1"/>
                <w:szCs w:val="21"/>
                <w:highlight w:val="none"/>
                <w14:textFill>
                  <w14:solidFill>
                    <w14:schemeClr w14:val="tx1"/>
                  </w14:solidFill>
                </w14:textFill>
              </w:rPr>
            </w:pPr>
          </w:p>
        </w:tc>
        <w:tc>
          <w:tcPr>
            <w:tcW w:w="874" w:type="dxa"/>
            <w:tcBorders>
              <w:top w:val="single" w:color="auto" w:sz="4" w:space="0"/>
              <w:left w:val="single" w:color="auto" w:sz="4" w:space="0"/>
              <w:right w:val="single" w:color="auto" w:sz="4" w:space="0"/>
            </w:tcBorders>
            <w:noWrap w:val="0"/>
            <w:vAlign w:val="top"/>
          </w:tcPr>
          <w:p w14:paraId="50463250">
            <w:pPr>
              <w:rPr>
                <w:color w:val="000000" w:themeColor="text1"/>
                <w:szCs w:val="21"/>
                <w:highlight w:val="none"/>
                <w14:textFill>
                  <w14:solidFill>
                    <w14:schemeClr w14:val="tx1"/>
                  </w14:solidFill>
                </w14:textFill>
              </w:rPr>
            </w:pPr>
          </w:p>
        </w:tc>
      </w:tr>
      <w:tr w14:paraId="2BD75A3A">
        <w:tblPrEx>
          <w:tblCellMar>
            <w:top w:w="0" w:type="dxa"/>
            <w:left w:w="10" w:type="dxa"/>
            <w:bottom w:w="0" w:type="dxa"/>
            <w:right w:w="10" w:type="dxa"/>
          </w:tblCellMar>
        </w:tblPrEx>
        <w:trPr>
          <w:trHeight w:val="566" w:hRule="exact"/>
          <w:jc w:val="center"/>
        </w:trPr>
        <w:tc>
          <w:tcPr>
            <w:tcW w:w="293" w:type="dxa"/>
            <w:tcBorders>
              <w:top w:val="single" w:color="auto" w:sz="4" w:space="0"/>
              <w:left w:val="single" w:color="auto" w:sz="4" w:space="0"/>
            </w:tcBorders>
            <w:noWrap w:val="0"/>
            <w:vAlign w:val="top"/>
          </w:tcPr>
          <w:p w14:paraId="2C926117">
            <w:pPr>
              <w:rPr>
                <w:color w:val="000000" w:themeColor="text1"/>
                <w:szCs w:val="21"/>
                <w:highlight w:val="none"/>
                <w14:textFill>
                  <w14:solidFill>
                    <w14:schemeClr w14:val="tx1"/>
                  </w14:solidFill>
                </w14:textFill>
              </w:rPr>
            </w:pPr>
          </w:p>
        </w:tc>
        <w:tc>
          <w:tcPr>
            <w:tcW w:w="1133" w:type="dxa"/>
            <w:tcBorders>
              <w:top w:val="single" w:color="auto" w:sz="4" w:space="0"/>
              <w:left w:val="single" w:color="auto" w:sz="4" w:space="0"/>
            </w:tcBorders>
            <w:noWrap w:val="0"/>
            <w:vAlign w:val="top"/>
          </w:tcPr>
          <w:p w14:paraId="6919F016">
            <w:pPr>
              <w:rPr>
                <w:color w:val="000000" w:themeColor="text1"/>
                <w:szCs w:val="21"/>
                <w:highlight w:val="none"/>
                <w14:textFill>
                  <w14:solidFill>
                    <w14:schemeClr w14:val="tx1"/>
                  </w14:solidFill>
                </w14:textFill>
              </w:rPr>
            </w:pPr>
          </w:p>
        </w:tc>
        <w:tc>
          <w:tcPr>
            <w:tcW w:w="864" w:type="dxa"/>
            <w:tcBorders>
              <w:top w:val="single" w:color="auto" w:sz="4" w:space="0"/>
              <w:left w:val="single" w:color="auto" w:sz="4" w:space="0"/>
            </w:tcBorders>
            <w:noWrap w:val="0"/>
            <w:vAlign w:val="top"/>
          </w:tcPr>
          <w:p w14:paraId="7D886804">
            <w:pPr>
              <w:rPr>
                <w:color w:val="000000" w:themeColor="text1"/>
                <w:szCs w:val="21"/>
                <w:highlight w:val="none"/>
                <w14:textFill>
                  <w14:solidFill>
                    <w14:schemeClr w14:val="tx1"/>
                  </w14:solidFill>
                </w14:textFill>
              </w:rPr>
            </w:pPr>
          </w:p>
        </w:tc>
        <w:tc>
          <w:tcPr>
            <w:tcW w:w="869" w:type="dxa"/>
            <w:tcBorders>
              <w:top w:val="single" w:color="auto" w:sz="4" w:space="0"/>
              <w:left w:val="single" w:color="auto" w:sz="4" w:space="0"/>
            </w:tcBorders>
            <w:noWrap w:val="0"/>
            <w:vAlign w:val="top"/>
          </w:tcPr>
          <w:p w14:paraId="092932B5">
            <w:pPr>
              <w:rPr>
                <w:color w:val="000000" w:themeColor="text1"/>
                <w:szCs w:val="21"/>
                <w:highlight w:val="none"/>
                <w14:textFill>
                  <w14:solidFill>
                    <w14:schemeClr w14:val="tx1"/>
                  </w14:solidFill>
                </w14:textFill>
              </w:rPr>
            </w:pPr>
          </w:p>
        </w:tc>
        <w:tc>
          <w:tcPr>
            <w:tcW w:w="864" w:type="dxa"/>
            <w:tcBorders>
              <w:top w:val="single" w:color="auto" w:sz="4" w:space="0"/>
              <w:left w:val="single" w:color="auto" w:sz="4" w:space="0"/>
            </w:tcBorders>
            <w:noWrap w:val="0"/>
            <w:vAlign w:val="top"/>
          </w:tcPr>
          <w:p w14:paraId="5EEA13D8">
            <w:pPr>
              <w:rPr>
                <w:color w:val="000000" w:themeColor="text1"/>
                <w:szCs w:val="21"/>
                <w:highlight w:val="none"/>
                <w14:textFill>
                  <w14:solidFill>
                    <w14:schemeClr w14:val="tx1"/>
                  </w14:solidFill>
                </w14:textFill>
              </w:rPr>
            </w:pPr>
          </w:p>
        </w:tc>
        <w:tc>
          <w:tcPr>
            <w:tcW w:w="864" w:type="dxa"/>
            <w:tcBorders>
              <w:top w:val="single" w:color="auto" w:sz="4" w:space="0"/>
              <w:left w:val="single" w:color="auto" w:sz="4" w:space="0"/>
            </w:tcBorders>
            <w:noWrap w:val="0"/>
            <w:vAlign w:val="top"/>
          </w:tcPr>
          <w:p w14:paraId="46D71185">
            <w:pPr>
              <w:rPr>
                <w:color w:val="000000" w:themeColor="text1"/>
                <w:szCs w:val="21"/>
                <w:highlight w:val="none"/>
                <w14:textFill>
                  <w14:solidFill>
                    <w14:schemeClr w14:val="tx1"/>
                  </w14:solidFill>
                </w14:textFill>
              </w:rPr>
            </w:pPr>
          </w:p>
        </w:tc>
        <w:tc>
          <w:tcPr>
            <w:tcW w:w="864" w:type="dxa"/>
            <w:tcBorders>
              <w:top w:val="single" w:color="auto" w:sz="4" w:space="0"/>
              <w:left w:val="single" w:color="auto" w:sz="4" w:space="0"/>
            </w:tcBorders>
            <w:noWrap w:val="0"/>
            <w:vAlign w:val="top"/>
          </w:tcPr>
          <w:p w14:paraId="7C04B9FE">
            <w:pPr>
              <w:rPr>
                <w:color w:val="000000" w:themeColor="text1"/>
                <w:szCs w:val="21"/>
                <w:highlight w:val="none"/>
                <w14:textFill>
                  <w14:solidFill>
                    <w14:schemeClr w14:val="tx1"/>
                  </w14:solidFill>
                </w14:textFill>
              </w:rPr>
            </w:pPr>
          </w:p>
        </w:tc>
        <w:tc>
          <w:tcPr>
            <w:tcW w:w="864" w:type="dxa"/>
            <w:tcBorders>
              <w:top w:val="single" w:color="auto" w:sz="4" w:space="0"/>
              <w:left w:val="single" w:color="auto" w:sz="4" w:space="0"/>
            </w:tcBorders>
            <w:noWrap w:val="0"/>
            <w:vAlign w:val="top"/>
          </w:tcPr>
          <w:p w14:paraId="4BB5DBD3">
            <w:pPr>
              <w:rPr>
                <w:color w:val="000000" w:themeColor="text1"/>
                <w:szCs w:val="21"/>
                <w:highlight w:val="none"/>
                <w14:textFill>
                  <w14:solidFill>
                    <w14:schemeClr w14:val="tx1"/>
                  </w14:solidFill>
                </w14:textFill>
              </w:rPr>
            </w:pPr>
          </w:p>
        </w:tc>
        <w:tc>
          <w:tcPr>
            <w:tcW w:w="864" w:type="dxa"/>
            <w:tcBorders>
              <w:top w:val="single" w:color="auto" w:sz="4" w:space="0"/>
              <w:left w:val="single" w:color="auto" w:sz="4" w:space="0"/>
            </w:tcBorders>
            <w:noWrap w:val="0"/>
            <w:vAlign w:val="top"/>
          </w:tcPr>
          <w:p w14:paraId="26D3AB4F">
            <w:pPr>
              <w:rPr>
                <w:color w:val="000000" w:themeColor="text1"/>
                <w:szCs w:val="21"/>
                <w:highlight w:val="none"/>
                <w14:textFill>
                  <w14:solidFill>
                    <w14:schemeClr w14:val="tx1"/>
                  </w14:solidFill>
                </w14:textFill>
              </w:rPr>
            </w:pPr>
          </w:p>
        </w:tc>
        <w:tc>
          <w:tcPr>
            <w:tcW w:w="874" w:type="dxa"/>
            <w:tcBorders>
              <w:top w:val="single" w:color="auto" w:sz="4" w:space="0"/>
              <w:left w:val="single" w:color="auto" w:sz="4" w:space="0"/>
              <w:right w:val="single" w:color="auto" w:sz="4" w:space="0"/>
            </w:tcBorders>
            <w:noWrap w:val="0"/>
            <w:vAlign w:val="top"/>
          </w:tcPr>
          <w:p w14:paraId="7303B0D3">
            <w:pPr>
              <w:rPr>
                <w:color w:val="000000" w:themeColor="text1"/>
                <w:szCs w:val="21"/>
                <w:highlight w:val="none"/>
                <w14:textFill>
                  <w14:solidFill>
                    <w14:schemeClr w14:val="tx1"/>
                  </w14:solidFill>
                </w14:textFill>
              </w:rPr>
            </w:pPr>
          </w:p>
        </w:tc>
      </w:tr>
      <w:tr w14:paraId="326AEB18">
        <w:tblPrEx>
          <w:tblCellMar>
            <w:top w:w="0" w:type="dxa"/>
            <w:left w:w="10" w:type="dxa"/>
            <w:bottom w:w="0" w:type="dxa"/>
            <w:right w:w="10" w:type="dxa"/>
          </w:tblCellMar>
        </w:tblPrEx>
        <w:trPr>
          <w:trHeight w:val="571" w:hRule="exact"/>
          <w:jc w:val="center"/>
        </w:trPr>
        <w:tc>
          <w:tcPr>
            <w:tcW w:w="293" w:type="dxa"/>
            <w:tcBorders>
              <w:top w:val="single" w:color="auto" w:sz="4" w:space="0"/>
              <w:left w:val="single" w:color="auto" w:sz="4" w:space="0"/>
            </w:tcBorders>
            <w:noWrap w:val="0"/>
            <w:vAlign w:val="top"/>
          </w:tcPr>
          <w:p w14:paraId="6B085D5C">
            <w:pPr>
              <w:rPr>
                <w:color w:val="000000" w:themeColor="text1"/>
                <w:szCs w:val="21"/>
                <w:highlight w:val="none"/>
                <w14:textFill>
                  <w14:solidFill>
                    <w14:schemeClr w14:val="tx1"/>
                  </w14:solidFill>
                </w14:textFill>
              </w:rPr>
            </w:pPr>
          </w:p>
        </w:tc>
        <w:tc>
          <w:tcPr>
            <w:tcW w:w="1133" w:type="dxa"/>
            <w:tcBorders>
              <w:top w:val="single" w:color="auto" w:sz="4" w:space="0"/>
              <w:left w:val="single" w:color="auto" w:sz="4" w:space="0"/>
            </w:tcBorders>
            <w:noWrap w:val="0"/>
            <w:vAlign w:val="top"/>
          </w:tcPr>
          <w:p w14:paraId="025E6509">
            <w:pPr>
              <w:rPr>
                <w:color w:val="000000" w:themeColor="text1"/>
                <w:szCs w:val="21"/>
                <w:highlight w:val="none"/>
                <w14:textFill>
                  <w14:solidFill>
                    <w14:schemeClr w14:val="tx1"/>
                  </w14:solidFill>
                </w14:textFill>
              </w:rPr>
            </w:pPr>
          </w:p>
        </w:tc>
        <w:tc>
          <w:tcPr>
            <w:tcW w:w="864" w:type="dxa"/>
            <w:tcBorders>
              <w:top w:val="single" w:color="auto" w:sz="4" w:space="0"/>
              <w:left w:val="single" w:color="auto" w:sz="4" w:space="0"/>
            </w:tcBorders>
            <w:noWrap w:val="0"/>
            <w:vAlign w:val="top"/>
          </w:tcPr>
          <w:p w14:paraId="6B4BD97D">
            <w:pPr>
              <w:rPr>
                <w:color w:val="000000" w:themeColor="text1"/>
                <w:szCs w:val="21"/>
                <w:highlight w:val="none"/>
                <w14:textFill>
                  <w14:solidFill>
                    <w14:schemeClr w14:val="tx1"/>
                  </w14:solidFill>
                </w14:textFill>
              </w:rPr>
            </w:pPr>
          </w:p>
        </w:tc>
        <w:tc>
          <w:tcPr>
            <w:tcW w:w="869" w:type="dxa"/>
            <w:tcBorders>
              <w:top w:val="single" w:color="auto" w:sz="4" w:space="0"/>
              <w:left w:val="single" w:color="auto" w:sz="4" w:space="0"/>
            </w:tcBorders>
            <w:noWrap w:val="0"/>
            <w:vAlign w:val="top"/>
          </w:tcPr>
          <w:p w14:paraId="6CA7D25C">
            <w:pPr>
              <w:rPr>
                <w:color w:val="000000" w:themeColor="text1"/>
                <w:szCs w:val="21"/>
                <w:highlight w:val="none"/>
                <w14:textFill>
                  <w14:solidFill>
                    <w14:schemeClr w14:val="tx1"/>
                  </w14:solidFill>
                </w14:textFill>
              </w:rPr>
            </w:pPr>
          </w:p>
        </w:tc>
        <w:tc>
          <w:tcPr>
            <w:tcW w:w="864" w:type="dxa"/>
            <w:tcBorders>
              <w:top w:val="single" w:color="auto" w:sz="4" w:space="0"/>
              <w:left w:val="single" w:color="auto" w:sz="4" w:space="0"/>
            </w:tcBorders>
            <w:noWrap w:val="0"/>
            <w:vAlign w:val="top"/>
          </w:tcPr>
          <w:p w14:paraId="60859E7E">
            <w:pPr>
              <w:rPr>
                <w:color w:val="000000" w:themeColor="text1"/>
                <w:szCs w:val="21"/>
                <w:highlight w:val="none"/>
                <w14:textFill>
                  <w14:solidFill>
                    <w14:schemeClr w14:val="tx1"/>
                  </w14:solidFill>
                </w14:textFill>
              </w:rPr>
            </w:pPr>
          </w:p>
        </w:tc>
        <w:tc>
          <w:tcPr>
            <w:tcW w:w="864" w:type="dxa"/>
            <w:tcBorders>
              <w:top w:val="single" w:color="auto" w:sz="4" w:space="0"/>
              <w:left w:val="single" w:color="auto" w:sz="4" w:space="0"/>
            </w:tcBorders>
            <w:noWrap w:val="0"/>
            <w:vAlign w:val="top"/>
          </w:tcPr>
          <w:p w14:paraId="3DA7F403">
            <w:pPr>
              <w:rPr>
                <w:color w:val="000000" w:themeColor="text1"/>
                <w:szCs w:val="21"/>
                <w:highlight w:val="none"/>
                <w14:textFill>
                  <w14:solidFill>
                    <w14:schemeClr w14:val="tx1"/>
                  </w14:solidFill>
                </w14:textFill>
              </w:rPr>
            </w:pPr>
          </w:p>
        </w:tc>
        <w:tc>
          <w:tcPr>
            <w:tcW w:w="864" w:type="dxa"/>
            <w:tcBorders>
              <w:top w:val="single" w:color="auto" w:sz="4" w:space="0"/>
              <w:left w:val="single" w:color="auto" w:sz="4" w:space="0"/>
            </w:tcBorders>
            <w:noWrap w:val="0"/>
            <w:vAlign w:val="top"/>
          </w:tcPr>
          <w:p w14:paraId="4D73AD5B">
            <w:pPr>
              <w:rPr>
                <w:color w:val="000000" w:themeColor="text1"/>
                <w:szCs w:val="21"/>
                <w:highlight w:val="none"/>
                <w14:textFill>
                  <w14:solidFill>
                    <w14:schemeClr w14:val="tx1"/>
                  </w14:solidFill>
                </w14:textFill>
              </w:rPr>
            </w:pPr>
          </w:p>
        </w:tc>
        <w:tc>
          <w:tcPr>
            <w:tcW w:w="864" w:type="dxa"/>
            <w:tcBorders>
              <w:top w:val="single" w:color="auto" w:sz="4" w:space="0"/>
              <w:left w:val="single" w:color="auto" w:sz="4" w:space="0"/>
            </w:tcBorders>
            <w:noWrap w:val="0"/>
            <w:vAlign w:val="top"/>
          </w:tcPr>
          <w:p w14:paraId="3BC2E17D">
            <w:pPr>
              <w:rPr>
                <w:color w:val="000000" w:themeColor="text1"/>
                <w:szCs w:val="21"/>
                <w:highlight w:val="none"/>
                <w14:textFill>
                  <w14:solidFill>
                    <w14:schemeClr w14:val="tx1"/>
                  </w14:solidFill>
                </w14:textFill>
              </w:rPr>
            </w:pPr>
          </w:p>
        </w:tc>
        <w:tc>
          <w:tcPr>
            <w:tcW w:w="864" w:type="dxa"/>
            <w:tcBorders>
              <w:top w:val="single" w:color="auto" w:sz="4" w:space="0"/>
              <w:left w:val="single" w:color="auto" w:sz="4" w:space="0"/>
            </w:tcBorders>
            <w:noWrap w:val="0"/>
            <w:vAlign w:val="top"/>
          </w:tcPr>
          <w:p w14:paraId="5D6F6823">
            <w:pPr>
              <w:rPr>
                <w:color w:val="000000" w:themeColor="text1"/>
                <w:szCs w:val="21"/>
                <w:highlight w:val="none"/>
                <w14:textFill>
                  <w14:solidFill>
                    <w14:schemeClr w14:val="tx1"/>
                  </w14:solidFill>
                </w14:textFill>
              </w:rPr>
            </w:pPr>
          </w:p>
        </w:tc>
        <w:tc>
          <w:tcPr>
            <w:tcW w:w="874" w:type="dxa"/>
            <w:tcBorders>
              <w:top w:val="single" w:color="auto" w:sz="4" w:space="0"/>
              <w:left w:val="single" w:color="auto" w:sz="4" w:space="0"/>
              <w:right w:val="single" w:color="auto" w:sz="4" w:space="0"/>
            </w:tcBorders>
            <w:noWrap w:val="0"/>
            <w:vAlign w:val="top"/>
          </w:tcPr>
          <w:p w14:paraId="18062BE0">
            <w:pPr>
              <w:rPr>
                <w:color w:val="000000" w:themeColor="text1"/>
                <w:szCs w:val="21"/>
                <w:highlight w:val="none"/>
                <w14:textFill>
                  <w14:solidFill>
                    <w14:schemeClr w14:val="tx1"/>
                  </w14:solidFill>
                </w14:textFill>
              </w:rPr>
            </w:pPr>
          </w:p>
        </w:tc>
      </w:tr>
      <w:tr w14:paraId="27800DF7">
        <w:tblPrEx>
          <w:tblCellMar>
            <w:top w:w="0" w:type="dxa"/>
            <w:left w:w="10" w:type="dxa"/>
            <w:bottom w:w="0" w:type="dxa"/>
            <w:right w:w="10" w:type="dxa"/>
          </w:tblCellMar>
        </w:tblPrEx>
        <w:trPr>
          <w:trHeight w:val="566" w:hRule="exact"/>
          <w:jc w:val="center"/>
        </w:trPr>
        <w:tc>
          <w:tcPr>
            <w:tcW w:w="293" w:type="dxa"/>
            <w:tcBorders>
              <w:top w:val="single" w:color="auto" w:sz="4" w:space="0"/>
              <w:left w:val="single" w:color="auto" w:sz="4" w:space="0"/>
            </w:tcBorders>
            <w:noWrap w:val="0"/>
            <w:vAlign w:val="top"/>
          </w:tcPr>
          <w:p w14:paraId="49B73EC1">
            <w:pPr>
              <w:rPr>
                <w:color w:val="000000" w:themeColor="text1"/>
                <w:szCs w:val="21"/>
                <w:highlight w:val="none"/>
                <w14:textFill>
                  <w14:solidFill>
                    <w14:schemeClr w14:val="tx1"/>
                  </w14:solidFill>
                </w14:textFill>
              </w:rPr>
            </w:pPr>
          </w:p>
        </w:tc>
        <w:tc>
          <w:tcPr>
            <w:tcW w:w="1133" w:type="dxa"/>
            <w:tcBorders>
              <w:top w:val="single" w:color="auto" w:sz="4" w:space="0"/>
              <w:left w:val="single" w:color="auto" w:sz="4" w:space="0"/>
            </w:tcBorders>
            <w:noWrap w:val="0"/>
            <w:vAlign w:val="top"/>
          </w:tcPr>
          <w:p w14:paraId="1F4C0E6E">
            <w:pPr>
              <w:rPr>
                <w:color w:val="000000" w:themeColor="text1"/>
                <w:szCs w:val="21"/>
                <w:highlight w:val="none"/>
                <w14:textFill>
                  <w14:solidFill>
                    <w14:schemeClr w14:val="tx1"/>
                  </w14:solidFill>
                </w14:textFill>
              </w:rPr>
            </w:pPr>
          </w:p>
        </w:tc>
        <w:tc>
          <w:tcPr>
            <w:tcW w:w="864" w:type="dxa"/>
            <w:tcBorders>
              <w:top w:val="single" w:color="auto" w:sz="4" w:space="0"/>
              <w:left w:val="single" w:color="auto" w:sz="4" w:space="0"/>
            </w:tcBorders>
            <w:noWrap w:val="0"/>
            <w:vAlign w:val="top"/>
          </w:tcPr>
          <w:p w14:paraId="1A09117F">
            <w:pPr>
              <w:rPr>
                <w:color w:val="000000" w:themeColor="text1"/>
                <w:szCs w:val="21"/>
                <w:highlight w:val="none"/>
                <w14:textFill>
                  <w14:solidFill>
                    <w14:schemeClr w14:val="tx1"/>
                  </w14:solidFill>
                </w14:textFill>
              </w:rPr>
            </w:pPr>
          </w:p>
        </w:tc>
        <w:tc>
          <w:tcPr>
            <w:tcW w:w="869" w:type="dxa"/>
            <w:tcBorders>
              <w:top w:val="single" w:color="auto" w:sz="4" w:space="0"/>
              <w:left w:val="single" w:color="auto" w:sz="4" w:space="0"/>
            </w:tcBorders>
            <w:noWrap w:val="0"/>
            <w:vAlign w:val="top"/>
          </w:tcPr>
          <w:p w14:paraId="1E13288B">
            <w:pPr>
              <w:rPr>
                <w:color w:val="000000" w:themeColor="text1"/>
                <w:szCs w:val="21"/>
                <w:highlight w:val="none"/>
                <w14:textFill>
                  <w14:solidFill>
                    <w14:schemeClr w14:val="tx1"/>
                  </w14:solidFill>
                </w14:textFill>
              </w:rPr>
            </w:pPr>
          </w:p>
        </w:tc>
        <w:tc>
          <w:tcPr>
            <w:tcW w:w="864" w:type="dxa"/>
            <w:tcBorders>
              <w:top w:val="single" w:color="auto" w:sz="4" w:space="0"/>
              <w:left w:val="single" w:color="auto" w:sz="4" w:space="0"/>
            </w:tcBorders>
            <w:noWrap w:val="0"/>
            <w:vAlign w:val="top"/>
          </w:tcPr>
          <w:p w14:paraId="40D60528">
            <w:pPr>
              <w:rPr>
                <w:color w:val="000000" w:themeColor="text1"/>
                <w:szCs w:val="21"/>
                <w:highlight w:val="none"/>
                <w14:textFill>
                  <w14:solidFill>
                    <w14:schemeClr w14:val="tx1"/>
                  </w14:solidFill>
                </w14:textFill>
              </w:rPr>
            </w:pPr>
          </w:p>
        </w:tc>
        <w:tc>
          <w:tcPr>
            <w:tcW w:w="864" w:type="dxa"/>
            <w:tcBorders>
              <w:top w:val="single" w:color="auto" w:sz="4" w:space="0"/>
              <w:left w:val="single" w:color="auto" w:sz="4" w:space="0"/>
            </w:tcBorders>
            <w:noWrap w:val="0"/>
            <w:vAlign w:val="top"/>
          </w:tcPr>
          <w:p w14:paraId="55E0FF29">
            <w:pPr>
              <w:rPr>
                <w:color w:val="000000" w:themeColor="text1"/>
                <w:szCs w:val="21"/>
                <w:highlight w:val="none"/>
                <w14:textFill>
                  <w14:solidFill>
                    <w14:schemeClr w14:val="tx1"/>
                  </w14:solidFill>
                </w14:textFill>
              </w:rPr>
            </w:pPr>
          </w:p>
        </w:tc>
        <w:tc>
          <w:tcPr>
            <w:tcW w:w="864" w:type="dxa"/>
            <w:tcBorders>
              <w:top w:val="single" w:color="auto" w:sz="4" w:space="0"/>
              <w:left w:val="single" w:color="auto" w:sz="4" w:space="0"/>
            </w:tcBorders>
            <w:noWrap w:val="0"/>
            <w:vAlign w:val="top"/>
          </w:tcPr>
          <w:p w14:paraId="17DA71E1">
            <w:pPr>
              <w:rPr>
                <w:color w:val="000000" w:themeColor="text1"/>
                <w:szCs w:val="21"/>
                <w:highlight w:val="none"/>
                <w14:textFill>
                  <w14:solidFill>
                    <w14:schemeClr w14:val="tx1"/>
                  </w14:solidFill>
                </w14:textFill>
              </w:rPr>
            </w:pPr>
          </w:p>
        </w:tc>
        <w:tc>
          <w:tcPr>
            <w:tcW w:w="864" w:type="dxa"/>
            <w:tcBorders>
              <w:top w:val="single" w:color="auto" w:sz="4" w:space="0"/>
              <w:left w:val="single" w:color="auto" w:sz="4" w:space="0"/>
            </w:tcBorders>
            <w:noWrap w:val="0"/>
            <w:vAlign w:val="top"/>
          </w:tcPr>
          <w:p w14:paraId="0C5DC623">
            <w:pPr>
              <w:rPr>
                <w:color w:val="000000" w:themeColor="text1"/>
                <w:szCs w:val="21"/>
                <w:highlight w:val="none"/>
                <w14:textFill>
                  <w14:solidFill>
                    <w14:schemeClr w14:val="tx1"/>
                  </w14:solidFill>
                </w14:textFill>
              </w:rPr>
            </w:pPr>
          </w:p>
        </w:tc>
        <w:tc>
          <w:tcPr>
            <w:tcW w:w="864" w:type="dxa"/>
            <w:tcBorders>
              <w:top w:val="single" w:color="auto" w:sz="4" w:space="0"/>
              <w:left w:val="single" w:color="auto" w:sz="4" w:space="0"/>
            </w:tcBorders>
            <w:noWrap w:val="0"/>
            <w:vAlign w:val="top"/>
          </w:tcPr>
          <w:p w14:paraId="613FFD9C">
            <w:pPr>
              <w:rPr>
                <w:color w:val="000000" w:themeColor="text1"/>
                <w:szCs w:val="21"/>
                <w:highlight w:val="none"/>
                <w14:textFill>
                  <w14:solidFill>
                    <w14:schemeClr w14:val="tx1"/>
                  </w14:solidFill>
                </w14:textFill>
              </w:rPr>
            </w:pPr>
          </w:p>
        </w:tc>
        <w:tc>
          <w:tcPr>
            <w:tcW w:w="874" w:type="dxa"/>
            <w:tcBorders>
              <w:top w:val="single" w:color="auto" w:sz="4" w:space="0"/>
              <w:left w:val="single" w:color="auto" w:sz="4" w:space="0"/>
              <w:right w:val="single" w:color="auto" w:sz="4" w:space="0"/>
            </w:tcBorders>
            <w:noWrap w:val="0"/>
            <w:vAlign w:val="top"/>
          </w:tcPr>
          <w:p w14:paraId="413A0E87">
            <w:pPr>
              <w:rPr>
                <w:color w:val="000000" w:themeColor="text1"/>
                <w:szCs w:val="21"/>
                <w:highlight w:val="none"/>
                <w14:textFill>
                  <w14:solidFill>
                    <w14:schemeClr w14:val="tx1"/>
                  </w14:solidFill>
                </w14:textFill>
              </w:rPr>
            </w:pPr>
          </w:p>
        </w:tc>
      </w:tr>
      <w:tr w14:paraId="4E70A051">
        <w:tblPrEx>
          <w:tblCellMar>
            <w:top w:w="0" w:type="dxa"/>
            <w:left w:w="10" w:type="dxa"/>
            <w:bottom w:w="0" w:type="dxa"/>
            <w:right w:w="10" w:type="dxa"/>
          </w:tblCellMar>
        </w:tblPrEx>
        <w:trPr>
          <w:trHeight w:val="566" w:hRule="exact"/>
          <w:jc w:val="center"/>
        </w:trPr>
        <w:tc>
          <w:tcPr>
            <w:tcW w:w="293" w:type="dxa"/>
            <w:tcBorders>
              <w:top w:val="single" w:color="auto" w:sz="4" w:space="0"/>
              <w:left w:val="single" w:color="auto" w:sz="4" w:space="0"/>
            </w:tcBorders>
            <w:noWrap w:val="0"/>
            <w:vAlign w:val="top"/>
          </w:tcPr>
          <w:p w14:paraId="484C6E85">
            <w:pPr>
              <w:rPr>
                <w:color w:val="000000" w:themeColor="text1"/>
                <w:szCs w:val="21"/>
                <w:highlight w:val="none"/>
                <w14:textFill>
                  <w14:solidFill>
                    <w14:schemeClr w14:val="tx1"/>
                  </w14:solidFill>
                </w14:textFill>
              </w:rPr>
            </w:pPr>
          </w:p>
        </w:tc>
        <w:tc>
          <w:tcPr>
            <w:tcW w:w="1133" w:type="dxa"/>
            <w:tcBorders>
              <w:top w:val="single" w:color="auto" w:sz="4" w:space="0"/>
              <w:left w:val="single" w:color="auto" w:sz="4" w:space="0"/>
            </w:tcBorders>
            <w:noWrap w:val="0"/>
            <w:vAlign w:val="top"/>
          </w:tcPr>
          <w:p w14:paraId="52B1A6E6">
            <w:pPr>
              <w:rPr>
                <w:color w:val="000000" w:themeColor="text1"/>
                <w:szCs w:val="21"/>
                <w:highlight w:val="none"/>
                <w14:textFill>
                  <w14:solidFill>
                    <w14:schemeClr w14:val="tx1"/>
                  </w14:solidFill>
                </w14:textFill>
              </w:rPr>
            </w:pPr>
          </w:p>
        </w:tc>
        <w:tc>
          <w:tcPr>
            <w:tcW w:w="864" w:type="dxa"/>
            <w:tcBorders>
              <w:top w:val="single" w:color="auto" w:sz="4" w:space="0"/>
              <w:left w:val="single" w:color="auto" w:sz="4" w:space="0"/>
            </w:tcBorders>
            <w:noWrap w:val="0"/>
            <w:vAlign w:val="top"/>
          </w:tcPr>
          <w:p w14:paraId="1E3160BF">
            <w:pPr>
              <w:rPr>
                <w:color w:val="000000" w:themeColor="text1"/>
                <w:szCs w:val="21"/>
                <w:highlight w:val="none"/>
                <w14:textFill>
                  <w14:solidFill>
                    <w14:schemeClr w14:val="tx1"/>
                  </w14:solidFill>
                </w14:textFill>
              </w:rPr>
            </w:pPr>
          </w:p>
        </w:tc>
        <w:tc>
          <w:tcPr>
            <w:tcW w:w="869" w:type="dxa"/>
            <w:tcBorders>
              <w:top w:val="single" w:color="auto" w:sz="4" w:space="0"/>
              <w:left w:val="single" w:color="auto" w:sz="4" w:space="0"/>
            </w:tcBorders>
            <w:noWrap w:val="0"/>
            <w:vAlign w:val="top"/>
          </w:tcPr>
          <w:p w14:paraId="451BA711">
            <w:pPr>
              <w:rPr>
                <w:color w:val="000000" w:themeColor="text1"/>
                <w:szCs w:val="21"/>
                <w:highlight w:val="none"/>
                <w14:textFill>
                  <w14:solidFill>
                    <w14:schemeClr w14:val="tx1"/>
                  </w14:solidFill>
                </w14:textFill>
              </w:rPr>
            </w:pPr>
          </w:p>
        </w:tc>
        <w:tc>
          <w:tcPr>
            <w:tcW w:w="864" w:type="dxa"/>
            <w:tcBorders>
              <w:top w:val="single" w:color="auto" w:sz="4" w:space="0"/>
              <w:left w:val="single" w:color="auto" w:sz="4" w:space="0"/>
            </w:tcBorders>
            <w:noWrap w:val="0"/>
            <w:vAlign w:val="top"/>
          </w:tcPr>
          <w:p w14:paraId="7F218602">
            <w:pPr>
              <w:rPr>
                <w:color w:val="000000" w:themeColor="text1"/>
                <w:szCs w:val="21"/>
                <w:highlight w:val="none"/>
                <w14:textFill>
                  <w14:solidFill>
                    <w14:schemeClr w14:val="tx1"/>
                  </w14:solidFill>
                </w14:textFill>
              </w:rPr>
            </w:pPr>
          </w:p>
        </w:tc>
        <w:tc>
          <w:tcPr>
            <w:tcW w:w="864" w:type="dxa"/>
            <w:tcBorders>
              <w:top w:val="single" w:color="auto" w:sz="4" w:space="0"/>
              <w:left w:val="single" w:color="auto" w:sz="4" w:space="0"/>
            </w:tcBorders>
            <w:noWrap w:val="0"/>
            <w:vAlign w:val="top"/>
          </w:tcPr>
          <w:p w14:paraId="0E38F197">
            <w:pPr>
              <w:rPr>
                <w:color w:val="000000" w:themeColor="text1"/>
                <w:szCs w:val="21"/>
                <w:highlight w:val="none"/>
                <w14:textFill>
                  <w14:solidFill>
                    <w14:schemeClr w14:val="tx1"/>
                  </w14:solidFill>
                </w14:textFill>
              </w:rPr>
            </w:pPr>
          </w:p>
        </w:tc>
        <w:tc>
          <w:tcPr>
            <w:tcW w:w="864" w:type="dxa"/>
            <w:tcBorders>
              <w:top w:val="single" w:color="auto" w:sz="4" w:space="0"/>
              <w:left w:val="single" w:color="auto" w:sz="4" w:space="0"/>
            </w:tcBorders>
            <w:noWrap w:val="0"/>
            <w:vAlign w:val="top"/>
          </w:tcPr>
          <w:p w14:paraId="4A506B2D">
            <w:pPr>
              <w:rPr>
                <w:color w:val="000000" w:themeColor="text1"/>
                <w:szCs w:val="21"/>
                <w:highlight w:val="none"/>
                <w14:textFill>
                  <w14:solidFill>
                    <w14:schemeClr w14:val="tx1"/>
                  </w14:solidFill>
                </w14:textFill>
              </w:rPr>
            </w:pPr>
          </w:p>
        </w:tc>
        <w:tc>
          <w:tcPr>
            <w:tcW w:w="864" w:type="dxa"/>
            <w:tcBorders>
              <w:top w:val="single" w:color="auto" w:sz="4" w:space="0"/>
              <w:left w:val="single" w:color="auto" w:sz="4" w:space="0"/>
            </w:tcBorders>
            <w:noWrap w:val="0"/>
            <w:vAlign w:val="top"/>
          </w:tcPr>
          <w:p w14:paraId="660B51E0">
            <w:pPr>
              <w:rPr>
                <w:color w:val="000000" w:themeColor="text1"/>
                <w:szCs w:val="21"/>
                <w:highlight w:val="none"/>
                <w14:textFill>
                  <w14:solidFill>
                    <w14:schemeClr w14:val="tx1"/>
                  </w14:solidFill>
                </w14:textFill>
              </w:rPr>
            </w:pPr>
          </w:p>
        </w:tc>
        <w:tc>
          <w:tcPr>
            <w:tcW w:w="864" w:type="dxa"/>
            <w:tcBorders>
              <w:top w:val="single" w:color="auto" w:sz="4" w:space="0"/>
              <w:left w:val="single" w:color="auto" w:sz="4" w:space="0"/>
            </w:tcBorders>
            <w:noWrap w:val="0"/>
            <w:vAlign w:val="top"/>
          </w:tcPr>
          <w:p w14:paraId="3E12E499">
            <w:pPr>
              <w:rPr>
                <w:color w:val="000000" w:themeColor="text1"/>
                <w:szCs w:val="21"/>
                <w:highlight w:val="none"/>
                <w14:textFill>
                  <w14:solidFill>
                    <w14:schemeClr w14:val="tx1"/>
                  </w14:solidFill>
                </w14:textFill>
              </w:rPr>
            </w:pPr>
          </w:p>
        </w:tc>
        <w:tc>
          <w:tcPr>
            <w:tcW w:w="874" w:type="dxa"/>
            <w:tcBorders>
              <w:top w:val="single" w:color="auto" w:sz="4" w:space="0"/>
              <w:left w:val="single" w:color="auto" w:sz="4" w:space="0"/>
              <w:right w:val="single" w:color="auto" w:sz="4" w:space="0"/>
            </w:tcBorders>
            <w:noWrap w:val="0"/>
            <w:vAlign w:val="top"/>
          </w:tcPr>
          <w:p w14:paraId="16F5F741">
            <w:pPr>
              <w:rPr>
                <w:color w:val="000000" w:themeColor="text1"/>
                <w:szCs w:val="21"/>
                <w:highlight w:val="none"/>
                <w14:textFill>
                  <w14:solidFill>
                    <w14:schemeClr w14:val="tx1"/>
                  </w14:solidFill>
                </w14:textFill>
              </w:rPr>
            </w:pPr>
          </w:p>
        </w:tc>
      </w:tr>
      <w:tr w14:paraId="425C90E4">
        <w:tblPrEx>
          <w:tblCellMar>
            <w:top w:w="0" w:type="dxa"/>
            <w:left w:w="10" w:type="dxa"/>
            <w:bottom w:w="0" w:type="dxa"/>
            <w:right w:w="10" w:type="dxa"/>
          </w:tblCellMar>
        </w:tblPrEx>
        <w:trPr>
          <w:trHeight w:val="576" w:hRule="exact"/>
          <w:jc w:val="center"/>
        </w:trPr>
        <w:tc>
          <w:tcPr>
            <w:tcW w:w="293" w:type="dxa"/>
            <w:tcBorders>
              <w:top w:val="single" w:color="auto" w:sz="4" w:space="0"/>
              <w:left w:val="single" w:color="auto" w:sz="4" w:space="0"/>
              <w:bottom w:val="single" w:color="auto" w:sz="4" w:space="0"/>
            </w:tcBorders>
            <w:noWrap w:val="0"/>
            <w:vAlign w:val="top"/>
          </w:tcPr>
          <w:p w14:paraId="3DB33F2C">
            <w:pPr>
              <w:rPr>
                <w:color w:val="000000" w:themeColor="text1"/>
                <w:szCs w:val="21"/>
                <w:highlight w:val="none"/>
                <w14:textFill>
                  <w14:solidFill>
                    <w14:schemeClr w14:val="tx1"/>
                  </w14:solidFill>
                </w14:textFill>
              </w:rPr>
            </w:pPr>
          </w:p>
        </w:tc>
        <w:tc>
          <w:tcPr>
            <w:tcW w:w="1133" w:type="dxa"/>
            <w:tcBorders>
              <w:top w:val="single" w:color="auto" w:sz="4" w:space="0"/>
              <w:left w:val="single" w:color="auto" w:sz="4" w:space="0"/>
              <w:bottom w:val="single" w:color="auto" w:sz="4" w:space="0"/>
            </w:tcBorders>
            <w:noWrap w:val="0"/>
            <w:vAlign w:val="top"/>
          </w:tcPr>
          <w:p w14:paraId="1D0631D0">
            <w:pPr>
              <w:rPr>
                <w:color w:val="000000" w:themeColor="text1"/>
                <w:szCs w:val="21"/>
                <w:highlight w:val="none"/>
                <w14:textFill>
                  <w14:solidFill>
                    <w14:schemeClr w14:val="tx1"/>
                  </w14:solidFill>
                </w14:textFill>
              </w:rPr>
            </w:pPr>
          </w:p>
        </w:tc>
        <w:tc>
          <w:tcPr>
            <w:tcW w:w="864" w:type="dxa"/>
            <w:tcBorders>
              <w:top w:val="single" w:color="auto" w:sz="4" w:space="0"/>
              <w:left w:val="single" w:color="auto" w:sz="4" w:space="0"/>
              <w:bottom w:val="single" w:color="auto" w:sz="4" w:space="0"/>
            </w:tcBorders>
            <w:noWrap w:val="0"/>
            <w:vAlign w:val="top"/>
          </w:tcPr>
          <w:p w14:paraId="7B0BDCE4">
            <w:pPr>
              <w:rPr>
                <w:color w:val="000000" w:themeColor="text1"/>
                <w:szCs w:val="21"/>
                <w:highlight w:val="none"/>
                <w14:textFill>
                  <w14:solidFill>
                    <w14:schemeClr w14:val="tx1"/>
                  </w14:solidFill>
                </w14:textFill>
              </w:rPr>
            </w:pPr>
          </w:p>
        </w:tc>
        <w:tc>
          <w:tcPr>
            <w:tcW w:w="869" w:type="dxa"/>
            <w:tcBorders>
              <w:top w:val="single" w:color="auto" w:sz="4" w:space="0"/>
              <w:left w:val="single" w:color="auto" w:sz="4" w:space="0"/>
              <w:bottom w:val="single" w:color="auto" w:sz="4" w:space="0"/>
            </w:tcBorders>
            <w:noWrap w:val="0"/>
            <w:vAlign w:val="top"/>
          </w:tcPr>
          <w:p w14:paraId="4567D86A">
            <w:pPr>
              <w:rPr>
                <w:color w:val="000000" w:themeColor="text1"/>
                <w:szCs w:val="21"/>
                <w:highlight w:val="none"/>
                <w14:textFill>
                  <w14:solidFill>
                    <w14:schemeClr w14:val="tx1"/>
                  </w14:solidFill>
                </w14:textFill>
              </w:rPr>
            </w:pPr>
          </w:p>
        </w:tc>
        <w:tc>
          <w:tcPr>
            <w:tcW w:w="864" w:type="dxa"/>
            <w:tcBorders>
              <w:top w:val="single" w:color="auto" w:sz="4" w:space="0"/>
              <w:left w:val="single" w:color="auto" w:sz="4" w:space="0"/>
              <w:bottom w:val="single" w:color="auto" w:sz="4" w:space="0"/>
            </w:tcBorders>
            <w:noWrap w:val="0"/>
            <w:vAlign w:val="top"/>
          </w:tcPr>
          <w:p w14:paraId="64DA68D4">
            <w:pPr>
              <w:rPr>
                <w:color w:val="000000" w:themeColor="text1"/>
                <w:szCs w:val="21"/>
                <w:highlight w:val="none"/>
                <w14:textFill>
                  <w14:solidFill>
                    <w14:schemeClr w14:val="tx1"/>
                  </w14:solidFill>
                </w14:textFill>
              </w:rPr>
            </w:pPr>
          </w:p>
        </w:tc>
        <w:tc>
          <w:tcPr>
            <w:tcW w:w="864" w:type="dxa"/>
            <w:tcBorders>
              <w:top w:val="single" w:color="auto" w:sz="4" w:space="0"/>
              <w:left w:val="single" w:color="auto" w:sz="4" w:space="0"/>
              <w:bottom w:val="single" w:color="auto" w:sz="4" w:space="0"/>
            </w:tcBorders>
            <w:noWrap w:val="0"/>
            <w:vAlign w:val="top"/>
          </w:tcPr>
          <w:p w14:paraId="0C7A26BC">
            <w:pPr>
              <w:rPr>
                <w:color w:val="000000" w:themeColor="text1"/>
                <w:szCs w:val="21"/>
                <w:highlight w:val="none"/>
                <w14:textFill>
                  <w14:solidFill>
                    <w14:schemeClr w14:val="tx1"/>
                  </w14:solidFill>
                </w14:textFill>
              </w:rPr>
            </w:pPr>
          </w:p>
        </w:tc>
        <w:tc>
          <w:tcPr>
            <w:tcW w:w="864" w:type="dxa"/>
            <w:tcBorders>
              <w:top w:val="single" w:color="auto" w:sz="4" w:space="0"/>
              <w:left w:val="single" w:color="auto" w:sz="4" w:space="0"/>
              <w:bottom w:val="single" w:color="auto" w:sz="4" w:space="0"/>
            </w:tcBorders>
            <w:noWrap w:val="0"/>
            <w:vAlign w:val="top"/>
          </w:tcPr>
          <w:p w14:paraId="1AC46303">
            <w:pPr>
              <w:rPr>
                <w:color w:val="000000" w:themeColor="text1"/>
                <w:szCs w:val="21"/>
                <w:highlight w:val="none"/>
                <w14:textFill>
                  <w14:solidFill>
                    <w14:schemeClr w14:val="tx1"/>
                  </w14:solidFill>
                </w14:textFill>
              </w:rPr>
            </w:pPr>
          </w:p>
        </w:tc>
        <w:tc>
          <w:tcPr>
            <w:tcW w:w="864" w:type="dxa"/>
            <w:tcBorders>
              <w:top w:val="single" w:color="auto" w:sz="4" w:space="0"/>
              <w:left w:val="single" w:color="auto" w:sz="4" w:space="0"/>
              <w:bottom w:val="single" w:color="auto" w:sz="4" w:space="0"/>
            </w:tcBorders>
            <w:noWrap w:val="0"/>
            <w:vAlign w:val="top"/>
          </w:tcPr>
          <w:p w14:paraId="137DF36F">
            <w:pPr>
              <w:rPr>
                <w:color w:val="000000" w:themeColor="text1"/>
                <w:szCs w:val="21"/>
                <w:highlight w:val="none"/>
                <w14:textFill>
                  <w14:solidFill>
                    <w14:schemeClr w14:val="tx1"/>
                  </w14:solidFill>
                </w14:textFill>
              </w:rPr>
            </w:pPr>
          </w:p>
        </w:tc>
        <w:tc>
          <w:tcPr>
            <w:tcW w:w="864" w:type="dxa"/>
            <w:tcBorders>
              <w:top w:val="single" w:color="auto" w:sz="4" w:space="0"/>
              <w:left w:val="single" w:color="auto" w:sz="4" w:space="0"/>
              <w:bottom w:val="single" w:color="auto" w:sz="4" w:space="0"/>
            </w:tcBorders>
            <w:noWrap w:val="0"/>
            <w:vAlign w:val="top"/>
          </w:tcPr>
          <w:p w14:paraId="684DA60D">
            <w:pPr>
              <w:rPr>
                <w:color w:val="000000" w:themeColor="text1"/>
                <w:szCs w:val="21"/>
                <w:highlight w:val="none"/>
                <w14:textFill>
                  <w14:solidFill>
                    <w14:schemeClr w14:val="tx1"/>
                  </w14:solidFill>
                </w14:textFill>
              </w:rPr>
            </w:pPr>
          </w:p>
        </w:tc>
        <w:tc>
          <w:tcPr>
            <w:tcW w:w="874" w:type="dxa"/>
            <w:tcBorders>
              <w:top w:val="single" w:color="auto" w:sz="4" w:space="0"/>
              <w:left w:val="single" w:color="auto" w:sz="4" w:space="0"/>
              <w:bottom w:val="single" w:color="auto" w:sz="4" w:space="0"/>
              <w:right w:val="single" w:color="auto" w:sz="4" w:space="0"/>
            </w:tcBorders>
            <w:noWrap w:val="0"/>
            <w:vAlign w:val="top"/>
          </w:tcPr>
          <w:p w14:paraId="1DB3F829">
            <w:pPr>
              <w:rPr>
                <w:color w:val="000000" w:themeColor="text1"/>
                <w:szCs w:val="21"/>
                <w:highlight w:val="none"/>
                <w14:textFill>
                  <w14:solidFill>
                    <w14:schemeClr w14:val="tx1"/>
                  </w14:solidFill>
                </w14:textFill>
              </w:rPr>
            </w:pPr>
          </w:p>
        </w:tc>
      </w:tr>
    </w:tbl>
    <w:p w14:paraId="701FBE49">
      <w:pPr>
        <w:spacing w:after="299" w:line="1" w:lineRule="exact"/>
        <w:rPr>
          <w:color w:val="000000" w:themeColor="text1"/>
          <w:highlight w:val="none"/>
          <w14:textFill>
            <w14:solidFill>
              <w14:schemeClr w14:val="tx1"/>
            </w14:solidFill>
          </w14:textFill>
        </w:rPr>
      </w:pPr>
    </w:p>
    <w:p w14:paraId="071AD1F6">
      <w:pPr>
        <w:pStyle w:val="237"/>
        <w:tabs>
          <w:tab w:val="left" w:pos="847"/>
          <w:tab w:val="left" w:leader="underscore" w:pos="850"/>
          <w:tab w:val="left" w:leader="underscore" w:pos="1906"/>
          <w:tab w:val="left" w:pos="1908"/>
          <w:tab w:val="left" w:pos="2964"/>
        </w:tabs>
        <w:spacing w:after="420" w:line="353" w:lineRule="exact"/>
        <w:ind w:firstLine="420"/>
        <w:jc w:val="right"/>
        <w:rPr>
          <w:color w:val="000000" w:themeColor="text1"/>
          <w:highlight w:val="none"/>
          <w14:textFill>
            <w14:solidFill>
              <w14:schemeClr w14:val="tx1"/>
            </w14:solidFill>
          </w14:textFill>
        </w:rPr>
        <w:sectPr>
          <w:headerReference r:id="rId9" w:type="default"/>
          <w:footerReference r:id="rId11" w:type="default"/>
          <w:headerReference r:id="rId10" w:type="even"/>
          <w:footerReference r:id="rId12" w:type="even"/>
          <w:pgSz w:w="11900" w:h="16832"/>
          <w:pgMar w:top="1440" w:right="1803" w:bottom="1440" w:left="1803" w:header="851" w:footer="851" w:gutter="0"/>
          <w:pgNumType w:start="1"/>
          <w:cols w:space="720" w:num="1"/>
        </w:sectPr>
      </w:pPr>
      <w:bookmarkStart w:id="121" w:name="_Toc27417"/>
      <w:bookmarkStart w:id="122" w:name="bookmark2235"/>
      <w:bookmarkStart w:id="123" w:name="bookmark2234"/>
      <w:bookmarkStart w:id="124" w:name="bookmark2236"/>
      <w:bookmarkStart w:id="125" w:name="_Toc3373"/>
    </w:p>
    <w:p w14:paraId="0A5CC60C">
      <w:pPr>
        <w:pStyle w:val="9"/>
        <w:rPr>
          <w:rFonts w:hint="eastAsia" w:ascii="宋体" w:hAnsi="宋体" w:cs="宋体"/>
          <w:b w:val="0"/>
          <w:color w:val="000000" w:themeColor="text1"/>
          <w:sz w:val="28"/>
          <w:szCs w:val="28"/>
          <w:highlight w:val="none"/>
          <w14:textFill>
            <w14:solidFill>
              <w14:schemeClr w14:val="tx1"/>
            </w14:solidFill>
          </w14:textFill>
        </w:rPr>
      </w:pPr>
      <w:r>
        <w:rPr>
          <w:rFonts w:hint="eastAsia" w:ascii="宋体" w:hAnsi="宋体" w:cs="宋体"/>
          <w:b w:val="0"/>
          <w:color w:val="000000" w:themeColor="text1"/>
          <w:sz w:val="28"/>
          <w:szCs w:val="28"/>
          <w:highlight w:val="none"/>
          <w14:textFill>
            <w14:solidFill>
              <w14:schemeClr w14:val="tx1"/>
            </w14:solidFill>
          </w14:textFill>
        </w:rPr>
        <w:t>附件二：拟投入本合同工程的试验和检测仪器设备表</w:t>
      </w:r>
      <w:bookmarkEnd w:id="121"/>
    </w:p>
    <w:p w14:paraId="5A2CB9A2">
      <w:pPr>
        <w:rPr>
          <w:rFonts w:hint="eastAsia"/>
          <w:color w:val="000000" w:themeColor="text1"/>
          <w:highlight w:val="none"/>
          <w14:textFill>
            <w14:solidFill>
              <w14:schemeClr w14:val="tx1"/>
            </w14:solidFill>
          </w14:textFill>
        </w:rPr>
      </w:pPr>
    </w:p>
    <w:p w14:paraId="3D69E6BC">
      <w:pPr>
        <w:jc w:val="center"/>
        <w:rPr>
          <w:rFonts w:hint="eastAsia" w:ascii="宋体" w:hAnsi="宋体" w:cs="宋体"/>
          <w:b/>
          <w:bCs/>
          <w:color w:val="000000" w:themeColor="text1"/>
          <w:sz w:val="28"/>
          <w:szCs w:val="28"/>
          <w:highlight w:val="none"/>
          <w14:textFill>
            <w14:solidFill>
              <w14:schemeClr w14:val="tx1"/>
            </w14:solidFill>
          </w14:textFill>
        </w:rPr>
      </w:pPr>
      <w:bookmarkStart w:id="126" w:name="_Toc24555"/>
      <w:r>
        <w:rPr>
          <w:rFonts w:hint="eastAsia" w:ascii="宋体" w:hAnsi="宋体" w:cs="宋体"/>
          <w:b/>
          <w:bCs/>
          <w:color w:val="000000" w:themeColor="text1"/>
          <w:sz w:val="28"/>
          <w:szCs w:val="28"/>
          <w:highlight w:val="none"/>
          <w14:textFill>
            <w14:solidFill>
              <w14:schemeClr w14:val="tx1"/>
            </w14:solidFill>
          </w14:textFill>
        </w:rPr>
        <w:t>拟投入本合同工程的试验和检测仪器设备表</w:t>
      </w:r>
      <w:bookmarkEnd w:id="122"/>
      <w:bookmarkEnd w:id="123"/>
      <w:bookmarkEnd w:id="124"/>
      <w:bookmarkEnd w:id="125"/>
      <w:bookmarkEnd w:id="126"/>
    </w:p>
    <w:p w14:paraId="092B9AF2">
      <w:pPr>
        <w:jc w:val="center"/>
        <w:rPr>
          <w:b/>
          <w:color w:val="000000" w:themeColor="text1"/>
          <w:highlight w:val="none"/>
          <w14:textFill>
            <w14:solidFill>
              <w14:schemeClr w14:val="tx1"/>
            </w14:solidFill>
          </w14:textFill>
        </w:rPr>
      </w:pPr>
    </w:p>
    <w:tbl>
      <w:tblPr>
        <w:tblStyle w:val="45"/>
        <w:tblW w:w="0" w:type="auto"/>
        <w:jc w:val="center"/>
        <w:tblLayout w:type="fixed"/>
        <w:tblCellMar>
          <w:top w:w="0" w:type="dxa"/>
          <w:left w:w="10" w:type="dxa"/>
          <w:bottom w:w="0" w:type="dxa"/>
          <w:right w:w="10" w:type="dxa"/>
        </w:tblCellMar>
      </w:tblPr>
      <w:tblGrid>
        <w:gridCol w:w="576"/>
        <w:gridCol w:w="1416"/>
        <w:gridCol w:w="907"/>
        <w:gridCol w:w="907"/>
        <w:gridCol w:w="907"/>
        <w:gridCol w:w="912"/>
        <w:gridCol w:w="902"/>
        <w:gridCol w:w="907"/>
        <w:gridCol w:w="917"/>
      </w:tblGrid>
      <w:tr w14:paraId="2CA63675">
        <w:tblPrEx>
          <w:tblCellMar>
            <w:top w:w="0" w:type="dxa"/>
            <w:left w:w="10" w:type="dxa"/>
            <w:bottom w:w="0" w:type="dxa"/>
            <w:right w:w="10" w:type="dxa"/>
          </w:tblCellMar>
        </w:tblPrEx>
        <w:trPr>
          <w:trHeight w:val="859" w:hRule="exact"/>
          <w:jc w:val="center"/>
        </w:trPr>
        <w:tc>
          <w:tcPr>
            <w:tcW w:w="576" w:type="dxa"/>
            <w:tcBorders>
              <w:top w:val="single" w:color="auto" w:sz="4" w:space="0"/>
              <w:left w:val="single" w:color="auto" w:sz="4" w:space="0"/>
            </w:tcBorders>
            <w:shd w:val="clear" w:color="auto" w:fill="FFFFFF"/>
            <w:noWrap w:val="0"/>
            <w:vAlign w:val="center"/>
          </w:tcPr>
          <w:p w14:paraId="36E41BFA">
            <w:pPr>
              <w:pStyle w:val="312"/>
              <w:spacing w:line="240" w:lineRule="auto"/>
              <w:ind w:firstLine="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序号</w:t>
            </w:r>
          </w:p>
        </w:tc>
        <w:tc>
          <w:tcPr>
            <w:tcW w:w="1416" w:type="dxa"/>
            <w:tcBorders>
              <w:top w:val="single" w:color="auto" w:sz="4" w:space="0"/>
              <w:left w:val="single" w:color="auto" w:sz="4" w:space="0"/>
            </w:tcBorders>
            <w:shd w:val="clear" w:color="auto" w:fill="FFFFFF"/>
            <w:noWrap w:val="0"/>
            <w:vAlign w:val="center"/>
          </w:tcPr>
          <w:p w14:paraId="7706D7C8">
            <w:pPr>
              <w:pStyle w:val="312"/>
              <w:spacing w:line="240" w:lineRule="auto"/>
              <w:ind w:firstLine="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仪器设备名称</w:t>
            </w:r>
          </w:p>
        </w:tc>
        <w:tc>
          <w:tcPr>
            <w:tcW w:w="907" w:type="dxa"/>
            <w:tcBorders>
              <w:top w:val="single" w:color="auto" w:sz="4" w:space="0"/>
              <w:left w:val="single" w:color="auto" w:sz="4" w:space="0"/>
            </w:tcBorders>
            <w:shd w:val="clear" w:color="auto" w:fill="FFFFFF"/>
            <w:noWrap w:val="0"/>
            <w:vAlign w:val="center"/>
          </w:tcPr>
          <w:p w14:paraId="7E443926">
            <w:pPr>
              <w:pStyle w:val="312"/>
              <w:spacing w:line="240" w:lineRule="auto"/>
              <w:ind w:firstLine="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型号规格</w:t>
            </w:r>
          </w:p>
        </w:tc>
        <w:tc>
          <w:tcPr>
            <w:tcW w:w="907" w:type="dxa"/>
            <w:tcBorders>
              <w:top w:val="single" w:color="auto" w:sz="4" w:space="0"/>
              <w:left w:val="single" w:color="auto" w:sz="4" w:space="0"/>
            </w:tcBorders>
            <w:shd w:val="clear" w:color="auto" w:fill="FFFFFF"/>
            <w:noWrap w:val="0"/>
            <w:vAlign w:val="center"/>
          </w:tcPr>
          <w:p w14:paraId="4EF9070F">
            <w:pPr>
              <w:pStyle w:val="312"/>
              <w:spacing w:line="240" w:lineRule="auto"/>
              <w:ind w:firstLine="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数量</w:t>
            </w:r>
          </w:p>
        </w:tc>
        <w:tc>
          <w:tcPr>
            <w:tcW w:w="907" w:type="dxa"/>
            <w:tcBorders>
              <w:top w:val="single" w:color="auto" w:sz="4" w:space="0"/>
              <w:left w:val="single" w:color="auto" w:sz="4" w:space="0"/>
            </w:tcBorders>
            <w:shd w:val="clear" w:color="auto" w:fill="FFFFFF"/>
            <w:noWrap w:val="0"/>
            <w:vAlign w:val="center"/>
          </w:tcPr>
          <w:p w14:paraId="380DC367">
            <w:pPr>
              <w:pStyle w:val="312"/>
              <w:spacing w:line="240" w:lineRule="auto"/>
              <w:ind w:firstLine="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国别产地</w:t>
            </w:r>
          </w:p>
        </w:tc>
        <w:tc>
          <w:tcPr>
            <w:tcW w:w="912" w:type="dxa"/>
            <w:tcBorders>
              <w:top w:val="single" w:color="auto" w:sz="4" w:space="0"/>
              <w:left w:val="single" w:color="auto" w:sz="4" w:space="0"/>
            </w:tcBorders>
            <w:shd w:val="clear" w:color="auto" w:fill="FFFFFF"/>
            <w:noWrap w:val="0"/>
            <w:vAlign w:val="center"/>
          </w:tcPr>
          <w:p w14:paraId="76EB60DA">
            <w:pPr>
              <w:pStyle w:val="312"/>
              <w:spacing w:line="240" w:lineRule="auto"/>
              <w:ind w:firstLine="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制造年份</w:t>
            </w:r>
          </w:p>
        </w:tc>
        <w:tc>
          <w:tcPr>
            <w:tcW w:w="902" w:type="dxa"/>
            <w:tcBorders>
              <w:top w:val="single" w:color="auto" w:sz="4" w:space="0"/>
              <w:left w:val="single" w:color="auto" w:sz="4" w:space="0"/>
            </w:tcBorders>
            <w:shd w:val="clear" w:color="auto" w:fill="FFFFFF"/>
            <w:noWrap w:val="0"/>
            <w:vAlign w:val="center"/>
          </w:tcPr>
          <w:p w14:paraId="2ACAC484">
            <w:pPr>
              <w:pStyle w:val="312"/>
              <w:spacing w:line="264" w:lineRule="exact"/>
              <w:ind w:firstLine="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已</w:t>
            </w:r>
            <w:r>
              <w:rPr>
                <w:color w:val="000000" w:themeColor="text1"/>
                <w:sz w:val="21"/>
                <w:szCs w:val="21"/>
                <w:highlight w:val="none"/>
                <w14:textFill>
                  <w14:solidFill>
                    <w14:schemeClr w14:val="tx1"/>
                  </w14:solidFill>
                </w14:textFill>
              </w:rPr>
              <w:t>使用</w:t>
            </w:r>
          </w:p>
          <w:p w14:paraId="5F14386F">
            <w:pPr>
              <w:pStyle w:val="312"/>
              <w:spacing w:line="264" w:lineRule="exact"/>
              <w:ind w:firstLine="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台时数</w:t>
            </w:r>
          </w:p>
        </w:tc>
        <w:tc>
          <w:tcPr>
            <w:tcW w:w="907" w:type="dxa"/>
            <w:tcBorders>
              <w:top w:val="single" w:color="auto" w:sz="4" w:space="0"/>
              <w:left w:val="single" w:color="auto" w:sz="4" w:space="0"/>
            </w:tcBorders>
            <w:shd w:val="clear" w:color="auto" w:fill="FFFFFF"/>
            <w:noWrap w:val="0"/>
            <w:vAlign w:val="center"/>
          </w:tcPr>
          <w:p w14:paraId="18F309AB">
            <w:pPr>
              <w:pStyle w:val="312"/>
              <w:spacing w:line="240" w:lineRule="auto"/>
              <w:ind w:firstLine="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用途</w:t>
            </w:r>
          </w:p>
        </w:tc>
        <w:tc>
          <w:tcPr>
            <w:tcW w:w="917" w:type="dxa"/>
            <w:tcBorders>
              <w:top w:val="single" w:color="auto" w:sz="4" w:space="0"/>
              <w:left w:val="single" w:color="auto" w:sz="4" w:space="0"/>
              <w:right w:val="single" w:color="auto" w:sz="4" w:space="0"/>
            </w:tcBorders>
            <w:shd w:val="clear" w:color="auto" w:fill="FFFFFF"/>
            <w:noWrap w:val="0"/>
            <w:vAlign w:val="center"/>
          </w:tcPr>
          <w:p w14:paraId="17610DB9">
            <w:pPr>
              <w:pStyle w:val="312"/>
              <w:spacing w:line="240" w:lineRule="auto"/>
              <w:ind w:firstLine="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备注</w:t>
            </w:r>
          </w:p>
        </w:tc>
      </w:tr>
      <w:tr w14:paraId="56AAB43B">
        <w:tblPrEx>
          <w:tblCellMar>
            <w:top w:w="0" w:type="dxa"/>
            <w:left w:w="10" w:type="dxa"/>
            <w:bottom w:w="0" w:type="dxa"/>
            <w:right w:w="10" w:type="dxa"/>
          </w:tblCellMar>
        </w:tblPrEx>
        <w:trPr>
          <w:trHeight w:val="566" w:hRule="exact"/>
          <w:jc w:val="center"/>
        </w:trPr>
        <w:tc>
          <w:tcPr>
            <w:tcW w:w="576" w:type="dxa"/>
            <w:tcBorders>
              <w:top w:val="single" w:color="auto" w:sz="4" w:space="0"/>
              <w:left w:val="single" w:color="auto" w:sz="4" w:space="0"/>
            </w:tcBorders>
            <w:shd w:val="clear" w:color="auto" w:fill="FFFFFF"/>
            <w:noWrap w:val="0"/>
            <w:vAlign w:val="top"/>
          </w:tcPr>
          <w:p w14:paraId="35402B5C">
            <w:pPr>
              <w:rPr>
                <w:color w:val="000000" w:themeColor="text1"/>
                <w:szCs w:val="21"/>
                <w:highlight w:val="none"/>
                <w14:textFill>
                  <w14:solidFill>
                    <w14:schemeClr w14:val="tx1"/>
                  </w14:solidFill>
                </w14:textFill>
              </w:rPr>
            </w:pPr>
          </w:p>
        </w:tc>
        <w:tc>
          <w:tcPr>
            <w:tcW w:w="1416" w:type="dxa"/>
            <w:tcBorders>
              <w:top w:val="single" w:color="auto" w:sz="4" w:space="0"/>
              <w:left w:val="single" w:color="auto" w:sz="4" w:space="0"/>
            </w:tcBorders>
            <w:shd w:val="clear" w:color="auto" w:fill="FFFFFF"/>
            <w:noWrap w:val="0"/>
            <w:vAlign w:val="top"/>
          </w:tcPr>
          <w:p w14:paraId="3ED46250">
            <w:pPr>
              <w:rPr>
                <w:color w:val="000000" w:themeColor="text1"/>
                <w:szCs w:val="21"/>
                <w:highlight w:val="none"/>
                <w14:textFill>
                  <w14:solidFill>
                    <w14:schemeClr w14:val="tx1"/>
                  </w14:solidFill>
                </w14:textFill>
              </w:rPr>
            </w:pPr>
          </w:p>
        </w:tc>
        <w:tc>
          <w:tcPr>
            <w:tcW w:w="907" w:type="dxa"/>
            <w:tcBorders>
              <w:top w:val="single" w:color="auto" w:sz="4" w:space="0"/>
              <w:left w:val="single" w:color="auto" w:sz="4" w:space="0"/>
            </w:tcBorders>
            <w:shd w:val="clear" w:color="auto" w:fill="FFFFFF"/>
            <w:noWrap w:val="0"/>
            <w:vAlign w:val="top"/>
          </w:tcPr>
          <w:p w14:paraId="50B4043A">
            <w:pPr>
              <w:rPr>
                <w:color w:val="000000" w:themeColor="text1"/>
                <w:szCs w:val="21"/>
                <w:highlight w:val="none"/>
                <w14:textFill>
                  <w14:solidFill>
                    <w14:schemeClr w14:val="tx1"/>
                  </w14:solidFill>
                </w14:textFill>
              </w:rPr>
            </w:pPr>
          </w:p>
        </w:tc>
        <w:tc>
          <w:tcPr>
            <w:tcW w:w="907" w:type="dxa"/>
            <w:tcBorders>
              <w:top w:val="single" w:color="auto" w:sz="4" w:space="0"/>
              <w:left w:val="single" w:color="auto" w:sz="4" w:space="0"/>
            </w:tcBorders>
            <w:shd w:val="clear" w:color="auto" w:fill="FFFFFF"/>
            <w:noWrap w:val="0"/>
            <w:vAlign w:val="top"/>
          </w:tcPr>
          <w:p w14:paraId="1F0D6BC7">
            <w:pPr>
              <w:rPr>
                <w:color w:val="000000" w:themeColor="text1"/>
                <w:szCs w:val="21"/>
                <w:highlight w:val="none"/>
                <w14:textFill>
                  <w14:solidFill>
                    <w14:schemeClr w14:val="tx1"/>
                  </w14:solidFill>
                </w14:textFill>
              </w:rPr>
            </w:pPr>
          </w:p>
        </w:tc>
        <w:tc>
          <w:tcPr>
            <w:tcW w:w="907" w:type="dxa"/>
            <w:tcBorders>
              <w:top w:val="single" w:color="auto" w:sz="4" w:space="0"/>
              <w:left w:val="single" w:color="auto" w:sz="4" w:space="0"/>
            </w:tcBorders>
            <w:shd w:val="clear" w:color="auto" w:fill="FFFFFF"/>
            <w:noWrap w:val="0"/>
            <w:vAlign w:val="top"/>
          </w:tcPr>
          <w:p w14:paraId="6E71726F">
            <w:pPr>
              <w:rPr>
                <w:color w:val="000000" w:themeColor="text1"/>
                <w:szCs w:val="21"/>
                <w:highlight w:val="none"/>
                <w14:textFill>
                  <w14:solidFill>
                    <w14:schemeClr w14:val="tx1"/>
                  </w14:solidFill>
                </w14:textFill>
              </w:rPr>
            </w:pPr>
          </w:p>
        </w:tc>
        <w:tc>
          <w:tcPr>
            <w:tcW w:w="912" w:type="dxa"/>
            <w:tcBorders>
              <w:top w:val="single" w:color="auto" w:sz="4" w:space="0"/>
              <w:left w:val="single" w:color="auto" w:sz="4" w:space="0"/>
            </w:tcBorders>
            <w:shd w:val="clear" w:color="auto" w:fill="FFFFFF"/>
            <w:noWrap w:val="0"/>
            <w:vAlign w:val="top"/>
          </w:tcPr>
          <w:p w14:paraId="7D7FE7E9">
            <w:pPr>
              <w:rPr>
                <w:color w:val="000000" w:themeColor="text1"/>
                <w:szCs w:val="21"/>
                <w:highlight w:val="none"/>
                <w14:textFill>
                  <w14:solidFill>
                    <w14:schemeClr w14:val="tx1"/>
                  </w14:solidFill>
                </w14:textFill>
              </w:rPr>
            </w:pPr>
          </w:p>
        </w:tc>
        <w:tc>
          <w:tcPr>
            <w:tcW w:w="902" w:type="dxa"/>
            <w:tcBorders>
              <w:top w:val="single" w:color="auto" w:sz="4" w:space="0"/>
              <w:left w:val="single" w:color="auto" w:sz="4" w:space="0"/>
            </w:tcBorders>
            <w:shd w:val="clear" w:color="auto" w:fill="FFFFFF"/>
            <w:noWrap w:val="0"/>
            <w:vAlign w:val="top"/>
          </w:tcPr>
          <w:p w14:paraId="279D65D6">
            <w:pPr>
              <w:rPr>
                <w:color w:val="000000" w:themeColor="text1"/>
                <w:szCs w:val="21"/>
                <w:highlight w:val="none"/>
                <w14:textFill>
                  <w14:solidFill>
                    <w14:schemeClr w14:val="tx1"/>
                  </w14:solidFill>
                </w14:textFill>
              </w:rPr>
            </w:pPr>
          </w:p>
        </w:tc>
        <w:tc>
          <w:tcPr>
            <w:tcW w:w="907" w:type="dxa"/>
            <w:tcBorders>
              <w:top w:val="single" w:color="auto" w:sz="4" w:space="0"/>
              <w:left w:val="single" w:color="auto" w:sz="4" w:space="0"/>
            </w:tcBorders>
            <w:shd w:val="clear" w:color="auto" w:fill="FFFFFF"/>
            <w:noWrap w:val="0"/>
            <w:vAlign w:val="top"/>
          </w:tcPr>
          <w:p w14:paraId="0F6B63EA">
            <w:pPr>
              <w:rPr>
                <w:color w:val="000000" w:themeColor="text1"/>
                <w:szCs w:val="21"/>
                <w:highlight w:val="none"/>
                <w14:textFill>
                  <w14:solidFill>
                    <w14:schemeClr w14:val="tx1"/>
                  </w14:solidFill>
                </w14:textFill>
              </w:rPr>
            </w:pPr>
          </w:p>
        </w:tc>
        <w:tc>
          <w:tcPr>
            <w:tcW w:w="917" w:type="dxa"/>
            <w:tcBorders>
              <w:top w:val="single" w:color="auto" w:sz="4" w:space="0"/>
              <w:left w:val="single" w:color="auto" w:sz="4" w:space="0"/>
              <w:right w:val="single" w:color="auto" w:sz="4" w:space="0"/>
            </w:tcBorders>
            <w:shd w:val="clear" w:color="auto" w:fill="FFFFFF"/>
            <w:noWrap w:val="0"/>
            <w:vAlign w:val="top"/>
          </w:tcPr>
          <w:p w14:paraId="45F985E0">
            <w:pPr>
              <w:rPr>
                <w:color w:val="000000" w:themeColor="text1"/>
                <w:szCs w:val="21"/>
                <w:highlight w:val="none"/>
                <w14:textFill>
                  <w14:solidFill>
                    <w14:schemeClr w14:val="tx1"/>
                  </w14:solidFill>
                </w14:textFill>
              </w:rPr>
            </w:pPr>
          </w:p>
        </w:tc>
      </w:tr>
      <w:tr w14:paraId="4D1F7A9E">
        <w:tblPrEx>
          <w:tblCellMar>
            <w:top w:w="0" w:type="dxa"/>
            <w:left w:w="10" w:type="dxa"/>
            <w:bottom w:w="0" w:type="dxa"/>
            <w:right w:w="10" w:type="dxa"/>
          </w:tblCellMar>
        </w:tblPrEx>
        <w:trPr>
          <w:trHeight w:val="566" w:hRule="exact"/>
          <w:jc w:val="center"/>
        </w:trPr>
        <w:tc>
          <w:tcPr>
            <w:tcW w:w="576" w:type="dxa"/>
            <w:tcBorders>
              <w:top w:val="single" w:color="auto" w:sz="4" w:space="0"/>
              <w:left w:val="single" w:color="auto" w:sz="4" w:space="0"/>
            </w:tcBorders>
            <w:shd w:val="clear" w:color="auto" w:fill="FFFFFF"/>
            <w:noWrap w:val="0"/>
            <w:vAlign w:val="top"/>
          </w:tcPr>
          <w:p w14:paraId="34B7F55D">
            <w:pPr>
              <w:rPr>
                <w:color w:val="000000" w:themeColor="text1"/>
                <w:szCs w:val="21"/>
                <w:highlight w:val="none"/>
                <w14:textFill>
                  <w14:solidFill>
                    <w14:schemeClr w14:val="tx1"/>
                  </w14:solidFill>
                </w14:textFill>
              </w:rPr>
            </w:pPr>
          </w:p>
        </w:tc>
        <w:tc>
          <w:tcPr>
            <w:tcW w:w="1416" w:type="dxa"/>
            <w:tcBorders>
              <w:top w:val="single" w:color="auto" w:sz="4" w:space="0"/>
              <w:left w:val="single" w:color="auto" w:sz="4" w:space="0"/>
            </w:tcBorders>
            <w:shd w:val="clear" w:color="auto" w:fill="FFFFFF"/>
            <w:noWrap w:val="0"/>
            <w:vAlign w:val="top"/>
          </w:tcPr>
          <w:p w14:paraId="13B791BF">
            <w:pPr>
              <w:rPr>
                <w:color w:val="000000" w:themeColor="text1"/>
                <w:szCs w:val="21"/>
                <w:highlight w:val="none"/>
                <w14:textFill>
                  <w14:solidFill>
                    <w14:schemeClr w14:val="tx1"/>
                  </w14:solidFill>
                </w14:textFill>
              </w:rPr>
            </w:pPr>
          </w:p>
        </w:tc>
        <w:tc>
          <w:tcPr>
            <w:tcW w:w="907" w:type="dxa"/>
            <w:tcBorders>
              <w:top w:val="single" w:color="auto" w:sz="4" w:space="0"/>
              <w:left w:val="single" w:color="auto" w:sz="4" w:space="0"/>
            </w:tcBorders>
            <w:shd w:val="clear" w:color="auto" w:fill="FFFFFF"/>
            <w:noWrap w:val="0"/>
            <w:vAlign w:val="top"/>
          </w:tcPr>
          <w:p w14:paraId="775E56C6">
            <w:pPr>
              <w:rPr>
                <w:color w:val="000000" w:themeColor="text1"/>
                <w:szCs w:val="21"/>
                <w:highlight w:val="none"/>
                <w14:textFill>
                  <w14:solidFill>
                    <w14:schemeClr w14:val="tx1"/>
                  </w14:solidFill>
                </w14:textFill>
              </w:rPr>
            </w:pPr>
          </w:p>
        </w:tc>
        <w:tc>
          <w:tcPr>
            <w:tcW w:w="907" w:type="dxa"/>
            <w:tcBorders>
              <w:top w:val="single" w:color="auto" w:sz="4" w:space="0"/>
              <w:left w:val="single" w:color="auto" w:sz="4" w:space="0"/>
            </w:tcBorders>
            <w:shd w:val="clear" w:color="auto" w:fill="FFFFFF"/>
            <w:noWrap w:val="0"/>
            <w:vAlign w:val="top"/>
          </w:tcPr>
          <w:p w14:paraId="44720E39">
            <w:pPr>
              <w:rPr>
                <w:color w:val="000000" w:themeColor="text1"/>
                <w:szCs w:val="21"/>
                <w:highlight w:val="none"/>
                <w14:textFill>
                  <w14:solidFill>
                    <w14:schemeClr w14:val="tx1"/>
                  </w14:solidFill>
                </w14:textFill>
              </w:rPr>
            </w:pPr>
          </w:p>
        </w:tc>
        <w:tc>
          <w:tcPr>
            <w:tcW w:w="907" w:type="dxa"/>
            <w:tcBorders>
              <w:top w:val="single" w:color="auto" w:sz="4" w:space="0"/>
              <w:left w:val="single" w:color="auto" w:sz="4" w:space="0"/>
            </w:tcBorders>
            <w:shd w:val="clear" w:color="auto" w:fill="FFFFFF"/>
            <w:noWrap w:val="0"/>
            <w:vAlign w:val="top"/>
          </w:tcPr>
          <w:p w14:paraId="64749490">
            <w:pPr>
              <w:rPr>
                <w:color w:val="000000" w:themeColor="text1"/>
                <w:szCs w:val="21"/>
                <w:highlight w:val="none"/>
                <w14:textFill>
                  <w14:solidFill>
                    <w14:schemeClr w14:val="tx1"/>
                  </w14:solidFill>
                </w14:textFill>
              </w:rPr>
            </w:pPr>
          </w:p>
        </w:tc>
        <w:tc>
          <w:tcPr>
            <w:tcW w:w="912" w:type="dxa"/>
            <w:tcBorders>
              <w:top w:val="single" w:color="auto" w:sz="4" w:space="0"/>
              <w:left w:val="single" w:color="auto" w:sz="4" w:space="0"/>
            </w:tcBorders>
            <w:shd w:val="clear" w:color="auto" w:fill="FFFFFF"/>
            <w:noWrap w:val="0"/>
            <w:vAlign w:val="top"/>
          </w:tcPr>
          <w:p w14:paraId="2B39AF32">
            <w:pPr>
              <w:rPr>
                <w:color w:val="000000" w:themeColor="text1"/>
                <w:szCs w:val="21"/>
                <w:highlight w:val="none"/>
                <w14:textFill>
                  <w14:solidFill>
                    <w14:schemeClr w14:val="tx1"/>
                  </w14:solidFill>
                </w14:textFill>
              </w:rPr>
            </w:pPr>
          </w:p>
        </w:tc>
        <w:tc>
          <w:tcPr>
            <w:tcW w:w="902" w:type="dxa"/>
            <w:tcBorders>
              <w:top w:val="single" w:color="auto" w:sz="4" w:space="0"/>
              <w:left w:val="single" w:color="auto" w:sz="4" w:space="0"/>
            </w:tcBorders>
            <w:shd w:val="clear" w:color="auto" w:fill="FFFFFF"/>
            <w:noWrap w:val="0"/>
            <w:vAlign w:val="top"/>
          </w:tcPr>
          <w:p w14:paraId="6BA1143F">
            <w:pPr>
              <w:rPr>
                <w:color w:val="000000" w:themeColor="text1"/>
                <w:szCs w:val="21"/>
                <w:highlight w:val="none"/>
                <w14:textFill>
                  <w14:solidFill>
                    <w14:schemeClr w14:val="tx1"/>
                  </w14:solidFill>
                </w14:textFill>
              </w:rPr>
            </w:pPr>
          </w:p>
        </w:tc>
        <w:tc>
          <w:tcPr>
            <w:tcW w:w="907" w:type="dxa"/>
            <w:tcBorders>
              <w:top w:val="single" w:color="auto" w:sz="4" w:space="0"/>
              <w:left w:val="single" w:color="auto" w:sz="4" w:space="0"/>
            </w:tcBorders>
            <w:shd w:val="clear" w:color="auto" w:fill="FFFFFF"/>
            <w:noWrap w:val="0"/>
            <w:vAlign w:val="top"/>
          </w:tcPr>
          <w:p w14:paraId="0FB4FA5A">
            <w:pPr>
              <w:rPr>
                <w:color w:val="000000" w:themeColor="text1"/>
                <w:szCs w:val="21"/>
                <w:highlight w:val="none"/>
                <w14:textFill>
                  <w14:solidFill>
                    <w14:schemeClr w14:val="tx1"/>
                  </w14:solidFill>
                </w14:textFill>
              </w:rPr>
            </w:pPr>
          </w:p>
        </w:tc>
        <w:tc>
          <w:tcPr>
            <w:tcW w:w="917" w:type="dxa"/>
            <w:tcBorders>
              <w:top w:val="single" w:color="auto" w:sz="4" w:space="0"/>
              <w:left w:val="single" w:color="auto" w:sz="4" w:space="0"/>
              <w:right w:val="single" w:color="auto" w:sz="4" w:space="0"/>
            </w:tcBorders>
            <w:shd w:val="clear" w:color="auto" w:fill="FFFFFF"/>
            <w:noWrap w:val="0"/>
            <w:vAlign w:val="top"/>
          </w:tcPr>
          <w:p w14:paraId="3E1A005D">
            <w:pPr>
              <w:rPr>
                <w:color w:val="000000" w:themeColor="text1"/>
                <w:szCs w:val="21"/>
                <w:highlight w:val="none"/>
                <w14:textFill>
                  <w14:solidFill>
                    <w14:schemeClr w14:val="tx1"/>
                  </w14:solidFill>
                </w14:textFill>
              </w:rPr>
            </w:pPr>
          </w:p>
        </w:tc>
      </w:tr>
      <w:tr w14:paraId="774F8C1C">
        <w:tblPrEx>
          <w:tblCellMar>
            <w:top w:w="0" w:type="dxa"/>
            <w:left w:w="10" w:type="dxa"/>
            <w:bottom w:w="0" w:type="dxa"/>
            <w:right w:w="10" w:type="dxa"/>
          </w:tblCellMar>
        </w:tblPrEx>
        <w:trPr>
          <w:trHeight w:val="566" w:hRule="exact"/>
          <w:jc w:val="center"/>
        </w:trPr>
        <w:tc>
          <w:tcPr>
            <w:tcW w:w="576" w:type="dxa"/>
            <w:tcBorders>
              <w:top w:val="single" w:color="auto" w:sz="4" w:space="0"/>
              <w:left w:val="single" w:color="auto" w:sz="4" w:space="0"/>
            </w:tcBorders>
            <w:shd w:val="clear" w:color="auto" w:fill="FFFFFF"/>
            <w:noWrap w:val="0"/>
            <w:vAlign w:val="top"/>
          </w:tcPr>
          <w:p w14:paraId="7C7261A2">
            <w:pPr>
              <w:rPr>
                <w:color w:val="000000" w:themeColor="text1"/>
                <w:szCs w:val="21"/>
                <w:highlight w:val="none"/>
                <w14:textFill>
                  <w14:solidFill>
                    <w14:schemeClr w14:val="tx1"/>
                  </w14:solidFill>
                </w14:textFill>
              </w:rPr>
            </w:pPr>
          </w:p>
        </w:tc>
        <w:tc>
          <w:tcPr>
            <w:tcW w:w="1416" w:type="dxa"/>
            <w:tcBorders>
              <w:top w:val="single" w:color="auto" w:sz="4" w:space="0"/>
              <w:left w:val="single" w:color="auto" w:sz="4" w:space="0"/>
            </w:tcBorders>
            <w:shd w:val="clear" w:color="auto" w:fill="FFFFFF"/>
            <w:noWrap w:val="0"/>
            <w:vAlign w:val="top"/>
          </w:tcPr>
          <w:p w14:paraId="0A52E88C">
            <w:pPr>
              <w:rPr>
                <w:color w:val="000000" w:themeColor="text1"/>
                <w:szCs w:val="21"/>
                <w:highlight w:val="none"/>
                <w14:textFill>
                  <w14:solidFill>
                    <w14:schemeClr w14:val="tx1"/>
                  </w14:solidFill>
                </w14:textFill>
              </w:rPr>
            </w:pPr>
          </w:p>
        </w:tc>
        <w:tc>
          <w:tcPr>
            <w:tcW w:w="907" w:type="dxa"/>
            <w:tcBorders>
              <w:top w:val="single" w:color="auto" w:sz="4" w:space="0"/>
              <w:left w:val="single" w:color="auto" w:sz="4" w:space="0"/>
            </w:tcBorders>
            <w:shd w:val="clear" w:color="auto" w:fill="FFFFFF"/>
            <w:noWrap w:val="0"/>
            <w:vAlign w:val="top"/>
          </w:tcPr>
          <w:p w14:paraId="38C44AC5">
            <w:pPr>
              <w:rPr>
                <w:color w:val="000000" w:themeColor="text1"/>
                <w:szCs w:val="21"/>
                <w:highlight w:val="none"/>
                <w14:textFill>
                  <w14:solidFill>
                    <w14:schemeClr w14:val="tx1"/>
                  </w14:solidFill>
                </w14:textFill>
              </w:rPr>
            </w:pPr>
          </w:p>
        </w:tc>
        <w:tc>
          <w:tcPr>
            <w:tcW w:w="907" w:type="dxa"/>
            <w:tcBorders>
              <w:top w:val="single" w:color="auto" w:sz="4" w:space="0"/>
              <w:left w:val="single" w:color="auto" w:sz="4" w:space="0"/>
            </w:tcBorders>
            <w:shd w:val="clear" w:color="auto" w:fill="FFFFFF"/>
            <w:noWrap w:val="0"/>
            <w:vAlign w:val="top"/>
          </w:tcPr>
          <w:p w14:paraId="0EBC91C8">
            <w:pPr>
              <w:rPr>
                <w:color w:val="000000" w:themeColor="text1"/>
                <w:szCs w:val="21"/>
                <w:highlight w:val="none"/>
                <w14:textFill>
                  <w14:solidFill>
                    <w14:schemeClr w14:val="tx1"/>
                  </w14:solidFill>
                </w14:textFill>
              </w:rPr>
            </w:pPr>
          </w:p>
        </w:tc>
        <w:tc>
          <w:tcPr>
            <w:tcW w:w="907" w:type="dxa"/>
            <w:tcBorders>
              <w:top w:val="single" w:color="auto" w:sz="4" w:space="0"/>
              <w:left w:val="single" w:color="auto" w:sz="4" w:space="0"/>
            </w:tcBorders>
            <w:shd w:val="clear" w:color="auto" w:fill="FFFFFF"/>
            <w:noWrap w:val="0"/>
            <w:vAlign w:val="top"/>
          </w:tcPr>
          <w:p w14:paraId="486DC1D7">
            <w:pPr>
              <w:rPr>
                <w:color w:val="000000" w:themeColor="text1"/>
                <w:szCs w:val="21"/>
                <w:highlight w:val="none"/>
                <w14:textFill>
                  <w14:solidFill>
                    <w14:schemeClr w14:val="tx1"/>
                  </w14:solidFill>
                </w14:textFill>
              </w:rPr>
            </w:pPr>
          </w:p>
        </w:tc>
        <w:tc>
          <w:tcPr>
            <w:tcW w:w="912" w:type="dxa"/>
            <w:tcBorders>
              <w:top w:val="single" w:color="auto" w:sz="4" w:space="0"/>
              <w:left w:val="single" w:color="auto" w:sz="4" w:space="0"/>
            </w:tcBorders>
            <w:shd w:val="clear" w:color="auto" w:fill="FFFFFF"/>
            <w:noWrap w:val="0"/>
            <w:vAlign w:val="top"/>
          </w:tcPr>
          <w:p w14:paraId="1F8A807D">
            <w:pPr>
              <w:rPr>
                <w:color w:val="000000" w:themeColor="text1"/>
                <w:szCs w:val="21"/>
                <w:highlight w:val="none"/>
                <w14:textFill>
                  <w14:solidFill>
                    <w14:schemeClr w14:val="tx1"/>
                  </w14:solidFill>
                </w14:textFill>
              </w:rPr>
            </w:pPr>
          </w:p>
        </w:tc>
        <w:tc>
          <w:tcPr>
            <w:tcW w:w="902" w:type="dxa"/>
            <w:tcBorders>
              <w:top w:val="single" w:color="auto" w:sz="4" w:space="0"/>
              <w:left w:val="single" w:color="auto" w:sz="4" w:space="0"/>
            </w:tcBorders>
            <w:shd w:val="clear" w:color="auto" w:fill="FFFFFF"/>
            <w:noWrap w:val="0"/>
            <w:vAlign w:val="top"/>
          </w:tcPr>
          <w:p w14:paraId="1B747499">
            <w:pPr>
              <w:rPr>
                <w:color w:val="000000" w:themeColor="text1"/>
                <w:szCs w:val="21"/>
                <w:highlight w:val="none"/>
                <w14:textFill>
                  <w14:solidFill>
                    <w14:schemeClr w14:val="tx1"/>
                  </w14:solidFill>
                </w14:textFill>
              </w:rPr>
            </w:pPr>
          </w:p>
        </w:tc>
        <w:tc>
          <w:tcPr>
            <w:tcW w:w="907" w:type="dxa"/>
            <w:tcBorders>
              <w:top w:val="single" w:color="auto" w:sz="4" w:space="0"/>
              <w:left w:val="single" w:color="auto" w:sz="4" w:space="0"/>
            </w:tcBorders>
            <w:shd w:val="clear" w:color="auto" w:fill="FFFFFF"/>
            <w:noWrap w:val="0"/>
            <w:vAlign w:val="top"/>
          </w:tcPr>
          <w:p w14:paraId="140637D2">
            <w:pPr>
              <w:rPr>
                <w:color w:val="000000" w:themeColor="text1"/>
                <w:szCs w:val="21"/>
                <w:highlight w:val="none"/>
                <w14:textFill>
                  <w14:solidFill>
                    <w14:schemeClr w14:val="tx1"/>
                  </w14:solidFill>
                </w14:textFill>
              </w:rPr>
            </w:pPr>
          </w:p>
        </w:tc>
        <w:tc>
          <w:tcPr>
            <w:tcW w:w="917" w:type="dxa"/>
            <w:tcBorders>
              <w:top w:val="single" w:color="auto" w:sz="4" w:space="0"/>
              <w:left w:val="single" w:color="auto" w:sz="4" w:space="0"/>
              <w:right w:val="single" w:color="auto" w:sz="4" w:space="0"/>
            </w:tcBorders>
            <w:shd w:val="clear" w:color="auto" w:fill="FFFFFF"/>
            <w:noWrap w:val="0"/>
            <w:vAlign w:val="top"/>
          </w:tcPr>
          <w:p w14:paraId="7692600E">
            <w:pPr>
              <w:rPr>
                <w:color w:val="000000" w:themeColor="text1"/>
                <w:szCs w:val="21"/>
                <w:highlight w:val="none"/>
                <w14:textFill>
                  <w14:solidFill>
                    <w14:schemeClr w14:val="tx1"/>
                  </w14:solidFill>
                </w14:textFill>
              </w:rPr>
            </w:pPr>
          </w:p>
        </w:tc>
      </w:tr>
      <w:tr w14:paraId="314A1D59">
        <w:tblPrEx>
          <w:tblCellMar>
            <w:top w:w="0" w:type="dxa"/>
            <w:left w:w="10" w:type="dxa"/>
            <w:bottom w:w="0" w:type="dxa"/>
            <w:right w:w="10" w:type="dxa"/>
          </w:tblCellMar>
        </w:tblPrEx>
        <w:trPr>
          <w:trHeight w:val="566" w:hRule="exact"/>
          <w:jc w:val="center"/>
        </w:trPr>
        <w:tc>
          <w:tcPr>
            <w:tcW w:w="576" w:type="dxa"/>
            <w:tcBorders>
              <w:top w:val="single" w:color="auto" w:sz="4" w:space="0"/>
              <w:left w:val="single" w:color="auto" w:sz="4" w:space="0"/>
            </w:tcBorders>
            <w:shd w:val="clear" w:color="auto" w:fill="FFFFFF"/>
            <w:noWrap w:val="0"/>
            <w:vAlign w:val="top"/>
          </w:tcPr>
          <w:p w14:paraId="2BF68CE3">
            <w:pPr>
              <w:rPr>
                <w:color w:val="000000" w:themeColor="text1"/>
                <w:szCs w:val="21"/>
                <w:highlight w:val="none"/>
                <w14:textFill>
                  <w14:solidFill>
                    <w14:schemeClr w14:val="tx1"/>
                  </w14:solidFill>
                </w14:textFill>
              </w:rPr>
            </w:pPr>
          </w:p>
        </w:tc>
        <w:tc>
          <w:tcPr>
            <w:tcW w:w="1416" w:type="dxa"/>
            <w:tcBorders>
              <w:top w:val="single" w:color="auto" w:sz="4" w:space="0"/>
              <w:left w:val="single" w:color="auto" w:sz="4" w:space="0"/>
            </w:tcBorders>
            <w:shd w:val="clear" w:color="auto" w:fill="FFFFFF"/>
            <w:noWrap w:val="0"/>
            <w:vAlign w:val="top"/>
          </w:tcPr>
          <w:p w14:paraId="5A8C5762">
            <w:pPr>
              <w:rPr>
                <w:color w:val="000000" w:themeColor="text1"/>
                <w:szCs w:val="21"/>
                <w:highlight w:val="none"/>
                <w14:textFill>
                  <w14:solidFill>
                    <w14:schemeClr w14:val="tx1"/>
                  </w14:solidFill>
                </w14:textFill>
              </w:rPr>
            </w:pPr>
          </w:p>
        </w:tc>
        <w:tc>
          <w:tcPr>
            <w:tcW w:w="907" w:type="dxa"/>
            <w:tcBorders>
              <w:top w:val="single" w:color="auto" w:sz="4" w:space="0"/>
              <w:left w:val="single" w:color="auto" w:sz="4" w:space="0"/>
            </w:tcBorders>
            <w:shd w:val="clear" w:color="auto" w:fill="FFFFFF"/>
            <w:noWrap w:val="0"/>
            <w:vAlign w:val="top"/>
          </w:tcPr>
          <w:p w14:paraId="4B9750F2">
            <w:pPr>
              <w:rPr>
                <w:color w:val="000000" w:themeColor="text1"/>
                <w:szCs w:val="21"/>
                <w:highlight w:val="none"/>
                <w14:textFill>
                  <w14:solidFill>
                    <w14:schemeClr w14:val="tx1"/>
                  </w14:solidFill>
                </w14:textFill>
              </w:rPr>
            </w:pPr>
          </w:p>
        </w:tc>
        <w:tc>
          <w:tcPr>
            <w:tcW w:w="907" w:type="dxa"/>
            <w:tcBorders>
              <w:top w:val="single" w:color="auto" w:sz="4" w:space="0"/>
              <w:left w:val="single" w:color="auto" w:sz="4" w:space="0"/>
            </w:tcBorders>
            <w:shd w:val="clear" w:color="auto" w:fill="FFFFFF"/>
            <w:noWrap w:val="0"/>
            <w:vAlign w:val="top"/>
          </w:tcPr>
          <w:p w14:paraId="3DA9E5EA">
            <w:pPr>
              <w:rPr>
                <w:color w:val="000000" w:themeColor="text1"/>
                <w:szCs w:val="21"/>
                <w:highlight w:val="none"/>
                <w14:textFill>
                  <w14:solidFill>
                    <w14:schemeClr w14:val="tx1"/>
                  </w14:solidFill>
                </w14:textFill>
              </w:rPr>
            </w:pPr>
          </w:p>
        </w:tc>
        <w:tc>
          <w:tcPr>
            <w:tcW w:w="907" w:type="dxa"/>
            <w:tcBorders>
              <w:top w:val="single" w:color="auto" w:sz="4" w:space="0"/>
              <w:left w:val="single" w:color="auto" w:sz="4" w:space="0"/>
            </w:tcBorders>
            <w:shd w:val="clear" w:color="auto" w:fill="FFFFFF"/>
            <w:noWrap w:val="0"/>
            <w:vAlign w:val="top"/>
          </w:tcPr>
          <w:p w14:paraId="65731E25">
            <w:pPr>
              <w:rPr>
                <w:color w:val="000000" w:themeColor="text1"/>
                <w:szCs w:val="21"/>
                <w:highlight w:val="none"/>
                <w14:textFill>
                  <w14:solidFill>
                    <w14:schemeClr w14:val="tx1"/>
                  </w14:solidFill>
                </w14:textFill>
              </w:rPr>
            </w:pPr>
          </w:p>
        </w:tc>
        <w:tc>
          <w:tcPr>
            <w:tcW w:w="912" w:type="dxa"/>
            <w:tcBorders>
              <w:top w:val="single" w:color="auto" w:sz="4" w:space="0"/>
              <w:left w:val="single" w:color="auto" w:sz="4" w:space="0"/>
            </w:tcBorders>
            <w:shd w:val="clear" w:color="auto" w:fill="FFFFFF"/>
            <w:noWrap w:val="0"/>
            <w:vAlign w:val="top"/>
          </w:tcPr>
          <w:p w14:paraId="436E8DFA">
            <w:pPr>
              <w:rPr>
                <w:color w:val="000000" w:themeColor="text1"/>
                <w:szCs w:val="21"/>
                <w:highlight w:val="none"/>
                <w14:textFill>
                  <w14:solidFill>
                    <w14:schemeClr w14:val="tx1"/>
                  </w14:solidFill>
                </w14:textFill>
              </w:rPr>
            </w:pPr>
          </w:p>
        </w:tc>
        <w:tc>
          <w:tcPr>
            <w:tcW w:w="902" w:type="dxa"/>
            <w:tcBorders>
              <w:top w:val="single" w:color="auto" w:sz="4" w:space="0"/>
              <w:left w:val="single" w:color="auto" w:sz="4" w:space="0"/>
            </w:tcBorders>
            <w:shd w:val="clear" w:color="auto" w:fill="FFFFFF"/>
            <w:noWrap w:val="0"/>
            <w:vAlign w:val="top"/>
          </w:tcPr>
          <w:p w14:paraId="3E36C158">
            <w:pPr>
              <w:rPr>
                <w:color w:val="000000" w:themeColor="text1"/>
                <w:szCs w:val="21"/>
                <w:highlight w:val="none"/>
                <w14:textFill>
                  <w14:solidFill>
                    <w14:schemeClr w14:val="tx1"/>
                  </w14:solidFill>
                </w14:textFill>
              </w:rPr>
            </w:pPr>
          </w:p>
        </w:tc>
        <w:tc>
          <w:tcPr>
            <w:tcW w:w="907" w:type="dxa"/>
            <w:tcBorders>
              <w:top w:val="single" w:color="auto" w:sz="4" w:space="0"/>
              <w:left w:val="single" w:color="auto" w:sz="4" w:space="0"/>
            </w:tcBorders>
            <w:shd w:val="clear" w:color="auto" w:fill="FFFFFF"/>
            <w:noWrap w:val="0"/>
            <w:vAlign w:val="top"/>
          </w:tcPr>
          <w:p w14:paraId="5C2D2A64">
            <w:pPr>
              <w:rPr>
                <w:color w:val="000000" w:themeColor="text1"/>
                <w:szCs w:val="21"/>
                <w:highlight w:val="none"/>
                <w14:textFill>
                  <w14:solidFill>
                    <w14:schemeClr w14:val="tx1"/>
                  </w14:solidFill>
                </w14:textFill>
              </w:rPr>
            </w:pPr>
          </w:p>
        </w:tc>
        <w:tc>
          <w:tcPr>
            <w:tcW w:w="917" w:type="dxa"/>
            <w:tcBorders>
              <w:top w:val="single" w:color="auto" w:sz="4" w:space="0"/>
              <w:left w:val="single" w:color="auto" w:sz="4" w:space="0"/>
              <w:right w:val="single" w:color="auto" w:sz="4" w:space="0"/>
            </w:tcBorders>
            <w:shd w:val="clear" w:color="auto" w:fill="FFFFFF"/>
            <w:noWrap w:val="0"/>
            <w:vAlign w:val="top"/>
          </w:tcPr>
          <w:p w14:paraId="5ECC6346">
            <w:pPr>
              <w:rPr>
                <w:color w:val="000000" w:themeColor="text1"/>
                <w:szCs w:val="21"/>
                <w:highlight w:val="none"/>
                <w14:textFill>
                  <w14:solidFill>
                    <w14:schemeClr w14:val="tx1"/>
                  </w14:solidFill>
                </w14:textFill>
              </w:rPr>
            </w:pPr>
          </w:p>
        </w:tc>
      </w:tr>
      <w:tr w14:paraId="2CD23D24">
        <w:tblPrEx>
          <w:tblCellMar>
            <w:top w:w="0" w:type="dxa"/>
            <w:left w:w="10" w:type="dxa"/>
            <w:bottom w:w="0" w:type="dxa"/>
            <w:right w:w="10" w:type="dxa"/>
          </w:tblCellMar>
        </w:tblPrEx>
        <w:trPr>
          <w:trHeight w:val="566" w:hRule="exact"/>
          <w:jc w:val="center"/>
        </w:trPr>
        <w:tc>
          <w:tcPr>
            <w:tcW w:w="576" w:type="dxa"/>
            <w:tcBorders>
              <w:top w:val="single" w:color="auto" w:sz="4" w:space="0"/>
              <w:left w:val="single" w:color="auto" w:sz="4" w:space="0"/>
            </w:tcBorders>
            <w:shd w:val="clear" w:color="auto" w:fill="FFFFFF"/>
            <w:noWrap w:val="0"/>
            <w:vAlign w:val="top"/>
          </w:tcPr>
          <w:p w14:paraId="4806BF54">
            <w:pPr>
              <w:rPr>
                <w:color w:val="000000" w:themeColor="text1"/>
                <w:szCs w:val="21"/>
                <w:highlight w:val="none"/>
                <w14:textFill>
                  <w14:solidFill>
                    <w14:schemeClr w14:val="tx1"/>
                  </w14:solidFill>
                </w14:textFill>
              </w:rPr>
            </w:pPr>
          </w:p>
        </w:tc>
        <w:tc>
          <w:tcPr>
            <w:tcW w:w="1416" w:type="dxa"/>
            <w:tcBorders>
              <w:top w:val="single" w:color="auto" w:sz="4" w:space="0"/>
              <w:left w:val="single" w:color="auto" w:sz="4" w:space="0"/>
            </w:tcBorders>
            <w:shd w:val="clear" w:color="auto" w:fill="FFFFFF"/>
            <w:noWrap w:val="0"/>
            <w:vAlign w:val="top"/>
          </w:tcPr>
          <w:p w14:paraId="20FC4036">
            <w:pPr>
              <w:rPr>
                <w:color w:val="000000" w:themeColor="text1"/>
                <w:szCs w:val="21"/>
                <w:highlight w:val="none"/>
                <w14:textFill>
                  <w14:solidFill>
                    <w14:schemeClr w14:val="tx1"/>
                  </w14:solidFill>
                </w14:textFill>
              </w:rPr>
            </w:pPr>
          </w:p>
        </w:tc>
        <w:tc>
          <w:tcPr>
            <w:tcW w:w="907" w:type="dxa"/>
            <w:tcBorders>
              <w:top w:val="single" w:color="auto" w:sz="4" w:space="0"/>
              <w:left w:val="single" w:color="auto" w:sz="4" w:space="0"/>
            </w:tcBorders>
            <w:shd w:val="clear" w:color="auto" w:fill="FFFFFF"/>
            <w:noWrap w:val="0"/>
            <w:vAlign w:val="top"/>
          </w:tcPr>
          <w:p w14:paraId="5BA56D9F">
            <w:pPr>
              <w:rPr>
                <w:color w:val="000000" w:themeColor="text1"/>
                <w:szCs w:val="21"/>
                <w:highlight w:val="none"/>
                <w14:textFill>
                  <w14:solidFill>
                    <w14:schemeClr w14:val="tx1"/>
                  </w14:solidFill>
                </w14:textFill>
              </w:rPr>
            </w:pPr>
          </w:p>
        </w:tc>
        <w:tc>
          <w:tcPr>
            <w:tcW w:w="907" w:type="dxa"/>
            <w:tcBorders>
              <w:top w:val="single" w:color="auto" w:sz="4" w:space="0"/>
              <w:left w:val="single" w:color="auto" w:sz="4" w:space="0"/>
            </w:tcBorders>
            <w:shd w:val="clear" w:color="auto" w:fill="FFFFFF"/>
            <w:noWrap w:val="0"/>
            <w:vAlign w:val="top"/>
          </w:tcPr>
          <w:p w14:paraId="07CAD018">
            <w:pPr>
              <w:rPr>
                <w:color w:val="000000" w:themeColor="text1"/>
                <w:szCs w:val="21"/>
                <w:highlight w:val="none"/>
                <w14:textFill>
                  <w14:solidFill>
                    <w14:schemeClr w14:val="tx1"/>
                  </w14:solidFill>
                </w14:textFill>
              </w:rPr>
            </w:pPr>
          </w:p>
        </w:tc>
        <w:tc>
          <w:tcPr>
            <w:tcW w:w="907" w:type="dxa"/>
            <w:tcBorders>
              <w:top w:val="single" w:color="auto" w:sz="4" w:space="0"/>
              <w:left w:val="single" w:color="auto" w:sz="4" w:space="0"/>
            </w:tcBorders>
            <w:shd w:val="clear" w:color="auto" w:fill="FFFFFF"/>
            <w:noWrap w:val="0"/>
            <w:vAlign w:val="top"/>
          </w:tcPr>
          <w:p w14:paraId="24508F61">
            <w:pPr>
              <w:rPr>
                <w:color w:val="000000" w:themeColor="text1"/>
                <w:szCs w:val="21"/>
                <w:highlight w:val="none"/>
                <w14:textFill>
                  <w14:solidFill>
                    <w14:schemeClr w14:val="tx1"/>
                  </w14:solidFill>
                </w14:textFill>
              </w:rPr>
            </w:pPr>
          </w:p>
        </w:tc>
        <w:tc>
          <w:tcPr>
            <w:tcW w:w="912" w:type="dxa"/>
            <w:tcBorders>
              <w:top w:val="single" w:color="auto" w:sz="4" w:space="0"/>
              <w:left w:val="single" w:color="auto" w:sz="4" w:space="0"/>
            </w:tcBorders>
            <w:shd w:val="clear" w:color="auto" w:fill="FFFFFF"/>
            <w:noWrap w:val="0"/>
            <w:vAlign w:val="top"/>
          </w:tcPr>
          <w:p w14:paraId="061C9E52">
            <w:pPr>
              <w:rPr>
                <w:color w:val="000000" w:themeColor="text1"/>
                <w:szCs w:val="21"/>
                <w:highlight w:val="none"/>
                <w14:textFill>
                  <w14:solidFill>
                    <w14:schemeClr w14:val="tx1"/>
                  </w14:solidFill>
                </w14:textFill>
              </w:rPr>
            </w:pPr>
          </w:p>
        </w:tc>
        <w:tc>
          <w:tcPr>
            <w:tcW w:w="902" w:type="dxa"/>
            <w:tcBorders>
              <w:top w:val="single" w:color="auto" w:sz="4" w:space="0"/>
              <w:left w:val="single" w:color="auto" w:sz="4" w:space="0"/>
            </w:tcBorders>
            <w:shd w:val="clear" w:color="auto" w:fill="FFFFFF"/>
            <w:noWrap w:val="0"/>
            <w:vAlign w:val="top"/>
          </w:tcPr>
          <w:p w14:paraId="0444AF3D">
            <w:pPr>
              <w:rPr>
                <w:color w:val="000000" w:themeColor="text1"/>
                <w:szCs w:val="21"/>
                <w:highlight w:val="none"/>
                <w14:textFill>
                  <w14:solidFill>
                    <w14:schemeClr w14:val="tx1"/>
                  </w14:solidFill>
                </w14:textFill>
              </w:rPr>
            </w:pPr>
          </w:p>
        </w:tc>
        <w:tc>
          <w:tcPr>
            <w:tcW w:w="907" w:type="dxa"/>
            <w:tcBorders>
              <w:top w:val="single" w:color="auto" w:sz="4" w:space="0"/>
              <w:left w:val="single" w:color="auto" w:sz="4" w:space="0"/>
            </w:tcBorders>
            <w:shd w:val="clear" w:color="auto" w:fill="FFFFFF"/>
            <w:noWrap w:val="0"/>
            <w:vAlign w:val="top"/>
          </w:tcPr>
          <w:p w14:paraId="703B37BD">
            <w:pPr>
              <w:rPr>
                <w:color w:val="000000" w:themeColor="text1"/>
                <w:szCs w:val="21"/>
                <w:highlight w:val="none"/>
                <w14:textFill>
                  <w14:solidFill>
                    <w14:schemeClr w14:val="tx1"/>
                  </w14:solidFill>
                </w14:textFill>
              </w:rPr>
            </w:pPr>
          </w:p>
        </w:tc>
        <w:tc>
          <w:tcPr>
            <w:tcW w:w="917" w:type="dxa"/>
            <w:tcBorders>
              <w:top w:val="single" w:color="auto" w:sz="4" w:space="0"/>
              <w:left w:val="single" w:color="auto" w:sz="4" w:space="0"/>
              <w:right w:val="single" w:color="auto" w:sz="4" w:space="0"/>
            </w:tcBorders>
            <w:shd w:val="clear" w:color="auto" w:fill="FFFFFF"/>
            <w:noWrap w:val="0"/>
            <w:vAlign w:val="top"/>
          </w:tcPr>
          <w:p w14:paraId="4C04EC32">
            <w:pPr>
              <w:rPr>
                <w:color w:val="000000" w:themeColor="text1"/>
                <w:szCs w:val="21"/>
                <w:highlight w:val="none"/>
                <w14:textFill>
                  <w14:solidFill>
                    <w14:schemeClr w14:val="tx1"/>
                  </w14:solidFill>
                </w14:textFill>
              </w:rPr>
            </w:pPr>
          </w:p>
        </w:tc>
      </w:tr>
      <w:tr w14:paraId="098AD648">
        <w:tblPrEx>
          <w:tblCellMar>
            <w:top w:w="0" w:type="dxa"/>
            <w:left w:w="10" w:type="dxa"/>
            <w:bottom w:w="0" w:type="dxa"/>
            <w:right w:w="10" w:type="dxa"/>
          </w:tblCellMar>
        </w:tblPrEx>
        <w:trPr>
          <w:trHeight w:val="566" w:hRule="exact"/>
          <w:jc w:val="center"/>
        </w:trPr>
        <w:tc>
          <w:tcPr>
            <w:tcW w:w="576" w:type="dxa"/>
            <w:tcBorders>
              <w:top w:val="single" w:color="auto" w:sz="4" w:space="0"/>
              <w:left w:val="single" w:color="auto" w:sz="4" w:space="0"/>
            </w:tcBorders>
            <w:shd w:val="clear" w:color="auto" w:fill="FFFFFF"/>
            <w:noWrap w:val="0"/>
            <w:vAlign w:val="top"/>
          </w:tcPr>
          <w:p w14:paraId="5D08D428">
            <w:pPr>
              <w:rPr>
                <w:color w:val="000000" w:themeColor="text1"/>
                <w:szCs w:val="21"/>
                <w:highlight w:val="none"/>
                <w14:textFill>
                  <w14:solidFill>
                    <w14:schemeClr w14:val="tx1"/>
                  </w14:solidFill>
                </w14:textFill>
              </w:rPr>
            </w:pPr>
          </w:p>
        </w:tc>
        <w:tc>
          <w:tcPr>
            <w:tcW w:w="1416" w:type="dxa"/>
            <w:tcBorders>
              <w:top w:val="single" w:color="auto" w:sz="4" w:space="0"/>
              <w:left w:val="single" w:color="auto" w:sz="4" w:space="0"/>
            </w:tcBorders>
            <w:shd w:val="clear" w:color="auto" w:fill="FFFFFF"/>
            <w:noWrap w:val="0"/>
            <w:vAlign w:val="top"/>
          </w:tcPr>
          <w:p w14:paraId="647956D2">
            <w:pPr>
              <w:rPr>
                <w:color w:val="000000" w:themeColor="text1"/>
                <w:szCs w:val="21"/>
                <w:highlight w:val="none"/>
                <w14:textFill>
                  <w14:solidFill>
                    <w14:schemeClr w14:val="tx1"/>
                  </w14:solidFill>
                </w14:textFill>
              </w:rPr>
            </w:pPr>
          </w:p>
        </w:tc>
        <w:tc>
          <w:tcPr>
            <w:tcW w:w="907" w:type="dxa"/>
            <w:tcBorders>
              <w:top w:val="single" w:color="auto" w:sz="4" w:space="0"/>
              <w:left w:val="single" w:color="auto" w:sz="4" w:space="0"/>
            </w:tcBorders>
            <w:shd w:val="clear" w:color="auto" w:fill="FFFFFF"/>
            <w:noWrap w:val="0"/>
            <w:vAlign w:val="top"/>
          </w:tcPr>
          <w:p w14:paraId="324AD321">
            <w:pPr>
              <w:rPr>
                <w:color w:val="000000" w:themeColor="text1"/>
                <w:szCs w:val="21"/>
                <w:highlight w:val="none"/>
                <w14:textFill>
                  <w14:solidFill>
                    <w14:schemeClr w14:val="tx1"/>
                  </w14:solidFill>
                </w14:textFill>
              </w:rPr>
            </w:pPr>
          </w:p>
        </w:tc>
        <w:tc>
          <w:tcPr>
            <w:tcW w:w="907" w:type="dxa"/>
            <w:tcBorders>
              <w:top w:val="single" w:color="auto" w:sz="4" w:space="0"/>
              <w:left w:val="single" w:color="auto" w:sz="4" w:space="0"/>
            </w:tcBorders>
            <w:shd w:val="clear" w:color="auto" w:fill="FFFFFF"/>
            <w:noWrap w:val="0"/>
            <w:vAlign w:val="top"/>
          </w:tcPr>
          <w:p w14:paraId="7D2BFCA0">
            <w:pPr>
              <w:rPr>
                <w:color w:val="000000" w:themeColor="text1"/>
                <w:szCs w:val="21"/>
                <w:highlight w:val="none"/>
                <w14:textFill>
                  <w14:solidFill>
                    <w14:schemeClr w14:val="tx1"/>
                  </w14:solidFill>
                </w14:textFill>
              </w:rPr>
            </w:pPr>
          </w:p>
        </w:tc>
        <w:tc>
          <w:tcPr>
            <w:tcW w:w="907" w:type="dxa"/>
            <w:tcBorders>
              <w:top w:val="single" w:color="auto" w:sz="4" w:space="0"/>
              <w:left w:val="single" w:color="auto" w:sz="4" w:space="0"/>
            </w:tcBorders>
            <w:shd w:val="clear" w:color="auto" w:fill="FFFFFF"/>
            <w:noWrap w:val="0"/>
            <w:vAlign w:val="top"/>
          </w:tcPr>
          <w:p w14:paraId="0BC7F88B">
            <w:pPr>
              <w:rPr>
                <w:color w:val="000000" w:themeColor="text1"/>
                <w:szCs w:val="21"/>
                <w:highlight w:val="none"/>
                <w14:textFill>
                  <w14:solidFill>
                    <w14:schemeClr w14:val="tx1"/>
                  </w14:solidFill>
                </w14:textFill>
              </w:rPr>
            </w:pPr>
          </w:p>
        </w:tc>
        <w:tc>
          <w:tcPr>
            <w:tcW w:w="912" w:type="dxa"/>
            <w:tcBorders>
              <w:top w:val="single" w:color="auto" w:sz="4" w:space="0"/>
              <w:left w:val="single" w:color="auto" w:sz="4" w:space="0"/>
            </w:tcBorders>
            <w:shd w:val="clear" w:color="auto" w:fill="FFFFFF"/>
            <w:noWrap w:val="0"/>
            <w:vAlign w:val="top"/>
          </w:tcPr>
          <w:p w14:paraId="77131A0A">
            <w:pPr>
              <w:rPr>
                <w:color w:val="000000" w:themeColor="text1"/>
                <w:szCs w:val="21"/>
                <w:highlight w:val="none"/>
                <w14:textFill>
                  <w14:solidFill>
                    <w14:schemeClr w14:val="tx1"/>
                  </w14:solidFill>
                </w14:textFill>
              </w:rPr>
            </w:pPr>
          </w:p>
        </w:tc>
        <w:tc>
          <w:tcPr>
            <w:tcW w:w="902" w:type="dxa"/>
            <w:tcBorders>
              <w:top w:val="single" w:color="auto" w:sz="4" w:space="0"/>
              <w:left w:val="single" w:color="auto" w:sz="4" w:space="0"/>
            </w:tcBorders>
            <w:shd w:val="clear" w:color="auto" w:fill="FFFFFF"/>
            <w:noWrap w:val="0"/>
            <w:vAlign w:val="top"/>
          </w:tcPr>
          <w:p w14:paraId="5B62FD07">
            <w:pPr>
              <w:rPr>
                <w:color w:val="000000" w:themeColor="text1"/>
                <w:szCs w:val="21"/>
                <w:highlight w:val="none"/>
                <w14:textFill>
                  <w14:solidFill>
                    <w14:schemeClr w14:val="tx1"/>
                  </w14:solidFill>
                </w14:textFill>
              </w:rPr>
            </w:pPr>
          </w:p>
        </w:tc>
        <w:tc>
          <w:tcPr>
            <w:tcW w:w="907" w:type="dxa"/>
            <w:tcBorders>
              <w:top w:val="single" w:color="auto" w:sz="4" w:space="0"/>
              <w:left w:val="single" w:color="auto" w:sz="4" w:space="0"/>
            </w:tcBorders>
            <w:shd w:val="clear" w:color="auto" w:fill="FFFFFF"/>
            <w:noWrap w:val="0"/>
            <w:vAlign w:val="top"/>
          </w:tcPr>
          <w:p w14:paraId="33A9A288">
            <w:pPr>
              <w:rPr>
                <w:color w:val="000000" w:themeColor="text1"/>
                <w:szCs w:val="21"/>
                <w:highlight w:val="none"/>
                <w14:textFill>
                  <w14:solidFill>
                    <w14:schemeClr w14:val="tx1"/>
                  </w14:solidFill>
                </w14:textFill>
              </w:rPr>
            </w:pPr>
          </w:p>
        </w:tc>
        <w:tc>
          <w:tcPr>
            <w:tcW w:w="917" w:type="dxa"/>
            <w:tcBorders>
              <w:top w:val="single" w:color="auto" w:sz="4" w:space="0"/>
              <w:left w:val="single" w:color="auto" w:sz="4" w:space="0"/>
              <w:right w:val="single" w:color="auto" w:sz="4" w:space="0"/>
            </w:tcBorders>
            <w:shd w:val="clear" w:color="auto" w:fill="FFFFFF"/>
            <w:noWrap w:val="0"/>
            <w:vAlign w:val="top"/>
          </w:tcPr>
          <w:p w14:paraId="6E6BBC3B">
            <w:pPr>
              <w:rPr>
                <w:color w:val="000000" w:themeColor="text1"/>
                <w:szCs w:val="21"/>
                <w:highlight w:val="none"/>
                <w14:textFill>
                  <w14:solidFill>
                    <w14:schemeClr w14:val="tx1"/>
                  </w14:solidFill>
                </w14:textFill>
              </w:rPr>
            </w:pPr>
          </w:p>
        </w:tc>
      </w:tr>
      <w:tr w14:paraId="1C0D472E">
        <w:tblPrEx>
          <w:tblCellMar>
            <w:top w:w="0" w:type="dxa"/>
            <w:left w:w="10" w:type="dxa"/>
            <w:bottom w:w="0" w:type="dxa"/>
            <w:right w:w="10" w:type="dxa"/>
          </w:tblCellMar>
        </w:tblPrEx>
        <w:trPr>
          <w:trHeight w:val="566" w:hRule="exact"/>
          <w:jc w:val="center"/>
        </w:trPr>
        <w:tc>
          <w:tcPr>
            <w:tcW w:w="576" w:type="dxa"/>
            <w:tcBorders>
              <w:top w:val="single" w:color="auto" w:sz="4" w:space="0"/>
              <w:left w:val="single" w:color="auto" w:sz="4" w:space="0"/>
            </w:tcBorders>
            <w:shd w:val="clear" w:color="auto" w:fill="FFFFFF"/>
            <w:noWrap w:val="0"/>
            <w:vAlign w:val="top"/>
          </w:tcPr>
          <w:p w14:paraId="7CE3C1B0">
            <w:pPr>
              <w:rPr>
                <w:color w:val="000000" w:themeColor="text1"/>
                <w:szCs w:val="21"/>
                <w:highlight w:val="none"/>
                <w14:textFill>
                  <w14:solidFill>
                    <w14:schemeClr w14:val="tx1"/>
                  </w14:solidFill>
                </w14:textFill>
              </w:rPr>
            </w:pPr>
          </w:p>
        </w:tc>
        <w:tc>
          <w:tcPr>
            <w:tcW w:w="1416" w:type="dxa"/>
            <w:tcBorders>
              <w:top w:val="single" w:color="auto" w:sz="4" w:space="0"/>
              <w:left w:val="single" w:color="auto" w:sz="4" w:space="0"/>
            </w:tcBorders>
            <w:shd w:val="clear" w:color="auto" w:fill="FFFFFF"/>
            <w:noWrap w:val="0"/>
            <w:vAlign w:val="top"/>
          </w:tcPr>
          <w:p w14:paraId="036C18B4">
            <w:pPr>
              <w:rPr>
                <w:color w:val="000000" w:themeColor="text1"/>
                <w:szCs w:val="21"/>
                <w:highlight w:val="none"/>
                <w14:textFill>
                  <w14:solidFill>
                    <w14:schemeClr w14:val="tx1"/>
                  </w14:solidFill>
                </w14:textFill>
              </w:rPr>
            </w:pPr>
          </w:p>
        </w:tc>
        <w:tc>
          <w:tcPr>
            <w:tcW w:w="907" w:type="dxa"/>
            <w:tcBorders>
              <w:top w:val="single" w:color="auto" w:sz="4" w:space="0"/>
              <w:left w:val="single" w:color="auto" w:sz="4" w:space="0"/>
            </w:tcBorders>
            <w:shd w:val="clear" w:color="auto" w:fill="FFFFFF"/>
            <w:noWrap w:val="0"/>
            <w:vAlign w:val="top"/>
          </w:tcPr>
          <w:p w14:paraId="30F9445D">
            <w:pPr>
              <w:rPr>
                <w:color w:val="000000" w:themeColor="text1"/>
                <w:szCs w:val="21"/>
                <w:highlight w:val="none"/>
                <w14:textFill>
                  <w14:solidFill>
                    <w14:schemeClr w14:val="tx1"/>
                  </w14:solidFill>
                </w14:textFill>
              </w:rPr>
            </w:pPr>
          </w:p>
        </w:tc>
        <w:tc>
          <w:tcPr>
            <w:tcW w:w="907" w:type="dxa"/>
            <w:tcBorders>
              <w:top w:val="single" w:color="auto" w:sz="4" w:space="0"/>
              <w:left w:val="single" w:color="auto" w:sz="4" w:space="0"/>
            </w:tcBorders>
            <w:shd w:val="clear" w:color="auto" w:fill="FFFFFF"/>
            <w:noWrap w:val="0"/>
            <w:vAlign w:val="top"/>
          </w:tcPr>
          <w:p w14:paraId="71E500E6">
            <w:pPr>
              <w:rPr>
                <w:color w:val="000000" w:themeColor="text1"/>
                <w:szCs w:val="21"/>
                <w:highlight w:val="none"/>
                <w14:textFill>
                  <w14:solidFill>
                    <w14:schemeClr w14:val="tx1"/>
                  </w14:solidFill>
                </w14:textFill>
              </w:rPr>
            </w:pPr>
          </w:p>
        </w:tc>
        <w:tc>
          <w:tcPr>
            <w:tcW w:w="907" w:type="dxa"/>
            <w:tcBorders>
              <w:top w:val="single" w:color="auto" w:sz="4" w:space="0"/>
              <w:left w:val="single" w:color="auto" w:sz="4" w:space="0"/>
            </w:tcBorders>
            <w:shd w:val="clear" w:color="auto" w:fill="FFFFFF"/>
            <w:noWrap w:val="0"/>
            <w:vAlign w:val="top"/>
          </w:tcPr>
          <w:p w14:paraId="38F5ACC9">
            <w:pPr>
              <w:rPr>
                <w:color w:val="000000" w:themeColor="text1"/>
                <w:szCs w:val="21"/>
                <w:highlight w:val="none"/>
                <w14:textFill>
                  <w14:solidFill>
                    <w14:schemeClr w14:val="tx1"/>
                  </w14:solidFill>
                </w14:textFill>
              </w:rPr>
            </w:pPr>
          </w:p>
        </w:tc>
        <w:tc>
          <w:tcPr>
            <w:tcW w:w="912" w:type="dxa"/>
            <w:tcBorders>
              <w:top w:val="single" w:color="auto" w:sz="4" w:space="0"/>
              <w:left w:val="single" w:color="auto" w:sz="4" w:space="0"/>
            </w:tcBorders>
            <w:shd w:val="clear" w:color="auto" w:fill="FFFFFF"/>
            <w:noWrap w:val="0"/>
            <w:vAlign w:val="top"/>
          </w:tcPr>
          <w:p w14:paraId="5B54EB60">
            <w:pPr>
              <w:rPr>
                <w:color w:val="000000" w:themeColor="text1"/>
                <w:szCs w:val="21"/>
                <w:highlight w:val="none"/>
                <w14:textFill>
                  <w14:solidFill>
                    <w14:schemeClr w14:val="tx1"/>
                  </w14:solidFill>
                </w14:textFill>
              </w:rPr>
            </w:pPr>
          </w:p>
        </w:tc>
        <w:tc>
          <w:tcPr>
            <w:tcW w:w="902" w:type="dxa"/>
            <w:tcBorders>
              <w:top w:val="single" w:color="auto" w:sz="4" w:space="0"/>
              <w:left w:val="single" w:color="auto" w:sz="4" w:space="0"/>
            </w:tcBorders>
            <w:shd w:val="clear" w:color="auto" w:fill="FFFFFF"/>
            <w:noWrap w:val="0"/>
            <w:vAlign w:val="top"/>
          </w:tcPr>
          <w:p w14:paraId="723E2F70">
            <w:pPr>
              <w:rPr>
                <w:color w:val="000000" w:themeColor="text1"/>
                <w:szCs w:val="21"/>
                <w:highlight w:val="none"/>
                <w14:textFill>
                  <w14:solidFill>
                    <w14:schemeClr w14:val="tx1"/>
                  </w14:solidFill>
                </w14:textFill>
              </w:rPr>
            </w:pPr>
          </w:p>
        </w:tc>
        <w:tc>
          <w:tcPr>
            <w:tcW w:w="907" w:type="dxa"/>
            <w:tcBorders>
              <w:top w:val="single" w:color="auto" w:sz="4" w:space="0"/>
              <w:left w:val="single" w:color="auto" w:sz="4" w:space="0"/>
            </w:tcBorders>
            <w:shd w:val="clear" w:color="auto" w:fill="FFFFFF"/>
            <w:noWrap w:val="0"/>
            <w:vAlign w:val="top"/>
          </w:tcPr>
          <w:p w14:paraId="36CD8C2F">
            <w:pPr>
              <w:rPr>
                <w:color w:val="000000" w:themeColor="text1"/>
                <w:szCs w:val="21"/>
                <w:highlight w:val="none"/>
                <w14:textFill>
                  <w14:solidFill>
                    <w14:schemeClr w14:val="tx1"/>
                  </w14:solidFill>
                </w14:textFill>
              </w:rPr>
            </w:pPr>
          </w:p>
        </w:tc>
        <w:tc>
          <w:tcPr>
            <w:tcW w:w="917" w:type="dxa"/>
            <w:tcBorders>
              <w:top w:val="single" w:color="auto" w:sz="4" w:space="0"/>
              <w:left w:val="single" w:color="auto" w:sz="4" w:space="0"/>
              <w:right w:val="single" w:color="auto" w:sz="4" w:space="0"/>
            </w:tcBorders>
            <w:shd w:val="clear" w:color="auto" w:fill="FFFFFF"/>
            <w:noWrap w:val="0"/>
            <w:vAlign w:val="top"/>
          </w:tcPr>
          <w:p w14:paraId="1B27A748">
            <w:pPr>
              <w:rPr>
                <w:color w:val="000000" w:themeColor="text1"/>
                <w:szCs w:val="21"/>
                <w:highlight w:val="none"/>
                <w14:textFill>
                  <w14:solidFill>
                    <w14:schemeClr w14:val="tx1"/>
                  </w14:solidFill>
                </w14:textFill>
              </w:rPr>
            </w:pPr>
          </w:p>
        </w:tc>
      </w:tr>
      <w:tr w14:paraId="6D69EC7E">
        <w:tblPrEx>
          <w:tblCellMar>
            <w:top w:w="0" w:type="dxa"/>
            <w:left w:w="10" w:type="dxa"/>
            <w:bottom w:w="0" w:type="dxa"/>
            <w:right w:w="10" w:type="dxa"/>
          </w:tblCellMar>
        </w:tblPrEx>
        <w:trPr>
          <w:trHeight w:val="571" w:hRule="exact"/>
          <w:jc w:val="center"/>
        </w:trPr>
        <w:tc>
          <w:tcPr>
            <w:tcW w:w="576" w:type="dxa"/>
            <w:tcBorders>
              <w:top w:val="single" w:color="auto" w:sz="4" w:space="0"/>
              <w:left w:val="single" w:color="auto" w:sz="4" w:space="0"/>
            </w:tcBorders>
            <w:shd w:val="clear" w:color="auto" w:fill="FFFFFF"/>
            <w:noWrap w:val="0"/>
            <w:vAlign w:val="top"/>
          </w:tcPr>
          <w:p w14:paraId="6DD596F8">
            <w:pPr>
              <w:rPr>
                <w:color w:val="000000" w:themeColor="text1"/>
                <w:szCs w:val="21"/>
                <w:highlight w:val="none"/>
                <w14:textFill>
                  <w14:solidFill>
                    <w14:schemeClr w14:val="tx1"/>
                  </w14:solidFill>
                </w14:textFill>
              </w:rPr>
            </w:pPr>
          </w:p>
        </w:tc>
        <w:tc>
          <w:tcPr>
            <w:tcW w:w="1416" w:type="dxa"/>
            <w:tcBorders>
              <w:top w:val="single" w:color="auto" w:sz="4" w:space="0"/>
              <w:left w:val="single" w:color="auto" w:sz="4" w:space="0"/>
            </w:tcBorders>
            <w:shd w:val="clear" w:color="auto" w:fill="FFFFFF"/>
            <w:noWrap w:val="0"/>
            <w:vAlign w:val="top"/>
          </w:tcPr>
          <w:p w14:paraId="64101019">
            <w:pPr>
              <w:rPr>
                <w:color w:val="000000" w:themeColor="text1"/>
                <w:szCs w:val="21"/>
                <w:highlight w:val="none"/>
                <w14:textFill>
                  <w14:solidFill>
                    <w14:schemeClr w14:val="tx1"/>
                  </w14:solidFill>
                </w14:textFill>
              </w:rPr>
            </w:pPr>
          </w:p>
        </w:tc>
        <w:tc>
          <w:tcPr>
            <w:tcW w:w="907" w:type="dxa"/>
            <w:tcBorders>
              <w:top w:val="single" w:color="auto" w:sz="4" w:space="0"/>
              <w:left w:val="single" w:color="auto" w:sz="4" w:space="0"/>
            </w:tcBorders>
            <w:shd w:val="clear" w:color="auto" w:fill="FFFFFF"/>
            <w:noWrap w:val="0"/>
            <w:vAlign w:val="top"/>
          </w:tcPr>
          <w:p w14:paraId="17DD2CD8">
            <w:pPr>
              <w:rPr>
                <w:color w:val="000000" w:themeColor="text1"/>
                <w:szCs w:val="21"/>
                <w:highlight w:val="none"/>
                <w14:textFill>
                  <w14:solidFill>
                    <w14:schemeClr w14:val="tx1"/>
                  </w14:solidFill>
                </w14:textFill>
              </w:rPr>
            </w:pPr>
          </w:p>
        </w:tc>
        <w:tc>
          <w:tcPr>
            <w:tcW w:w="907" w:type="dxa"/>
            <w:tcBorders>
              <w:top w:val="single" w:color="auto" w:sz="4" w:space="0"/>
              <w:left w:val="single" w:color="auto" w:sz="4" w:space="0"/>
            </w:tcBorders>
            <w:shd w:val="clear" w:color="auto" w:fill="FFFFFF"/>
            <w:noWrap w:val="0"/>
            <w:vAlign w:val="top"/>
          </w:tcPr>
          <w:p w14:paraId="1E33117E">
            <w:pPr>
              <w:rPr>
                <w:color w:val="000000" w:themeColor="text1"/>
                <w:szCs w:val="21"/>
                <w:highlight w:val="none"/>
                <w14:textFill>
                  <w14:solidFill>
                    <w14:schemeClr w14:val="tx1"/>
                  </w14:solidFill>
                </w14:textFill>
              </w:rPr>
            </w:pPr>
          </w:p>
        </w:tc>
        <w:tc>
          <w:tcPr>
            <w:tcW w:w="907" w:type="dxa"/>
            <w:tcBorders>
              <w:top w:val="single" w:color="auto" w:sz="4" w:space="0"/>
              <w:left w:val="single" w:color="auto" w:sz="4" w:space="0"/>
            </w:tcBorders>
            <w:shd w:val="clear" w:color="auto" w:fill="FFFFFF"/>
            <w:noWrap w:val="0"/>
            <w:vAlign w:val="top"/>
          </w:tcPr>
          <w:p w14:paraId="1F70D191">
            <w:pPr>
              <w:rPr>
                <w:color w:val="000000" w:themeColor="text1"/>
                <w:szCs w:val="21"/>
                <w:highlight w:val="none"/>
                <w14:textFill>
                  <w14:solidFill>
                    <w14:schemeClr w14:val="tx1"/>
                  </w14:solidFill>
                </w14:textFill>
              </w:rPr>
            </w:pPr>
          </w:p>
        </w:tc>
        <w:tc>
          <w:tcPr>
            <w:tcW w:w="912" w:type="dxa"/>
            <w:tcBorders>
              <w:top w:val="single" w:color="auto" w:sz="4" w:space="0"/>
              <w:left w:val="single" w:color="auto" w:sz="4" w:space="0"/>
            </w:tcBorders>
            <w:shd w:val="clear" w:color="auto" w:fill="FFFFFF"/>
            <w:noWrap w:val="0"/>
            <w:vAlign w:val="top"/>
          </w:tcPr>
          <w:p w14:paraId="121C04CA">
            <w:pPr>
              <w:rPr>
                <w:color w:val="000000" w:themeColor="text1"/>
                <w:szCs w:val="21"/>
                <w:highlight w:val="none"/>
                <w14:textFill>
                  <w14:solidFill>
                    <w14:schemeClr w14:val="tx1"/>
                  </w14:solidFill>
                </w14:textFill>
              </w:rPr>
            </w:pPr>
          </w:p>
        </w:tc>
        <w:tc>
          <w:tcPr>
            <w:tcW w:w="902" w:type="dxa"/>
            <w:tcBorders>
              <w:top w:val="single" w:color="auto" w:sz="4" w:space="0"/>
              <w:left w:val="single" w:color="auto" w:sz="4" w:space="0"/>
            </w:tcBorders>
            <w:shd w:val="clear" w:color="auto" w:fill="FFFFFF"/>
            <w:noWrap w:val="0"/>
            <w:vAlign w:val="top"/>
          </w:tcPr>
          <w:p w14:paraId="1D57AF2C">
            <w:pPr>
              <w:rPr>
                <w:color w:val="000000" w:themeColor="text1"/>
                <w:szCs w:val="21"/>
                <w:highlight w:val="none"/>
                <w14:textFill>
                  <w14:solidFill>
                    <w14:schemeClr w14:val="tx1"/>
                  </w14:solidFill>
                </w14:textFill>
              </w:rPr>
            </w:pPr>
          </w:p>
        </w:tc>
        <w:tc>
          <w:tcPr>
            <w:tcW w:w="907" w:type="dxa"/>
            <w:tcBorders>
              <w:top w:val="single" w:color="auto" w:sz="4" w:space="0"/>
              <w:left w:val="single" w:color="auto" w:sz="4" w:space="0"/>
            </w:tcBorders>
            <w:shd w:val="clear" w:color="auto" w:fill="FFFFFF"/>
            <w:noWrap w:val="0"/>
            <w:vAlign w:val="top"/>
          </w:tcPr>
          <w:p w14:paraId="156E0092">
            <w:pPr>
              <w:rPr>
                <w:color w:val="000000" w:themeColor="text1"/>
                <w:szCs w:val="21"/>
                <w:highlight w:val="none"/>
                <w14:textFill>
                  <w14:solidFill>
                    <w14:schemeClr w14:val="tx1"/>
                  </w14:solidFill>
                </w14:textFill>
              </w:rPr>
            </w:pPr>
          </w:p>
        </w:tc>
        <w:tc>
          <w:tcPr>
            <w:tcW w:w="917" w:type="dxa"/>
            <w:tcBorders>
              <w:top w:val="single" w:color="auto" w:sz="4" w:space="0"/>
              <w:left w:val="single" w:color="auto" w:sz="4" w:space="0"/>
              <w:right w:val="single" w:color="auto" w:sz="4" w:space="0"/>
            </w:tcBorders>
            <w:shd w:val="clear" w:color="auto" w:fill="FFFFFF"/>
            <w:noWrap w:val="0"/>
            <w:vAlign w:val="top"/>
          </w:tcPr>
          <w:p w14:paraId="25183B23">
            <w:pPr>
              <w:rPr>
                <w:color w:val="000000" w:themeColor="text1"/>
                <w:szCs w:val="21"/>
                <w:highlight w:val="none"/>
                <w14:textFill>
                  <w14:solidFill>
                    <w14:schemeClr w14:val="tx1"/>
                  </w14:solidFill>
                </w14:textFill>
              </w:rPr>
            </w:pPr>
          </w:p>
        </w:tc>
      </w:tr>
      <w:tr w14:paraId="0DB31E9E">
        <w:tblPrEx>
          <w:tblCellMar>
            <w:top w:w="0" w:type="dxa"/>
            <w:left w:w="10" w:type="dxa"/>
            <w:bottom w:w="0" w:type="dxa"/>
            <w:right w:w="10" w:type="dxa"/>
          </w:tblCellMar>
        </w:tblPrEx>
        <w:trPr>
          <w:trHeight w:val="566" w:hRule="exact"/>
          <w:jc w:val="center"/>
        </w:trPr>
        <w:tc>
          <w:tcPr>
            <w:tcW w:w="576" w:type="dxa"/>
            <w:tcBorders>
              <w:top w:val="single" w:color="auto" w:sz="4" w:space="0"/>
              <w:left w:val="single" w:color="auto" w:sz="4" w:space="0"/>
            </w:tcBorders>
            <w:shd w:val="clear" w:color="auto" w:fill="FFFFFF"/>
            <w:noWrap w:val="0"/>
            <w:vAlign w:val="top"/>
          </w:tcPr>
          <w:p w14:paraId="11502CC9">
            <w:pPr>
              <w:rPr>
                <w:color w:val="000000" w:themeColor="text1"/>
                <w:szCs w:val="21"/>
                <w:highlight w:val="none"/>
                <w14:textFill>
                  <w14:solidFill>
                    <w14:schemeClr w14:val="tx1"/>
                  </w14:solidFill>
                </w14:textFill>
              </w:rPr>
            </w:pPr>
          </w:p>
        </w:tc>
        <w:tc>
          <w:tcPr>
            <w:tcW w:w="1416" w:type="dxa"/>
            <w:tcBorders>
              <w:top w:val="single" w:color="auto" w:sz="4" w:space="0"/>
              <w:left w:val="single" w:color="auto" w:sz="4" w:space="0"/>
            </w:tcBorders>
            <w:shd w:val="clear" w:color="auto" w:fill="FFFFFF"/>
            <w:noWrap w:val="0"/>
            <w:vAlign w:val="top"/>
          </w:tcPr>
          <w:p w14:paraId="6EE49B5A">
            <w:pPr>
              <w:rPr>
                <w:color w:val="000000" w:themeColor="text1"/>
                <w:szCs w:val="21"/>
                <w:highlight w:val="none"/>
                <w14:textFill>
                  <w14:solidFill>
                    <w14:schemeClr w14:val="tx1"/>
                  </w14:solidFill>
                </w14:textFill>
              </w:rPr>
            </w:pPr>
          </w:p>
        </w:tc>
        <w:tc>
          <w:tcPr>
            <w:tcW w:w="907" w:type="dxa"/>
            <w:tcBorders>
              <w:top w:val="single" w:color="auto" w:sz="4" w:space="0"/>
              <w:left w:val="single" w:color="auto" w:sz="4" w:space="0"/>
            </w:tcBorders>
            <w:shd w:val="clear" w:color="auto" w:fill="FFFFFF"/>
            <w:noWrap w:val="0"/>
            <w:vAlign w:val="top"/>
          </w:tcPr>
          <w:p w14:paraId="42B56442">
            <w:pPr>
              <w:rPr>
                <w:color w:val="000000" w:themeColor="text1"/>
                <w:szCs w:val="21"/>
                <w:highlight w:val="none"/>
                <w14:textFill>
                  <w14:solidFill>
                    <w14:schemeClr w14:val="tx1"/>
                  </w14:solidFill>
                </w14:textFill>
              </w:rPr>
            </w:pPr>
          </w:p>
        </w:tc>
        <w:tc>
          <w:tcPr>
            <w:tcW w:w="907" w:type="dxa"/>
            <w:tcBorders>
              <w:top w:val="single" w:color="auto" w:sz="4" w:space="0"/>
              <w:left w:val="single" w:color="auto" w:sz="4" w:space="0"/>
            </w:tcBorders>
            <w:shd w:val="clear" w:color="auto" w:fill="FFFFFF"/>
            <w:noWrap w:val="0"/>
            <w:vAlign w:val="top"/>
          </w:tcPr>
          <w:p w14:paraId="2D8C7E44">
            <w:pPr>
              <w:rPr>
                <w:color w:val="000000" w:themeColor="text1"/>
                <w:szCs w:val="21"/>
                <w:highlight w:val="none"/>
                <w14:textFill>
                  <w14:solidFill>
                    <w14:schemeClr w14:val="tx1"/>
                  </w14:solidFill>
                </w14:textFill>
              </w:rPr>
            </w:pPr>
          </w:p>
        </w:tc>
        <w:tc>
          <w:tcPr>
            <w:tcW w:w="907" w:type="dxa"/>
            <w:tcBorders>
              <w:top w:val="single" w:color="auto" w:sz="4" w:space="0"/>
              <w:left w:val="single" w:color="auto" w:sz="4" w:space="0"/>
            </w:tcBorders>
            <w:shd w:val="clear" w:color="auto" w:fill="FFFFFF"/>
            <w:noWrap w:val="0"/>
            <w:vAlign w:val="top"/>
          </w:tcPr>
          <w:p w14:paraId="116AAEAA">
            <w:pPr>
              <w:rPr>
                <w:color w:val="000000" w:themeColor="text1"/>
                <w:szCs w:val="21"/>
                <w:highlight w:val="none"/>
                <w14:textFill>
                  <w14:solidFill>
                    <w14:schemeClr w14:val="tx1"/>
                  </w14:solidFill>
                </w14:textFill>
              </w:rPr>
            </w:pPr>
          </w:p>
        </w:tc>
        <w:tc>
          <w:tcPr>
            <w:tcW w:w="912" w:type="dxa"/>
            <w:tcBorders>
              <w:top w:val="single" w:color="auto" w:sz="4" w:space="0"/>
              <w:left w:val="single" w:color="auto" w:sz="4" w:space="0"/>
            </w:tcBorders>
            <w:shd w:val="clear" w:color="auto" w:fill="FFFFFF"/>
            <w:noWrap w:val="0"/>
            <w:vAlign w:val="top"/>
          </w:tcPr>
          <w:p w14:paraId="33B7CF72">
            <w:pPr>
              <w:rPr>
                <w:color w:val="000000" w:themeColor="text1"/>
                <w:szCs w:val="21"/>
                <w:highlight w:val="none"/>
                <w14:textFill>
                  <w14:solidFill>
                    <w14:schemeClr w14:val="tx1"/>
                  </w14:solidFill>
                </w14:textFill>
              </w:rPr>
            </w:pPr>
          </w:p>
        </w:tc>
        <w:tc>
          <w:tcPr>
            <w:tcW w:w="902" w:type="dxa"/>
            <w:tcBorders>
              <w:top w:val="single" w:color="auto" w:sz="4" w:space="0"/>
              <w:left w:val="single" w:color="auto" w:sz="4" w:space="0"/>
            </w:tcBorders>
            <w:shd w:val="clear" w:color="auto" w:fill="FFFFFF"/>
            <w:noWrap w:val="0"/>
            <w:vAlign w:val="top"/>
          </w:tcPr>
          <w:p w14:paraId="3C8727BE">
            <w:pPr>
              <w:rPr>
                <w:color w:val="000000" w:themeColor="text1"/>
                <w:szCs w:val="21"/>
                <w:highlight w:val="none"/>
                <w14:textFill>
                  <w14:solidFill>
                    <w14:schemeClr w14:val="tx1"/>
                  </w14:solidFill>
                </w14:textFill>
              </w:rPr>
            </w:pPr>
          </w:p>
        </w:tc>
        <w:tc>
          <w:tcPr>
            <w:tcW w:w="907" w:type="dxa"/>
            <w:tcBorders>
              <w:top w:val="single" w:color="auto" w:sz="4" w:space="0"/>
              <w:left w:val="single" w:color="auto" w:sz="4" w:space="0"/>
            </w:tcBorders>
            <w:shd w:val="clear" w:color="auto" w:fill="FFFFFF"/>
            <w:noWrap w:val="0"/>
            <w:vAlign w:val="top"/>
          </w:tcPr>
          <w:p w14:paraId="4C9DF2BA">
            <w:pPr>
              <w:rPr>
                <w:color w:val="000000" w:themeColor="text1"/>
                <w:szCs w:val="21"/>
                <w:highlight w:val="none"/>
                <w14:textFill>
                  <w14:solidFill>
                    <w14:schemeClr w14:val="tx1"/>
                  </w14:solidFill>
                </w14:textFill>
              </w:rPr>
            </w:pPr>
          </w:p>
        </w:tc>
        <w:tc>
          <w:tcPr>
            <w:tcW w:w="917" w:type="dxa"/>
            <w:tcBorders>
              <w:top w:val="single" w:color="auto" w:sz="4" w:space="0"/>
              <w:left w:val="single" w:color="auto" w:sz="4" w:space="0"/>
              <w:right w:val="single" w:color="auto" w:sz="4" w:space="0"/>
            </w:tcBorders>
            <w:shd w:val="clear" w:color="auto" w:fill="FFFFFF"/>
            <w:noWrap w:val="0"/>
            <w:vAlign w:val="top"/>
          </w:tcPr>
          <w:p w14:paraId="5C775D80">
            <w:pPr>
              <w:rPr>
                <w:color w:val="000000" w:themeColor="text1"/>
                <w:szCs w:val="21"/>
                <w:highlight w:val="none"/>
                <w14:textFill>
                  <w14:solidFill>
                    <w14:schemeClr w14:val="tx1"/>
                  </w14:solidFill>
                </w14:textFill>
              </w:rPr>
            </w:pPr>
          </w:p>
        </w:tc>
      </w:tr>
      <w:tr w14:paraId="7E60806B">
        <w:tblPrEx>
          <w:tblCellMar>
            <w:top w:w="0" w:type="dxa"/>
            <w:left w:w="10" w:type="dxa"/>
            <w:bottom w:w="0" w:type="dxa"/>
            <w:right w:w="10" w:type="dxa"/>
          </w:tblCellMar>
        </w:tblPrEx>
        <w:trPr>
          <w:trHeight w:val="566" w:hRule="exact"/>
          <w:jc w:val="center"/>
        </w:trPr>
        <w:tc>
          <w:tcPr>
            <w:tcW w:w="576" w:type="dxa"/>
            <w:tcBorders>
              <w:top w:val="single" w:color="auto" w:sz="4" w:space="0"/>
              <w:left w:val="single" w:color="auto" w:sz="4" w:space="0"/>
            </w:tcBorders>
            <w:shd w:val="clear" w:color="auto" w:fill="FFFFFF"/>
            <w:noWrap w:val="0"/>
            <w:vAlign w:val="top"/>
          </w:tcPr>
          <w:p w14:paraId="42EB40C4">
            <w:pPr>
              <w:rPr>
                <w:color w:val="000000" w:themeColor="text1"/>
                <w:szCs w:val="21"/>
                <w:highlight w:val="none"/>
                <w14:textFill>
                  <w14:solidFill>
                    <w14:schemeClr w14:val="tx1"/>
                  </w14:solidFill>
                </w14:textFill>
              </w:rPr>
            </w:pPr>
          </w:p>
        </w:tc>
        <w:tc>
          <w:tcPr>
            <w:tcW w:w="1416" w:type="dxa"/>
            <w:tcBorders>
              <w:top w:val="single" w:color="auto" w:sz="4" w:space="0"/>
              <w:left w:val="single" w:color="auto" w:sz="4" w:space="0"/>
            </w:tcBorders>
            <w:shd w:val="clear" w:color="auto" w:fill="FFFFFF"/>
            <w:noWrap w:val="0"/>
            <w:vAlign w:val="top"/>
          </w:tcPr>
          <w:p w14:paraId="23D15594">
            <w:pPr>
              <w:rPr>
                <w:color w:val="000000" w:themeColor="text1"/>
                <w:szCs w:val="21"/>
                <w:highlight w:val="none"/>
                <w14:textFill>
                  <w14:solidFill>
                    <w14:schemeClr w14:val="tx1"/>
                  </w14:solidFill>
                </w14:textFill>
              </w:rPr>
            </w:pPr>
          </w:p>
        </w:tc>
        <w:tc>
          <w:tcPr>
            <w:tcW w:w="907" w:type="dxa"/>
            <w:tcBorders>
              <w:top w:val="single" w:color="auto" w:sz="4" w:space="0"/>
              <w:left w:val="single" w:color="auto" w:sz="4" w:space="0"/>
            </w:tcBorders>
            <w:shd w:val="clear" w:color="auto" w:fill="FFFFFF"/>
            <w:noWrap w:val="0"/>
            <w:vAlign w:val="top"/>
          </w:tcPr>
          <w:p w14:paraId="5964FC69">
            <w:pPr>
              <w:rPr>
                <w:color w:val="000000" w:themeColor="text1"/>
                <w:szCs w:val="21"/>
                <w:highlight w:val="none"/>
                <w14:textFill>
                  <w14:solidFill>
                    <w14:schemeClr w14:val="tx1"/>
                  </w14:solidFill>
                </w14:textFill>
              </w:rPr>
            </w:pPr>
          </w:p>
        </w:tc>
        <w:tc>
          <w:tcPr>
            <w:tcW w:w="907" w:type="dxa"/>
            <w:tcBorders>
              <w:top w:val="single" w:color="auto" w:sz="4" w:space="0"/>
              <w:left w:val="single" w:color="auto" w:sz="4" w:space="0"/>
            </w:tcBorders>
            <w:shd w:val="clear" w:color="auto" w:fill="FFFFFF"/>
            <w:noWrap w:val="0"/>
            <w:vAlign w:val="top"/>
          </w:tcPr>
          <w:p w14:paraId="2BB2A2EC">
            <w:pPr>
              <w:rPr>
                <w:color w:val="000000" w:themeColor="text1"/>
                <w:szCs w:val="21"/>
                <w:highlight w:val="none"/>
                <w14:textFill>
                  <w14:solidFill>
                    <w14:schemeClr w14:val="tx1"/>
                  </w14:solidFill>
                </w14:textFill>
              </w:rPr>
            </w:pPr>
          </w:p>
        </w:tc>
        <w:tc>
          <w:tcPr>
            <w:tcW w:w="907" w:type="dxa"/>
            <w:tcBorders>
              <w:top w:val="single" w:color="auto" w:sz="4" w:space="0"/>
              <w:left w:val="single" w:color="auto" w:sz="4" w:space="0"/>
            </w:tcBorders>
            <w:shd w:val="clear" w:color="auto" w:fill="FFFFFF"/>
            <w:noWrap w:val="0"/>
            <w:vAlign w:val="top"/>
          </w:tcPr>
          <w:p w14:paraId="33684414">
            <w:pPr>
              <w:rPr>
                <w:color w:val="000000" w:themeColor="text1"/>
                <w:szCs w:val="21"/>
                <w:highlight w:val="none"/>
                <w14:textFill>
                  <w14:solidFill>
                    <w14:schemeClr w14:val="tx1"/>
                  </w14:solidFill>
                </w14:textFill>
              </w:rPr>
            </w:pPr>
          </w:p>
        </w:tc>
        <w:tc>
          <w:tcPr>
            <w:tcW w:w="912" w:type="dxa"/>
            <w:tcBorders>
              <w:top w:val="single" w:color="auto" w:sz="4" w:space="0"/>
              <w:left w:val="single" w:color="auto" w:sz="4" w:space="0"/>
            </w:tcBorders>
            <w:shd w:val="clear" w:color="auto" w:fill="FFFFFF"/>
            <w:noWrap w:val="0"/>
            <w:vAlign w:val="top"/>
          </w:tcPr>
          <w:p w14:paraId="725C5064">
            <w:pPr>
              <w:rPr>
                <w:color w:val="000000" w:themeColor="text1"/>
                <w:szCs w:val="21"/>
                <w:highlight w:val="none"/>
                <w14:textFill>
                  <w14:solidFill>
                    <w14:schemeClr w14:val="tx1"/>
                  </w14:solidFill>
                </w14:textFill>
              </w:rPr>
            </w:pPr>
          </w:p>
        </w:tc>
        <w:tc>
          <w:tcPr>
            <w:tcW w:w="902" w:type="dxa"/>
            <w:tcBorders>
              <w:top w:val="single" w:color="auto" w:sz="4" w:space="0"/>
              <w:left w:val="single" w:color="auto" w:sz="4" w:space="0"/>
            </w:tcBorders>
            <w:shd w:val="clear" w:color="auto" w:fill="FFFFFF"/>
            <w:noWrap w:val="0"/>
            <w:vAlign w:val="top"/>
          </w:tcPr>
          <w:p w14:paraId="0115C58D">
            <w:pPr>
              <w:rPr>
                <w:color w:val="000000" w:themeColor="text1"/>
                <w:szCs w:val="21"/>
                <w:highlight w:val="none"/>
                <w14:textFill>
                  <w14:solidFill>
                    <w14:schemeClr w14:val="tx1"/>
                  </w14:solidFill>
                </w14:textFill>
              </w:rPr>
            </w:pPr>
          </w:p>
        </w:tc>
        <w:tc>
          <w:tcPr>
            <w:tcW w:w="907" w:type="dxa"/>
            <w:tcBorders>
              <w:top w:val="single" w:color="auto" w:sz="4" w:space="0"/>
              <w:left w:val="single" w:color="auto" w:sz="4" w:space="0"/>
            </w:tcBorders>
            <w:shd w:val="clear" w:color="auto" w:fill="FFFFFF"/>
            <w:noWrap w:val="0"/>
            <w:vAlign w:val="top"/>
          </w:tcPr>
          <w:p w14:paraId="182777B0">
            <w:pPr>
              <w:rPr>
                <w:color w:val="000000" w:themeColor="text1"/>
                <w:szCs w:val="21"/>
                <w:highlight w:val="none"/>
                <w14:textFill>
                  <w14:solidFill>
                    <w14:schemeClr w14:val="tx1"/>
                  </w14:solidFill>
                </w14:textFill>
              </w:rPr>
            </w:pPr>
          </w:p>
        </w:tc>
        <w:tc>
          <w:tcPr>
            <w:tcW w:w="917" w:type="dxa"/>
            <w:tcBorders>
              <w:top w:val="single" w:color="auto" w:sz="4" w:space="0"/>
              <w:left w:val="single" w:color="auto" w:sz="4" w:space="0"/>
              <w:right w:val="single" w:color="auto" w:sz="4" w:space="0"/>
            </w:tcBorders>
            <w:shd w:val="clear" w:color="auto" w:fill="FFFFFF"/>
            <w:noWrap w:val="0"/>
            <w:vAlign w:val="top"/>
          </w:tcPr>
          <w:p w14:paraId="0FE99C76">
            <w:pPr>
              <w:rPr>
                <w:color w:val="000000" w:themeColor="text1"/>
                <w:szCs w:val="21"/>
                <w:highlight w:val="none"/>
                <w14:textFill>
                  <w14:solidFill>
                    <w14:schemeClr w14:val="tx1"/>
                  </w14:solidFill>
                </w14:textFill>
              </w:rPr>
            </w:pPr>
          </w:p>
        </w:tc>
      </w:tr>
      <w:tr w14:paraId="3708D172">
        <w:tblPrEx>
          <w:tblCellMar>
            <w:top w:w="0" w:type="dxa"/>
            <w:left w:w="10" w:type="dxa"/>
            <w:bottom w:w="0" w:type="dxa"/>
            <w:right w:w="10" w:type="dxa"/>
          </w:tblCellMar>
        </w:tblPrEx>
        <w:trPr>
          <w:trHeight w:val="566" w:hRule="exact"/>
          <w:jc w:val="center"/>
        </w:trPr>
        <w:tc>
          <w:tcPr>
            <w:tcW w:w="576" w:type="dxa"/>
            <w:tcBorders>
              <w:top w:val="single" w:color="auto" w:sz="4" w:space="0"/>
              <w:left w:val="single" w:color="auto" w:sz="4" w:space="0"/>
            </w:tcBorders>
            <w:shd w:val="clear" w:color="auto" w:fill="FFFFFF"/>
            <w:noWrap w:val="0"/>
            <w:vAlign w:val="top"/>
          </w:tcPr>
          <w:p w14:paraId="4D22BBB6">
            <w:pPr>
              <w:rPr>
                <w:color w:val="000000" w:themeColor="text1"/>
                <w:szCs w:val="21"/>
                <w:highlight w:val="none"/>
                <w14:textFill>
                  <w14:solidFill>
                    <w14:schemeClr w14:val="tx1"/>
                  </w14:solidFill>
                </w14:textFill>
              </w:rPr>
            </w:pPr>
          </w:p>
        </w:tc>
        <w:tc>
          <w:tcPr>
            <w:tcW w:w="1416" w:type="dxa"/>
            <w:tcBorders>
              <w:top w:val="single" w:color="auto" w:sz="4" w:space="0"/>
              <w:left w:val="single" w:color="auto" w:sz="4" w:space="0"/>
            </w:tcBorders>
            <w:shd w:val="clear" w:color="auto" w:fill="FFFFFF"/>
            <w:noWrap w:val="0"/>
            <w:vAlign w:val="top"/>
          </w:tcPr>
          <w:p w14:paraId="44F3FF07">
            <w:pPr>
              <w:rPr>
                <w:color w:val="000000" w:themeColor="text1"/>
                <w:szCs w:val="21"/>
                <w:highlight w:val="none"/>
                <w14:textFill>
                  <w14:solidFill>
                    <w14:schemeClr w14:val="tx1"/>
                  </w14:solidFill>
                </w14:textFill>
              </w:rPr>
            </w:pPr>
          </w:p>
        </w:tc>
        <w:tc>
          <w:tcPr>
            <w:tcW w:w="907" w:type="dxa"/>
            <w:tcBorders>
              <w:top w:val="single" w:color="auto" w:sz="4" w:space="0"/>
              <w:left w:val="single" w:color="auto" w:sz="4" w:space="0"/>
            </w:tcBorders>
            <w:shd w:val="clear" w:color="auto" w:fill="FFFFFF"/>
            <w:noWrap w:val="0"/>
            <w:vAlign w:val="top"/>
          </w:tcPr>
          <w:p w14:paraId="4BD03AD1">
            <w:pPr>
              <w:rPr>
                <w:color w:val="000000" w:themeColor="text1"/>
                <w:szCs w:val="21"/>
                <w:highlight w:val="none"/>
                <w14:textFill>
                  <w14:solidFill>
                    <w14:schemeClr w14:val="tx1"/>
                  </w14:solidFill>
                </w14:textFill>
              </w:rPr>
            </w:pPr>
          </w:p>
        </w:tc>
        <w:tc>
          <w:tcPr>
            <w:tcW w:w="907" w:type="dxa"/>
            <w:tcBorders>
              <w:top w:val="single" w:color="auto" w:sz="4" w:space="0"/>
              <w:left w:val="single" w:color="auto" w:sz="4" w:space="0"/>
            </w:tcBorders>
            <w:shd w:val="clear" w:color="auto" w:fill="FFFFFF"/>
            <w:noWrap w:val="0"/>
            <w:vAlign w:val="top"/>
          </w:tcPr>
          <w:p w14:paraId="1FD3238B">
            <w:pPr>
              <w:rPr>
                <w:color w:val="000000" w:themeColor="text1"/>
                <w:szCs w:val="21"/>
                <w:highlight w:val="none"/>
                <w14:textFill>
                  <w14:solidFill>
                    <w14:schemeClr w14:val="tx1"/>
                  </w14:solidFill>
                </w14:textFill>
              </w:rPr>
            </w:pPr>
          </w:p>
        </w:tc>
        <w:tc>
          <w:tcPr>
            <w:tcW w:w="907" w:type="dxa"/>
            <w:tcBorders>
              <w:top w:val="single" w:color="auto" w:sz="4" w:space="0"/>
              <w:left w:val="single" w:color="auto" w:sz="4" w:space="0"/>
            </w:tcBorders>
            <w:shd w:val="clear" w:color="auto" w:fill="FFFFFF"/>
            <w:noWrap w:val="0"/>
            <w:vAlign w:val="top"/>
          </w:tcPr>
          <w:p w14:paraId="2A3F4C80">
            <w:pPr>
              <w:rPr>
                <w:color w:val="000000" w:themeColor="text1"/>
                <w:szCs w:val="21"/>
                <w:highlight w:val="none"/>
                <w14:textFill>
                  <w14:solidFill>
                    <w14:schemeClr w14:val="tx1"/>
                  </w14:solidFill>
                </w14:textFill>
              </w:rPr>
            </w:pPr>
          </w:p>
        </w:tc>
        <w:tc>
          <w:tcPr>
            <w:tcW w:w="912" w:type="dxa"/>
            <w:tcBorders>
              <w:top w:val="single" w:color="auto" w:sz="4" w:space="0"/>
              <w:left w:val="single" w:color="auto" w:sz="4" w:space="0"/>
            </w:tcBorders>
            <w:shd w:val="clear" w:color="auto" w:fill="FFFFFF"/>
            <w:noWrap w:val="0"/>
            <w:vAlign w:val="top"/>
          </w:tcPr>
          <w:p w14:paraId="7ED782B4">
            <w:pPr>
              <w:rPr>
                <w:color w:val="000000" w:themeColor="text1"/>
                <w:szCs w:val="21"/>
                <w:highlight w:val="none"/>
                <w14:textFill>
                  <w14:solidFill>
                    <w14:schemeClr w14:val="tx1"/>
                  </w14:solidFill>
                </w14:textFill>
              </w:rPr>
            </w:pPr>
          </w:p>
        </w:tc>
        <w:tc>
          <w:tcPr>
            <w:tcW w:w="902" w:type="dxa"/>
            <w:tcBorders>
              <w:top w:val="single" w:color="auto" w:sz="4" w:space="0"/>
              <w:left w:val="single" w:color="auto" w:sz="4" w:space="0"/>
            </w:tcBorders>
            <w:shd w:val="clear" w:color="auto" w:fill="FFFFFF"/>
            <w:noWrap w:val="0"/>
            <w:vAlign w:val="top"/>
          </w:tcPr>
          <w:p w14:paraId="177271E3">
            <w:pPr>
              <w:rPr>
                <w:color w:val="000000" w:themeColor="text1"/>
                <w:szCs w:val="21"/>
                <w:highlight w:val="none"/>
                <w14:textFill>
                  <w14:solidFill>
                    <w14:schemeClr w14:val="tx1"/>
                  </w14:solidFill>
                </w14:textFill>
              </w:rPr>
            </w:pPr>
          </w:p>
        </w:tc>
        <w:tc>
          <w:tcPr>
            <w:tcW w:w="907" w:type="dxa"/>
            <w:tcBorders>
              <w:top w:val="single" w:color="auto" w:sz="4" w:space="0"/>
              <w:left w:val="single" w:color="auto" w:sz="4" w:space="0"/>
            </w:tcBorders>
            <w:shd w:val="clear" w:color="auto" w:fill="FFFFFF"/>
            <w:noWrap w:val="0"/>
            <w:vAlign w:val="top"/>
          </w:tcPr>
          <w:p w14:paraId="07966DEA">
            <w:pPr>
              <w:rPr>
                <w:color w:val="000000" w:themeColor="text1"/>
                <w:szCs w:val="21"/>
                <w:highlight w:val="none"/>
                <w14:textFill>
                  <w14:solidFill>
                    <w14:schemeClr w14:val="tx1"/>
                  </w14:solidFill>
                </w14:textFill>
              </w:rPr>
            </w:pPr>
          </w:p>
        </w:tc>
        <w:tc>
          <w:tcPr>
            <w:tcW w:w="917" w:type="dxa"/>
            <w:tcBorders>
              <w:top w:val="single" w:color="auto" w:sz="4" w:space="0"/>
              <w:left w:val="single" w:color="auto" w:sz="4" w:space="0"/>
              <w:right w:val="single" w:color="auto" w:sz="4" w:space="0"/>
            </w:tcBorders>
            <w:shd w:val="clear" w:color="auto" w:fill="FFFFFF"/>
            <w:noWrap w:val="0"/>
            <w:vAlign w:val="top"/>
          </w:tcPr>
          <w:p w14:paraId="6ED0DB49">
            <w:pPr>
              <w:rPr>
                <w:color w:val="000000" w:themeColor="text1"/>
                <w:szCs w:val="21"/>
                <w:highlight w:val="none"/>
                <w14:textFill>
                  <w14:solidFill>
                    <w14:schemeClr w14:val="tx1"/>
                  </w14:solidFill>
                </w14:textFill>
              </w:rPr>
            </w:pPr>
          </w:p>
        </w:tc>
      </w:tr>
      <w:tr w14:paraId="14FE4063">
        <w:tblPrEx>
          <w:tblCellMar>
            <w:top w:w="0" w:type="dxa"/>
            <w:left w:w="10" w:type="dxa"/>
            <w:bottom w:w="0" w:type="dxa"/>
            <w:right w:w="10" w:type="dxa"/>
          </w:tblCellMar>
        </w:tblPrEx>
        <w:trPr>
          <w:trHeight w:val="566" w:hRule="exact"/>
          <w:jc w:val="center"/>
        </w:trPr>
        <w:tc>
          <w:tcPr>
            <w:tcW w:w="576" w:type="dxa"/>
            <w:tcBorders>
              <w:top w:val="single" w:color="auto" w:sz="4" w:space="0"/>
              <w:left w:val="single" w:color="auto" w:sz="4" w:space="0"/>
            </w:tcBorders>
            <w:shd w:val="clear" w:color="auto" w:fill="FFFFFF"/>
            <w:noWrap w:val="0"/>
            <w:vAlign w:val="top"/>
          </w:tcPr>
          <w:p w14:paraId="709EEA3E">
            <w:pPr>
              <w:rPr>
                <w:color w:val="000000" w:themeColor="text1"/>
                <w:szCs w:val="21"/>
                <w:highlight w:val="none"/>
                <w14:textFill>
                  <w14:solidFill>
                    <w14:schemeClr w14:val="tx1"/>
                  </w14:solidFill>
                </w14:textFill>
              </w:rPr>
            </w:pPr>
          </w:p>
        </w:tc>
        <w:tc>
          <w:tcPr>
            <w:tcW w:w="1416" w:type="dxa"/>
            <w:tcBorders>
              <w:top w:val="single" w:color="auto" w:sz="4" w:space="0"/>
              <w:left w:val="single" w:color="auto" w:sz="4" w:space="0"/>
            </w:tcBorders>
            <w:shd w:val="clear" w:color="auto" w:fill="FFFFFF"/>
            <w:noWrap w:val="0"/>
            <w:vAlign w:val="top"/>
          </w:tcPr>
          <w:p w14:paraId="56918990">
            <w:pPr>
              <w:rPr>
                <w:color w:val="000000" w:themeColor="text1"/>
                <w:szCs w:val="21"/>
                <w:highlight w:val="none"/>
                <w14:textFill>
                  <w14:solidFill>
                    <w14:schemeClr w14:val="tx1"/>
                  </w14:solidFill>
                </w14:textFill>
              </w:rPr>
            </w:pPr>
          </w:p>
        </w:tc>
        <w:tc>
          <w:tcPr>
            <w:tcW w:w="907" w:type="dxa"/>
            <w:tcBorders>
              <w:top w:val="single" w:color="auto" w:sz="4" w:space="0"/>
              <w:left w:val="single" w:color="auto" w:sz="4" w:space="0"/>
            </w:tcBorders>
            <w:shd w:val="clear" w:color="auto" w:fill="FFFFFF"/>
            <w:noWrap w:val="0"/>
            <w:vAlign w:val="top"/>
          </w:tcPr>
          <w:p w14:paraId="3D2E532D">
            <w:pPr>
              <w:rPr>
                <w:color w:val="000000" w:themeColor="text1"/>
                <w:szCs w:val="21"/>
                <w:highlight w:val="none"/>
                <w14:textFill>
                  <w14:solidFill>
                    <w14:schemeClr w14:val="tx1"/>
                  </w14:solidFill>
                </w14:textFill>
              </w:rPr>
            </w:pPr>
          </w:p>
        </w:tc>
        <w:tc>
          <w:tcPr>
            <w:tcW w:w="907" w:type="dxa"/>
            <w:tcBorders>
              <w:top w:val="single" w:color="auto" w:sz="4" w:space="0"/>
              <w:left w:val="single" w:color="auto" w:sz="4" w:space="0"/>
            </w:tcBorders>
            <w:shd w:val="clear" w:color="auto" w:fill="FFFFFF"/>
            <w:noWrap w:val="0"/>
            <w:vAlign w:val="top"/>
          </w:tcPr>
          <w:p w14:paraId="46D8869F">
            <w:pPr>
              <w:rPr>
                <w:color w:val="000000" w:themeColor="text1"/>
                <w:szCs w:val="21"/>
                <w:highlight w:val="none"/>
                <w14:textFill>
                  <w14:solidFill>
                    <w14:schemeClr w14:val="tx1"/>
                  </w14:solidFill>
                </w14:textFill>
              </w:rPr>
            </w:pPr>
          </w:p>
        </w:tc>
        <w:tc>
          <w:tcPr>
            <w:tcW w:w="907" w:type="dxa"/>
            <w:tcBorders>
              <w:top w:val="single" w:color="auto" w:sz="4" w:space="0"/>
              <w:left w:val="single" w:color="auto" w:sz="4" w:space="0"/>
            </w:tcBorders>
            <w:shd w:val="clear" w:color="auto" w:fill="FFFFFF"/>
            <w:noWrap w:val="0"/>
            <w:vAlign w:val="top"/>
          </w:tcPr>
          <w:p w14:paraId="2BE46265">
            <w:pPr>
              <w:rPr>
                <w:color w:val="000000" w:themeColor="text1"/>
                <w:szCs w:val="21"/>
                <w:highlight w:val="none"/>
                <w14:textFill>
                  <w14:solidFill>
                    <w14:schemeClr w14:val="tx1"/>
                  </w14:solidFill>
                </w14:textFill>
              </w:rPr>
            </w:pPr>
          </w:p>
        </w:tc>
        <w:tc>
          <w:tcPr>
            <w:tcW w:w="912" w:type="dxa"/>
            <w:tcBorders>
              <w:top w:val="single" w:color="auto" w:sz="4" w:space="0"/>
              <w:left w:val="single" w:color="auto" w:sz="4" w:space="0"/>
            </w:tcBorders>
            <w:shd w:val="clear" w:color="auto" w:fill="FFFFFF"/>
            <w:noWrap w:val="0"/>
            <w:vAlign w:val="top"/>
          </w:tcPr>
          <w:p w14:paraId="012DD27D">
            <w:pPr>
              <w:rPr>
                <w:color w:val="000000" w:themeColor="text1"/>
                <w:szCs w:val="21"/>
                <w:highlight w:val="none"/>
                <w14:textFill>
                  <w14:solidFill>
                    <w14:schemeClr w14:val="tx1"/>
                  </w14:solidFill>
                </w14:textFill>
              </w:rPr>
            </w:pPr>
          </w:p>
        </w:tc>
        <w:tc>
          <w:tcPr>
            <w:tcW w:w="902" w:type="dxa"/>
            <w:tcBorders>
              <w:top w:val="single" w:color="auto" w:sz="4" w:space="0"/>
              <w:left w:val="single" w:color="auto" w:sz="4" w:space="0"/>
            </w:tcBorders>
            <w:shd w:val="clear" w:color="auto" w:fill="FFFFFF"/>
            <w:noWrap w:val="0"/>
            <w:vAlign w:val="top"/>
          </w:tcPr>
          <w:p w14:paraId="02F7D457">
            <w:pPr>
              <w:rPr>
                <w:color w:val="000000" w:themeColor="text1"/>
                <w:szCs w:val="21"/>
                <w:highlight w:val="none"/>
                <w14:textFill>
                  <w14:solidFill>
                    <w14:schemeClr w14:val="tx1"/>
                  </w14:solidFill>
                </w14:textFill>
              </w:rPr>
            </w:pPr>
          </w:p>
        </w:tc>
        <w:tc>
          <w:tcPr>
            <w:tcW w:w="907" w:type="dxa"/>
            <w:tcBorders>
              <w:top w:val="single" w:color="auto" w:sz="4" w:space="0"/>
              <w:left w:val="single" w:color="auto" w:sz="4" w:space="0"/>
            </w:tcBorders>
            <w:shd w:val="clear" w:color="auto" w:fill="FFFFFF"/>
            <w:noWrap w:val="0"/>
            <w:vAlign w:val="top"/>
          </w:tcPr>
          <w:p w14:paraId="68B7AE71">
            <w:pPr>
              <w:rPr>
                <w:color w:val="000000" w:themeColor="text1"/>
                <w:szCs w:val="21"/>
                <w:highlight w:val="none"/>
                <w14:textFill>
                  <w14:solidFill>
                    <w14:schemeClr w14:val="tx1"/>
                  </w14:solidFill>
                </w14:textFill>
              </w:rPr>
            </w:pPr>
          </w:p>
        </w:tc>
        <w:tc>
          <w:tcPr>
            <w:tcW w:w="917" w:type="dxa"/>
            <w:tcBorders>
              <w:top w:val="single" w:color="auto" w:sz="4" w:space="0"/>
              <w:left w:val="single" w:color="auto" w:sz="4" w:space="0"/>
              <w:right w:val="single" w:color="auto" w:sz="4" w:space="0"/>
            </w:tcBorders>
            <w:shd w:val="clear" w:color="auto" w:fill="FFFFFF"/>
            <w:noWrap w:val="0"/>
            <w:vAlign w:val="top"/>
          </w:tcPr>
          <w:p w14:paraId="101E3D67">
            <w:pPr>
              <w:rPr>
                <w:color w:val="000000" w:themeColor="text1"/>
                <w:szCs w:val="21"/>
                <w:highlight w:val="none"/>
                <w14:textFill>
                  <w14:solidFill>
                    <w14:schemeClr w14:val="tx1"/>
                  </w14:solidFill>
                </w14:textFill>
              </w:rPr>
            </w:pPr>
          </w:p>
        </w:tc>
      </w:tr>
      <w:tr w14:paraId="42112D73">
        <w:tblPrEx>
          <w:tblCellMar>
            <w:top w:w="0" w:type="dxa"/>
            <w:left w:w="10" w:type="dxa"/>
            <w:bottom w:w="0" w:type="dxa"/>
            <w:right w:w="10" w:type="dxa"/>
          </w:tblCellMar>
        </w:tblPrEx>
        <w:trPr>
          <w:trHeight w:val="566" w:hRule="exact"/>
          <w:jc w:val="center"/>
        </w:trPr>
        <w:tc>
          <w:tcPr>
            <w:tcW w:w="576" w:type="dxa"/>
            <w:tcBorders>
              <w:top w:val="single" w:color="auto" w:sz="4" w:space="0"/>
              <w:left w:val="single" w:color="auto" w:sz="4" w:space="0"/>
            </w:tcBorders>
            <w:shd w:val="clear" w:color="auto" w:fill="FFFFFF"/>
            <w:noWrap w:val="0"/>
            <w:vAlign w:val="top"/>
          </w:tcPr>
          <w:p w14:paraId="290E050D">
            <w:pPr>
              <w:rPr>
                <w:color w:val="000000" w:themeColor="text1"/>
                <w:szCs w:val="21"/>
                <w:highlight w:val="none"/>
                <w14:textFill>
                  <w14:solidFill>
                    <w14:schemeClr w14:val="tx1"/>
                  </w14:solidFill>
                </w14:textFill>
              </w:rPr>
            </w:pPr>
          </w:p>
        </w:tc>
        <w:tc>
          <w:tcPr>
            <w:tcW w:w="1416" w:type="dxa"/>
            <w:tcBorders>
              <w:top w:val="single" w:color="auto" w:sz="4" w:space="0"/>
              <w:left w:val="single" w:color="auto" w:sz="4" w:space="0"/>
            </w:tcBorders>
            <w:shd w:val="clear" w:color="auto" w:fill="FFFFFF"/>
            <w:noWrap w:val="0"/>
            <w:vAlign w:val="top"/>
          </w:tcPr>
          <w:p w14:paraId="2D217311">
            <w:pPr>
              <w:rPr>
                <w:color w:val="000000" w:themeColor="text1"/>
                <w:szCs w:val="21"/>
                <w:highlight w:val="none"/>
                <w14:textFill>
                  <w14:solidFill>
                    <w14:schemeClr w14:val="tx1"/>
                  </w14:solidFill>
                </w14:textFill>
              </w:rPr>
            </w:pPr>
          </w:p>
        </w:tc>
        <w:tc>
          <w:tcPr>
            <w:tcW w:w="907" w:type="dxa"/>
            <w:tcBorders>
              <w:top w:val="single" w:color="auto" w:sz="4" w:space="0"/>
              <w:left w:val="single" w:color="auto" w:sz="4" w:space="0"/>
            </w:tcBorders>
            <w:shd w:val="clear" w:color="auto" w:fill="FFFFFF"/>
            <w:noWrap w:val="0"/>
            <w:vAlign w:val="top"/>
          </w:tcPr>
          <w:p w14:paraId="0AA58711">
            <w:pPr>
              <w:rPr>
                <w:color w:val="000000" w:themeColor="text1"/>
                <w:szCs w:val="21"/>
                <w:highlight w:val="none"/>
                <w14:textFill>
                  <w14:solidFill>
                    <w14:schemeClr w14:val="tx1"/>
                  </w14:solidFill>
                </w14:textFill>
              </w:rPr>
            </w:pPr>
          </w:p>
        </w:tc>
        <w:tc>
          <w:tcPr>
            <w:tcW w:w="907" w:type="dxa"/>
            <w:tcBorders>
              <w:top w:val="single" w:color="auto" w:sz="4" w:space="0"/>
              <w:left w:val="single" w:color="auto" w:sz="4" w:space="0"/>
            </w:tcBorders>
            <w:shd w:val="clear" w:color="auto" w:fill="FFFFFF"/>
            <w:noWrap w:val="0"/>
            <w:vAlign w:val="top"/>
          </w:tcPr>
          <w:p w14:paraId="5E0D1F44">
            <w:pPr>
              <w:rPr>
                <w:color w:val="000000" w:themeColor="text1"/>
                <w:szCs w:val="21"/>
                <w:highlight w:val="none"/>
                <w14:textFill>
                  <w14:solidFill>
                    <w14:schemeClr w14:val="tx1"/>
                  </w14:solidFill>
                </w14:textFill>
              </w:rPr>
            </w:pPr>
          </w:p>
        </w:tc>
        <w:tc>
          <w:tcPr>
            <w:tcW w:w="907" w:type="dxa"/>
            <w:tcBorders>
              <w:top w:val="single" w:color="auto" w:sz="4" w:space="0"/>
              <w:left w:val="single" w:color="auto" w:sz="4" w:space="0"/>
            </w:tcBorders>
            <w:shd w:val="clear" w:color="auto" w:fill="FFFFFF"/>
            <w:noWrap w:val="0"/>
            <w:vAlign w:val="top"/>
          </w:tcPr>
          <w:p w14:paraId="709557CF">
            <w:pPr>
              <w:rPr>
                <w:color w:val="000000" w:themeColor="text1"/>
                <w:szCs w:val="21"/>
                <w:highlight w:val="none"/>
                <w14:textFill>
                  <w14:solidFill>
                    <w14:schemeClr w14:val="tx1"/>
                  </w14:solidFill>
                </w14:textFill>
              </w:rPr>
            </w:pPr>
          </w:p>
        </w:tc>
        <w:tc>
          <w:tcPr>
            <w:tcW w:w="912" w:type="dxa"/>
            <w:tcBorders>
              <w:top w:val="single" w:color="auto" w:sz="4" w:space="0"/>
              <w:left w:val="single" w:color="auto" w:sz="4" w:space="0"/>
            </w:tcBorders>
            <w:shd w:val="clear" w:color="auto" w:fill="FFFFFF"/>
            <w:noWrap w:val="0"/>
            <w:vAlign w:val="top"/>
          </w:tcPr>
          <w:p w14:paraId="4A5D6281">
            <w:pPr>
              <w:rPr>
                <w:color w:val="000000" w:themeColor="text1"/>
                <w:szCs w:val="21"/>
                <w:highlight w:val="none"/>
                <w14:textFill>
                  <w14:solidFill>
                    <w14:schemeClr w14:val="tx1"/>
                  </w14:solidFill>
                </w14:textFill>
              </w:rPr>
            </w:pPr>
          </w:p>
        </w:tc>
        <w:tc>
          <w:tcPr>
            <w:tcW w:w="902" w:type="dxa"/>
            <w:tcBorders>
              <w:top w:val="single" w:color="auto" w:sz="4" w:space="0"/>
              <w:left w:val="single" w:color="auto" w:sz="4" w:space="0"/>
            </w:tcBorders>
            <w:shd w:val="clear" w:color="auto" w:fill="FFFFFF"/>
            <w:noWrap w:val="0"/>
            <w:vAlign w:val="top"/>
          </w:tcPr>
          <w:p w14:paraId="2DE3B8B5">
            <w:pPr>
              <w:rPr>
                <w:color w:val="000000" w:themeColor="text1"/>
                <w:szCs w:val="21"/>
                <w:highlight w:val="none"/>
                <w14:textFill>
                  <w14:solidFill>
                    <w14:schemeClr w14:val="tx1"/>
                  </w14:solidFill>
                </w14:textFill>
              </w:rPr>
            </w:pPr>
          </w:p>
        </w:tc>
        <w:tc>
          <w:tcPr>
            <w:tcW w:w="907" w:type="dxa"/>
            <w:tcBorders>
              <w:top w:val="single" w:color="auto" w:sz="4" w:space="0"/>
              <w:left w:val="single" w:color="auto" w:sz="4" w:space="0"/>
            </w:tcBorders>
            <w:shd w:val="clear" w:color="auto" w:fill="FFFFFF"/>
            <w:noWrap w:val="0"/>
            <w:vAlign w:val="top"/>
          </w:tcPr>
          <w:p w14:paraId="2F4A21F0">
            <w:pPr>
              <w:rPr>
                <w:color w:val="000000" w:themeColor="text1"/>
                <w:szCs w:val="21"/>
                <w:highlight w:val="none"/>
                <w14:textFill>
                  <w14:solidFill>
                    <w14:schemeClr w14:val="tx1"/>
                  </w14:solidFill>
                </w14:textFill>
              </w:rPr>
            </w:pPr>
          </w:p>
        </w:tc>
        <w:tc>
          <w:tcPr>
            <w:tcW w:w="917" w:type="dxa"/>
            <w:tcBorders>
              <w:top w:val="single" w:color="auto" w:sz="4" w:space="0"/>
              <w:left w:val="single" w:color="auto" w:sz="4" w:space="0"/>
              <w:right w:val="single" w:color="auto" w:sz="4" w:space="0"/>
            </w:tcBorders>
            <w:shd w:val="clear" w:color="auto" w:fill="FFFFFF"/>
            <w:noWrap w:val="0"/>
            <w:vAlign w:val="top"/>
          </w:tcPr>
          <w:p w14:paraId="1EECC037">
            <w:pPr>
              <w:rPr>
                <w:color w:val="000000" w:themeColor="text1"/>
                <w:szCs w:val="21"/>
                <w:highlight w:val="none"/>
                <w14:textFill>
                  <w14:solidFill>
                    <w14:schemeClr w14:val="tx1"/>
                  </w14:solidFill>
                </w14:textFill>
              </w:rPr>
            </w:pPr>
          </w:p>
        </w:tc>
      </w:tr>
      <w:tr w14:paraId="32237992">
        <w:tblPrEx>
          <w:tblCellMar>
            <w:top w:w="0" w:type="dxa"/>
            <w:left w:w="10" w:type="dxa"/>
            <w:bottom w:w="0" w:type="dxa"/>
            <w:right w:w="10" w:type="dxa"/>
          </w:tblCellMar>
        </w:tblPrEx>
        <w:trPr>
          <w:trHeight w:val="566" w:hRule="exact"/>
          <w:jc w:val="center"/>
        </w:trPr>
        <w:tc>
          <w:tcPr>
            <w:tcW w:w="576" w:type="dxa"/>
            <w:tcBorders>
              <w:top w:val="single" w:color="auto" w:sz="4" w:space="0"/>
              <w:left w:val="single" w:color="auto" w:sz="4" w:space="0"/>
            </w:tcBorders>
            <w:shd w:val="clear" w:color="auto" w:fill="FFFFFF"/>
            <w:noWrap w:val="0"/>
            <w:vAlign w:val="top"/>
          </w:tcPr>
          <w:p w14:paraId="23A60113">
            <w:pPr>
              <w:rPr>
                <w:color w:val="000000" w:themeColor="text1"/>
                <w:szCs w:val="21"/>
                <w:highlight w:val="none"/>
                <w14:textFill>
                  <w14:solidFill>
                    <w14:schemeClr w14:val="tx1"/>
                  </w14:solidFill>
                </w14:textFill>
              </w:rPr>
            </w:pPr>
          </w:p>
        </w:tc>
        <w:tc>
          <w:tcPr>
            <w:tcW w:w="1416" w:type="dxa"/>
            <w:tcBorders>
              <w:top w:val="single" w:color="auto" w:sz="4" w:space="0"/>
              <w:left w:val="single" w:color="auto" w:sz="4" w:space="0"/>
            </w:tcBorders>
            <w:shd w:val="clear" w:color="auto" w:fill="FFFFFF"/>
            <w:noWrap w:val="0"/>
            <w:vAlign w:val="top"/>
          </w:tcPr>
          <w:p w14:paraId="59D1FC3E">
            <w:pPr>
              <w:rPr>
                <w:color w:val="000000" w:themeColor="text1"/>
                <w:szCs w:val="21"/>
                <w:highlight w:val="none"/>
                <w14:textFill>
                  <w14:solidFill>
                    <w14:schemeClr w14:val="tx1"/>
                  </w14:solidFill>
                </w14:textFill>
              </w:rPr>
            </w:pPr>
          </w:p>
        </w:tc>
        <w:tc>
          <w:tcPr>
            <w:tcW w:w="907" w:type="dxa"/>
            <w:tcBorders>
              <w:top w:val="single" w:color="auto" w:sz="4" w:space="0"/>
              <w:left w:val="single" w:color="auto" w:sz="4" w:space="0"/>
            </w:tcBorders>
            <w:shd w:val="clear" w:color="auto" w:fill="FFFFFF"/>
            <w:noWrap w:val="0"/>
            <w:vAlign w:val="top"/>
          </w:tcPr>
          <w:p w14:paraId="4C89218A">
            <w:pPr>
              <w:rPr>
                <w:color w:val="000000" w:themeColor="text1"/>
                <w:szCs w:val="21"/>
                <w:highlight w:val="none"/>
                <w14:textFill>
                  <w14:solidFill>
                    <w14:schemeClr w14:val="tx1"/>
                  </w14:solidFill>
                </w14:textFill>
              </w:rPr>
            </w:pPr>
          </w:p>
        </w:tc>
        <w:tc>
          <w:tcPr>
            <w:tcW w:w="907" w:type="dxa"/>
            <w:tcBorders>
              <w:top w:val="single" w:color="auto" w:sz="4" w:space="0"/>
              <w:left w:val="single" w:color="auto" w:sz="4" w:space="0"/>
            </w:tcBorders>
            <w:shd w:val="clear" w:color="auto" w:fill="FFFFFF"/>
            <w:noWrap w:val="0"/>
            <w:vAlign w:val="top"/>
          </w:tcPr>
          <w:p w14:paraId="506FC651">
            <w:pPr>
              <w:rPr>
                <w:color w:val="000000" w:themeColor="text1"/>
                <w:szCs w:val="21"/>
                <w:highlight w:val="none"/>
                <w14:textFill>
                  <w14:solidFill>
                    <w14:schemeClr w14:val="tx1"/>
                  </w14:solidFill>
                </w14:textFill>
              </w:rPr>
            </w:pPr>
          </w:p>
        </w:tc>
        <w:tc>
          <w:tcPr>
            <w:tcW w:w="907" w:type="dxa"/>
            <w:tcBorders>
              <w:top w:val="single" w:color="auto" w:sz="4" w:space="0"/>
              <w:left w:val="single" w:color="auto" w:sz="4" w:space="0"/>
            </w:tcBorders>
            <w:shd w:val="clear" w:color="auto" w:fill="FFFFFF"/>
            <w:noWrap w:val="0"/>
            <w:vAlign w:val="top"/>
          </w:tcPr>
          <w:p w14:paraId="1F605A10">
            <w:pPr>
              <w:rPr>
                <w:color w:val="000000" w:themeColor="text1"/>
                <w:szCs w:val="21"/>
                <w:highlight w:val="none"/>
                <w14:textFill>
                  <w14:solidFill>
                    <w14:schemeClr w14:val="tx1"/>
                  </w14:solidFill>
                </w14:textFill>
              </w:rPr>
            </w:pPr>
          </w:p>
        </w:tc>
        <w:tc>
          <w:tcPr>
            <w:tcW w:w="912" w:type="dxa"/>
            <w:tcBorders>
              <w:top w:val="single" w:color="auto" w:sz="4" w:space="0"/>
              <w:left w:val="single" w:color="auto" w:sz="4" w:space="0"/>
            </w:tcBorders>
            <w:shd w:val="clear" w:color="auto" w:fill="FFFFFF"/>
            <w:noWrap w:val="0"/>
            <w:vAlign w:val="top"/>
          </w:tcPr>
          <w:p w14:paraId="7EF00AC2">
            <w:pPr>
              <w:rPr>
                <w:color w:val="000000" w:themeColor="text1"/>
                <w:szCs w:val="21"/>
                <w:highlight w:val="none"/>
                <w14:textFill>
                  <w14:solidFill>
                    <w14:schemeClr w14:val="tx1"/>
                  </w14:solidFill>
                </w14:textFill>
              </w:rPr>
            </w:pPr>
          </w:p>
        </w:tc>
        <w:tc>
          <w:tcPr>
            <w:tcW w:w="902" w:type="dxa"/>
            <w:tcBorders>
              <w:top w:val="single" w:color="auto" w:sz="4" w:space="0"/>
              <w:left w:val="single" w:color="auto" w:sz="4" w:space="0"/>
            </w:tcBorders>
            <w:shd w:val="clear" w:color="auto" w:fill="FFFFFF"/>
            <w:noWrap w:val="0"/>
            <w:vAlign w:val="top"/>
          </w:tcPr>
          <w:p w14:paraId="32644384">
            <w:pPr>
              <w:rPr>
                <w:color w:val="000000" w:themeColor="text1"/>
                <w:szCs w:val="21"/>
                <w:highlight w:val="none"/>
                <w14:textFill>
                  <w14:solidFill>
                    <w14:schemeClr w14:val="tx1"/>
                  </w14:solidFill>
                </w14:textFill>
              </w:rPr>
            </w:pPr>
          </w:p>
        </w:tc>
        <w:tc>
          <w:tcPr>
            <w:tcW w:w="907" w:type="dxa"/>
            <w:tcBorders>
              <w:top w:val="single" w:color="auto" w:sz="4" w:space="0"/>
              <w:left w:val="single" w:color="auto" w:sz="4" w:space="0"/>
            </w:tcBorders>
            <w:shd w:val="clear" w:color="auto" w:fill="FFFFFF"/>
            <w:noWrap w:val="0"/>
            <w:vAlign w:val="top"/>
          </w:tcPr>
          <w:p w14:paraId="1F6297B3">
            <w:pPr>
              <w:rPr>
                <w:color w:val="000000" w:themeColor="text1"/>
                <w:szCs w:val="21"/>
                <w:highlight w:val="none"/>
                <w14:textFill>
                  <w14:solidFill>
                    <w14:schemeClr w14:val="tx1"/>
                  </w14:solidFill>
                </w14:textFill>
              </w:rPr>
            </w:pPr>
          </w:p>
        </w:tc>
        <w:tc>
          <w:tcPr>
            <w:tcW w:w="917" w:type="dxa"/>
            <w:tcBorders>
              <w:top w:val="single" w:color="auto" w:sz="4" w:space="0"/>
              <w:left w:val="single" w:color="auto" w:sz="4" w:space="0"/>
              <w:right w:val="single" w:color="auto" w:sz="4" w:space="0"/>
            </w:tcBorders>
            <w:shd w:val="clear" w:color="auto" w:fill="FFFFFF"/>
            <w:noWrap w:val="0"/>
            <w:vAlign w:val="top"/>
          </w:tcPr>
          <w:p w14:paraId="46F6C22E">
            <w:pPr>
              <w:rPr>
                <w:color w:val="000000" w:themeColor="text1"/>
                <w:szCs w:val="21"/>
                <w:highlight w:val="none"/>
                <w14:textFill>
                  <w14:solidFill>
                    <w14:schemeClr w14:val="tx1"/>
                  </w14:solidFill>
                </w14:textFill>
              </w:rPr>
            </w:pPr>
          </w:p>
        </w:tc>
      </w:tr>
      <w:tr w14:paraId="382D7B91">
        <w:tblPrEx>
          <w:tblCellMar>
            <w:top w:w="0" w:type="dxa"/>
            <w:left w:w="10" w:type="dxa"/>
            <w:bottom w:w="0" w:type="dxa"/>
            <w:right w:w="10" w:type="dxa"/>
          </w:tblCellMar>
        </w:tblPrEx>
        <w:trPr>
          <w:trHeight w:val="566" w:hRule="exact"/>
          <w:jc w:val="center"/>
        </w:trPr>
        <w:tc>
          <w:tcPr>
            <w:tcW w:w="576" w:type="dxa"/>
            <w:tcBorders>
              <w:top w:val="single" w:color="auto" w:sz="4" w:space="0"/>
              <w:left w:val="single" w:color="auto" w:sz="4" w:space="0"/>
            </w:tcBorders>
            <w:shd w:val="clear" w:color="auto" w:fill="FFFFFF"/>
            <w:noWrap w:val="0"/>
            <w:vAlign w:val="top"/>
          </w:tcPr>
          <w:p w14:paraId="71862DA4">
            <w:pPr>
              <w:rPr>
                <w:color w:val="000000" w:themeColor="text1"/>
                <w:szCs w:val="21"/>
                <w:highlight w:val="none"/>
                <w14:textFill>
                  <w14:solidFill>
                    <w14:schemeClr w14:val="tx1"/>
                  </w14:solidFill>
                </w14:textFill>
              </w:rPr>
            </w:pPr>
          </w:p>
        </w:tc>
        <w:tc>
          <w:tcPr>
            <w:tcW w:w="1416" w:type="dxa"/>
            <w:tcBorders>
              <w:top w:val="single" w:color="auto" w:sz="4" w:space="0"/>
              <w:left w:val="single" w:color="auto" w:sz="4" w:space="0"/>
            </w:tcBorders>
            <w:shd w:val="clear" w:color="auto" w:fill="FFFFFF"/>
            <w:noWrap w:val="0"/>
            <w:vAlign w:val="top"/>
          </w:tcPr>
          <w:p w14:paraId="1E068D73">
            <w:pPr>
              <w:rPr>
                <w:color w:val="000000" w:themeColor="text1"/>
                <w:szCs w:val="21"/>
                <w:highlight w:val="none"/>
                <w14:textFill>
                  <w14:solidFill>
                    <w14:schemeClr w14:val="tx1"/>
                  </w14:solidFill>
                </w14:textFill>
              </w:rPr>
            </w:pPr>
          </w:p>
        </w:tc>
        <w:tc>
          <w:tcPr>
            <w:tcW w:w="907" w:type="dxa"/>
            <w:tcBorders>
              <w:top w:val="single" w:color="auto" w:sz="4" w:space="0"/>
              <w:left w:val="single" w:color="auto" w:sz="4" w:space="0"/>
            </w:tcBorders>
            <w:shd w:val="clear" w:color="auto" w:fill="FFFFFF"/>
            <w:noWrap w:val="0"/>
            <w:vAlign w:val="top"/>
          </w:tcPr>
          <w:p w14:paraId="4321CF4E">
            <w:pPr>
              <w:rPr>
                <w:color w:val="000000" w:themeColor="text1"/>
                <w:szCs w:val="21"/>
                <w:highlight w:val="none"/>
                <w14:textFill>
                  <w14:solidFill>
                    <w14:schemeClr w14:val="tx1"/>
                  </w14:solidFill>
                </w14:textFill>
              </w:rPr>
            </w:pPr>
          </w:p>
        </w:tc>
        <w:tc>
          <w:tcPr>
            <w:tcW w:w="907" w:type="dxa"/>
            <w:tcBorders>
              <w:top w:val="single" w:color="auto" w:sz="4" w:space="0"/>
              <w:left w:val="single" w:color="auto" w:sz="4" w:space="0"/>
            </w:tcBorders>
            <w:shd w:val="clear" w:color="auto" w:fill="FFFFFF"/>
            <w:noWrap w:val="0"/>
            <w:vAlign w:val="top"/>
          </w:tcPr>
          <w:p w14:paraId="2EC752A3">
            <w:pPr>
              <w:rPr>
                <w:color w:val="000000" w:themeColor="text1"/>
                <w:szCs w:val="21"/>
                <w:highlight w:val="none"/>
                <w14:textFill>
                  <w14:solidFill>
                    <w14:schemeClr w14:val="tx1"/>
                  </w14:solidFill>
                </w14:textFill>
              </w:rPr>
            </w:pPr>
          </w:p>
        </w:tc>
        <w:tc>
          <w:tcPr>
            <w:tcW w:w="907" w:type="dxa"/>
            <w:tcBorders>
              <w:top w:val="single" w:color="auto" w:sz="4" w:space="0"/>
              <w:left w:val="single" w:color="auto" w:sz="4" w:space="0"/>
            </w:tcBorders>
            <w:shd w:val="clear" w:color="auto" w:fill="FFFFFF"/>
            <w:noWrap w:val="0"/>
            <w:vAlign w:val="top"/>
          </w:tcPr>
          <w:p w14:paraId="0FE34F7F">
            <w:pPr>
              <w:rPr>
                <w:color w:val="000000" w:themeColor="text1"/>
                <w:szCs w:val="21"/>
                <w:highlight w:val="none"/>
                <w14:textFill>
                  <w14:solidFill>
                    <w14:schemeClr w14:val="tx1"/>
                  </w14:solidFill>
                </w14:textFill>
              </w:rPr>
            </w:pPr>
          </w:p>
        </w:tc>
        <w:tc>
          <w:tcPr>
            <w:tcW w:w="912" w:type="dxa"/>
            <w:tcBorders>
              <w:top w:val="single" w:color="auto" w:sz="4" w:space="0"/>
              <w:left w:val="single" w:color="auto" w:sz="4" w:space="0"/>
            </w:tcBorders>
            <w:shd w:val="clear" w:color="auto" w:fill="FFFFFF"/>
            <w:noWrap w:val="0"/>
            <w:vAlign w:val="top"/>
          </w:tcPr>
          <w:p w14:paraId="5A7CFC2F">
            <w:pPr>
              <w:rPr>
                <w:color w:val="000000" w:themeColor="text1"/>
                <w:szCs w:val="21"/>
                <w:highlight w:val="none"/>
                <w14:textFill>
                  <w14:solidFill>
                    <w14:schemeClr w14:val="tx1"/>
                  </w14:solidFill>
                </w14:textFill>
              </w:rPr>
            </w:pPr>
          </w:p>
        </w:tc>
        <w:tc>
          <w:tcPr>
            <w:tcW w:w="902" w:type="dxa"/>
            <w:tcBorders>
              <w:top w:val="single" w:color="auto" w:sz="4" w:space="0"/>
              <w:left w:val="single" w:color="auto" w:sz="4" w:space="0"/>
            </w:tcBorders>
            <w:shd w:val="clear" w:color="auto" w:fill="FFFFFF"/>
            <w:noWrap w:val="0"/>
            <w:vAlign w:val="top"/>
          </w:tcPr>
          <w:p w14:paraId="37453201">
            <w:pPr>
              <w:rPr>
                <w:color w:val="000000" w:themeColor="text1"/>
                <w:szCs w:val="21"/>
                <w:highlight w:val="none"/>
                <w14:textFill>
                  <w14:solidFill>
                    <w14:schemeClr w14:val="tx1"/>
                  </w14:solidFill>
                </w14:textFill>
              </w:rPr>
            </w:pPr>
          </w:p>
        </w:tc>
        <w:tc>
          <w:tcPr>
            <w:tcW w:w="907" w:type="dxa"/>
            <w:tcBorders>
              <w:top w:val="single" w:color="auto" w:sz="4" w:space="0"/>
              <w:left w:val="single" w:color="auto" w:sz="4" w:space="0"/>
            </w:tcBorders>
            <w:shd w:val="clear" w:color="auto" w:fill="FFFFFF"/>
            <w:noWrap w:val="0"/>
            <w:vAlign w:val="top"/>
          </w:tcPr>
          <w:p w14:paraId="39EB8C4B">
            <w:pPr>
              <w:rPr>
                <w:color w:val="000000" w:themeColor="text1"/>
                <w:szCs w:val="21"/>
                <w:highlight w:val="none"/>
                <w14:textFill>
                  <w14:solidFill>
                    <w14:schemeClr w14:val="tx1"/>
                  </w14:solidFill>
                </w14:textFill>
              </w:rPr>
            </w:pPr>
          </w:p>
        </w:tc>
        <w:tc>
          <w:tcPr>
            <w:tcW w:w="917" w:type="dxa"/>
            <w:tcBorders>
              <w:top w:val="single" w:color="auto" w:sz="4" w:space="0"/>
              <w:left w:val="single" w:color="auto" w:sz="4" w:space="0"/>
              <w:right w:val="single" w:color="auto" w:sz="4" w:space="0"/>
            </w:tcBorders>
            <w:shd w:val="clear" w:color="auto" w:fill="FFFFFF"/>
            <w:noWrap w:val="0"/>
            <w:vAlign w:val="top"/>
          </w:tcPr>
          <w:p w14:paraId="26C52D57">
            <w:pPr>
              <w:rPr>
                <w:color w:val="000000" w:themeColor="text1"/>
                <w:szCs w:val="21"/>
                <w:highlight w:val="none"/>
                <w14:textFill>
                  <w14:solidFill>
                    <w14:schemeClr w14:val="tx1"/>
                  </w14:solidFill>
                </w14:textFill>
              </w:rPr>
            </w:pPr>
          </w:p>
        </w:tc>
      </w:tr>
      <w:tr w14:paraId="74CFEAC2">
        <w:tblPrEx>
          <w:tblCellMar>
            <w:top w:w="0" w:type="dxa"/>
            <w:left w:w="10" w:type="dxa"/>
            <w:bottom w:w="0" w:type="dxa"/>
            <w:right w:w="10" w:type="dxa"/>
          </w:tblCellMar>
        </w:tblPrEx>
        <w:trPr>
          <w:trHeight w:val="581" w:hRule="exact"/>
          <w:jc w:val="center"/>
        </w:trPr>
        <w:tc>
          <w:tcPr>
            <w:tcW w:w="576" w:type="dxa"/>
            <w:tcBorders>
              <w:top w:val="single" w:color="auto" w:sz="4" w:space="0"/>
              <w:left w:val="single" w:color="auto" w:sz="4" w:space="0"/>
              <w:bottom w:val="single" w:color="auto" w:sz="4" w:space="0"/>
            </w:tcBorders>
            <w:shd w:val="clear" w:color="auto" w:fill="FFFFFF"/>
            <w:noWrap w:val="0"/>
            <w:vAlign w:val="top"/>
          </w:tcPr>
          <w:p w14:paraId="69F7040C">
            <w:pPr>
              <w:rPr>
                <w:color w:val="000000" w:themeColor="text1"/>
                <w:szCs w:val="21"/>
                <w:highlight w:val="none"/>
                <w14:textFill>
                  <w14:solidFill>
                    <w14:schemeClr w14:val="tx1"/>
                  </w14:solidFill>
                </w14:textFill>
              </w:rPr>
            </w:pPr>
          </w:p>
        </w:tc>
        <w:tc>
          <w:tcPr>
            <w:tcW w:w="1416" w:type="dxa"/>
            <w:tcBorders>
              <w:top w:val="single" w:color="auto" w:sz="4" w:space="0"/>
              <w:left w:val="single" w:color="auto" w:sz="4" w:space="0"/>
              <w:bottom w:val="single" w:color="auto" w:sz="4" w:space="0"/>
            </w:tcBorders>
            <w:shd w:val="clear" w:color="auto" w:fill="FFFFFF"/>
            <w:noWrap w:val="0"/>
            <w:vAlign w:val="top"/>
          </w:tcPr>
          <w:p w14:paraId="54AD6484">
            <w:pPr>
              <w:rPr>
                <w:color w:val="000000" w:themeColor="text1"/>
                <w:szCs w:val="21"/>
                <w:highlight w:val="none"/>
                <w14:textFill>
                  <w14:solidFill>
                    <w14:schemeClr w14:val="tx1"/>
                  </w14:solidFill>
                </w14:textFill>
              </w:rPr>
            </w:pPr>
          </w:p>
        </w:tc>
        <w:tc>
          <w:tcPr>
            <w:tcW w:w="907" w:type="dxa"/>
            <w:tcBorders>
              <w:top w:val="single" w:color="auto" w:sz="4" w:space="0"/>
              <w:left w:val="single" w:color="auto" w:sz="4" w:space="0"/>
              <w:bottom w:val="single" w:color="auto" w:sz="4" w:space="0"/>
            </w:tcBorders>
            <w:shd w:val="clear" w:color="auto" w:fill="FFFFFF"/>
            <w:noWrap w:val="0"/>
            <w:vAlign w:val="top"/>
          </w:tcPr>
          <w:p w14:paraId="5C03CF0A">
            <w:pPr>
              <w:rPr>
                <w:color w:val="000000" w:themeColor="text1"/>
                <w:szCs w:val="21"/>
                <w:highlight w:val="none"/>
                <w14:textFill>
                  <w14:solidFill>
                    <w14:schemeClr w14:val="tx1"/>
                  </w14:solidFill>
                </w14:textFill>
              </w:rPr>
            </w:pPr>
          </w:p>
        </w:tc>
        <w:tc>
          <w:tcPr>
            <w:tcW w:w="907" w:type="dxa"/>
            <w:tcBorders>
              <w:top w:val="single" w:color="auto" w:sz="4" w:space="0"/>
              <w:left w:val="single" w:color="auto" w:sz="4" w:space="0"/>
              <w:bottom w:val="single" w:color="auto" w:sz="4" w:space="0"/>
            </w:tcBorders>
            <w:shd w:val="clear" w:color="auto" w:fill="FFFFFF"/>
            <w:noWrap w:val="0"/>
            <w:vAlign w:val="top"/>
          </w:tcPr>
          <w:p w14:paraId="54B24392">
            <w:pPr>
              <w:rPr>
                <w:color w:val="000000" w:themeColor="text1"/>
                <w:szCs w:val="21"/>
                <w:highlight w:val="none"/>
                <w14:textFill>
                  <w14:solidFill>
                    <w14:schemeClr w14:val="tx1"/>
                  </w14:solidFill>
                </w14:textFill>
              </w:rPr>
            </w:pPr>
          </w:p>
        </w:tc>
        <w:tc>
          <w:tcPr>
            <w:tcW w:w="907" w:type="dxa"/>
            <w:tcBorders>
              <w:top w:val="single" w:color="auto" w:sz="4" w:space="0"/>
              <w:left w:val="single" w:color="auto" w:sz="4" w:space="0"/>
              <w:bottom w:val="single" w:color="auto" w:sz="4" w:space="0"/>
            </w:tcBorders>
            <w:shd w:val="clear" w:color="auto" w:fill="FFFFFF"/>
            <w:noWrap w:val="0"/>
            <w:vAlign w:val="top"/>
          </w:tcPr>
          <w:p w14:paraId="2B534CAF">
            <w:pPr>
              <w:rPr>
                <w:color w:val="000000" w:themeColor="text1"/>
                <w:szCs w:val="21"/>
                <w:highlight w:val="none"/>
                <w14:textFill>
                  <w14:solidFill>
                    <w14:schemeClr w14:val="tx1"/>
                  </w14:solidFill>
                </w14:textFill>
              </w:rPr>
            </w:pPr>
          </w:p>
        </w:tc>
        <w:tc>
          <w:tcPr>
            <w:tcW w:w="912" w:type="dxa"/>
            <w:tcBorders>
              <w:top w:val="single" w:color="auto" w:sz="4" w:space="0"/>
              <w:left w:val="single" w:color="auto" w:sz="4" w:space="0"/>
              <w:bottom w:val="single" w:color="auto" w:sz="4" w:space="0"/>
            </w:tcBorders>
            <w:shd w:val="clear" w:color="auto" w:fill="FFFFFF"/>
            <w:noWrap w:val="0"/>
            <w:vAlign w:val="top"/>
          </w:tcPr>
          <w:p w14:paraId="17D726FD">
            <w:pPr>
              <w:rPr>
                <w:color w:val="000000" w:themeColor="text1"/>
                <w:szCs w:val="21"/>
                <w:highlight w:val="none"/>
                <w14:textFill>
                  <w14:solidFill>
                    <w14:schemeClr w14:val="tx1"/>
                  </w14:solidFill>
                </w14:textFill>
              </w:rPr>
            </w:pPr>
          </w:p>
        </w:tc>
        <w:tc>
          <w:tcPr>
            <w:tcW w:w="902" w:type="dxa"/>
            <w:tcBorders>
              <w:top w:val="single" w:color="auto" w:sz="4" w:space="0"/>
              <w:left w:val="single" w:color="auto" w:sz="4" w:space="0"/>
              <w:bottom w:val="single" w:color="auto" w:sz="4" w:space="0"/>
            </w:tcBorders>
            <w:shd w:val="clear" w:color="auto" w:fill="FFFFFF"/>
            <w:noWrap w:val="0"/>
            <w:vAlign w:val="top"/>
          </w:tcPr>
          <w:p w14:paraId="19CD5439">
            <w:pPr>
              <w:rPr>
                <w:color w:val="000000" w:themeColor="text1"/>
                <w:szCs w:val="21"/>
                <w:highlight w:val="none"/>
                <w14:textFill>
                  <w14:solidFill>
                    <w14:schemeClr w14:val="tx1"/>
                  </w14:solidFill>
                </w14:textFill>
              </w:rPr>
            </w:pPr>
          </w:p>
        </w:tc>
        <w:tc>
          <w:tcPr>
            <w:tcW w:w="907" w:type="dxa"/>
            <w:tcBorders>
              <w:top w:val="single" w:color="auto" w:sz="4" w:space="0"/>
              <w:left w:val="single" w:color="auto" w:sz="4" w:space="0"/>
              <w:bottom w:val="single" w:color="auto" w:sz="4" w:space="0"/>
            </w:tcBorders>
            <w:shd w:val="clear" w:color="auto" w:fill="FFFFFF"/>
            <w:noWrap w:val="0"/>
            <w:vAlign w:val="top"/>
          </w:tcPr>
          <w:p w14:paraId="1EE93A1C">
            <w:pPr>
              <w:rPr>
                <w:color w:val="000000" w:themeColor="text1"/>
                <w:szCs w:val="21"/>
                <w:highlight w:val="none"/>
                <w14:textFill>
                  <w14:solidFill>
                    <w14:schemeClr w14:val="tx1"/>
                  </w14:solidFill>
                </w14:textFill>
              </w:rPr>
            </w:pPr>
          </w:p>
        </w:tc>
        <w:tc>
          <w:tcPr>
            <w:tcW w:w="917"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16D27B93">
            <w:pPr>
              <w:rPr>
                <w:color w:val="000000" w:themeColor="text1"/>
                <w:szCs w:val="21"/>
                <w:highlight w:val="none"/>
                <w14:textFill>
                  <w14:solidFill>
                    <w14:schemeClr w14:val="tx1"/>
                  </w14:solidFill>
                </w14:textFill>
              </w:rPr>
            </w:pPr>
          </w:p>
        </w:tc>
      </w:tr>
    </w:tbl>
    <w:p w14:paraId="769DB5ED">
      <w:pPr>
        <w:spacing w:after="299" w:line="1" w:lineRule="exact"/>
        <w:rPr>
          <w:color w:val="000000" w:themeColor="text1"/>
          <w:highlight w:val="none"/>
          <w14:textFill>
            <w14:solidFill>
              <w14:schemeClr w14:val="tx1"/>
            </w14:solidFill>
          </w14:textFill>
        </w:rPr>
      </w:pPr>
    </w:p>
    <w:p w14:paraId="07AE905D">
      <w:pPr>
        <w:pStyle w:val="237"/>
        <w:tabs>
          <w:tab w:val="left" w:pos="847"/>
          <w:tab w:val="left" w:leader="underscore" w:pos="850"/>
          <w:tab w:val="left" w:leader="underscore" w:pos="1906"/>
          <w:tab w:val="left" w:pos="1908"/>
          <w:tab w:val="left" w:pos="2964"/>
        </w:tabs>
        <w:spacing w:after="420" w:line="353" w:lineRule="exact"/>
        <w:ind w:firstLine="420"/>
        <w:jc w:val="right"/>
        <w:rPr>
          <w:color w:val="000000" w:themeColor="text1"/>
          <w:highlight w:val="none"/>
          <w14:textFill>
            <w14:solidFill>
              <w14:schemeClr w14:val="tx1"/>
            </w14:solidFill>
          </w14:textFill>
        </w:rPr>
        <w:sectPr>
          <w:headerReference r:id="rId13" w:type="default"/>
          <w:footerReference r:id="rId15" w:type="default"/>
          <w:headerReference r:id="rId14" w:type="even"/>
          <w:footerReference r:id="rId16" w:type="even"/>
          <w:pgSz w:w="11900" w:h="16832"/>
          <w:pgMar w:top="1440" w:right="1803" w:bottom="1440" w:left="1803" w:header="851" w:footer="851" w:gutter="0"/>
          <w:cols w:space="720" w:num="1"/>
        </w:sectPr>
      </w:pPr>
      <w:bookmarkStart w:id="127" w:name="bookmark2237"/>
      <w:bookmarkStart w:id="128" w:name="bookmark2238"/>
      <w:bookmarkStart w:id="129" w:name="bookmark2239"/>
    </w:p>
    <w:p w14:paraId="4A1B44CD">
      <w:pPr>
        <w:pStyle w:val="9"/>
        <w:rPr>
          <w:rFonts w:hint="eastAsia" w:ascii="宋体" w:hAnsi="宋体" w:cs="宋体"/>
          <w:b w:val="0"/>
          <w:color w:val="000000" w:themeColor="text1"/>
          <w:sz w:val="28"/>
          <w:szCs w:val="28"/>
          <w:highlight w:val="none"/>
          <w14:textFill>
            <w14:solidFill>
              <w14:schemeClr w14:val="tx1"/>
            </w14:solidFill>
          </w14:textFill>
        </w:rPr>
      </w:pPr>
      <w:r>
        <w:rPr>
          <w:rFonts w:hint="eastAsia" w:ascii="宋体" w:hAnsi="宋体" w:cs="宋体"/>
          <w:b w:val="0"/>
          <w:color w:val="000000" w:themeColor="text1"/>
          <w:sz w:val="28"/>
          <w:szCs w:val="28"/>
          <w:highlight w:val="none"/>
          <w14:textFill>
            <w14:solidFill>
              <w14:schemeClr w14:val="tx1"/>
            </w14:solidFill>
          </w14:textFill>
        </w:rPr>
        <w:t>附件三：拟投入本合同工程的劳动力计划表</w:t>
      </w:r>
      <w:bookmarkEnd w:id="127"/>
      <w:bookmarkEnd w:id="128"/>
      <w:bookmarkEnd w:id="129"/>
    </w:p>
    <w:p w14:paraId="4695C099">
      <w:pPr>
        <w:rPr>
          <w:rFonts w:hint="eastAsia"/>
          <w:color w:val="000000" w:themeColor="text1"/>
          <w:highlight w:val="none"/>
          <w14:textFill>
            <w14:solidFill>
              <w14:schemeClr w14:val="tx1"/>
            </w14:solidFill>
          </w14:textFill>
        </w:rPr>
      </w:pPr>
    </w:p>
    <w:p w14:paraId="17CB43D5">
      <w:pPr>
        <w:jc w:val="center"/>
        <w:rPr>
          <w:rFonts w:hint="eastAsia" w:ascii="宋体" w:hAnsi="宋体" w:cs="宋体"/>
          <w:b/>
          <w:bCs/>
          <w:color w:val="000000" w:themeColor="text1"/>
          <w:sz w:val="28"/>
          <w:szCs w:val="28"/>
          <w:highlight w:val="none"/>
          <w14:textFill>
            <w14:solidFill>
              <w14:schemeClr w14:val="tx1"/>
            </w14:solidFill>
          </w14:textFill>
        </w:rPr>
      </w:pPr>
      <w:bookmarkStart w:id="130" w:name="bookmark2242"/>
      <w:bookmarkStart w:id="131" w:name="bookmark2241"/>
      <w:bookmarkStart w:id="132" w:name="_Toc26872"/>
      <w:bookmarkStart w:id="133" w:name="_Toc30824"/>
      <w:bookmarkStart w:id="134" w:name="bookmark2240"/>
      <w:r>
        <w:rPr>
          <w:rFonts w:hint="eastAsia" w:ascii="宋体" w:hAnsi="宋体" w:cs="宋体"/>
          <w:b/>
          <w:bCs/>
          <w:color w:val="000000" w:themeColor="text1"/>
          <w:sz w:val="28"/>
          <w:szCs w:val="28"/>
          <w:highlight w:val="none"/>
          <w14:textFill>
            <w14:solidFill>
              <w14:schemeClr w14:val="tx1"/>
            </w14:solidFill>
          </w14:textFill>
        </w:rPr>
        <w:t>拟投入本合同工程的劳动力计划表</w:t>
      </w:r>
      <w:bookmarkEnd w:id="130"/>
      <w:bookmarkEnd w:id="131"/>
      <w:bookmarkEnd w:id="132"/>
      <w:bookmarkEnd w:id="133"/>
      <w:bookmarkEnd w:id="134"/>
    </w:p>
    <w:p w14:paraId="764FE507">
      <w:pPr>
        <w:jc w:val="center"/>
        <w:rPr>
          <w:b/>
          <w:color w:val="000000" w:themeColor="text1"/>
          <w:highlight w:val="none"/>
          <w14:textFill>
            <w14:solidFill>
              <w14:schemeClr w14:val="tx1"/>
            </w14:solidFill>
          </w14:textFill>
        </w:rPr>
      </w:pPr>
      <w:r>
        <w:rPr>
          <w:color w:val="000000" w:themeColor="text1"/>
          <w:sz w:val="18"/>
          <w:szCs w:val="18"/>
          <w:highlight w:val="none"/>
          <w:lang w:bidi="mn-Mong-CN"/>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-26035</wp:posOffset>
                </wp:positionH>
                <wp:positionV relativeFrom="paragraph">
                  <wp:posOffset>173355</wp:posOffset>
                </wp:positionV>
                <wp:extent cx="1822450" cy="366395"/>
                <wp:effectExtent l="635" t="4445" r="5715" b="10160"/>
                <wp:wrapNone/>
                <wp:docPr id="13" name="直接箭头连接符 5"/>
                <wp:cNvGraphicFramePr/>
                <a:graphic xmlns:a="http://schemas.openxmlformats.org/drawingml/2006/main">
                  <a:graphicData uri="http://schemas.microsoft.com/office/word/2010/wordprocessingShape">
                    <wps:wsp>
                      <wps:cNvCnPr/>
                      <wps:spPr bwMode="auto">
                        <a:xfrm>
                          <a:off x="0" y="0"/>
                          <a:ext cx="1822450" cy="366395"/>
                        </a:xfrm>
                        <a:prstGeom prst="straightConnector1">
                          <a:avLst/>
                        </a:prstGeom>
                        <a:ln w="9525" cap="flat" cmpd="sng">
                          <a:solidFill>
                            <a:srgbClr val="000000"/>
                          </a:solidFill>
                          <a:prstDash val="solid"/>
                          <a:headEnd type="none" w="med" len="med"/>
                          <a:tailEnd type="none" w="med" len="med"/>
                        </a:ln>
                      </wps:spPr>
                      <wps:bodyPr rot="0">
                        <a:noAutofit/>
                      </wps:bodyPr>
                    </wps:wsp>
                  </a:graphicData>
                </a:graphic>
              </wp:anchor>
            </w:drawing>
          </mc:Choice>
          <mc:Fallback>
            <w:pict>
              <v:shape id="直接箭头连接符 5" o:spid="_x0000_s1026" o:spt="32" type="#_x0000_t32" style="position:absolute;left:0pt;margin-left:-2.05pt;margin-top:13.65pt;height:28.85pt;width:143.5pt;z-index:251659264;mso-width-relative:page;mso-height-relative:page;" filled="f" stroked="t" coordsize="21600,21600" o:gfxdata="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jkGhq1wAA&#10;AAgBAAAPAAAAAAAAAAEAIAAAACIAAABkcnMvZG93bnJldi54bWxQSwECFAAUAAAACACHTuJAhJ9e&#10;jB8CAAAiBAAADgAAAAAAAAABACAAAAAmAQAAZHJzL2Uyb0RvYy54bWxQSwUGAAAAAAYABgBZAQAA&#10;twUAAAAA&#10;">
                <v:fill on="f" focussize="0,0"/>
                <v:stroke color="#000000" joinstyle="round"/>
                <v:imagedata o:title=""/>
                <o:lock v:ext="edit" aspectratio="f"/>
              </v:shape>
            </w:pict>
          </mc:Fallback>
        </mc:AlternateContent>
      </w:r>
    </w:p>
    <w:tbl>
      <w:tblPr>
        <w:tblStyle w:val="45"/>
        <w:tblW w:w="0" w:type="auto"/>
        <w:jc w:val="center"/>
        <w:tblLayout w:type="fixed"/>
        <w:tblCellMar>
          <w:top w:w="0" w:type="dxa"/>
          <w:left w:w="10" w:type="dxa"/>
          <w:bottom w:w="0" w:type="dxa"/>
          <w:right w:w="10" w:type="dxa"/>
        </w:tblCellMar>
      </w:tblPr>
      <w:tblGrid>
        <w:gridCol w:w="1426"/>
        <w:gridCol w:w="1421"/>
        <w:gridCol w:w="643"/>
        <w:gridCol w:w="648"/>
        <w:gridCol w:w="643"/>
        <w:gridCol w:w="648"/>
        <w:gridCol w:w="648"/>
        <w:gridCol w:w="1133"/>
        <w:gridCol w:w="1142"/>
      </w:tblGrid>
      <w:tr w14:paraId="2B737C1C">
        <w:tblPrEx>
          <w:tblCellMar>
            <w:top w:w="0" w:type="dxa"/>
            <w:left w:w="10" w:type="dxa"/>
            <w:bottom w:w="0" w:type="dxa"/>
            <w:right w:w="10" w:type="dxa"/>
          </w:tblCellMar>
        </w:tblPrEx>
        <w:trPr>
          <w:trHeight w:val="576" w:hRule="exact"/>
          <w:jc w:val="center"/>
        </w:trPr>
        <w:tc>
          <w:tcPr>
            <w:tcW w:w="2847" w:type="dxa"/>
            <w:gridSpan w:val="2"/>
            <w:vMerge w:val="restart"/>
            <w:tcBorders>
              <w:top w:val="single" w:color="auto" w:sz="4" w:space="0"/>
              <w:left w:val="single" w:color="auto" w:sz="4" w:space="0"/>
            </w:tcBorders>
            <w:shd w:val="clear" w:color="auto" w:fill="FFFFFF"/>
            <w:noWrap w:val="0"/>
            <w:vAlign w:val="center"/>
          </w:tcPr>
          <w:p w14:paraId="7521FE51">
            <w:pPr>
              <w:pStyle w:val="312"/>
              <w:spacing w:line="266" w:lineRule="exact"/>
              <w:ind w:left="1060" w:firstLine="1220"/>
              <w:rPr>
                <w:color w:val="000000" w:themeColor="text1"/>
                <w:sz w:val="21"/>
                <w:szCs w:val="21"/>
                <w:highlight w:val="none"/>
                <w14:textFill>
                  <w14:solidFill>
                    <w14:schemeClr w14:val="tx1"/>
                  </w14:solidFill>
                </w14:textFill>
              </w:rPr>
            </w:pPr>
            <w:r>
              <w:rPr>
                <w:color w:val="000000" w:themeColor="text1"/>
                <w:sz w:val="21"/>
                <w:szCs w:val="21"/>
                <w:highlight w:val="none"/>
                <w:lang w:val="en-US" w:bidi="mn-Mong-CN"/>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-13970</wp:posOffset>
                      </wp:positionH>
                      <wp:positionV relativeFrom="paragraph">
                        <wp:posOffset>-8255</wp:posOffset>
                      </wp:positionV>
                      <wp:extent cx="1139190" cy="728980"/>
                      <wp:effectExtent l="2540" t="3810" r="20320" b="10160"/>
                      <wp:wrapNone/>
                      <wp:docPr id="14" name="直接箭头连接符 6"/>
                      <wp:cNvGraphicFramePr/>
                      <a:graphic xmlns:a="http://schemas.openxmlformats.org/drawingml/2006/main">
                        <a:graphicData uri="http://schemas.microsoft.com/office/word/2010/wordprocessingShape">
                          <wps:wsp>
                            <wps:cNvCnPr/>
                            <wps:spPr bwMode="auto">
                              <a:xfrm>
                                <a:off x="0" y="0"/>
                                <a:ext cx="1139190" cy="728980"/>
                              </a:xfrm>
                              <a:prstGeom prst="straightConnector1">
                                <a:avLst/>
                              </a:prstGeom>
                              <a:ln w="9525" cap="flat" cmpd="sng">
                                <a:solidFill>
                                  <a:srgbClr val="000000"/>
                                </a:solidFill>
                                <a:prstDash val="solid"/>
                                <a:headEnd type="none" w="med" len="med"/>
                                <a:tailEnd type="none" w="med" len="med"/>
                              </a:ln>
                            </wps:spPr>
                            <wps:bodyPr rot="0">
                              <a:noAutofit/>
                            </wps:bodyPr>
                          </wps:wsp>
                        </a:graphicData>
                      </a:graphic>
                    </wp:anchor>
                  </w:drawing>
                </mc:Choice>
                <mc:Fallback>
                  <w:pict>
                    <v:shape id="直接箭头连接符 6" o:spid="_x0000_s1026" o:spt="32" type="#_x0000_t32" style="position:absolute;left:0pt;margin-left:-1.1pt;margin-top:-0.65pt;height:57.4pt;width:89.7pt;z-index:251660288;mso-width-relative:page;mso-height-relative:page;" filled="f" stroked="t" coordsize="21600,21600" o:gfxdata="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6Fr7VdcA&#10;AAAJAQAADwAAAAAAAAABACAAAAAiAAAAZHJzL2Rvd25yZXYueG1sUEsBAhQAFAAAAAgAh07iQLJ8&#10;w4EgAgAAIgQAAA4AAAAAAAAAAQAgAAAAJgEAAGRycy9lMm9Eb2MueG1sUEsFBgAAAAAGAAYAWQEA&#10;ALgFAAAAAA==&#10;">
                      <v:fill on="f" focussize="0,0"/>
                      <v:stroke color="#000000" joinstyle="round"/>
                      <v:imagedata o:title=""/>
                      <o:lock v:ext="edit" aspectratio="f"/>
                    </v:shape>
                  </w:pict>
                </mc:Fallback>
              </mc:AlternateContent>
            </w:r>
            <w:r>
              <w:rPr>
                <w:color w:val="000000" w:themeColor="text1"/>
                <w:sz w:val="21"/>
                <w:szCs w:val="21"/>
                <w:highlight w:val="none"/>
                <w14:textFill>
                  <w14:solidFill>
                    <w14:schemeClr w14:val="tx1"/>
                  </w14:solidFill>
                </w14:textFill>
              </w:rPr>
              <w:t>工种 人数</w:t>
            </w:r>
          </w:p>
          <w:p w14:paraId="4D354336">
            <w:pPr>
              <w:pStyle w:val="312"/>
              <w:spacing w:line="266" w:lineRule="exact"/>
              <w:ind w:firstLine="180"/>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时间</w:t>
            </w:r>
          </w:p>
        </w:tc>
        <w:tc>
          <w:tcPr>
            <w:tcW w:w="643" w:type="dxa"/>
            <w:vMerge w:val="restart"/>
            <w:tcBorders>
              <w:top w:val="single" w:color="auto" w:sz="4" w:space="0"/>
              <w:left w:val="single" w:color="auto" w:sz="4" w:space="0"/>
            </w:tcBorders>
            <w:shd w:val="clear" w:color="auto" w:fill="FFFFFF"/>
            <w:noWrap w:val="0"/>
            <w:vAlign w:val="top"/>
          </w:tcPr>
          <w:p w14:paraId="54278953">
            <w:pPr>
              <w:rPr>
                <w:color w:val="000000" w:themeColor="text1"/>
                <w:szCs w:val="21"/>
                <w:highlight w:val="none"/>
                <w14:textFill>
                  <w14:solidFill>
                    <w14:schemeClr w14:val="tx1"/>
                  </w14:solidFill>
                </w14:textFill>
              </w:rPr>
            </w:pPr>
          </w:p>
        </w:tc>
        <w:tc>
          <w:tcPr>
            <w:tcW w:w="648" w:type="dxa"/>
            <w:vMerge w:val="restart"/>
            <w:tcBorders>
              <w:top w:val="single" w:color="auto" w:sz="4" w:space="0"/>
              <w:left w:val="single" w:color="auto" w:sz="4" w:space="0"/>
            </w:tcBorders>
            <w:shd w:val="clear" w:color="auto" w:fill="FFFFFF"/>
            <w:noWrap w:val="0"/>
            <w:vAlign w:val="top"/>
          </w:tcPr>
          <w:p w14:paraId="1E7D0ABA">
            <w:pPr>
              <w:rPr>
                <w:color w:val="000000" w:themeColor="text1"/>
                <w:szCs w:val="21"/>
                <w:highlight w:val="none"/>
                <w14:textFill>
                  <w14:solidFill>
                    <w14:schemeClr w14:val="tx1"/>
                  </w14:solidFill>
                </w14:textFill>
              </w:rPr>
            </w:pPr>
          </w:p>
        </w:tc>
        <w:tc>
          <w:tcPr>
            <w:tcW w:w="643" w:type="dxa"/>
            <w:vMerge w:val="restart"/>
            <w:tcBorders>
              <w:top w:val="single" w:color="auto" w:sz="4" w:space="0"/>
              <w:left w:val="single" w:color="auto" w:sz="4" w:space="0"/>
            </w:tcBorders>
            <w:shd w:val="clear" w:color="auto" w:fill="FFFFFF"/>
            <w:noWrap w:val="0"/>
            <w:vAlign w:val="top"/>
          </w:tcPr>
          <w:p w14:paraId="1712F146">
            <w:pPr>
              <w:rPr>
                <w:color w:val="000000" w:themeColor="text1"/>
                <w:szCs w:val="21"/>
                <w:highlight w:val="none"/>
                <w14:textFill>
                  <w14:solidFill>
                    <w14:schemeClr w14:val="tx1"/>
                  </w14:solidFill>
                </w14:textFill>
              </w:rPr>
            </w:pPr>
          </w:p>
        </w:tc>
        <w:tc>
          <w:tcPr>
            <w:tcW w:w="648" w:type="dxa"/>
            <w:vMerge w:val="restart"/>
            <w:tcBorders>
              <w:top w:val="single" w:color="auto" w:sz="4" w:space="0"/>
              <w:left w:val="single" w:color="auto" w:sz="4" w:space="0"/>
            </w:tcBorders>
            <w:shd w:val="clear" w:color="auto" w:fill="FFFFFF"/>
            <w:noWrap w:val="0"/>
            <w:vAlign w:val="top"/>
          </w:tcPr>
          <w:p w14:paraId="2A3E6791">
            <w:pPr>
              <w:rPr>
                <w:color w:val="000000" w:themeColor="text1"/>
                <w:szCs w:val="21"/>
                <w:highlight w:val="none"/>
                <w14:textFill>
                  <w14:solidFill>
                    <w14:schemeClr w14:val="tx1"/>
                  </w14:solidFill>
                </w14:textFill>
              </w:rPr>
            </w:pPr>
          </w:p>
        </w:tc>
        <w:tc>
          <w:tcPr>
            <w:tcW w:w="648" w:type="dxa"/>
            <w:vMerge w:val="restart"/>
            <w:tcBorders>
              <w:top w:val="single" w:color="auto" w:sz="4" w:space="0"/>
              <w:left w:val="single" w:color="auto" w:sz="4" w:space="0"/>
            </w:tcBorders>
            <w:shd w:val="clear" w:color="auto" w:fill="FFFFFF"/>
            <w:noWrap w:val="0"/>
            <w:vAlign w:val="top"/>
          </w:tcPr>
          <w:p w14:paraId="6BD6DB9A">
            <w:pPr>
              <w:rPr>
                <w:color w:val="000000" w:themeColor="text1"/>
                <w:szCs w:val="21"/>
                <w:highlight w:val="none"/>
                <w14:textFill>
                  <w14:solidFill>
                    <w14:schemeClr w14:val="tx1"/>
                  </w14:solidFill>
                </w14:textFill>
              </w:rPr>
            </w:pPr>
          </w:p>
        </w:tc>
        <w:tc>
          <w:tcPr>
            <w:tcW w:w="2275" w:type="dxa"/>
            <w:gridSpan w:val="2"/>
            <w:tcBorders>
              <w:top w:val="single" w:color="auto" w:sz="4" w:space="0"/>
              <w:left w:val="single" w:color="auto" w:sz="4" w:space="0"/>
              <w:right w:val="single" w:color="auto" w:sz="4" w:space="0"/>
            </w:tcBorders>
            <w:shd w:val="clear" w:color="auto" w:fill="FFFFFF"/>
            <w:noWrap w:val="0"/>
            <w:vAlign w:val="center"/>
          </w:tcPr>
          <w:p w14:paraId="074D2DB6">
            <w:pPr>
              <w:pStyle w:val="312"/>
              <w:spacing w:line="240" w:lineRule="auto"/>
              <w:ind w:firstLine="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合 计</w:t>
            </w:r>
          </w:p>
        </w:tc>
      </w:tr>
      <w:tr w14:paraId="5085B950">
        <w:tblPrEx>
          <w:tblCellMar>
            <w:top w:w="0" w:type="dxa"/>
            <w:left w:w="10" w:type="dxa"/>
            <w:bottom w:w="0" w:type="dxa"/>
            <w:right w:w="10" w:type="dxa"/>
          </w:tblCellMar>
        </w:tblPrEx>
        <w:trPr>
          <w:trHeight w:val="566" w:hRule="exact"/>
          <w:jc w:val="center"/>
        </w:trPr>
        <w:tc>
          <w:tcPr>
            <w:tcW w:w="2847" w:type="dxa"/>
            <w:gridSpan w:val="2"/>
            <w:vMerge w:val="continue"/>
            <w:tcBorders>
              <w:left w:val="single" w:color="auto" w:sz="4" w:space="0"/>
            </w:tcBorders>
            <w:shd w:val="clear" w:color="auto" w:fill="FFFFFF"/>
            <w:noWrap w:val="0"/>
            <w:vAlign w:val="center"/>
          </w:tcPr>
          <w:p w14:paraId="253D1870">
            <w:pPr>
              <w:rPr>
                <w:color w:val="000000" w:themeColor="text1"/>
                <w:szCs w:val="21"/>
                <w:highlight w:val="none"/>
                <w14:textFill>
                  <w14:solidFill>
                    <w14:schemeClr w14:val="tx1"/>
                  </w14:solidFill>
                </w14:textFill>
              </w:rPr>
            </w:pPr>
          </w:p>
        </w:tc>
        <w:tc>
          <w:tcPr>
            <w:tcW w:w="643" w:type="dxa"/>
            <w:vMerge w:val="continue"/>
            <w:tcBorders>
              <w:left w:val="single" w:color="auto" w:sz="4" w:space="0"/>
            </w:tcBorders>
            <w:shd w:val="clear" w:color="auto" w:fill="FFFFFF"/>
            <w:noWrap w:val="0"/>
            <w:vAlign w:val="top"/>
          </w:tcPr>
          <w:p w14:paraId="12C42F6F">
            <w:pPr>
              <w:rPr>
                <w:color w:val="000000" w:themeColor="text1"/>
                <w:szCs w:val="21"/>
                <w:highlight w:val="none"/>
                <w14:textFill>
                  <w14:solidFill>
                    <w14:schemeClr w14:val="tx1"/>
                  </w14:solidFill>
                </w14:textFill>
              </w:rPr>
            </w:pPr>
          </w:p>
        </w:tc>
        <w:tc>
          <w:tcPr>
            <w:tcW w:w="648" w:type="dxa"/>
            <w:vMerge w:val="continue"/>
            <w:tcBorders>
              <w:left w:val="single" w:color="auto" w:sz="4" w:space="0"/>
            </w:tcBorders>
            <w:shd w:val="clear" w:color="auto" w:fill="FFFFFF"/>
            <w:noWrap w:val="0"/>
            <w:vAlign w:val="top"/>
          </w:tcPr>
          <w:p w14:paraId="4E196C91">
            <w:pPr>
              <w:rPr>
                <w:color w:val="000000" w:themeColor="text1"/>
                <w:szCs w:val="21"/>
                <w:highlight w:val="none"/>
                <w14:textFill>
                  <w14:solidFill>
                    <w14:schemeClr w14:val="tx1"/>
                  </w14:solidFill>
                </w14:textFill>
              </w:rPr>
            </w:pPr>
          </w:p>
        </w:tc>
        <w:tc>
          <w:tcPr>
            <w:tcW w:w="643" w:type="dxa"/>
            <w:vMerge w:val="continue"/>
            <w:tcBorders>
              <w:left w:val="single" w:color="auto" w:sz="4" w:space="0"/>
            </w:tcBorders>
            <w:shd w:val="clear" w:color="auto" w:fill="FFFFFF"/>
            <w:noWrap w:val="0"/>
            <w:vAlign w:val="top"/>
          </w:tcPr>
          <w:p w14:paraId="36EF136B">
            <w:pPr>
              <w:rPr>
                <w:color w:val="000000" w:themeColor="text1"/>
                <w:szCs w:val="21"/>
                <w:highlight w:val="none"/>
                <w14:textFill>
                  <w14:solidFill>
                    <w14:schemeClr w14:val="tx1"/>
                  </w14:solidFill>
                </w14:textFill>
              </w:rPr>
            </w:pPr>
          </w:p>
        </w:tc>
        <w:tc>
          <w:tcPr>
            <w:tcW w:w="648" w:type="dxa"/>
            <w:vMerge w:val="continue"/>
            <w:tcBorders>
              <w:left w:val="single" w:color="auto" w:sz="4" w:space="0"/>
            </w:tcBorders>
            <w:shd w:val="clear" w:color="auto" w:fill="FFFFFF"/>
            <w:noWrap w:val="0"/>
            <w:vAlign w:val="top"/>
          </w:tcPr>
          <w:p w14:paraId="1CD907BD">
            <w:pPr>
              <w:rPr>
                <w:color w:val="000000" w:themeColor="text1"/>
                <w:szCs w:val="21"/>
                <w:highlight w:val="none"/>
                <w14:textFill>
                  <w14:solidFill>
                    <w14:schemeClr w14:val="tx1"/>
                  </w14:solidFill>
                </w14:textFill>
              </w:rPr>
            </w:pPr>
          </w:p>
        </w:tc>
        <w:tc>
          <w:tcPr>
            <w:tcW w:w="648" w:type="dxa"/>
            <w:vMerge w:val="continue"/>
            <w:tcBorders>
              <w:left w:val="single" w:color="auto" w:sz="4" w:space="0"/>
            </w:tcBorders>
            <w:shd w:val="clear" w:color="auto" w:fill="FFFFFF"/>
            <w:noWrap w:val="0"/>
            <w:vAlign w:val="top"/>
          </w:tcPr>
          <w:p w14:paraId="3210F56A">
            <w:pPr>
              <w:rPr>
                <w:color w:val="000000" w:themeColor="text1"/>
                <w:szCs w:val="21"/>
                <w:highlight w:val="none"/>
                <w14:textFill>
                  <w14:solidFill>
                    <w14:schemeClr w14:val="tx1"/>
                  </w14:solidFill>
                </w14:textFill>
              </w:rPr>
            </w:pPr>
          </w:p>
        </w:tc>
        <w:tc>
          <w:tcPr>
            <w:tcW w:w="1133" w:type="dxa"/>
            <w:tcBorders>
              <w:top w:val="single" w:color="auto" w:sz="4" w:space="0"/>
              <w:left w:val="single" w:color="auto" w:sz="4" w:space="0"/>
            </w:tcBorders>
            <w:shd w:val="clear" w:color="auto" w:fill="FFFFFF"/>
            <w:noWrap w:val="0"/>
            <w:vAlign w:val="center"/>
          </w:tcPr>
          <w:p w14:paraId="0059170B">
            <w:pPr>
              <w:pStyle w:val="312"/>
              <w:spacing w:line="240" w:lineRule="auto"/>
              <w:ind w:firstLine="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人数</w:t>
            </w:r>
          </w:p>
        </w:tc>
        <w:tc>
          <w:tcPr>
            <w:tcW w:w="1142" w:type="dxa"/>
            <w:tcBorders>
              <w:top w:val="single" w:color="auto" w:sz="4" w:space="0"/>
              <w:left w:val="single" w:color="auto" w:sz="4" w:space="0"/>
              <w:right w:val="single" w:color="auto" w:sz="4" w:space="0"/>
            </w:tcBorders>
            <w:shd w:val="clear" w:color="auto" w:fill="FFFFFF"/>
            <w:noWrap w:val="0"/>
            <w:vAlign w:val="center"/>
          </w:tcPr>
          <w:p w14:paraId="085E9591">
            <w:pPr>
              <w:pStyle w:val="312"/>
              <w:spacing w:line="240" w:lineRule="auto"/>
              <w:ind w:firstLine="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人工工日数</w:t>
            </w:r>
          </w:p>
        </w:tc>
      </w:tr>
      <w:tr w14:paraId="6386FDCD">
        <w:tblPrEx>
          <w:tblCellMar>
            <w:top w:w="0" w:type="dxa"/>
            <w:left w:w="10" w:type="dxa"/>
            <w:bottom w:w="0" w:type="dxa"/>
            <w:right w:w="10" w:type="dxa"/>
          </w:tblCellMar>
        </w:tblPrEx>
        <w:trPr>
          <w:trHeight w:val="566" w:hRule="exact"/>
          <w:jc w:val="center"/>
        </w:trPr>
        <w:tc>
          <w:tcPr>
            <w:tcW w:w="1426" w:type="dxa"/>
            <w:vMerge w:val="restart"/>
            <w:tcBorders>
              <w:top w:val="single" w:color="auto" w:sz="4" w:space="0"/>
              <w:left w:val="single" w:color="auto" w:sz="4" w:space="0"/>
            </w:tcBorders>
            <w:shd w:val="clear" w:color="auto" w:fill="FFFFFF"/>
            <w:noWrap w:val="0"/>
            <w:vAlign w:val="center"/>
          </w:tcPr>
          <w:p w14:paraId="2A45B831">
            <w:pPr>
              <w:pStyle w:val="312"/>
              <w:spacing w:line="240" w:lineRule="auto"/>
              <w:ind w:left="1120" w:firstLine="0"/>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年</w:t>
            </w:r>
          </w:p>
        </w:tc>
        <w:tc>
          <w:tcPr>
            <w:tcW w:w="1421" w:type="dxa"/>
            <w:tcBorders>
              <w:top w:val="single" w:color="auto" w:sz="4" w:space="0"/>
              <w:left w:val="single" w:color="auto" w:sz="4" w:space="0"/>
            </w:tcBorders>
            <w:shd w:val="clear" w:color="auto" w:fill="FFFFFF"/>
            <w:noWrap w:val="0"/>
            <w:vAlign w:val="center"/>
          </w:tcPr>
          <w:p w14:paraId="698713B5">
            <w:pPr>
              <w:pStyle w:val="312"/>
              <w:spacing w:line="240" w:lineRule="auto"/>
              <w:ind w:left="1120" w:firstLine="0"/>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月</w:t>
            </w:r>
          </w:p>
        </w:tc>
        <w:tc>
          <w:tcPr>
            <w:tcW w:w="643" w:type="dxa"/>
            <w:tcBorders>
              <w:top w:val="single" w:color="auto" w:sz="4" w:space="0"/>
              <w:left w:val="single" w:color="auto" w:sz="4" w:space="0"/>
            </w:tcBorders>
            <w:shd w:val="clear" w:color="auto" w:fill="FFFFFF"/>
            <w:noWrap w:val="0"/>
            <w:vAlign w:val="top"/>
          </w:tcPr>
          <w:p w14:paraId="335C4EC3">
            <w:pPr>
              <w:rPr>
                <w:color w:val="000000" w:themeColor="text1"/>
                <w:szCs w:val="21"/>
                <w:highlight w:val="none"/>
                <w14:textFill>
                  <w14:solidFill>
                    <w14:schemeClr w14:val="tx1"/>
                  </w14:solidFill>
                </w14:textFill>
              </w:rPr>
            </w:pPr>
          </w:p>
        </w:tc>
        <w:tc>
          <w:tcPr>
            <w:tcW w:w="648" w:type="dxa"/>
            <w:tcBorders>
              <w:top w:val="single" w:color="auto" w:sz="4" w:space="0"/>
              <w:left w:val="single" w:color="auto" w:sz="4" w:space="0"/>
            </w:tcBorders>
            <w:shd w:val="clear" w:color="auto" w:fill="FFFFFF"/>
            <w:noWrap w:val="0"/>
            <w:vAlign w:val="top"/>
          </w:tcPr>
          <w:p w14:paraId="2E8B1FFD">
            <w:pPr>
              <w:rPr>
                <w:color w:val="000000" w:themeColor="text1"/>
                <w:szCs w:val="21"/>
                <w:highlight w:val="none"/>
                <w14:textFill>
                  <w14:solidFill>
                    <w14:schemeClr w14:val="tx1"/>
                  </w14:solidFill>
                </w14:textFill>
              </w:rPr>
            </w:pPr>
          </w:p>
        </w:tc>
        <w:tc>
          <w:tcPr>
            <w:tcW w:w="643" w:type="dxa"/>
            <w:tcBorders>
              <w:top w:val="single" w:color="auto" w:sz="4" w:space="0"/>
              <w:left w:val="single" w:color="auto" w:sz="4" w:space="0"/>
            </w:tcBorders>
            <w:shd w:val="clear" w:color="auto" w:fill="FFFFFF"/>
            <w:noWrap w:val="0"/>
            <w:vAlign w:val="top"/>
          </w:tcPr>
          <w:p w14:paraId="760EA0CC">
            <w:pPr>
              <w:rPr>
                <w:color w:val="000000" w:themeColor="text1"/>
                <w:szCs w:val="21"/>
                <w:highlight w:val="none"/>
                <w14:textFill>
                  <w14:solidFill>
                    <w14:schemeClr w14:val="tx1"/>
                  </w14:solidFill>
                </w14:textFill>
              </w:rPr>
            </w:pPr>
          </w:p>
        </w:tc>
        <w:tc>
          <w:tcPr>
            <w:tcW w:w="648" w:type="dxa"/>
            <w:tcBorders>
              <w:top w:val="single" w:color="auto" w:sz="4" w:space="0"/>
              <w:left w:val="single" w:color="auto" w:sz="4" w:space="0"/>
            </w:tcBorders>
            <w:shd w:val="clear" w:color="auto" w:fill="FFFFFF"/>
            <w:noWrap w:val="0"/>
            <w:vAlign w:val="top"/>
          </w:tcPr>
          <w:p w14:paraId="55C71296">
            <w:pPr>
              <w:rPr>
                <w:color w:val="000000" w:themeColor="text1"/>
                <w:szCs w:val="21"/>
                <w:highlight w:val="none"/>
                <w14:textFill>
                  <w14:solidFill>
                    <w14:schemeClr w14:val="tx1"/>
                  </w14:solidFill>
                </w14:textFill>
              </w:rPr>
            </w:pPr>
          </w:p>
        </w:tc>
        <w:tc>
          <w:tcPr>
            <w:tcW w:w="648" w:type="dxa"/>
            <w:tcBorders>
              <w:top w:val="single" w:color="auto" w:sz="4" w:space="0"/>
              <w:left w:val="single" w:color="auto" w:sz="4" w:space="0"/>
            </w:tcBorders>
            <w:shd w:val="clear" w:color="auto" w:fill="FFFFFF"/>
            <w:noWrap w:val="0"/>
            <w:vAlign w:val="top"/>
          </w:tcPr>
          <w:p w14:paraId="35AC0CB5">
            <w:pPr>
              <w:rPr>
                <w:color w:val="000000" w:themeColor="text1"/>
                <w:szCs w:val="21"/>
                <w:highlight w:val="none"/>
                <w14:textFill>
                  <w14:solidFill>
                    <w14:schemeClr w14:val="tx1"/>
                  </w14:solidFill>
                </w14:textFill>
              </w:rPr>
            </w:pPr>
          </w:p>
        </w:tc>
        <w:tc>
          <w:tcPr>
            <w:tcW w:w="1133" w:type="dxa"/>
            <w:tcBorders>
              <w:top w:val="single" w:color="auto" w:sz="4" w:space="0"/>
              <w:left w:val="single" w:color="auto" w:sz="4" w:space="0"/>
            </w:tcBorders>
            <w:shd w:val="clear" w:color="auto" w:fill="FFFFFF"/>
            <w:noWrap w:val="0"/>
            <w:vAlign w:val="top"/>
          </w:tcPr>
          <w:p w14:paraId="721E44A7">
            <w:pPr>
              <w:rPr>
                <w:color w:val="000000" w:themeColor="text1"/>
                <w:szCs w:val="21"/>
                <w:highlight w:val="none"/>
                <w14:textFill>
                  <w14:solidFill>
                    <w14:schemeClr w14:val="tx1"/>
                  </w14:solidFill>
                </w14:textFill>
              </w:rPr>
            </w:pPr>
          </w:p>
        </w:tc>
        <w:tc>
          <w:tcPr>
            <w:tcW w:w="1142" w:type="dxa"/>
            <w:tcBorders>
              <w:top w:val="single" w:color="auto" w:sz="4" w:space="0"/>
              <w:left w:val="single" w:color="auto" w:sz="4" w:space="0"/>
              <w:right w:val="single" w:color="auto" w:sz="4" w:space="0"/>
            </w:tcBorders>
            <w:shd w:val="clear" w:color="auto" w:fill="FFFFFF"/>
            <w:noWrap w:val="0"/>
            <w:vAlign w:val="center"/>
          </w:tcPr>
          <w:p w14:paraId="1AEA55FD">
            <w:pPr>
              <w:jc w:val="center"/>
              <w:rPr>
                <w:color w:val="000000" w:themeColor="text1"/>
                <w:szCs w:val="21"/>
                <w:highlight w:val="none"/>
                <w14:textFill>
                  <w14:solidFill>
                    <w14:schemeClr w14:val="tx1"/>
                  </w14:solidFill>
                </w14:textFill>
              </w:rPr>
            </w:pPr>
          </w:p>
        </w:tc>
      </w:tr>
      <w:tr w14:paraId="60E785DE">
        <w:tblPrEx>
          <w:tblCellMar>
            <w:top w:w="0" w:type="dxa"/>
            <w:left w:w="10" w:type="dxa"/>
            <w:bottom w:w="0" w:type="dxa"/>
            <w:right w:w="10" w:type="dxa"/>
          </w:tblCellMar>
        </w:tblPrEx>
        <w:trPr>
          <w:trHeight w:val="566" w:hRule="exact"/>
          <w:jc w:val="center"/>
        </w:trPr>
        <w:tc>
          <w:tcPr>
            <w:tcW w:w="1426" w:type="dxa"/>
            <w:vMerge w:val="continue"/>
            <w:tcBorders>
              <w:left w:val="single" w:color="auto" w:sz="4" w:space="0"/>
            </w:tcBorders>
            <w:shd w:val="clear" w:color="auto" w:fill="FFFFFF"/>
            <w:noWrap w:val="0"/>
            <w:vAlign w:val="center"/>
          </w:tcPr>
          <w:p w14:paraId="12EA5D14">
            <w:pPr>
              <w:rPr>
                <w:color w:val="000000" w:themeColor="text1"/>
                <w:szCs w:val="21"/>
                <w:highlight w:val="none"/>
                <w14:textFill>
                  <w14:solidFill>
                    <w14:schemeClr w14:val="tx1"/>
                  </w14:solidFill>
                </w14:textFill>
              </w:rPr>
            </w:pPr>
          </w:p>
        </w:tc>
        <w:tc>
          <w:tcPr>
            <w:tcW w:w="1421" w:type="dxa"/>
            <w:tcBorders>
              <w:top w:val="single" w:color="auto" w:sz="4" w:space="0"/>
              <w:left w:val="single" w:color="auto" w:sz="4" w:space="0"/>
            </w:tcBorders>
            <w:shd w:val="clear" w:color="auto" w:fill="FFFFFF"/>
            <w:noWrap w:val="0"/>
            <w:vAlign w:val="center"/>
          </w:tcPr>
          <w:p w14:paraId="272678BE">
            <w:pPr>
              <w:pStyle w:val="312"/>
              <w:spacing w:line="240" w:lineRule="auto"/>
              <w:ind w:left="1120" w:firstLine="0"/>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月</w:t>
            </w:r>
          </w:p>
        </w:tc>
        <w:tc>
          <w:tcPr>
            <w:tcW w:w="643" w:type="dxa"/>
            <w:tcBorders>
              <w:top w:val="single" w:color="auto" w:sz="4" w:space="0"/>
              <w:left w:val="single" w:color="auto" w:sz="4" w:space="0"/>
            </w:tcBorders>
            <w:shd w:val="clear" w:color="auto" w:fill="FFFFFF"/>
            <w:noWrap w:val="0"/>
            <w:vAlign w:val="top"/>
          </w:tcPr>
          <w:p w14:paraId="520B09DD">
            <w:pPr>
              <w:rPr>
                <w:color w:val="000000" w:themeColor="text1"/>
                <w:szCs w:val="21"/>
                <w:highlight w:val="none"/>
                <w14:textFill>
                  <w14:solidFill>
                    <w14:schemeClr w14:val="tx1"/>
                  </w14:solidFill>
                </w14:textFill>
              </w:rPr>
            </w:pPr>
          </w:p>
        </w:tc>
        <w:tc>
          <w:tcPr>
            <w:tcW w:w="648" w:type="dxa"/>
            <w:tcBorders>
              <w:top w:val="single" w:color="auto" w:sz="4" w:space="0"/>
              <w:left w:val="single" w:color="auto" w:sz="4" w:space="0"/>
            </w:tcBorders>
            <w:shd w:val="clear" w:color="auto" w:fill="FFFFFF"/>
            <w:noWrap w:val="0"/>
            <w:vAlign w:val="top"/>
          </w:tcPr>
          <w:p w14:paraId="033920F2">
            <w:pPr>
              <w:rPr>
                <w:color w:val="000000" w:themeColor="text1"/>
                <w:szCs w:val="21"/>
                <w:highlight w:val="none"/>
                <w14:textFill>
                  <w14:solidFill>
                    <w14:schemeClr w14:val="tx1"/>
                  </w14:solidFill>
                </w14:textFill>
              </w:rPr>
            </w:pPr>
          </w:p>
        </w:tc>
        <w:tc>
          <w:tcPr>
            <w:tcW w:w="643" w:type="dxa"/>
            <w:tcBorders>
              <w:top w:val="single" w:color="auto" w:sz="4" w:space="0"/>
              <w:left w:val="single" w:color="auto" w:sz="4" w:space="0"/>
            </w:tcBorders>
            <w:shd w:val="clear" w:color="auto" w:fill="FFFFFF"/>
            <w:noWrap w:val="0"/>
            <w:vAlign w:val="top"/>
          </w:tcPr>
          <w:p w14:paraId="287D6E04">
            <w:pPr>
              <w:rPr>
                <w:color w:val="000000" w:themeColor="text1"/>
                <w:szCs w:val="21"/>
                <w:highlight w:val="none"/>
                <w14:textFill>
                  <w14:solidFill>
                    <w14:schemeClr w14:val="tx1"/>
                  </w14:solidFill>
                </w14:textFill>
              </w:rPr>
            </w:pPr>
          </w:p>
        </w:tc>
        <w:tc>
          <w:tcPr>
            <w:tcW w:w="648" w:type="dxa"/>
            <w:tcBorders>
              <w:top w:val="single" w:color="auto" w:sz="4" w:space="0"/>
              <w:left w:val="single" w:color="auto" w:sz="4" w:space="0"/>
            </w:tcBorders>
            <w:shd w:val="clear" w:color="auto" w:fill="FFFFFF"/>
            <w:noWrap w:val="0"/>
            <w:vAlign w:val="top"/>
          </w:tcPr>
          <w:p w14:paraId="21A7EB13">
            <w:pPr>
              <w:rPr>
                <w:color w:val="000000" w:themeColor="text1"/>
                <w:szCs w:val="21"/>
                <w:highlight w:val="none"/>
                <w14:textFill>
                  <w14:solidFill>
                    <w14:schemeClr w14:val="tx1"/>
                  </w14:solidFill>
                </w14:textFill>
              </w:rPr>
            </w:pPr>
          </w:p>
        </w:tc>
        <w:tc>
          <w:tcPr>
            <w:tcW w:w="648" w:type="dxa"/>
            <w:tcBorders>
              <w:top w:val="single" w:color="auto" w:sz="4" w:space="0"/>
              <w:left w:val="single" w:color="auto" w:sz="4" w:space="0"/>
            </w:tcBorders>
            <w:shd w:val="clear" w:color="auto" w:fill="FFFFFF"/>
            <w:noWrap w:val="0"/>
            <w:vAlign w:val="top"/>
          </w:tcPr>
          <w:p w14:paraId="14A0868F">
            <w:pPr>
              <w:rPr>
                <w:color w:val="000000" w:themeColor="text1"/>
                <w:szCs w:val="21"/>
                <w:highlight w:val="none"/>
                <w14:textFill>
                  <w14:solidFill>
                    <w14:schemeClr w14:val="tx1"/>
                  </w14:solidFill>
                </w14:textFill>
              </w:rPr>
            </w:pPr>
          </w:p>
        </w:tc>
        <w:tc>
          <w:tcPr>
            <w:tcW w:w="1133" w:type="dxa"/>
            <w:tcBorders>
              <w:top w:val="single" w:color="auto" w:sz="4" w:space="0"/>
              <w:left w:val="single" w:color="auto" w:sz="4" w:space="0"/>
            </w:tcBorders>
            <w:shd w:val="clear" w:color="auto" w:fill="FFFFFF"/>
            <w:noWrap w:val="0"/>
            <w:vAlign w:val="top"/>
          </w:tcPr>
          <w:p w14:paraId="3EF916BE">
            <w:pPr>
              <w:rPr>
                <w:color w:val="000000" w:themeColor="text1"/>
                <w:szCs w:val="21"/>
                <w:highlight w:val="none"/>
                <w14:textFill>
                  <w14:solidFill>
                    <w14:schemeClr w14:val="tx1"/>
                  </w14:solidFill>
                </w14:textFill>
              </w:rPr>
            </w:pPr>
          </w:p>
        </w:tc>
        <w:tc>
          <w:tcPr>
            <w:tcW w:w="1142" w:type="dxa"/>
            <w:tcBorders>
              <w:top w:val="single" w:color="auto" w:sz="4" w:space="0"/>
              <w:left w:val="single" w:color="auto" w:sz="4" w:space="0"/>
              <w:right w:val="single" w:color="auto" w:sz="4" w:space="0"/>
            </w:tcBorders>
            <w:shd w:val="clear" w:color="auto" w:fill="FFFFFF"/>
            <w:noWrap w:val="0"/>
            <w:vAlign w:val="center"/>
          </w:tcPr>
          <w:p w14:paraId="50D75B6E">
            <w:pPr>
              <w:jc w:val="center"/>
              <w:rPr>
                <w:color w:val="000000" w:themeColor="text1"/>
                <w:szCs w:val="21"/>
                <w:highlight w:val="none"/>
                <w14:textFill>
                  <w14:solidFill>
                    <w14:schemeClr w14:val="tx1"/>
                  </w14:solidFill>
                </w14:textFill>
              </w:rPr>
            </w:pPr>
          </w:p>
        </w:tc>
      </w:tr>
      <w:tr w14:paraId="66E4C8AD">
        <w:tblPrEx>
          <w:tblCellMar>
            <w:top w:w="0" w:type="dxa"/>
            <w:left w:w="10" w:type="dxa"/>
            <w:bottom w:w="0" w:type="dxa"/>
            <w:right w:w="10" w:type="dxa"/>
          </w:tblCellMar>
        </w:tblPrEx>
        <w:trPr>
          <w:trHeight w:val="566" w:hRule="exact"/>
          <w:jc w:val="center"/>
        </w:trPr>
        <w:tc>
          <w:tcPr>
            <w:tcW w:w="1426" w:type="dxa"/>
            <w:vMerge w:val="continue"/>
            <w:tcBorders>
              <w:left w:val="single" w:color="auto" w:sz="4" w:space="0"/>
            </w:tcBorders>
            <w:shd w:val="clear" w:color="auto" w:fill="FFFFFF"/>
            <w:noWrap w:val="0"/>
            <w:vAlign w:val="center"/>
          </w:tcPr>
          <w:p w14:paraId="3A38EDC9">
            <w:pPr>
              <w:rPr>
                <w:color w:val="000000" w:themeColor="text1"/>
                <w:szCs w:val="21"/>
                <w:highlight w:val="none"/>
                <w14:textFill>
                  <w14:solidFill>
                    <w14:schemeClr w14:val="tx1"/>
                  </w14:solidFill>
                </w14:textFill>
              </w:rPr>
            </w:pPr>
          </w:p>
        </w:tc>
        <w:tc>
          <w:tcPr>
            <w:tcW w:w="1421" w:type="dxa"/>
            <w:tcBorders>
              <w:top w:val="single" w:color="auto" w:sz="4" w:space="0"/>
              <w:left w:val="single" w:color="auto" w:sz="4" w:space="0"/>
            </w:tcBorders>
            <w:shd w:val="clear" w:color="auto" w:fill="FFFFFF"/>
            <w:noWrap w:val="0"/>
            <w:vAlign w:val="center"/>
          </w:tcPr>
          <w:p w14:paraId="27C030C3">
            <w:pPr>
              <w:pStyle w:val="312"/>
              <w:spacing w:line="240" w:lineRule="auto"/>
              <w:ind w:left="1120" w:firstLine="0"/>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月</w:t>
            </w:r>
          </w:p>
        </w:tc>
        <w:tc>
          <w:tcPr>
            <w:tcW w:w="643" w:type="dxa"/>
            <w:tcBorders>
              <w:top w:val="single" w:color="auto" w:sz="4" w:space="0"/>
              <w:left w:val="single" w:color="auto" w:sz="4" w:space="0"/>
            </w:tcBorders>
            <w:shd w:val="clear" w:color="auto" w:fill="FFFFFF"/>
            <w:noWrap w:val="0"/>
            <w:vAlign w:val="top"/>
          </w:tcPr>
          <w:p w14:paraId="29A8FF63">
            <w:pPr>
              <w:rPr>
                <w:color w:val="000000" w:themeColor="text1"/>
                <w:szCs w:val="21"/>
                <w:highlight w:val="none"/>
                <w14:textFill>
                  <w14:solidFill>
                    <w14:schemeClr w14:val="tx1"/>
                  </w14:solidFill>
                </w14:textFill>
              </w:rPr>
            </w:pPr>
          </w:p>
        </w:tc>
        <w:tc>
          <w:tcPr>
            <w:tcW w:w="648" w:type="dxa"/>
            <w:tcBorders>
              <w:top w:val="single" w:color="auto" w:sz="4" w:space="0"/>
              <w:left w:val="single" w:color="auto" w:sz="4" w:space="0"/>
            </w:tcBorders>
            <w:shd w:val="clear" w:color="auto" w:fill="FFFFFF"/>
            <w:noWrap w:val="0"/>
            <w:vAlign w:val="top"/>
          </w:tcPr>
          <w:p w14:paraId="3F009806">
            <w:pPr>
              <w:rPr>
                <w:color w:val="000000" w:themeColor="text1"/>
                <w:szCs w:val="21"/>
                <w:highlight w:val="none"/>
                <w14:textFill>
                  <w14:solidFill>
                    <w14:schemeClr w14:val="tx1"/>
                  </w14:solidFill>
                </w14:textFill>
              </w:rPr>
            </w:pPr>
          </w:p>
        </w:tc>
        <w:tc>
          <w:tcPr>
            <w:tcW w:w="643" w:type="dxa"/>
            <w:tcBorders>
              <w:top w:val="single" w:color="auto" w:sz="4" w:space="0"/>
              <w:left w:val="single" w:color="auto" w:sz="4" w:space="0"/>
            </w:tcBorders>
            <w:shd w:val="clear" w:color="auto" w:fill="FFFFFF"/>
            <w:noWrap w:val="0"/>
            <w:vAlign w:val="top"/>
          </w:tcPr>
          <w:p w14:paraId="7D06FB94">
            <w:pPr>
              <w:rPr>
                <w:color w:val="000000" w:themeColor="text1"/>
                <w:szCs w:val="21"/>
                <w:highlight w:val="none"/>
                <w14:textFill>
                  <w14:solidFill>
                    <w14:schemeClr w14:val="tx1"/>
                  </w14:solidFill>
                </w14:textFill>
              </w:rPr>
            </w:pPr>
          </w:p>
        </w:tc>
        <w:tc>
          <w:tcPr>
            <w:tcW w:w="648" w:type="dxa"/>
            <w:tcBorders>
              <w:top w:val="single" w:color="auto" w:sz="4" w:space="0"/>
              <w:left w:val="single" w:color="auto" w:sz="4" w:space="0"/>
            </w:tcBorders>
            <w:shd w:val="clear" w:color="auto" w:fill="FFFFFF"/>
            <w:noWrap w:val="0"/>
            <w:vAlign w:val="top"/>
          </w:tcPr>
          <w:p w14:paraId="19C09143">
            <w:pPr>
              <w:rPr>
                <w:color w:val="000000" w:themeColor="text1"/>
                <w:szCs w:val="21"/>
                <w:highlight w:val="none"/>
                <w14:textFill>
                  <w14:solidFill>
                    <w14:schemeClr w14:val="tx1"/>
                  </w14:solidFill>
                </w14:textFill>
              </w:rPr>
            </w:pPr>
          </w:p>
        </w:tc>
        <w:tc>
          <w:tcPr>
            <w:tcW w:w="648" w:type="dxa"/>
            <w:tcBorders>
              <w:top w:val="single" w:color="auto" w:sz="4" w:space="0"/>
              <w:left w:val="single" w:color="auto" w:sz="4" w:space="0"/>
            </w:tcBorders>
            <w:shd w:val="clear" w:color="auto" w:fill="FFFFFF"/>
            <w:noWrap w:val="0"/>
            <w:vAlign w:val="top"/>
          </w:tcPr>
          <w:p w14:paraId="45DDF844">
            <w:pPr>
              <w:rPr>
                <w:color w:val="000000" w:themeColor="text1"/>
                <w:szCs w:val="21"/>
                <w:highlight w:val="none"/>
                <w14:textFill>
                  <w14:solidFill>
                    <w14:schemeClr w14:val="tx1"/>
                  </w14:solidFill>
                </w14:textFill>
              </w:rPr>
            </w:pPr>
          </w:p>
        </w:tc>
        <w:tc>
          <w:tcPr>
            <w:tcW w:w="1133" w:type="dxa"/>
            <w:tcBorders>
              <w:top w:val="single" w:color="auto" w:sz="4" w:space="0"/>
              <w:left w:val="single" w:color="auto" w:sz="4" w:space="0"/>
            </w:tcBorders>
            <w:shd w:val="clear" w:color="auto" w:fill="FFFFFF"/>
            <w:noWrap w:val="0"/>
            <w:vAlign w:val="top"/>
          </w:tcPr>
          <w:p w14:paraId="22ACE072">
            <w:pPr>
              <w:rPr>
                <w:color w:val="000000" w:themeColor="text1"/>
                <w:szCs w:val="21"/>
                <w:highlight w:val="none"/>
                <w14:textFill>
                  <w14:solidFill>
                    <w14:schemeClr w14:val="tx1"/>
                  </w14:solidFill>
                </w14:textFill>
              </w:rPr>
            </w:pPr>
          </w:p>
        </w:tc>
        <w:tc>
          <w:tcPr>
            <w:tcW w:w="1142" w:type="dxa"/>
            <w:tcBorders>
              <w:top w:val="single" w:color="auto" w:sz="4" w:space="0"/>
              <w:left w:val="single" w:color="auto" w:sz="4" w:space="0"/>
              <w:right w:val="single" w:color="auto" w:sz="4" w:space="0"/>
            </w:tcBorders>
            <w:shd w:val="clear" w:color="auto" w:fill="FFFFFF"/>
            <w:noWrap w:val="0"/>
            <w:vAlign w:val="top"/>
          </w:tcPr>
          <w:p w14:paraId="04753390">
            <w:pPr>
              <w:rPr>
                <w:color w:val="000000" w:themeColor="text1"/>
                <w:szCs w:val="21"/>
                <w:highlight w:val="none"/>
                <w14:textFill>
                  <w14:solidFill>
                    <w14:schemeClr w14:val="tx1"/>
                  </w14:solidFill>
                </w14:textFill>
              </w:rPr>
            </w:pPr>
          </w:p>
        </w:tc>
      </w:tr>
      <w:tr w14:paraId="526AB24B">
        <w:tblPrEx>
          <w:tblCellMar>
            <w:top w:w="0" w:type="dxa"/>
            <w:left w:w="10" w:type="dxa"/>
            <w:bottom w:w="0" w:type="dxa"/>
            <w:right w:w="10" w:type="dxa"/>
          </w:tblCellMar>
        </w:tblPrEx>
        <w:trPr>
          <w:trHeight w:val="566" w:hRule="exact"/>
          <w:jc w:val="center"/>
        </w:trPr>
        <w:tc>
          <w:tcPr>
            <w:tcW w:w="1426" w:type="dxa"/>
            <w:vMerge w:val="continue"/>
            <w:tcBorders>
              <w:left w:val="single" w:color="auto" w:sz="4" w:space="0"/>
            </w:tcBorders>
            <w:shd w:val="clear" w:color="auto" w:fill="FFFFFF"/>
            <w:noWrap w:val="0"/>
            <w:vAlign w:val="center"/>
          </w:tcPr>
          <w:p w14:paraId="192E5243">
            <w:pPr>
              <w:rPr>
                <w:color w:val="000000" w:themeColor="text1"/>
                <w:szCs w:val="21"/>
                <w:highlight w:val="none"/>
                <w14:textFill>
                  <w14:solidFill>
                    <w14:schemeClr w14:val="tx1"/>
                  </w14:solidFill>
                </w14:textFill>
              </w:rPr>
            </w:pPr>
          </w:p>
        </w:tc>
        <w:tc>
          <w:tcPr>
            <w:tcW w:w="1421" w:type="dxa"/>
            <w:tcBorders>
              <w:top w:val="single" w:color="auto" w:sz="4" w:space="0"/>
              <w:left w:val="single" w:color="auto" w:sz="4" w:space="0"/>
            </w:tcBorders>
            <w:shd w:val="clear" w:color="auto" w:fill="FFFFFF"/>
            <w:noWrap w:val="0"/>
            <w:vAlign w:val="center"/>
          </w:tcPr>
          <w:p w14:paraId="3F5219ED">
            <w:pPr>
              <w:pStyle w:val="312"/>
              <w:spacing w:line="240" w:lineRule="auto"/>
              <w:ind w:left="1120" w:firstLine="0"/>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月</w:t>
            </w:r>
          </w:p>
        </w:tc>
        <w:tc>
          <w:tcPr>
            <w:tcW w:w="643" w:type="dxa"/>
            <w:tcBorders>
              <w:top w:val="single" w:color="auto" w:sz="4" w:space="0"/>
              <w:left w:val="single" w:color="auto" w:sz="4" w:space="0"/>
            </w:tcBorders>
            <w:shd w:val="clear" w:color="auto" w:fill="FFFFFF"/>
            <w:noWrap w:val="0"/>
            <w:vAlign w:val="top"/>
          </w:tcPr>
          <w:p w14:paraId="062EFD96">
            <w:pPr>
              <w:rPr>
                <w:color w:val="000000" w:themeColor="text1"/>
                <w:szCs w:val="21"/>
                <w:highlight w:val="none"/>
                <w14:textFill>
                  <w14:solidFill>
                    <w14:schemeClr w14:val="tx1"/>
                  </w14:solidFill>
                </w14:textFill>
              </w:rPr>
            </w:pPr>
          </w:p>
        </w:tc>
        <w:tc>
          <w:tcPr>
            <w:tcW w:w="648" w:type="dxa"/>
            <w:tcBorders>
              <w:top w:val="single" w:color="auto" w:sz="4" w:space="0"/>
              <w:left w:val="single" w:color="auto" w:sz="4" w:space="0"/>
            </w:tcBorders>
            <w:shd w:val="clear" w:color="auto" w:fill="FFFFFF"/>
            <w:noWrap w:val="0"/>
            <w:vAlign w:val="top"/>
          </w:tcPr>
          <w:p w14:paraId="49CCE3F1">
            <w:pPr>
              <w:rPr>
                <w:color w:val="000000" w:themeColor="text1"/>
                <w:szCs w:val="21"/>
                <w:highlight w:val="none"/>
                <w14:textFill>
                  <w14:solidFill>
                    <w14:schemeClr w14:val="tx1"/>
                  </w14:solidFill>
                </w14:textFill>
              </w:rPr>
            </w:pPr>
          </w:p>
        </w:tc>
        <w:tc>
          <w:tcPr>
            <w:tcW w:w="643" w:type="dxa"/>
            <w:tcBorders>
              <w:top w:val="single" w:color="auto" w:sz="4" w:space="0"/>
              <w:left w:val="single" w:color="auto" w:sz="4" w:space="0"/>
            </w:tcBorders>
            <w:shd w:val="clear" w:color="auto" w:fill="FFFFFF"/>
            <w:noWrap w:val="0"/>
            <w:vAlign w:val="top"/>
          </w:tcPr>
          <w:p w14:paraId="077DA2E2">
            <w:pPr>
              <w:rPr>
                <w:color w:val="000000" w:themeColor="text1"/>
                <w:szCs w:val="21"/>
                <w:highlight w:val="none"/>
                <w14:textFill>
                  <w14:solidFill>
                    <w14:schemeClr w14:val="tx1"/>
                  </w14:solidFill>
                </w14:textFill>
              </w:rPr>
            </w:pPr>
          </w:p>
        </w:tc>
        <w:tc>
          <w:tcPr>
            <w:tcW w:w="648" w:type="dxa"/>
            <w:tcBorders>
              <w:top w:val="single" w:color="auto" w:sz="4" w:space="0"/>
              <w:left w:val="single" w:color="auto" w:sz="4" w:space="0"/>
            </w:tcBorders>
            <w:shd w:val="clear" w:color="auto" w:fill="FFFFFF"/>
            <w:noWrap w:val="0"/>
            <w:vAlign w:val="top"/>
          </w:tcPr>
          <w:p w14:paraId="2D9D8C7D">
            <w:pPr>
              <w:rPr>
                <w:color w:val="000000" w:themeColor="text1"/>
                <w:szCs w:val="21"/>
                <w:highlight w:val="none"/>
                <w14:textFill>
                  <w14:solidFill>
                    <w14:schemeClr w14:val="tx1"/>
                  </w14:solidFill>
                </w14:textFill>
              </w:rPr>
            </w:pPr>
          </w:p>
        </w:tc>
        <w:tc>
          <w:tcPr>
            <w:tcW w:w="648" w:type="dxa"/>
            <w:tcBorders>
              <w:top w:val="single" w:color="auto" w:sz="4" w:space="0"/>
              <w:left w:val="single" w:color="auto" w:sz="4" w:space="0"/>
            </w:tcBorders>
            <w:shd w:val="clear" w:color="auto" w:fill="FFFFFF"/>
            <w:noWrap w:val="0"/>
            <w:vAlign w:val="top"/>
          </w:tcPr>
          <w:p w14:paraId="4F8CAA18">
            <w:pPr>
              <w:rPr>
                <w:color w:val="000000" w:themeColor="text1"/>
                <w:szCs w:val="21"/>
                <w:highlight w:val="none"/>
                <w14:textFill>
                  <w14:solidFill>
                    <w14:schemeClr w14:val="tx1"/>
                  </w14:solidFill>
                </w14:textFill>
              </w:rPr>
            </w:pPr>
          </w:p>
        </w:tc>
        <w:tc>
          <w:tcPr>
            <w:tcW w:w="1133" w:type="dxa"/>
            <w:tcBorders>
              <w:top w:val="single" w:color="auto" w:sz="4" w:space="0"/>
              <w:left w:val="single" w:color="auto" w:sz="4" w:space="0"/>
            </w:tcBorders>
            <w:shd w:val="clear" w:color="auto" w:fill="FFFFFF"/>
            <w:noWrap w:val="0"/>
            <w:vAlign w:val="top"/>
          </w:tcPr>
          <w:p w14:paraId="1C1270A9">
            <w:pPr>
              <w:rPr>
                <w:color w:val="000000" w:themeColor="text1"/>
                <w:szCs w:val="21"/>
                <w:highlight w:val="none"/>
                <w14:textFill>
                  <w14:solidFill>
                    <w14:schemeClr w14:val="tx1"/>
                  </w14:solidFill>
                </w14:textFill>
              </w:rPr>
            </w:pPr>
          </w:p>
        </w:tc>
        <w:tc>
          <w:tcPr>
            <w:tcW w:w="1142" w:type="dxa"/>
            <w:tcBorders>
              <w:top w:val="single" w:color="auto" w:sz="4" w:space="0"/>
              <w:left w:val="single" w:color="auto" w:sz="4" w:space="0"/>
              <w:right w:val="single" w:color="auto" w:sz="4" w:space="0"/>
            </w:tcBorders>
            <w:shd w:val="clear" w:color="auto" w:fill="FFFFFF"/>
            <w:noWrap w:val="0"/>
            <w:vAlign w:val="top"/>
          </w:tcPr>
          <w:p w14:paraId="399F4741">
            <w:pPr>
              <w:rPr>
                <w:color w:val="000000" w:themeColor="text1"/>
                <w:szCs w:val="21"/>
                <w:highlight w:val="none"/>
                <w14:textFill>
                  <w14:solidFill>
                    <w14:schemeClr w14:val="tx1"/>
                  </w14:solidFill>
                </w14:textFill>
              </w:rPr>
            </w:pPr>
          </w:p>
        </w:tc>
      </w:tr>
      <w:tr w14:paraId="137F3FB7">
        <w:tblPrEx>
          <w:tblCellMar>
            <w:top w:w="0" w:type="dxa"/>
            <w:left w:w="10" w:type="dxa"/>
            <w:bottom w:w="0" w:type="dxa"/>
            <w:right w:w="10" w:type="dxa"/>
          </w:tblCellMar>
        </w:tblPrEx>
        <w:trPr>
          <w:trHeight w:val="566" w:hRule="exact"/>
          <w:jc w:val="center"/>
        </w:trPr>
        <w:tc>
          <w:tcPr>
            <w:tcW w:w="1426" w:type="dxa"/>
            <w:vMerge w:val="continue"/>
            <w:tcBorders>
              <w:left w:val="single" w:color="auto" w:sz="4" w:space="0"/>
            </w:tcBorders>
            <w:shd w:val="clear" w:color="auto" w:fill="FFFFFF"/>
            <w:noWrap w:val="0"/>
            <w:vAlign w:val="center"/>
          </w:tcPr>
          <w:p w14:paraId="51610BD3">
            <w:pPr>
              <w:rPr>
                <w:color w:val="000000" w:themeColor="text1"/>
                <w:szCs w:val="21"/>
                <w:highlight w:val="none"/>
                <w14:textFill>
                  <w14:solidFill>
                    <w14:schemeClr w14:val="tx1"/>
                  </w14:solidFill>
                </w14:textFill>
              </w:rPr>
            </w:pPr>
          </w:p>
        </w:tc>
        <w:tc>
          <w:tcPr>
            <w:tcW w:w="1421" w:type="dxa"/>
            <w:tcBorders>
              <w:top w:val="single" w:color="auto" w:sz="4" w:space="0"/>
              <w:left w:val="single" w:color="auto" w:sz="4" w:space="0"/>
            </w:tcBorders>
            <w:shd w:val="clear" w:color="auto" w:fill="FFFFFF"/>
            <w:noWrap w:val="0"/>
            <w:vAlign w:val="center"/>
          </w:tcPr>
          <w:p w14:paraId="716EBDFB">
            <w:pPr>
              <w:pStyle w:val="312"/>
              <w:spacing w:line="240" w:lineRule="auto"/>
              <w:ind w:left="1120" w:firstLine="0"/>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月</w:t>
            </w:r>
          </w:p>
        </w:tc>
        <w:tc>
          <w:tcPr>
            <w:tcW w:w="643" w:type="dxa"/>
            <w:tcBorders>
              <w:top w:val="single" w:color="auto" w:sz="4" w:space="0"/>
              <w:left w:val="single" w:color="auto" w:sz="4" w:space="0"/>
            </w:tcBorders>
            <w:shd w:val="clear" w:color="auto" w:fill="FFFFFF"/>
            <w:noWrap w:val="0"/>
            <w:vAlign w:val="top"/>
          </w:tcPr>
          <w:p w14:paraId="64E0D471">
            <w:pPr>
              <w:rPr>
                <w:color w:val="000000" w:themeColor="text1"/>
                <w:szCs w:val="21"/>
                <w:highlight w:val="none"/>
                <w14:textFill>
                  <w14:solidFill>
                    <w14:schemeClr w14:val="tx1"/>
                  </w14:solidFill>
                </w14:textFill>
              </w:rPr>
            </w:pPr>
          </w:p>
        </w:tc>
        <w:tc>
          <w:tcPr>
            <w:tcW w:w="648" w:type="dxa"/>
            <w:tcBorders>
              <w:top w:val="single" w:color="auto" w:sz="4" w:space="0"/>
              <w:left w:val="single" w:color="auto" w:sz="4" w:space="0"/>
            </w:tcBorders>
            <w:shd w:val="clear" w:color="auto" w:fill="FFFFFF"/>
            <w:noWrap w:val="0"/>
            <w:vAlign w:val="top"/>
          </w:tcPr>
          <w:p w14:paraId="153C10A3">
            <w:pPr>
              <w:rPr>
                <w:color w:val="000000" w:themeColor="text1"/>
                <w:szCs w:val="21"/>
                <w:highlight w:val="none"/>
                <w14:textFill>
                  <w14:solidFill>
                    <w14:schemeClr w14:val="tx1"/>
                  </w14:solidFill>
                </w14:textFill>
              </w:rPr>
            </w:pPr>
          </w:p>
        </w:tc>
        <w:tc>
          <w:tcPr>
            <w:tcW w:w="643" w:type="dxa"/>
            <w:tcBorders>
              <w:top w:val="single" w:color="auto" w:sz="4" w:space="0"/>
              <w:left w:val="single" w:color="auto" w:sz="4" w:space="0"/>
            </w:tcBorders>
            <w:shd w:val="clear" w:color="auto" w:fill="FFFFFF"/>
            <w:noWrap w:val="0"/>
            <w:vAlign w:val="top"/>
          </w:tcPr>
          <w:p w14:paraId="18FD53C3">
            <w:pPr>
              <w:rPr>
                <w:color w:val="000000" w:themeColor="text1"/>
                <w:szCs w:val="21"/>
                <w:highlight w:val="none"/>
                <w14:textFill>
                  <w14:solidFill>
                    <w14:schemeClr w14:val="tx1"/>
                  </w14:solidFill>
                </w14:textFill>
              </w:rPr>
            </w:pPr>
          </w:p>
        </w:tc>
        <w:tc>
          <w:tcPr>
            <w:tcW w:w="648" w:type="dxa"/>
            <w:tcBorders>
              <w:top w:val="single" w:color="auto" w:sz="4" w:space="0"/>
              <w:left w:val="single" w:color="auto" w:sz="4" w:space="0"/>
            </w:tcBorders>
            <w:shd w:val="clear" w:color="auto" w:fill="FFFFFF"/>
            <w:noWrap w:val="0"/>
            <w:vAlign w:val="top"/>
          </w:tcPr>
          <w:p w14:paraId="571FA6B9">
            <w:pPr>
              <w:rPr>
                <w:color w:val="000000" w:themeColor="text1"/>
                <w:szCs w:val="21"/>
                <w:highlight w:val="none"/>
                <w14:textFill>
                  <w14:solidFill>
                    <w14:schemeClr w14:val="tx1"/>
                  </w14:solidFill>
                </w14:textFill>
              </w:rPr>
            </w:pPr>
          </w:p>
        </w:tc>
        <w:tc>
          <w:tcPr>
            <w:tcW w:w="648" w:type="dxa"/>
            <w:tcBorders>
              <w:top w:val="single" w:color="auto" w:sz="4" w:space="0"/>
              <w:left w:val="single" w:color="auto" w:sz="4" w:space="0"/>
            </w:tcBorders>
            <w:shd w:val="clear" w:color="auto" w:fill="FFFFFF"/>
            <w:noWrap w:val="0"/>
            <w:vAlign w:val="top"/>
          </w:tcPr>
          <w:p w14:paraId="4B2E21F9">
            <w:pPr>
              <w:rPr>
                <w:color w:val="000000" w:themeColor="text1"/>
                <w:szCs w:val="21"/>
                <w:highlight w:val="none"/>
                <w14:textFill>
                  <w14:solidFill>
                    <w14:schemeClr w14:val="tx1"/>
                  </w14:solidFill>
                </w14:textFill>
              </w:rPr>
            </w:pPr>
          </w:p>
        </w:tc>
        <w:tc>
          <w:tcPr>
            <w:tcW w:w="1133" w:type="dxa"/>
            <w:tcBorders>
              <w:top w:val="single" w:color="auto" w:sz="4" w:space="0"/>
              <w:left w:val="single" w:color="auto" w:sz="4" w:space="0"/>
            </w:tcBorders>
            <w:shd w:val="clear" w:color="auto" w:fill="FFFFFF"/>
            <w:noWrap w:val="0"/>
            <w:vAlign w:val="top"/>
          </w:tcPr>
          <w:p w14:paraId="51CD7658">
            <w:pPr>
              <w:rPr>
                <w:color w:val="000000" w:themeColor="text1"/>
                <w:szCs w:val="21"/>
                <w:highlight w:val="none"/>
                <w14:textFill>
                  <w14:solidFill>
                    <w14:schemeClr w14:val="tx1"/>
                  </w14:solidFill>
                </w14:textFill>
              </w:rPr>
            </w:pPr>
          </w:p>
        </w:tc>
        <w:tc>
          <w:tcPr>
            <w:tcW w:w="1142" w:type="dxa"/>
            <w:tcBorders>
              <w:top w:val="single" w:color="auto" w:sz="4" w:space="0"/>
              <w:left w:val="single" w:color="auto" w:sz="4" w:space="0"/>
              <w:right w:val="single" w:color="auto" w:sz="4" w:space="0"/>
            </w:tcBorders>
            <w:shd w:val="clear" w:color="auto" w:fill="FFFFFF"/>
            <w:noWrap w:val="0"/>
            <w:vAlign w:val="top"/>
          </w:tcPr>
          <w:p w14:paraId="3C5C9CBF">
            <w:pPr>
              <w:rPr>
                <w:color w:val="000000" w:themeColor="text1"/>
                <w:szCs w:val="21"/>
                <w:highlight w:val="none"/>
                <w14:textFill>
                  <w14:solidFill>
                    <w14:schemeClr w14:val="tx1"/>
                  </w14:solidFill>
                </w14:textFill>
              </w:rPr>
            </w:pPr>
          </w:p>
        </w:tc>
      </w:tr>
      <w:tr w14:paraId="5D21E387">
        <w:tblPrEx>
          <w:tblCellMar>
            <w:top w:w="0" w:type="dxa"/>
            <w:left w:w="10" w:type="dxa"/>
            <w:bottom w:w="0" w:type="dxa"/>
            <w:right w:w="10" w:type="dxa"/>
          </w:tblCellMar>
        </w:tblPrEx>
        <w:trPr>
          <w:trHeight w:val="566" w:hRule="exact"/>
          <w:jc w:val="center"/>
        </w:trPr>
        <w:tc>
          <w:tcPr>
            <w:tcW w:w="1426" w:type="dxa"/>
            <w:vMerge w:val="continue"/>
            <w:tcBorders>
              <w:left w:val="single" w:color="auto" w:sz="4" w:space="0"/>
            </w:tcBorders>
            <w:shd w:val="clear" w:color="auto" w:fill="FFFFFF"/>
            <w:noWrap w:val="0"/>
            <w:vAlign w:val="center"/>
          </w:tcPr>
          <w:p w14:paraId="455B2BD5">
            <w:pPr>
              <w:rPr>
                <w:color w:val="000000" w:themeColor="text1"/>
                <w:szCs w:val="21"/>
                <w:highlight w:val="none"/>
                <w14:textFill>
                  <w14:solidFill>
                    <w14:schemeClr w14:val="tx1"/>
                  </w14:solidFill>
                </w14:textFill>
              </w:rPr>
            </w:pPr>
          </w:p>
        </w:tc>
        <w:tc>
          <w:tcPr>
            <w:tcW w:w="1421" w:type="dxa"/>
            <w:tcBorders>
              <w:top w:val="single" w:color="auto" w:sz="4" w:space="0"/>
              <w:left w:val="single" w:color="auto" w:sz="4" w:space="0"/>
            </w:tcBorders>
            <w:shd w:val="clear" w:color="auto" w:fill="FFFFFF"/>
            <w:noWrap w:val="0"/>
            <w:vAlign w:val="center"/>
          </w:tcPr>
          <w:p w14:paraId="3570A9E4">
            <w:pPr>
              <w:pStyle w:val="312"/>
              <w:spacing w:line="240" w:lineRule="auto"/>
              <w:ind w:left="1120" w:firstLine="0"/>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月</w:t>
            </w:r>
          </w:p>
        </w:tc>
        <w:tc>
          <w:tcPr>
            <w:tcW w:w="643" w:type="dxa"/>
            <w:tcBorders>
              <w:top w:val="single" w:color="auto" w:sz="4" w:space="0"/>
              <w:left w:val="single" w:color="auto" w:sz="4" w:space="0"/>
            </w:tcBorders>
            <w:shd w:val="clear" w:color="auto" w:fill="FFFFFF"/>
            <w:noWrap w:val="0"/>
            <w:vAlign w:val="top"/>
          </w:tcPr>
          <w:p w14:paraId="306D1D72">
            <w:pPr>
              <w:rPr>
                <w:color w:val="000000" w:themeColor="text1"/>
                <w:szCs w:val="21"/>
                <w:highlight w:val="none"/>
                <w14:textFill>
                  <w14:solidFill>
                    <w14:schemeClr w14:val="tx1"/>
                  </w14:solidFill>
                </w14:textFill>
              </w:rPr>
            </w:pPr>
          </w:p>
        </w:tc>
        <w:tc>
          <w:tcPr>
            <w:tcW w:w="648" w:type="dxa"/>
            <w:tcBorders>
              <w:top w:val="single" w:color="auto" w:sz="4" w:space="0"/>
              <w:left w:val="single" w:color="auto" w:sz="4" w:space="0"/>
            </w:tcBorders>
            <w:shd w:val="clear" w:color="auto" w:fill="FFFFFF"/>
            <w:noWrap w:val="0"/>
            <w:vAlign w:val="top"/>
          </w:tcPr>
          <w:p w14:paraId="0F0F5BFE">
            <w:pPr>
              <w:rPr>
                <w:color w:val="000000" w:themeColor="text1"/>
                <w:szCs w:val="21"/>
                <w:highlight w:val="none"/>
                <w14:textFill>
                  <w14:solidFill>
                    <w14:schemeClr w14:val="tx1"/>
                  </w14:solidFill>
                </w14:textFill>
              </w:rPr>
            </w:pPr>
          </w:p>
        </w:tc>
        <w:tc>
          <w:tcPr>
            <w:tcW w:w="643" w:type="dxa"/>
            <w:tcBorders>
              <w:top w:val="single" w:color="auto" w:sz="4" w:space="0"/>
              <w:left w:val="single" w:color="auto" w:sz="4" w:space="0"/>
            </w:tcBorders>
            <w:shd w:val="clear" w:color="auto" w:fill="FFFFFF"/>
            <w:noWrap w:val="0"/>
            <w:vAlign w:val="top"/>
          </w:tcPr>
          <w:p w14:paraId="2BBFA217">
            <w:pPr>
              <w:rPr>
                <w:color w:val="000000" w:themeColor="text1"/>
                <w:szCs w:val="21"/>
                <w:highlight w:val="none"/>
                <w14:textFill>
                  <w14:solidFill>
                    <w14:schemeClr w14:val="tx1"/>
                  </w14:solidFill>
                </w14:textFill>
              </w:rPr>
            </w:pPr>
          </w:p>
        </w:tc>
        <w:tc>
          <w:tcPr>
            <w:tcW w:w="648" w:type="dxa"/>
            <w:tcBorders>
              <w:top w:val="single" w:color="auto" w:sz="4" w:space="0"/>
              <w:left w:val="single" w:color="auto" w:sz="4" w:space="0"/>
            </w:tcBorders>
            <w:shd w:val="clear" w:color="auto" w:fill="FFFFFF"/>
            <w:noWrap w:val="0"/>
            <w:vAlign w:val="top"/>
          </w:tcPr>
          <w:p w14:paraId="4E73A666">
            <w:pPr>
              <w:rPr>
                <w:color w:val="000000" w:themeColor="text1"/>
                <w:szCs w:val="21"/>
                <w:highlight w:val="none"/>
                <w14:textFill>
                  <w14:solidFill>
                    <w14:schemeClr w14:val="tx1"/>
                  </w14:solidFill>
                </w14:textFill>
              </w:rPr>
            </w:pPr>
          </w:p>
        </w:tc>
        <w:tc>
          <w:tcPr>
            <w:tcW w:w="648" w:type="dxa"/>
            <w:tcBorders>
              <w:top w:val="single" w:color="auto" w:sz="4" w:space="0"/>
              <w:left w:val="single" w:color="auto" w:sz="4" w:space="0"/>
            </w:tcBorders>
            <w:shd w:val="clear" w:color="auto" w:fill="FFFFFF"/>
            <w:noWrap w:val="0"/>
            <w:vAlign w:val="top"/>
          </w:tcPr>
          <w:p w14:paraId="46FB1A7B">
            <w:pPr>
              <w:rPr>
                <w:color w:val="000000" w:themeColor="text1"/>
                <w:szCs w:val="21"/>
                <w:highlight w:val="none"/>
                <w14:textFill>
                  <w14:solidFill>
                    <w14:schemeClr w14:val="tx1"/>
                  </w14:solidFill>
                </w14:textFill>
              </w:rPr>
            </w:pPr>
          </w:p>
        </w:tc>
        <w:tc>
          <w:tcPr>
            <w:tcW w:w="1133" w:type="dxa"/>
            <w:tcBorders>
              <w:top w:val="single" w:color="auto" w:sz="4" w:space="0"/>
              <w:left w:val="single" w:color="auto" w:sz="4" w:space="0"/>
            </w:tcBorders>
            <w:shd w:val="clear" w:color="auto" w:fill="FFFFFF"/>
            <w:noWrap w:val="0"/>
            <w:vAlign w:val="top"/>
          </w:tcPr>
          <w:p w14:paraId="4C739777">
            <w:pPr>
              <w:rPr>
                <w:color w:val="000000" w:themeColor="text1"/>
                <w:szCs w:val="21"/>
                <w:highlight w:val="none"/>
                <w14:textFill>
                  <w14:solidFill>
                    <w14:schemeClr w14:val="tx1"/>
                  </w14:solidFill>
                </w14:textFill>
              </w:rPr>
            </w:pPr>
          </w:p>
        </w:tc>
        <w:tc>
          <w:tcPr>
            <w:tcW w:w="1142" w:type="dxa"/>
            <w:tcBorders>
              <w:top w:val="single" w:color="auto" w:sz="4" w:space="0"/>
              <w:left w:val="single" w:color="auto" w:sz="4" w:space="0"/>
              <w:right w:val="single" w:color="auto" w:sz="4" w:space="0"/>
            </w:tcBorders>
            <w:shd w:val="clear" w:color="auto" w:fill="FFFFFF"/>
            <w:noWrap w:val="0"/>
            <w:vAlign w:val="top"/>
          </w:tcPr>
          <w:p w14:paraId="1566E97F">
            <w:pPr>
              <w:rPr>
                <w:color w:val="000000" w:themeColor="text1"/>
                <w:szCs w:val="21"/>
                <w:highlight w:val="none"/>
                <w14:textFill>
                  <w14:solidFill>
                    <w14:schemeClr w14:val="tx1"/>
                  </w14:solidFill>
                </w14:textFill>
              </w:rPr>
            </w:pPr>
          </w:p>
        </w:tc>
      </w:tr>
      <w:tr w14:paraId="0D679F6D">
        <w:tblPrEx>
          <w:tblCellMar>
            <w:top w:w="0" w:type="dxa"/>
            <w:left w:w="10" w:type="dxa"/>
            <w:bottom w:w="0" w:type="dxa"/>
            <w:right w:w="10" w:type="dxa"/>
          </w:tblCellMar>
        </w:tblPrEx>
        <w:trPr>
          <w:trHeight w:val="571" w:hRule="exact"/>
          <w:jc w:val="center"/>
        </w:trPr>
        <w:tc>
          <w:tcPr>
            <w:tcW w:w="1426" w:type="dxa"/>
            <w:vMerge w:val="continue"/>
            <w:tcBorders>
              <w:left w:val="single" w:color="auto" w:sz="4" w:space="0"/>
            </w:tcBorders>
            <w:shd w:val="clear" w:color="auto" w:fill="FFFFFF"/>
            <w:noWrap w:val="0"/>
            <w:vAlign w:val="center"/>
          </w:tcPr>
          <w:p w14:paraId="6EBCB9AF">
            <w:pPr>
              <w:rPr>
                <w:color w:val="000000" w:themeColor="text1"/>
                <w:szCs w:val="21"/>
                <w:highlight w:val="none"/>
                <w14:textFill>
                  <w14:solidFill>
                    <w14:schemeClr w14:val="tx1"/>
                  </w14:solidFill>
                </w14:textFill>
              </w:rPr>
            </w:pPr>
          </w:p>
        </w:tc>
        <w:tc>
          <w:tcPr>
            <w:tcW w:w="1421" w:type="dxa"/>
            <w:tcBorders>
              <w:top w:val="single" w:color="auto" w:sz="4" w:space="0"/>
              <w:left w:val="single" w:color="auto" w:sz="4" w:space="0"/>
            </w:tcBorders>
            <w:shd w:val="clear" w:color="auto" w:fill="FFFFFF"/>
            <w:noWrap w:val="0"/>
            <w:vAlign w:val="center"/>
          </w:tcPr>
          <w:p w14:paraId="736EAFC6">
            <w:pPr>
              <w:pStyle w:val="312"/>
              <w:tabs>
                <w:tab w:val="left" w:leader="dot" w:pos="326"/>
              </w:tabs>
              <w:spacing w:line="240" w:lineRule="auto"/>
              <w:ind w:firstLine="0"/>
              <w:jc w:val="right"/>
              <w:rPr>
                <w:color w:val="000000" w:themeColor="text1"/>
                <w:sz w:val="21"/>
                <w:szCs w:val="21"/>
                <w:highlight w:val="none"/>
                <w14:textFill>
                  <w14:solidFill>
                    <w14:schemeClr w14:val="tx1"/>
                  </w14:solidFill>
                </w14:textFill>
              </w:rPr>
            </w:pPr>
            <w:r>
              <w:rPr>
                <w:rFonts w:ascii="Arial" w:hAnsi="Arial" w:eastAsia="Arial" w:cs="Arial"/>
                <w:color w:val="000000" w:themeColor="text1"/>
                <w:sz w:val="21"/>
                <w:szCs w:val="21"/>
                <w:highlight w:val="none"/>
                <w:lang w:val="en-US" w:eastAsia="en-US" w:bidi="en-US"/>
                <w14:textFill>
                  <w14:solidFill>
                    <w14:schemeClr w14:val="tx1"/>
                  </w14:solidFill>
                </w14:textFill>
              </w:rPr>
              <w:tab/>
            </w:r>
          </w:p>
        </w:tc>
        <w:tc>
          <w:tcPr>
            <w:tcW w:w="643" w:type="dxa"/>
            <w:tcBorders>
              <w:top w:val="single" w:color="auto" w:sz="4" w:space="0"/>
              <w:left w:val="single" w:color="auto" w:sz="4" w:space="0"/>
            </w:tcBorders>
            <w:shd w:val="clear" w:color="auto" w:fill="FFFFFF"/>
            <w:noWrap w:val="0"/>
            <w:vAlign w:val="top"/>
          </w:tcPr>
          <w:p w14:paraId="397C156B">
            <w:pPr>
              <w:rPr>
                <w:color w:val="000000" w:themeColor="text1"/>
                <w:szCs w:val="21"/>
                <w:highlight w:val="none"/>
                <w14:textFill>
                  <w14:solidFill>
                    <w14:schemeClr w14:val="tx1"/>
                  </w14:solidFill>
                </w14:textFill>
              </w:rPr>
            </w:pPr>
          </w:p>
        </w:tc>
        <w:tc>
          <w:tcPr>
            <w:tcW w:w="648" w:type="dxa"/>
            <w:tcBorders>
              <w:top w:val="single" w:color="auto" w:sz="4" w:space="0"/>
              <w:left w:val="single" w:color="auto" w:sz="4" w:space="0"/>
            </w:tcBorders>
            <w:shd w:val="clear" w:color="auto" w:fill="FFFFFF"/>
            <w:noWrap w:val="0"/>
            <w:vAlign w:val="top"/>
          </w:tcPr>
          <w:p w14:paraId="20699A5D">
            <w:pPr>
              <w:rPr>
                <w:color w:val="000000" w:themeColor="text1"/>
                <w:szCs w:val="21"/>
                <w:highlight w:val="none"/>
                <w14:textFill>
                  <w14:solidFill>
                    <w14:schemeClr w14:val="tx1"/>
                  </w14:solidFill>
                </w14:textFill>
              </w:rPr>
            </w:pPr>
          </w:p>
        </w:tc>
        <w:tc>
          <w:tcPr>
            <w:tcW w:w="643" w:type="dxa"/>
            <w:tcBorders>
              <w:top w:val="single" w:color="auto" w:sz="4" w:space="0"/>
              <w:left w:val="single" w:color="auto" w:sz="4" w:space="0"/>
            </w:tcBorders>
            <w:shd w:val="clear" w:color="auto" w:fill="FFFFFF"/>
            <w:noWrap w:val="0"/>
            <w:vAlign w:val="top"/>
          </w:tcPr>
          <w:p w14:paraId="59C13024">
            <w:pPr>
              <w:rPr>
                <w:color w:val="000000" w:themeColor="text1"/>
                <w:szCs w:val="21"/>
                <w:highlight w:val="none"/>
                <w14:textFill>
                  <w14:solidFill>
                    <w14:schemeClr w14:val="tx1"/>
                  </w14:solidFill>
                </w14:textFill>
              </w:rPr>
            </w:pPr>
          </w:p>
        </w:tc>
        <w:tc>
          <w:tcPr>
            <w:tcW w:w="648" w:type="dxa"/>
            <w:tcBorders>
              <w:top w:val="single" w:color="auto" w:sz="4" w:space="0"/>
              <w:left w:val="single" w:color="auto" w:sz="4" w:space="0"/>
            </w:tcBorders>
            <w:shd w:val="clear" w:color="auto" w:fill="FFFFFF"/>
            <w:noWrap w:val="0"/>
            <w:vAlign w:val="top"/>
          </w:tcPr>
          <w:p w14:paraId="01A0BEE0">
            <w:pPr>
              <w:rPr>
                <w:color w:val="000000" w:themeColor="text1"/>
                <w:szCs w:val="21"/>
                <w:highlight w:val="none"/>
                <w14:textFill>
                  <w14:solidFill>
                    <w14:schemeClr w14:val="tx1"/>
                  </w14:solidFill>
                </w14:textFill>
              </w:rPr>
            </w:pPr>
          </w:p>
        </w:tc>
        <w:tc>
          <w:tcPr>
            <w:tcW w:w="648" w:type="dxa"/>
            <w:tcBorders>
              <w:top w:val="single" w:color="auto" w:sz="4" w:space="0"/>
              <w:left w:val="single" w:color="auto" w:sz="4" w:space="0"/>
            </w:tcBorders>
            <w:shd w:val="clear" w:color="auto" w:fill="FFFFFF"/>
            <w:noWrap w:val="0"/>
            <w:vAlign w:val="top"/>
          </w:tcPr>
          <w:p w14:paraId="355A3A25">
            <w:pPr>
              <w:rPr>
                <w:color w:val="000000" w:themeColor="text1"/>
                <w:szCs w:val="21"/>
                <w:highlight w:val="none"/>
                <w14:textFill>
                  <w14:solidFill>
                    <w14:schemeClr w14:val="tx1"/>
                  </w14:solidFill>
                </w14:textFill>
              </w:rPr>
            </w:pPr>
          </w:p>
        </w:tc>
        <w:tc>
          <w:tcPr>
            <w:tcW w:w="1133" w:type="dxa"/>
            <w:tcBorders>
              <w:top w:val="single" w:color="auto" w:sz="4" w:space="0"/>
              <w:left w:val="single" w:color="auto" w:sz="4" w:space="0"/>
            </w:tcBorders>
            <w:shd w:val="clear" w:color="auto" w:fill="FFFFFF"/>
            <w:noWrap w:val="0"/>
            <w:vAlign w:val="top"/>
          </w:tcPr>
          <w:p w14:paraId="47A5ED60">
            <w:pPr>
              <w:rPr>
                <w:color w:val="000000" w:themeColor="text1"/>
                <w:szCs w:val="21"/>
                <w:highlight w:val="none"/>
                <w14:textFill>
                  <w14:solidFill>
                    <w14:schemeClr w14:val="tx1"/>
                  </w14:solidFill>
                </w14:textFill>
              </w:rPr>
            </w:pPr>
          </w:p>
        </w:tc>
        <w:tc>
          <w:tcPr>
            <w:tcW w:w="1142" w:type="dxa"/>
            <w:tcBorders>
              <w:top w:val="single" w:color="auto" w:sz="4" w:space="0"/>
              <w:left w:val="single" w:color="auto" w:sz="4" w:space="0"/>
              <w:right w:val="single" w:color="auto" w:sz="4" w:space="0"/>
            </w:tcBorders>
            <w:shd w:val="clear" w:color="auto" w:fill="FFFFFF"/>
            <w:noWrap w:val="0"/>
            <w:vAlign w:val="top"/>
          </w:tcPr>
          <w:p w14:paraId="00C5906C">
            <w:pPr>
              <w:rPr>
                <w:color w:val="000000" w:themeColor="text1"/>
                <w:szCs w:val="21"/>
                <w:highlight w:val="none"/>
                <w14:textFill>
                  <w14:solidFill>
                    <w14:schemeClr w14:val="tx1"/>
                  </w14:solidFill>
                </w14:textFill>
              </w:rPr>
            </w:pPr>
          </w:p>
        </w:tc>
      </w:tr>
      <w:tr w14:paraId="1C2317FD">
        <w:tblPrEx>
          <w:tblCellMar>
            <w:top w:w="0" w:type="dxa"/>
            <w:left w:w="10" w:type="dxa"/>
            <w:bottom w:w="0" w:type="dxa"/>
            <w:right w:w="10" w:type="dxa"/>
          </w:tblCellMar>
        </w:tblPrEx>
        <w:trPr>
          <w:trHeight w:val="576" w:hRule="exact"/>
          <w:jc w:val="center"/>
        </w:trPr>
        <w:tc>
          <w:tcPr>
            <w:tcW w:w="6077" w:type="dxa"/>
            <w:gridSpan w:val="7"/>
            <w:tcBorders>
              <w:top w:val="single" w:color="auto" w:sz="4" w:space="0"/>
              <w:left w:val="single" w:color="auto" w:sz="4" w:space="0"/>
              <w:bottom w:val="single" w:color="auto" w:sz="4" w:space="0"/>
            </w:tcBorders>
            <w:shd w:val="clear" w:color="auto" w:fill="FFFFFF"/>
            <w:noWrap w:val="0"/>
            <w:vAlign w:val="center"/>
          </w:tcPr>
          <w:p w14:paraId="5F6F6C2A">
            <w:pPr>
              <w:pStyle w:val="312"/>
              <w:spacing w:line="240" w:lineRule="auto"/>
              <w:ind w:firstLine="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总 计</w:t>
            </w:r>
          </w:p>
        </w:tc>
        <w:tc>
          <w:tcPr>
            <w:tcW w:w="1133" w:type="dxa"/>
            <w:tcBorders>
              <w:top w:val="single" w:color="auto" w:sz="4" w:space="0"/>
              <w:left w:val="single" w:color="auto" w:sz="4" w:space="0"/>
              <w:bottom w:val="single" w:color="auto" w:sz="4" w:space="0"/>
            </w:tcBorders>
            <w:shd w:val="clear" w:color="auto" w:fill="FFFFFF"/>
            <w:noWrap w:val="0"/>
            <w:vAlign w:val="top"/>
          </w:tcPr>
          <w:p w14:paraId="09CBB2D6">
            <w:pPr>
              <w:rPr>
                <w:color w:val="000000" w:themeColor="text1"/>
                <w:szCs w:val="21"/>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2A1FBEDB">
            <w:pPr>
              <w:rPr>
                <w:color w:val="000000" w:themeColor="text1"/>
                <w:szCs w:val="21"/>
                <w:highlight w:val="none"/>
                <w14:textFill>
                  <w14:solidFill>
                    <w14:schemeClr w14:val="tx1"/>
                  </w14:solidFill>
                </w14:textFill>
              </w:rPr>
            </w:pPr>
          </w:p>
        </w:tc>
      </w:tr>
    </w:tbl>
    <w:p w14:paraId="05441989">
      <w:pPr>
        <w:spacing w:after="299" w:line="1" w:lineRule="exact"/>
        <w:rPr>
          <w:color w:val="000000" w:themeColor="text1"/>
          <w:highlight w:val="none"/>
          <w14:textFill>
            <w14:solidFill>
              <w14:schemeClr w14:val="tx1"/>
            </w14:solidFill>
          </w14:textFill>
        </w:rPr>
      </w:pPr>
    </w:p>
    <w:p w14:paraId="551D4EAE">
      <w:pPr>
        <w:pStyle w:val="237"/>
        <w:tabs>
          <w:tab w:val="left" w:pos="847"/>
          <w:tab w:val="left" w:leader="underscore" w:pos="850"/>
          <w:tab w:val="left" w:leader="underscore" w:pos="1906"/>
          <w:tab w:val="left" w:pos="1908"/>
          <w:tab w:val="left" w:pos="2964"/>
        </w:tabs>
        <w:spacing w:after="420" w:line="350" w:lineRule="exact"/>
        <w:ind w:firstLine="0"/>
        <w:rPr>
          <w:b/>
          <w:color w:val="000000" w:themeColor="text1"/>
          <w:sz w:val="28"/>
          <w:szCs w:val="28"/>
          <w:highlight w:val="none"/>
          <w14:textFill>
            <w14:solidFill>
              <w14:schemeClr w14:val="tx1"/>
            </w14:solidFill>
          </w14:textFill>
        </w:rPr>
      </w:pPr>
      <w:bookmarkStart w:id="135" w:name="bookmark2244"/>
      <w:bookmarkStart w:id="136" w:name="bookmark2245"/>
      <w:bookmarkStart w:id="137" w:name="bookmark2243"/>
      <w:r>
        <w:rPr>
          <w:rStyle w:val="213"/>
          <w:rFonts w:hint="eastAsia"/>
          <w:b w:val="0"/>
          <w:bCs w:val="0"/>
          <w:color w:val="000000" w:themeColor="text1"/>
          <w:sz w:val="28"/>
          <w:szCs w:val="28"/>
          <w:highlight w:val="none"/>
          <w:lang w:val="en-US"/>
          <w14:textFill>
            <w14:solidFill>
              <w14:schemeClr w14:val="tx1"/>
            </w14:solidFill>
          </w14:textFill>
        </w:rPr>
        <w:br w:type="page" w:clear="all"/>
      </w:r>
      <w:r>
        <w:rPr>
          <w:rStyle w:val="213"/>
          <w:rFonts w:hint="eastAsia"/>
          <w:b w:val="0"/>
          <w:bCs w:val="0"/>
          <w:color w:val="000000" w:themeColor="text1"/>
          <w:sz w:val="28"/>
          <w:szCs w:val="28"/>
          <w:highlight w:val="none"/>
          <w:lang w:val="en-US"/>
          <w14:textFill>
            <w14:solidFill>
              <w14:schemeClr w14:val="tx1"/>
            </w14:solidFill>
          </w14:textFill>
        </w:rPr>
        <w:t>附件四：拟投入本合同工程的材料进场计划表</w:t>
      </w:r>
      <w:bookmarkEnd w:id="135"/>
      <w:bookmarkEnd w:id="136"/>
      <w:bookmarkEnd w:id="137"/>
    </w:p>
    <w:p w14:paraId="55DF93A2">
      <w:pPr>
        <w:jc w:val="center"/>
        <w:rPr>
          <w:rFonts w:hint="eastAsia" w:ascii="宋体" w:hAnsi="宋体" w:cs="宋体"/>
          <w:b/>
          <w:bCs/>
          <w:color w:val="000000" w:themeColor="text1"/>
          <w:sz w:val="28"/>
          <w:szCs w:val="28"/>
          <w:highlight w:val="none"/>
          <w14:textFill>
            <w14:solidFill>
              <w14:schemeClr w14:val="tx1"/>
            </w14:solidFill>
          </w14:textFill>
        </w:rPr>
      </w:pPr>
      <w:bookmarkStart w:id="138" w:name="_Toc16851"/>
      <w:bookmarkStart w:id="139" w:name="_Toc16708"/>
      <w:bookmarkStart w:id="140" w:name="bookmark2248"/>
      <w:bookmarkStart w:id="141" w:name="bookmark2247"/>
      <w:bookmarkStart w:id="142" w:name="bookmark2246"/>
      <w:r>
        <w:rPr>
          <w:rFonts w:hint="eastAsia" w:ascii="宋体" w:hAnsi="宋体" w:cs="宋体"/>
          <w:b/>
          <w:bCs/>
          <w:color w:val="000000" w:themeColor="text1"/>
          <w:sz w:val="28"/>
          <w:szCs w:val="28"/>
          <w:highlight w:val="none"/>
          <w14:textFill>
            <w14:solidFill>
              <w14:schemeClr w14:val="tx1"/>
            </w14:solidFill>
          </w14:textFill>
        </w:rPr>
        <w:t>拟投入本合同工程的材料进场计划表</w:t>
      </w:r>
      <w:bookmarkEnd w:id="138"/>
      <w:bookmarkEnd w:id="139"/>
      <w:bookmarkEnd w:id="140"/>
      <w:bookmarkEnd w:id="141"/>
      <w:bookmarkEnd w:id="142"/>
    </w:p>
    <w:p w14:paraId="7A6E5579">
      <w:pPr>
        <w:jc w:val="center"/>
        <w:rPr>
          <w:b/>
          <w:color w:val="000000" w:themeColor="text1"/>
          <w:highlight w:val="none"/>
          <w14:textFill>
            <w14:solidFill>
              <w14:schemeClr w14:val="tx1"/>
            </w14:solidFill>
          </w14:textFill>
        </w:rPr>
      </w:pPr>
    </w:p>
    <w:tbl>
      <w:tblPr>
        <w:tblStyle w:val="45"/>
        <w:tblW w:w="0" w:type="auto"/>
        <w:jc w:val="center"/>
        <w:tblLayout w:type="fixed"/>
        <w:tblCellMar>
          <w:top w:w="0" w:type="dxa"/>
          <w:left w:w="10" w:type="dxa"/>
          <w:bottom w:w="0" w:type="dxa"/>
          <w:right w:w="10" w:type="dxa"/>
        </w:tblCellMar>
      </w:tblPr>
      <w:tblGrid>
        <w:gridCol w:w="1090"/>
        <w:gridCol w:w="902"/>
        <w:gridCol w:w="907"/>
        <w:gridCol w:w="907"/>
        <w:gridCol w:w="907"/>
        <w:gridCol w:w="912"/>
        <w:gridCol w:w="902"/>
        <w:gridCol w:w="907"/>
        <w:gridCol w:w="917"/>
      </w:tblGrid>
      <w:tr w14:paraId="571AEABA">
        <w:tblPrEx>
          <w:tblCellMar>
            <w:top w:w="0" w:type="dxa"/>
            <w:left w:w="10" w:type="dxa"/>
            <w:bottom w:w="0" w:type="dxa"/>
            <w:right w:w="10" w:type="dxa"/>
          </w:tblCellMar>
        </w:tblPrEx>
        <w:trPr>
          <w:trHeight w:val="576" w:hRule="exact"/>
          <w:jc w:val="center"/>
        </w:trPr>
        <w:tc>
          <w:tcPr>
            <w:tcW w:w="1090" w:type="dxa"/>
            <w:vMerge w:val="restart"/>
            <w:tcBorders>
              <w:top w:val="single" w:color="auto" w:sz="4" w:space="0"/>
              <w:left w:val="single" w:color="auto" w:sz="4" w:space="0"/>
            </w:tcBorders>
            <w:shd w:val="clear" w:color="auto" w:fill="FFFFFF"/>
            <w:noWrap w:val="0"/>
            <w:vAlign w:val="center"/>
          </w:tcPr>
          <w:p w14:paraId="3577B014">
            <w:pPr>
              <w:pStyle w:val="312"/>
              <w:spacing w:line="240" w:lineRule="auto"/>
              <w:ind w:firstLine="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名称</w:t>
            </w:r>
          </w:p>
        </w:tc>
        <w:tc>
          <w:tcPr>
            <w:tcW w:w="902" w:type="dxa"/>
            <w:vMerge w:val="restart"/>
            <w:tcBorders>
              <w:top w:val="single" w:color="auto" w:sz="4" w:space="0"/>
              <w:left w:val="single" w:color="auto" w:sz="4" w:space="0"/>
            </w:tcBorders>
            <w:shd w:val="clear" w:color="auto" w:fill="FFFFFF"/>
            <w:noWrap w:val="0"/>
            <w:vAlign w:val="center"/>
          </w:tcPr>
          <w:p w14:paraId="029E1260">
            <w:pPr>
              <w:pStyle w:val="312"/>
              <w:spacing w:line="240" w:lineRule="auto"/>
              <w:ind w:firstLine="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规格</w:t>
            </w:r>
          </w:p>
        </w:tc>
        <w:tc>
          <w:tcPr>
            <w:tcW w:w="907" w:type="dxa"/>
            <w:vMerge w:val="restart"/>
            <w:tcBorders>
              <w:top w:val="single" w:color="auto" w:sz="4" w:space="0"/>
              <w:left w:val="single" w:color="auto" w:sz="4" w:space="0"/>
            </w:tcBorders>
            <w:shd w:val="clear" w:color="auto" w:fill="FFFFFF"/>
            <w:noWrap w:val="0"/>
            <w:vAlign w:val="center"/>
          </w:tcPr>
          <w:p w14:paraId="6B04E5ED">
            <w:pPr>
              <w:pStyle w:val="312"/>
              <w:spacing w:line="269" w:lineRule="exact"/>
              <w:ind w:firstLine="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计量 单位</w:t>
            </w:r>
          </w:p>
        </w:tc>
        <w:tc>
          <w:tcPr>
            <w:tcW w:w="4535" w:type="dxa"/>
            <w:gridSpan w:val="5"/>
            <w:tcBorders>
              <w:top w:val="single" w:color="auto" w:sz="4" w:space="0"/>
              <w:left w:val="single" w:color="auto" w:sz="4" w:space="0"/>
            </w:tcBorders>
            <w:shd w:val="clear" w:color="auto" w:fill="FFFFFF"/>
            <w:noWrap w:val="0"/>
            <w:vAlign w:val="center"/>
          </w:tcPr>
          <w:p w14:paraId="288C68DD">
            <w:pPr>
              <w:pStyle w:val="312"/>
              <w:spacing w:line="240" w:lineRule="auto"/>
              <w:ind w:firstLine="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数 量</w:t>
            </w:r>
          </w:p>
        </w:tc>
        <w:tc>
          <w:tcPr>
            <w:tcW w:w="917" w:type="dxa"/>
            <w:vMerge w:val="restart"/>
            <w:tcBorders>
              <w:top w:val="single" w:color="auto" w:sz="4" w:space="0"/>
              <w:left w:val="single" w:color="auto" w:sz="4" w:space="0"/>
              <w:right w:val="single" w:color="auto" w:sz="4" w:space="0"/>
            </w:tcBorders>
            <w:shd w:val="clear" w:color="auto" w:fill="FFFFFF"/>
            <w:noWrap w:val="0"/>
            <w:vAlign w:val="center"/>
          </w:tcPr>
          <w:p w14:paraId="074C5271">
            <w:pPr>
              <w:pStyle w:val="312"/>
              <w:spacing w:line="240" w:lineRule="auto"/>
              <w:ind w:firstLine="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备注</w:t>
            </w:r>
          </w:p>
        </w:tc>
      </w:tr>
      <w:tr w14:paraId="1725EBB6">
        <w:tblPrEx>
          <w:tblCellMar>
            <w:top w:w="0" w:type="dxa"/>
            <w:left w:w="10" w:type="dxa"/>
            <w:bottom w:w="0" w:type="dxa"/>
            <w:right w:w="10" w:type="dxa"/>
          </w:tblCellMar>
        </w:tblPrEx>
        <w:trPr>
          <w:trHeight w:val="566" w:hRule="exact"/>
          <w:jc w:val="center"/>
        </w:trPr>
        <w:tc>
          <w:tcPr>
            <w:tcW w:w="1090" w:type="dxa"/>
            <w:vMerge w:val="continue"/>
            <w:tcBorders>
              <w:left w:val="single" w:color="auto" w:sz="4" w:space="0"/>
            </w:tcBorders>
            <w:shd w:val="clear" w:color="auto" w:fill="FFFFFF"/>
            <w:noWrap w:val="0"/>
            <w:vAlign w:val="center"/>
          </w:tcPr>
          <w:p w14:paraId="3E2DCA41">
            <w:pPr>
              <w:jc w:val="center"/>
              <w:rPr>
                <w:color w:val="000000" w:themeColor="text1"/>
                <w:szCs w:val="21"/>
                <w:highlight w:val="none"/>
                <w14:textFill>
                  <w14:solidFill>
                    <w14:schemeClr w14:val="tx1"/>
                  </w14:solidFill>
                </w14:textFill>
              </w:rPr>
            </w:pPr>
          </w:p>
        </w:tc>
        <w:tc>
          <w:tcPr>
            <w:tcW w:w="902" w:type="dxa"/>
            <w:vMerge w:val="continue"/>
            <w:tcBorders>
              <w:left w:val="single" w:color="auto" w:sz="4" w:space="0"/>
            </w:tcBorders>
            <w:shd w:val="clear" w:color="auto" w:fill="FFFFFF"/>
            <w:noWrap w:val="0"/>
            <w:vAlign w:val="center"/>
          </w:tcPr>
          <w:p w14:paraId="4A86BA3A">
            <w:pPr>
              <w:jc w:val="center"/>
              <w:rPr>
                <w:color w:val="000000" w:themeColor="text1"/>
                <w:szCs w:val="21"/>
                <w:highlight w:val="none"/>
                <w14:textFill>
                  <w14:solidFill>
                    <w14:schemeClr w14:val="tx1"/>
                  </w14:solidFill>
                </w14:textFill>
              </w:rPr>
            </w:pPr>
          </w:p>
        </w:tc>
        <w:tc>
          <w:tcPr>
            <w:tcW w:w="907" w:type="dxa"/>
            <w:vMerge w:val="continue"/>
            <w:tcBorders>
              <w:left w:val="single" w:color="auto" w:sz="4" w:space="0"/>
            </w:tcBorders>
            <w:shd w:val="clear" w:color="auto" w:fill="FFFFFF"/>
            <w:noWrap w:val="0"/>
            <w:vAlign w:val="center"/>
          </w:tcPr>
          <w:p w14:paraId="351EABE2">
            <w:pPr>
              <w:jc w:val="center"/>
              <w:rPr>
                <w:color w:val="000000" w:themeColor="text1"/>
                <w:szCs w:val="21"/>
                <w:highlight w:val="none"/>
                <w14:textFill>
                  <w14:solidFill>
                    <w14:schemeClr w14:val="tx1"/>
                  </w14:solidFill>
                </w14:textFill>
              </w:rPr>
            </w:pPr>
          </w:p>
        </w:tc>
        <w:tc>
          <w:tcPr>
            <w:tcW w:w="907" w:type="dxa"/>
            <w:tcBorders>
              <w:top w:val="single" w:color="auto" w:sz="4" w:space="0"/>
              <w:left w:val="single" w:color="auto" w:sz="4" w:space="0"/>
            </w:tcBorders>
            <w:shd w:val="clear" w:color="auto" w:fill="FFFFFF"/>
            <w:noWrap w:val="0"/>
            <w:vAlign w:val="center"/>
          </w:tcPr>
          <w:p w14:paraId="0EC213DC">
            <w:pPr>
              <w:pStyle w:val="312"/>
              <w:spacing w:line="240" w:lineRule="auto"/>
              <w:ind w:firstLine="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总量</w:t>
            </w:r>
          </w:p>
        </w:tc>
        <w:tc>
          <w:tcPr>
            <w:tcW w:w="907" w:type="dxa"/>
            <w:tcBorders>
              <w:top w:val="single" w:color="auto" w:sz="4" w:space="0"/>
              <w:left w:val="single" w:color="auto" w:sz="4" w:space="0"/>
            </w:tcBorders>
            <w:shd w:val="clear" w:color="auto" w:fill="FFFFFF"/>
            <w:noWrap w:val="0"/>
            <w:vAlign w:val="center"/>
          </w:tcPr>
          <w:p w14:paraId="7EB6DF78">
            <w:pPr>
              <w:pStyle w:val="312"/>
              <w:spacing w:line="240" w:lineRule="auto"/>
              <w:ind w:firstLine="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月</w:t>
            </w:r>
          </w:p>
        </w:tc>
        <w:tc>
          <w:tcPr>
            <w:tcW w:w="912" w:type="dxa"/>
            <w:tcBorders>
              <w:top w:val="single" w:color="auto" w:sz="4" w:space="0"/>
              <w:left w:val="single" w:color="auto" w:sz="4" w:space="0"/>
            </w:tcBorders>
            <w:shd w:val="clear" w:color="auto" w:fill="FFFFFF"/>
            <w:noWrap w:val="0"/>
            <w:vAlign w:val="center"/>
          </w:tcPr>
          <w:p w14:paraId="5F5FB63D">
            <w:pPr>
              <w:pStyle w:val="312"/>
              <w:spacing w:line="240" w:lineRule="auto"/>
              <w:ind w:firstLine="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月</w:t>
            </w:r>
          </w:p>
        </w:tc>
        <w:tc>
          <w:tcPr>
            <w:tcW w:w="902" w:type="dxa"/>
            <w:tcBorders>
              <w:top w:val="single" w:color="auto" w:sz="4" w:space="0"/>
              <w:left w:val="single" w:color="auto" w:sz="4" w:space="0"/>
            </w:tcBorders>
            <w:shd w:val="clear" w:color="auto" w:fill="FFFFFF"/>
            <w:noWrap w:val="0"/>
            <w:vAlign w:val="center"/>
          </w:tcPr>
          <w:p w14:paraId="1235C5DD">
            <w:pPr>
              <w:pStyle w:val="312"/>
              <w:spacing w:line="240" w:lineRule="auto"/>
              <w:ind w:firstLine="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月</w:t>
            </w:r>
          </w:p>
        </w:tc>
        <w:tc>
          <w:tcPr>
            <w:tcW w:w="907" w:type="dxa"/>
            <w:tcBorders>
              <w:top w:val="single" w:color="auto" w:sz="4" w:space="0"/>
              <w:left w:val="single" w:color="auto" w:sz="4" w:space="0"/>
            </w:tcBorders>
            <w:shd w:val="clear" w:color="auto" w:fill="FFFFFF"/>
            <w:noWrap w:val="0"/>
            <w:vAlign w:val="center"/>
          </w:tcPr>
          <w:p w14:paraId="1DB9072C">
            <w:pPr>
              <w:pStyle w:val="312"/>
              <w:spacing w:line="240" w:lineRule="auto"/>
              <w:ind w:right="380" w:firstLine="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月</w:t>
            </w:r>
          </w:p>
        </w:tc>
        <w:tc>
          <w:tcPr>
            <w:tcW w:w="917" w:type="dxa"/>
            <w:vMerge w:val="continue"/>
            <w:tcBorders>
              <w:left w:val="single" w:color="auto" w:sz="4" w:space="0"/>
              <w:right w:val="single" w:color="auto" w:sz="4" w:space="0"/>
            </w:tcBorders>
            <w:shd w:val="clear" w:color="auto" w:fill="FFFFFF"/>
            <w:noWrap w:val="0"/>
            <w:vAlign w:val="center"/>
          </w:tcPr>
          <w:p w14:paraId="4B21E39D">
            <w:pPr>
              <w:jc w:val="center"/>
              <w:rPr>
                <w:color w:val="000000" w:themeColor="text1"/>
                <w:szCs w:val="21"/>
                <w:highlight w:val="none"/>
                <w14:textFill>
                  <w14:solidFill>
                    <w14:schemeClr w14:val="tx1"/>
                  </w14:solidFill>
                </w14:textFill>
              </w:rPr>
            </w:pPr>
          </w:p>
        </w:tc>
      </w:tr>
      <w:tr w14:paraId="6ADE71A9">
        <w:tblPrEx>
          <w:tblCellMar>
            <w:top w:w="0" w:type="dxa"/>
            <w:left w:w="10" w:type="dxa"/>
            <w:bottom w:w="0" w:type="dxa"/>
            <w:right w:w="10" w:type="dxa"/>
          </w:tblCellMar>
        </w:tblPrEx>
        <w:trPr>
          <w:trHeight w:val="566" w:hRule="exact"/>
          <w:jc w:val="center"/>
        </w:trPr>
        <w:tc>
          <w:tcPr>
            <w:tcW w:w="1090" w:type="dxa"/>
            <w:tcBorders>
              <w:top w:val="single" w:color="auto" w:sz="4" w:space="0"/>
              <w:left w:val="single" w:color="auto" w:sz="4" w:space="0"/>
            </w:tcBorders>
            <w:shd w:val="clear" w:color="auto" w:fill="FFFFFF"/>
            <w:noWrap w:val="0"/>
            <w:vAlign w:val="center"/>
          </w:tcPr>
          <w:p w14:paraId="16D5FB5A">
            <w:pPr>
              <w:jc w:val="center"/>
              <w:rPr>
                <w:color w:val="000000" w:themeColor="text1"/>
                <w:szCs w:val="21"/>
                <w:highlight w:val="none"/>
                <w14:textFill>
                  <w14:solidFill>
                    <w14:schemeClr w14:val="tx1"/>
                  </w14:solidFill>
                </w14:textFill>
              </w:rPr>
            </w:pPr>
          </w:p>
        </w:tc>
        <w:tc>
          <w:tcPr>
            <w:tcW w:w="902" w:type="dxa"/>
            <w:tcBorders>
              <w:top w:val="single" w:color="auto" w:sz="4" w:space="0"/>
              <w:left w:val="single" w:color="auto" w:sz="4" w:space="0"/>
            </w:tcBorders>
            <w:shd w:val="clear" w:color="auto" w:fill="FFFFFF"/>
            <w:noWrap w:val="0"/>
            <w:vAlign w:val="center"/>
          </w:tcPr>
          <w:p w14:paraId="15E791E4">
            <w:pPr>
              <w:jc w:val="center"/>
              <w:rPr>
                <w:color w:val="000000" w:themeColor="text1"/>
                <w:szCs w:val="21"/>
                <w:highlight w:val="none"/>
                <w14:textFill>
                  <w14:solidFill>
                    <w14:schemeClr w14:val="tx1"/>
                  </w14:solidFill>
                </w14:textFill>
              </w:rPr>
            </w:pPr>
          </w:p>
        </w:tc>
        <w:tc>
          <w:tcPr>
            <w:tcW w:w="907" w:type="dxa"/>
            <w:tcBorders>
              <w:top w:val="single" w:color="auto" w:sz="4" w:space="0"/>
              <w:left w:val="single" w:color="auto" w:sz="4" w:space="0"/>
            </w:tcBorders>
            <w:shd w:val="clear" w:color="auto" w:fill="FFFFFF"/>
            <w:noWrap w:val="0"/>
            <w:vAlign w:val="center"/>
          </w:tcPr>
          <w:p w14:paraId="5EA35463">
            <w:pPr>
              <w:jc w:val="center"/>
              <w:rPr>
                <w:color w:val="000000" w:themeColor="text1"/>
                <w:szCs w:val="21"/>
                <w:highlight w:val="none"/>
                <w14:textFill>
                  <w14:solidFill>
                    <w14:schemeClr w14:val="tx1"/>
                  </w14:solidFill>
                </w14:textFill>
              </w:rPr>
            </w:pPr>
          </w:p>
        </w:tc>
        <w:tc>
          <w:tcPr>
            <w:tcW w:w="907" w:type="dxa"/>
            <w:tcBorders>
              <w:top w:val="single" w:color="auto" w:sz="4" w:space="0"/>
              <w:left w:val="single" w:color="auto" w:sz="4" w:space="0"/>
            </w:tcBorders>
            <w:shd w:val="clear" w:color="auto" w:fill="FFFFFF"/>
            <w:noWrap w:val="0"/>
            <w:vAlign w:val="center"/>
          </w:tcPr>
          <w:p w14:paraId="0837F92F">
            <w:pPr>
              <w:jc w:val="center"/>
              <w:rPr>
                <w:color w:val="000000" w:themeColor="text1"/>
                <w:szCs w:val="21"/>
                <w:highlight w:val="none"/>
                <w14:textFill>
                  <w14:solidFill>
                    <w14:schemeClr w14:val="tx1"/>
                  </w14:solidFill>
                </w14:textFill>
              </w:rPr>
            </w:pPr>
          </w:p>
        </w:tc>
        <w:tc>
          <w:tcPr>
            <w:tcW w:w="907" w:type="dxa"/>
            <w:tcBorders>
              <w:top w:val="single" w:color="auto" w:sz="4" w:space="0"/>
              <w:left w:val="single" w:color="auto" w:sz="4" w:space="0"/>
            </w:tcBorders>
            <w:shd w:val="clear" w:color="auto" w:fill="FFFFFF"/>
            <w:noWrap w:val="0"/>
            <w:vAlign w:val="center"/>
          </w:tcPr>
          <w:p w14:paraId="22188C95">
            <w:pPr>
              <w:jc w:val="center"/>
              <w:rPr>
                <w:color w:val="000000" w:themeColor="text1"/>
                <w:szCs w:val="21"/>
                <w:highlight w:val="none"/>
                <w14:textFill>
                  <w14:solidFill>
                    <w14:schemeClr w14:val="tx1"/>
                  </w14:solidFill>
                </w14:textFill>
              </w:rPr>
            </w:pPr>
          </w:p>
        </w:tc>
        <w:tc>
          <w:tcPr>
            <w:tcW w:w="912" w:type="dxa"/>
            <w:tcBorders>
              <w:top w:val="single" w:color="auto" w:sz="4" w:space="0"/>
              <w:left w:val="single" w:color="auto" w:sz="4" w:space="0"/>
            </w:tcBorders>
            <w:shd w:val="clear" w:color="auto" w:fill="FFFFFF"/>
            <w:noWrap w:val="0"/>
            <w:vAlign w:val="center"/>
          </w:tcPr>
          <w:p w14:paraId="4EDA83A9">
            <w:pPr>
              <w:jc w:val="center"/>
              <w:rPr>
                <w:color w:val="000000" w:themeColor="text1"/>
                <w:szCs w:val="21"/>
                <w:highlight w:val="none"/>
                <w14:textFill>
                  <w14:solidFill>
                    <w14:schemeClr w14:val="tx1"/>
                  </w14:solidFill>
                </w14:textFill>
              </w:rPr>
            </w:pPr>
          </w:p>
        </w:tc>
        <w:tc>
          <w:tcPr>
            <w:tcW w:w="902" w:type="dxa"/>
            <w:tcBorders>
              <w:top w:val="single" w:color="auto" w:sz="4" w:space="0"/>
              <w:left w:val="single" w:color="auto" w:sz="4" w:space="0"/>
            </w:tcBorders>
            <w:shd w:val="clear" w:color="auto" w:fill="FFFFFF"/>
            <w:noWrap w:val="0"/>
            <w:vAlign w:val="center"/>
          </w:tcPr>
          <w:p w14:paraId="4B8AF446">
            <w:pPr>
              <w:jc w:val="center"/>
              <w:rPr>
                <w:color w:val="000000" w:themeColor="text1"/>
                <w:szCs w:val="21"/>
                <w:highlight w:val="none"/>
                <w14:textFill>
                  <w14:solidFill>
                    <w14:schemeClr w14:val="tx1"/>
                  </w14:solidFill>
                </w14:textFill>
              </w:rPr>
            </w:pPr>
          </w:p>
        </w:tc>
        <w:tc>
          <w:tcPr>
            <w:tcW w:w="907" w:type="dxa"/>
            <w:tcBorders>
              <w:top w:val="single" w:color="auto" w:sz="4" w:space="0"/>
              <w:left w:val="single" w:color="auto" w:sz="4" w:space="0"/>
            </w:tcBorders>
            <w:shd w:val="clear" w:color="auto" w:fill="FFFFFF"/>
            <w:noWrap w:val="0"/>
            <w:vAlign w:val="center"/>
          </w:tcPr>
          <w:p w14:paraId="26A4617E">
            <w:pPr>
              <w:jc w:val="center"/>
              <w:rPr>
                <w:color w:val="000000" w:themeColor="text1"/>
                <w:szCs w:val="21"/>
                <w:highlight w:val="none"/>
                <w14:textFill>
                  <w14:solidFill>
                    <w14:schemeClr w14:val="tx1"/>
                  </w14:solidFill>
                </w14:textFill>
              </w:rPr>
            </w:pPr>
          </w:p>
        </w:tc>
        <w:tc>
          <w:tcPr>
            <w:tcW w:w="917" w:type="dxa"/>
            <w:tcBorders>
              <w:top w:val="single" w:color="auto" w:sz="4" w:space="0"/>
              <w:left w:val="single" w:color="auto" w:sz="4" w:space="0"/>
              <w:right w:val="single" w:color="auto" w:sz="4" w:space="0"/>
            </w:tcBorders>
            <w:shd w:val="clear" w:color="auto" w:fill="FFFFFF"/>
            <w:noWrap w:val="0"/>
            <w:vAlign w:val="center"/>
          </w:tcPr>
          <w:p w14:paraId="7DE0A6D2">
            <w:pPr>
              <w:jc w:val="center"/>
              <w:rPr>
                <w:color w:val="000000" w:themeColor="text1"/>
                <w:szCs w:val="21"/>
                <w:highlight w:val="none"/>
                <w14:textFill>
                  <w14:solidFill>
                    <w14:schemeClr w14:val="tx1"/>
                  </w14:solidFill>
                </w14:textFill>
              </w:rPr>
            </w:pPr>
          </w:p>
        </w:tc>
      </w:tr>
      <w:tr w14:paraId="0AEF9D0A">
        <w:tblPrEx>
          <w:tblCellMar>
            <w:top w:w="0" w:type="dxa"/>
            <w:left w:w="10" w:type="dxa"/>
            <w:bottom w:w="0" w:type="dxa"/>
            <w:right w:w="10" w:type="dxa"/>
          </w:tblCellMar>
        </w:tblPrEx>
        <w:trPr>
          <w:trHeight w:val="566" w:hRule="exact"/>
          <w:jc w:val="center"/>
        </w:trPr>
        <w:tc>
          <w:tcPr>
            <w:tcW w:w="1090" w:type="dxa"/>
            <w:tcBorders>
              <w:top w:val="single" w:color="auto" w:sz="4" w:space="0"/>
              <w:left w:val="single" w:color="auto" w:sz="4" w:space="0"/>
            </w:tcBorders>
            <w:shd w:val="clear" w:color="auto" w:fill="FFFFFF"/>
            <w:noWrap w:val="0"/>
            <w:vAlign w:val="center"/>
          </w:tcPr>
          <w:p w14:paraId="26D05487">
            <w:pPr>
              <w:jc w:val="center"/>
              <w:rPr>
                <w:color w:val="000000" w:themeColor="text1"/>
                <w:szCs w:val="21"/>
                <w:highlight w:val="none"/>
                <w14:textFill>
                  <w14:solidFill>
                    <w14:schemeClr w14:val="tx1"/>
                  </w14:solidFill>
                </w14:textFill>
              </w:rPr>
            </w:pPr>
          </w:p>
        </w:tc>
        <w:tc>
          <w:tcPr>
            <w:tcW w:w="902" w:type="dxa"/>
            <w:tcBorders>
              <w:top w:val="single" w:color="auto" w:sz="4" w:space="0"/>
              <w:left w:val="single" w:color="auto" w:sz="4" w:space="0"/>
            </w:tcBorders>
            <w:shd w:val="clear" w:color="auto" w:fill="FFFFFF"/>
            <w:noWrap w:val="0"/>
            <w:vAlign w:val="center"/>
          </w:tcPr>
          <w:p w14:paraId="5E090D62">
            <w:pPr>
              <w:jc w:val="center"/>
              <w:rPr>
                <w:color w:val="000000" w:themeColor="text1"/>
                <w:szCs w:val="21"/>
                <w:highlight w:val="none"/>
                <w14:textFill>
                  <w14:solidFill>
                    <w14:schemeClr w14:val="tx1"/>
                  </w14:solidFill>
                </w14:textFill>
              </w:rPr>
            </w:pPr>
          </w:p>
        </w:tc>
        <w:tc>
          <w:tcPr>
            <w:tcW w:w="907" w:type="dxa"/>
            <w:tcBorders>
              <w:top w:val="single" w:color="auto" w:sz="4" w:space="0"/>
              <w:left w:val="single" w:color="auto" w:sz="4" w:space="0"/>
            </w:tcBorders>
            <w:shd w:val="clear" w:color="auto" w:fill="FFFFFF"/>
            <w:noWrap w:val="0"/>
            <w:vAlign w:val="center"/>
          </w:tcPr>
          <w:p w14:paraId="381FD7FE">
            <w:pPr>
              <w:jc w:val="center"/>
              <w:rPr>
                <w:color w:val="000000" w:themeColor="text1"/>
                <w:szCs w:val="21"/>
                <w:highlight w:val="none"/>
                <w14:textFill>
                  <w14:solidFill>
                    <w14:schemeClr w14:val="tx1"/>
                  </w14:solidFill>
                </w14:textFill>
              </w:rPr>
            </w:pPr>
          </w:p>
        </w:tc>
        <w:tc>
          <w:tcPr>
            <w:tcW w:w="907" w:type="dxa"/>
            <w:tcBorders>
              <w:top w:val="single" w:color="auto" w:sz="4" w:space="0"/>
              <w:left w:val="single" w:color="auto" w:sz="4" w:space="0"/>
            </w:tcBorders>
            <w:shd w:val="clear" w:color="auto" w:fill="FFFFFF"/>
            <w:noWrap w:val="0"/>
            <w:vAlign w:val="center"/>
          </w:tcPr>
          <w:p w14:paraId="3E6C8977">
            <w:pPr>
              <w:jc w:val="center"/>
              <w:rPr>
                <w:color w:val="000000" w:themeColor="text1"/>
                <w:szCs w:val="21"/>
                <w:highlight w:val="none"/>
                <w14:textFill>
                  <w14:solidFill>
                    <w14:schemeClr w14:val="tx1"/>
                  </w14:solidFill>
                </w14:textFill>
              </w:rPr>
            </w:pPr>
          </w:p>
        </w:tc>
        <w:tc>
          <w:tcPr>
            <w:tcW w:w="907" w:type="dxa"/>
            <w:tcBorders>
              <w:top w:val="single" w:color="auto" w:sz="4" w:space="0"/>
              <w:left w:val="single" w:color="auto" w:sz="4" w:space="0"/>
            </w:tcBorders>
            <w:shd w:val="clear" w:color="auto" w:fill="FFFFFF"/>
            <w:noWrap w:val="0"/>
            <w:vAlign w:val="center"/>
          </w:tcPr>
          <w:p w14:paraId="3051DA70">
            <w:pPr>
              <w:jc w:val="center"/>
              <w:rPr>
                <w:color w:val="000000" w:themeColor="text1"/>
                <w:szCs w:val="21"/>
                <w:highlight w:val="none"/>
                <w14:textFill>
                  <w14:solidFill>
                    <w14:schemeClr w14:val="tx1"/>
                  </w14:solidFill>
                </w14:textFill>
              </w:rPr>
            </w:pPr>
          </w:p>
        </w:tc>
        <w:tc>
          <w:tcPr>
            <w:tcW w:w="912" w:type="dxa"/>
            <w:tcBorders>
              <w:top w:val="single" w:color="auto" w:sz="4" w:space="0"/>
              <w:left w:val="single" w:color="auto" w:sz="4" w:space="0"/>
            </w:tcBorders>
            <w:shd w:val="clear" w:color="auto" w:fill="FFFFFF"/>
            <w:noWrap w:val="0"/>
            <w:vAlign w:val="center"/>
          </w:tcPr>
          <w:p w14:paraId="5FE93F1C">
            <w:pPr>
              <w:jc w:val="center"/>
              <w:rPr>
                <w:color w:val="000000" w:themeColor="text1"/>
                <w:szCs w:val="21"/>
                <w:highlight w:val="none"/>
                <w14:textFill>
                  <w14:solidFill>
                    <w14:schemeClr w14:val="tx1"/>
                  </w14:solidFill>
                </w14:textFill>
              </w:rPr>
            </w:pPr>
          </w:p>
        </w:tc>
        <w:tc>
          <w:tcPr>
            <w:tcW w:w="902" w:type="dxa"/>
            <w:tcBorders>
              <w:top w:val="single" w:color="auto" w:sz="4" w:space="0"/>
              <w:left w:val="single" w:color="auto" w:sz="4" w:space="0"/>
            </w:tcBorders>
            <w:shd w:val="clear" w:color="auto" w:fill="FFFFFF"/>
            <w:noWrap w:val="0"/>
            <w:vAlign w:val="center"/>
          </w:tcPr>
          <w:p w14:paraId="71509E78">
            <w:pPr>
              <w:jc w:val="center"/>
              <w:rPr>
                <w:color w:val="000000" w:themeColor="text1"/>
                <w:szCs w:val="21"/>
                <w:highlight w:val="none"/>
                <w14:textFill>
                  <w14:solidFill>
                    <w14:schemeClr w14:val="tx1"/>
                  </w14:solidFill>
                </w14:textFill>
              </w:rPr>
            </w:pPr>
          </w:p>
        </w:tc>
        <w:tc>
          <w:tcPr>
            <w:tcW w:w="907" w:type="dxa"/>
            <w:tcBorders>
              <w:top w:val="single" w:color="auto" w:sz="4" w:space="0"/>
              <w:left w:val="single" w:color="auto" w:sz="4" w:space="0"/>
            </w:tcBorders>
            <w:shd w:val="clear" w:color="auto" w:fill="FFFFFF"/>
            <w:noWrap w:val="0"/>
            <w:vAlign w:val="center"/>
          </w:tcPr>
          <w:p w14:paraId="793E5BAA">
            <w:pPr>
              <w:jc w:val="center"/>
              <w:rPr>
                <w:color w:val="000000" w:themeColor="text1"/>
                <w:szCs w:val="21"/>
                <w:highlight w:val="none"/>
                <w14:textFill>
                  <w14:solidFill>
                    <w14:schemeClr w14:val="tx1"/>
                  </w14:solidFill>
                </w14:textFill>
              </w:rPr>
            </w:pPr>
          </w:p>
        </w:tc>
        <w:tc>
          <w:tcPr>
            <w:tcW w:w="917" w:type="dxa"/>
            <w:tcBorders>
              <w:top w:val="single" w:color="auto" w:sz="4" w:space="0"/>
              <w:left w:val="single" w:color="auto" w:sz="4" w:space="0"/>
              <w:right w:val="single" w:color="auto" w:sz="4" w:space="0"/>
            </w:tcBorders>
            <w:shd w:val="clear" w:color="auto" w:fill="FFFFFF"/>
            <w:noWrap w:val="0"/>
            <w:vAlign w:val="center"/>
          </w:tcPr>
          <w:p w14:paraId="655BB941">
            <w:pPr>
              <w:jc w:val="center"/>
              <w:rPr>
                <w:color w:val="000000" w:themeColor="text1"/>
                <w:szCs w:val="21"/>
                <w:highlight w:val="none"/>
                <w14:textFill>
                  <w14:solidFill>
                    <w14:schemeClr w14:val="tx1"/>
                  </w14:solidFill>
                </w14:textFill>
              </w:rPr>
            </w:pPr>
          </w:p>
        </w:tc>
      </w:tr>
      <w:tr w14:paraId="1321FCF5">
        <w:tblPrEx>
          <w:tblCellMar>
            <w:top w:w="0" w:type="dxa"/>
            <w:left w:w="10" w:type="dxa"/>
            <w:bottom w:w="0" w:type="dxa"/>
            <w:right w:w="10" w:type="dxa"/>
          </w:tblCellMar>
        </w:tblPrEx>
        <w:trPr>
          <w:trHeight w:val="566" w:hRule="exact"/>
          <w:jc w:val="center"/>
        </w:trPr>
        <w:tc>
          <w:tcPr>
            <w:tcW w:w="1090" w:type="dxa"/>
            <w:tcBorders>
              <w:top w:val="single" w:color="auto" w:sz="4" w:space="0"/>
              <w:left w:val="single" w:color="auto" w:sz="4" w:space="0"/>
            </w:tcBorders>
            <w:shd w:val="clear" w:color="auto" w:fill="FFFFFF"/>
            <w:noWrap w:val="0"/>
            <w:vAlign w:val="center"/>
          </w:tcPr>
          <w:p w14:paraId="030FD863">
            <w:pPr>
              <w:jc w:val="center"/>
              <w:rPr>
                <w:color w:val="000000" w:themeColor="text1"/>
                <w:szCs w:val="21"/>
                <w:highlight w:val="none"/>
                <w14:textFill>
                  <w14:solidFill>
                    <w14:schemeClr w14:val="tx1"/>
                  </w14:solidFill>
                </w14:textFill>
              </w:rPr>
            </w:pPr>
          </w:p>
        </w:tc>
        <w:tc>
          <w:tcPr>
            <w:tcW w:w="902" w:type="dxa"/>
            <w:tcBorders>
              <w:top w:val="single" w:color="auto" w:sz="4" w:space="0"/>
              <w:left w:val="single" w:color="auto" w:sz="4" w:space="0"/>
            </w:tcBorders>
            <w:shd w:val="clear" w:color="auto" w:fill="FFFFFF"/>
            <w:noWrap w:val="0"/>
            <w:vAlign w:val="center"/>
          </w:tcPr>
          <w:p w14:paraId="6C5D2396">
            <w:pPr>
              <w:jc w:val="center"/>
              <w:rPr>
                <w:color w:val="000000" w:themeColor="text1"/>
                <w:szCs w:val="21"/>
                <w:highlight w:val="none"/>
                <w14:textFill>
                  <w14:solidFill>
                    <w14:schemeClr w14:val="tx1"/>
                  </w14:solidFill>
                </w14:textFill>
              </w:rPr>
            </w:pPr>
          </w:p>
        </w:tc>
        <w:tc>
          <w:tcPr>
            <w:tcW w:w="907" w:type="dxa"/>
            <w:tcBorders>
              <w:top w:val="single" w:color="auto" w:sz="4" w:space="0"/>
              <w:left w:val="single" w:color="auto" w:sz="4" w:space="0"/>
            </w:tcBorders>
            <w:shd w:val="clear" w:color="auto" w:fill="FFFFFF"/>
            <w:noWrap w:val="0"/>
            <w:vAlign w:val="center"/>
          </w:tcPr>
          <w:p w14:paraId="14610C60">
            <w:pPr>
              <w:jc w:val="center"/>
              <w:rPr>
                <w:color w:val="000000" w:themeColor="text1"/>
                <w:szCs w:val="21"/>
                <w:highlight w:val="none"/>
                <w14:textFill>
                  <w14:solidFill>
                    <w14:schemeClr w14:val="tx1"/>
                  </w14:solidFill>
                </w14:textFill>
              </w:rPr>
            </w:pPr>
          </w:p>
        </w:tc>
        <w:tc>
          <w:tcPr>
            <w:tcW w:w="907" w:type="dxa"/>
            <w:tcBorders>
              <w:top w:val="single" w:color="auto" w:sz="4" w:space="0"/>
              <w:left w:val="single" w:color="auto" w:sz="4" w:space="0"/>
            </w:tcBorders>
            <w:shd w:val="clear" w:color="auto" w:fill="FFFFFF"/>
            <w:noWrap w:val="0"/>
            <w:vAlign w:val="center"/>
          </w:tcPr>
          <w:p w14:paraId="6FF151BD">
            <w:pPr>
              <w:jc w:val="center"/>
              <w:rPr>
                <w:color w:val="000000" w:themeColor="text1"/>
                <w:szCs w:val="21"/>
                <w:highlight w:val="none"/>
                <w14:textFill>
                  <w14:solidFill>
                    <w14:schemeClr w14:val="tx1"/>
                  </w14:solidFill>
                </w14:textFill>
              </w:rPr>
            </w:pPr>
          </w:p>
        </w:tc>
        <w:tc>
          <w:tcPr>
            <w:tcW w:w="907" w:type="dxa"/>
            <w:tcBorders>
              <w:top w:val="single" w:color="auto" w:sz="4" w:space="0"/>
              <w:left w:val="single" w:color="auto" w:sz="4" w:space="0"/>
            </w:tcBorders>
            <w:shd w:val="clear" w:color="auto" w:fill="FFFFFF"/>
            <w:noWrap w:val="0"/>
            <w:vAlign w:val="center"/>
          </w:tcPr>
          <w:p w14:paraId="75F42C62">
            <w:pPr>
              <w:jc w:val="center"/>
              <w:rPr>
                <w:color w:val="000000" w:themeColor="text1"/>
                <w:szCs w:val="21"/>
                <w:highlight w:val="none"/>
                <w14:textFill>
                  <w14:solidFill>
                    <w14:schemeClr w14:val="tx1"/>
                  </w14:solidFill>
                </w14:textFill>
              </w:rPr>
            </w:pPr>
          </w:p>
        </w:tc>
        <w:tc>
          <w:tcPr>
            <w:tcW w:w="912" w:type="dxa"/>
            <w:tcBorders>
              <w:top w:val="single" w:color="auto" w:sz="4" w:space="0"/>
              <w:left w:val="single" w:color="auto" w:sz="4" w:space="0"/>
            </w:tcBorders>
            <w:shd w:val="clear" w:color="auto" w:fill="FFFFFF"/>
            <w:noWrap w:val="0"/>
            <w:vAlign w:val="center"/>
          </w:tcPr>
          <w:p w14:paraId="6D3AAA73">
            <w:pPr>
              <w:jc w:val="center"/>
              <w:rPr>
                <w:color w:val="000000" w:themeColor="text1"/>
                <w:szCs w:val="21"/>
                <w:highlight w:val="none"/>
                <w14:textFill>
                  <w14:solidFill>
                    <w14:schemeClr w14:val="tx1"/>
                  </w14:solidFill>
                </w14:textFill>
              </w:rPr>
            </w:pPr>
          </w:p>
        </w:tc>
        <w:tc>
          <w:tcPr>
            <w:tcW w:w="902" w:type="dxa"/>
            <w:tcBorders>
              <w:top w:val="single" w:color="auto" w:sz="4" w:space="0"/>
              <w:left w:val="single" w:color="auto" w:sz="4" w:space="0"/>
            </w:tcBorders>
            <w:shd w:val="clear" w:color="auto" w:fill="FFFFFF"/>
            <w:noWrap w:val="0"/>
            <w:vAlign w:val="center"/>
          </w:tcPr>
          <w:p w14:paraId="439E27DF">
            <w:pPr>
              <w:jc w:val="center"/>
              <w:rPr>
                <w:color w:val="000000" w:themeColor="text1"/>
                <w:szCs w:val="21"/>
                <w:highlight w:val="none"/>
                <w14:textFill>
                  <w14:solidFill>
                    <w14:schemeClr w14:val="tx1"/>
                  </w14:solidFill>
                </w14:textFill>
              </w:rPr>
            </w:pPr>
          </w:p>
        </w:tc>
        <w:tc>
          <w:tcPr>
            <w:tcW w:w="907" w:type="dxa"/>
            <w:tcBorders>
              <w:top w:val="single" w:color="auto" w:sz="4" w:space="0"/>
              <w:left w:val="single" w:color="auto" w:sz="4" w:space="0"/>
            </w:tcBorders>
            <w:shd w:val="clear" w:color="auto" w:fill="FFFFFF"/>
            <w:noWrap w:val="0"/>
            <w:vAlign w:val="center"/>
          </w:tcPr>
          <w:p w14:paraId="32374126">
            <w:pPr>
              <w:jc w:val="center"/>
              <w:rPr>
                <w:color w:val="000000" w:themeColor="text1"/>
                <w:szCs w:val="21"/>
                <w:highlight w:val="none"/>
                <w14:textFill>
                  <w14:solidFill>
                    <w14:schemeClr w14:val="tx1"/>
                  </w14:solidFill>
                </w14:textFill>
              </w:rPr>
            </w:pPr>
          </w:p>
        </w:tc>
        <w:tc>
          <w:tcPr>
            <w:tcW w:w="917" w:type="dxa"/>
            <w:tcBorders>
              <w:top w:val="single" w:color="auto" w:sz="4" w:space="0"/>
              <w:left w:val="single" w:color="auto" w:sz="4" w:space="0"/>
              <w:right w:val="single" w:color="auto" w:sz="4" w:space="0"/>
            </w:tcBorders>
            <w:shd w:val="clear" w:color="auto" w:fill="FFFFFF"/>
            <w:noWrap w:val="0"/>
            <w:vAlign w:val="center"/>
          </w:tcPr>
          <w:p w14:paraId="7E1DB95D">
            <w:pPr>
              <w:jc w:val="center"/>
              <w:rPr>
                <w:color w:val="000000" w:themeColor="text1"/>
                <w:szCs w:val="21"/>
                <w:highlight w:val="none"/>
                <w14:textFill>
                  <w14:solidFill>
                    <w14:schemeClr w14:val="tx1"/>
                  </w14:solidFill>
                </w14:textFill>
              </w:rPr>
            </w:pPr>
          </w:p>
        </w:tc>
      </w:tr>
      <w:tr w14:paraId="6FB9B739">
        <w:tblPrEx>
          <w:tblCellMar>
            <w:top w:w="0" w:type="dxa"/>
            <w:left w:w="10" w:type="dxa"/>
            <w:bottom w:w="0" w:type="dxa"/>
            <w:right w:w="10" w:type="dxa"/>
          </w:tblCellMar>
        </w:tblPrEx>
        <w:trPr>
          <w:trHeight w:val="566" w:hRule="exact"/>
          <w:jc w:val="center"/>
        </w:trPr>
        <w:tc>
          <w:tcPr>
            <w:tcW w:w="1090" w:type="dxa"/>
            <w:tcBorders>
              <w:top w:val="single" w:color="auto" w:sz="4" w:space="0"/>
              <w:left w:val="single" w:color="auto" w:sz="4" w:space="0"/>
            </w:tcBorders>
            <w:shd w:val="clear" w:color="auto" w:fill="FFFFFF"/>
            <w:noWrap w:val="0"/>
            <w:vAlign w:val="center"/>
          </w:tcPr>
          <w:p w14:paraId="301C3D63">
            <w:pPr>
              <w:jc w:val="center"/>
              <w:rPr>
                <w:color w:val="000000" w:themeColor="text1"/>
                <w:szCs w:val="21"/>
                <w:highlight w:val="none"/>
                <w14:textFill>
                  <w14:solidFill>
                    <w14:schemeClr w14:val="tx1"/>
                  </w14:solidFill>
                </w14:textFill>
              </w:rPr>
            </w:pPr>
          </w:p>
        </w:tc>
        <w:tc>
          <w:tcPr>
            <w:tcW w:w="902" w:type="dxa"/>
            <w:tcBorders>
              <w:top w:val="single" w:color="auto" w:sz="4" w:space="0"/>
              <w:left w:val="single" w:color="auto" w:sz="4" w:space="0"/>
            </w:tcBorders>
            <w:shd w:val="clear" w:color="auto" w:fill="FFFFFF"/>
            <w:noWrap w:val="0"/>
            <w:vAlign w:val="center"/>
          </w:tcPr>
          <w:p w14:paraId="15CDEB27">
            <w:pPr>
              <w:jc w:val="center"/>
              <w:rPr>
                <w:color w:val="000000" w:themeColor="text1"/>
                <w:szCs w:val="21"/>
                <w:highlight w:val="none"/>
                <w14:textFill>
                  <w14:solidFill>
                    <w14:schemeClr w14:val="tx1"/>
                  </w14:solidFill>
                </w14:textFill>
              </w:rPr>
            </w:pPr>
          </w:p>
        </w:tc>
        <w:tc>
          <w:tcPr>
            <w:tcW w:w="907" w:type="dxa"/>
            <w:tcBorders>
              <w:top w:val="single" w:color="auto" w:sz="4" w:space="0"/>
              <w:left w:val="single" w:color="auto" w:sz="4" w:space="0"/>
            </w:tcBorders>
            <w:shd w:val="clear" w:color="auto" w:fill="FFFFFF"/>
            <w:noWrap w:val="0"/>
            <w:vAlign w:val="center"/>
          </w:tcPr>
          <w:p w14:paraId="1D63628B">
            <w:pPr>
              <w:jc w:val="center"/>
              <w:rPr>
                <w:color w:val="000000" w:themeColor="text1"/>
                <w:szCs w:val="21"/>
                <w:highlight w:val="none"/>
                <w14:textFill>
                  <w14:solidFill>
                    <w14:schemeClr w14:val="tx1"/>
                  </w14:solidFill>
                </w14:textFill>
              </w:rPr>
            </w:pPr>
          </w:p>
        </w:tc>
        <w:tc>
          <w:tcPr>
            <w:tcW w:w="907" w:type="dxa"/>
            <w:tcBorders>
              <w:top w:val="single" w:color="auto" w:sz="4" w:space="0"/>
              <w:left w:val="single" w:color="auto" w:sz="4" w:space="0"/>
            </w:tcBorders>
            <w:shd w:val="clear" w:color="auto" w:fill="FFFFFF"/>
            <w:noWrap w:val="0"/>
            <w:vAlign w:val="center"/>
          </w:tcPr>
          <w:p w14:paraId="1893F75D">
            <w:pPr>
              <w:jc w:val="center"/>
              <w:rPr>
                <w:color w:val="000000" w:themeColor="text1"/>
                <w:szCs w:val="21"/>
                <w:highlight w:val="none"/>
                <w14:textFill>
                  <w14:solidFill>
                    <w14:schemeClr w14:val="tx1"/>
                  </w14:solidFill>
                </w14:textFill>
              </w:rPr>
            </w:pPr>
          </w:p>
        </w:tc>
        <w:tc>
          <w:tcPr>
            <w:tcW w:w="907" w:type="dxa"/>
            <w:tcBorders>
              <w:top w:val="single" w:color="auto" w:sz="4" w:space="0"/>
              <w:left w:val="single" w:color="auto" w:sz="4" w:space="0"/>
            </w:tcBorders>
            <w:shd w:val="clear" w:color="auto" w:fill="FFFFFF"/>
            <w:noWrap w:val="0"/>
            <w:vAlign w:val="center"/>
          </w:tcPr>
          <w:p w14:paraId="62BB805A">
            <w:pPr>
              <w:jc w:val="center"/>
              <w:rPr>
                <w:color w:val="000000" w:themeColor="text1"/>
                <w:szCs w:val="21"/>
                <w:highlight w:val="none"/>
                <w14:textFill>
                  <w14:solidFill>
                    <w14:schemeClr w14:val="tx1"/>
                  </w14:solidFill>
                </w14:textFill>
              </w:rPr>
            </w:pPr>
          </w:p>
        </w:tc>
        <w:tc>
          <w:tcPr>
            <w:tcW w:w="912" w:type="dxa"/>
            <w:tcBorders>
              <w:top w:val="single" w:color="auto" w:sz="4" w:space="0"/>
              <w:left w:val="single" w:color="auto" w:sz="4" w:space="0"/>
            </w:tcBorders>
            <w:shd w:val="clear" w:color="auto" w:fill="FFFFFF"/>
            <w:noWrap w:val="0"/>
            <w:vAlign w:val="center"/>
          </w:tcPr>
          <w:p w14:paraId="06FB9912">
            <w:pPr>
              <w:jc w:val="center"/>
              <w:rPr>
                <w:color w:val="000000" w:themeColor="text1"/>
                <w:szCs w:val="21"/>
                <w:highlight w:val="none"/>
                <w14:textFill>
                  <w14:solidFill>
                    <w14:schemeClr w14:val="tx1"/>
                  </w14:solidFill>
                </w14:textFill>
              </w:rPr>
            </w:pPr>
          </w:p>
        </w:tc>
        <w:tc>
          <w:tcPr>
            <w:tcW w:w="902" w:type="dxa"/>
            <w:tcBorders>
              <w:top w:val="single" w:color="auto" w:sz="4" w:space="0"/>
              <w:left w:val="single" w:color="auto" w:sz="4" w:space="0"/>
            </w:tcBorders>
            <w:shd w:val="clear" w:color="auto" w:fill="FFFFFF"/>
            <w:noWrap w:val="0"/>
            <w:vAlign w:val="center"/>
          </w:tcPr>
          <w:p w14:paraId="7AC0A186">
            <w:pPr>
              <w:jc w:val="center"/>
              <w:rPr>
                <w:color w:val="000000" w:themeColor="text1"/>
                <w:szCs w:val="21"/>
                <w:highlight w:val="none"/>
                <w14:textFill>
                  <w14:solidFill>
                    <w14:schemeClr w14:val="tx1"/>
                  </w14:solidFill>
                </w14:textFill>
              </w:rPr>
            </w:pPr>
          </w:p>
        </w:tc>
        <w:tc>
          <w:tcPr>
            <w:tcW w:w="907" w:type="dxa"/>
            <w:tcBorders>
              <w:top w:val="single" w:color="auto" w:sz="4" w:space="0"/>
              <w:left w:val="single" w:color="auto" w:sz="4" w:space="0"/>
            </w:tcBorders>
            <w:shd w:val="clear" w:color="auto" w:fill="FFFFFF"/>
            <w:noWrap w:val="0"/>
            <w:vAlign w:val="center"/>
          </w:tcPr>
          <w:p w14:paraId="696B291B">
            <w:pPr>
              <w:jc w:val="center"/>
              <w:rPr>
                <w:color w:val="000000" w:themeColor="text1"/>
                <w:szCs w:val="21"/>
                <w:highlight w:val="none"/>
                <w14:textFill>
                  <w14:solidFill>
                    <w14:schemeClr w14:val="tx1"/>
                  </w14:solidFill>
                </w14:textFill>
              </w:rPr>
            </w:pPr>
          </w:p>
        </w:tc>
        <w:tc>
          <w:tcPr>
            <w:tcW w:w="917" w:type="dxa"/>
            <w:tcBorders>
              <w:top w:val="single" w:color="auto" w:sz="4" w:space="0"/>
              <w:left w:val="single" w:color="auto" w:sz="4" w:space="0"/>
              <w:right w:val="single" w:color="auto" w:sz="4" w:space="0"/>
            </w:tcBorders>
            <w:shd w:val="clear" w:color="auto" w:fill="FFFFFF"/>
            <w:noWrap w:val="0"/>
            <w:vAlign w:val="center"/>
          </w:tcPr>
          <w:p w14:paraId="29616E9F">
            <w:pPr>
              <w:jc w:val="center"/>
              <w:rPr>
                <w:color w:val="000000" w:themeColor="text1"/>
                <w:szCs w:val="21"/>
                <w:highlight w:val="none"/>
                <w14:textFill>
                  <w14:solidFill>
                    <w14:schemeClr w14:val="tx1"/>
                  </w14:solidFill>
                </w14:textFill>
              </w:rPr>
            </w:pPr>
          </w:p>
        </w:tc>
      </w:tr>
      <w:tr w14:paraId="377359B4">
        <w:tblPrEx>
          <w:tblCellMar>
            <w:top w:w="0" w:type="dxa"/>
            <w:left w:w="10" w:type="dxa"/>
            <w:bottom w:w="0" w:type="dxa"/>
            <w:right w:w="10" w:type="dxa"/>
          </w:tblCellMar>
        </w:tblPrEx>
        <w:trPr>
          <w:trHeight w:val="566" w:hRule="exact"/>
          <w:jc w:val="center"/>
        </w:trPr>
        <w:tc>
          <w:tcPr>
            <w:tcW w:w="1090" w:type="dxa"/>
            <w:tcBorders>
              <w:top w:val="single" w:color="auto" w:sz="4" w:space="0"/>
              <w:left w:val="single" w:color="auto" w:sz="4" w:space="0"/>
            </w:tcBorders>
            <w:shd w:val="clear" w:color="auto" w:fill="FFFFFF"/>
            <w:noWrap w:val="0"/>
            <w:vAlign w:val="center"/>
          </w:tcPr>
          <w:p w14:paraId="61EB3DE1">
            <w:pPr>
              <w:jc w:val="center"/>
              <w:rPr>
                <w:color w:val="000000" w:themeColor="text1"/>
                <w:szCs w:val="21"/>
                <w:highlight w:val="none"/>
                <w14:textFill>
                  <w14:solidFill>
                    <w14:schemeClr w14:val="tx1"/>
                  </w14:solidFill>
                </w14:textFill>
              </w:rPr>
            </w:pPr>
          </w:p>
        </w:tc>
        <w:tc>
          <w:tcPr>
            <w:tcW w:w="902" w:type="dxa"/>
            <w:tcBorders>
              <w:top w:val="single" w:color="auto" w:sz="4" w:space="0"/>
              <w:left w:val="single" w:color="auto" w:sz="4" w:space="0"/>
            </w:tcBorders>
            <w:shd w:val="clear" w:color="auto" w:fill="FFFFFF"/>
            <w:noWrap w:val="0"/>
            <w:vAlign w:val="center"/>
          </w:tcPr>
          <w:p w14:paraId="7014EB1A">
            <w:pPr>
              <w:jc w:val="center"/>
              <w:rPr>
                <w:color w:val="000000" w:themeColor="text1"/>
                <w:szCs w:val="21"/>
                <w:highlight w:val="none"/>
                <w14:textFill>
                  <w14:solidFill>
                    <w14:schemeClr w14:val="tx1"/>
                  </w14:solidFill>
                </w14:textFill>
              </w:rPr>
            </w:pPr>
          </w:p>
        </w:tc>
        <w:tc>
          <w:tcPr>
            <w:tcW w:w="907" w:type="dxa"/>
            <w:tcBorders>
              <w:top w:val="single" w:color="auto" w:sz="4" w:space="0"/>
              <w:left w:val="single" w:color="auto" w:sz="4" w:space="0"/>
            </w:tcBorders>
            <w:shd w:val="clear" w:color="auto" w:fill="FFFFFF"/>
            <w:noWrap w:val="0"/>
            <w:vAlign w:val="center"/>
          </w:tcPr>
          <w:p w14:paraId="1B593933">
            <w:pPr>
              <w:jc w:val="center"/>
              <w:rPr>
                <w:color w:val="000000" w:themeColor="text1"/>
                <w:szCs w:val="21"/>
                <w:highlight w:val="none"/>
                <w14:textFill>
                  <w14:solidFill>
                    <w14:schemeClr w14:val="tx1"/>
                  </w14:solidFill>
                </w14:textFill>
              </w:rPr>
            </w:pPr>
          </w:p>
        </w:tc>
        <w:tc>
          <w:tcPr>
            <w:tcW w:w="907" w:type="dxa"/>
            <w:tcBorders>
              <w:top w:val="single" w:color="auto" w:sz="4" w:space="0"/>
              <w:left w:val="single" w:color="auto" w:sz="4" w:space="0"/>
            </w:tcBorders>
            <w:shd w:val="clear" w:color="auto" w:fill="FFFFFF"/>
            <w:noWrap w:val="0"/>
            <w:vAlign w:val="center"/>
          </w:tcPr>
          <w:p w14:paraId="18E5CD7C">
            <w:pPr>
              <w:jc w:val="center"/>
              <w:rPr>
                <w:color w:val="000000" w:themeColor="text1"/>
                <w:szCs w:val="21"/>
                <w:highlight w:val="none"/>
                <w14:textFill>
                  <w14:solidFill>
                    <w14:schemeClr w14:val="tx1"/>
                  </w14:solidFill>
                </w14:textFill>
              </w:rPr>
            </w:pPr>
          </w:p>
        </w:tc>
        <w:tc>
          <w:tcPr>
            <w:tcW w:w="907" w:type="dxa"/>
            <w:tcBorders>
              <w:top w:val="single" w:color="auto" w:sz="4" w:space="0"/>
              <w:left w:val="single" w:color="auto" w:sz="4" w:space="0"/>
            </w:tcBorders>
            <w:shd w:val="clear" w:color="auto" w:fill="FFFFFF"/>
            <w:noWrap w:val="0"/>
            <w:vAlign w:val="center"/>
          </w:tcPr>
          <w:p w14:paraId="5B6D48F0">
            <w:pPr>
              <w:jc w:val="center"/>
              <w:rPr>
                <w:color w:val="000000" w:themeColor="text1"/>
                <w:szCs w:val="21"/>
                <w:highlight w:val="none"/>
                <w14:textFill>
                  <w14:solidFill>
                    <w14:schemeClr w14:val="tx1"/>
                  </w14:solidFill>
                </w14:textFill>
              </w:rPr>
            </w:pPr>
          </w:p>
        </w:tc>
        <w:tc>
          <w:tcPr>
            <w:tcW w:w="912" w:type="dxa"/>
            <w:tcBorders>
              <w:top w:val="single" w:color="auto" w:sz="4" w:space="0"/>
              <w:left w:val="single" w:color="auto" w:sz="4" w:space="0"/>
            </w:tcBorders>
            <w:shd w:val="clear" w:color="auto" w:fill="FFFFFF"/>
            <w:noWrap w:val="0"/>
            <w:vAlign w:val="center"/>
          </w:tcPr>
          <w:p w14:paraId="7E123EAF">
            <w:pPr>
              <w:jc w:val="center"/>
              <w:rPr>
                <w:color w:val="000000" w:themeColor="text1"/>
                <w:szCs w:val="21"/>
                <w:highlight w:val="none"/>
                <w14:textFill>
                  <w14:solidFill>
                    <w14:schemeClr w14:val="tx1"/>
                  </w14:solidFill>
                </w14:textFill>
              </w:rPr>
            </w:pPr>
          </w:p>
        </w:tc>
        <w:tc>
          <w:tcPr>
            <w:tcW w:w="902" w:type="dxa"/>
            <w:tcBorders>
              <w:top w:val="single" w:color="auto" w:sz="4" w:space="0"/>
              <w:left w:val="single" w:color="auto" w:sz="4" w:space="0"/>
            </w:tcBorders>
            <w:shd w:val="clear" w:color="auto" w:fill="FFFFFF"/>
            <w:noWrap w:val="0"/>
            <w:vAlign w:val="center"/>
          </w:tcPr>
          <w:p w14:paraId="140FB876">
            <w:pPr>
              <w:jc w:val="center"/>
              <w:rPr>
                <w:color w:val="000000" w:themeColor="text1"/>
                <w:szCs w:val="21"/>
                <w:highlight w:val="none"/>
                <w14:textFill>
                  <w14:solidFill>
                    <w14:schemeClr w14:val="tx1"/>
                  </w14:solidFill>
                </w14:textFill>
              </w:rPr>
            </w:pPr>
          </w:p>
        </w:tc>
        <w:tc>
          <w:tcPr>
            <w:tcW w:w="907" w:type="dxa"/>
            <w:tcBorders>
              <w:top w:val="single" w:color="auto" w:sz="4" w:space="0"/>
              <w:left w:val="single" w:color="auto" w:sz="4" w:space="0"/>
            </w:tcBorders>
            <w:shd w:val="clear" w:color="auto" w:fill="FFFFFF"/>
            <w:noWrap w:val="0"/>
            <w:vAlign w:val="center"/>
          </w:tcPr>
          <w:p w14:paraId="3E85DFFF">
            <w:pPr>
              <w:jc w:val="center"/>
              <w:rPr>
                <w:color w:val="000000" w:themeColor="text1"/>
                <w:szCs w:val="21"/>
                <w:highlight w:val="none"/>
                <w14:textFill>
                  <w14:solidFill>
                    <w14:schemeClr w14:val="tx1"/>
                  </w14:solidFill>
                </w14:textFill>
              </w:rPr>
            </w:pPr>
          </w:p>
        </w:tc>
        <w:tc>
          <w:tcPr>
            <w:tcW w:w="917" w:type="dxa"/>
            <w:tcBorders>
              <w:top w:val="single" w:color="auto" w:sz="4" w:space="0"/>
              <w:left w:val="single" w:color="auto" w:sz="4" w:space="0"/>
              <w:right w:val="single" w:color="auto" w:sz="4" w:space="0"/>
            </w:tcBorders>
            <w:shd w:val="clear" w:color="auto" w:fill="FFFFFF"/>
            <w:noWrap w:val="0"/>
            <w:vAlign w:val="center"/>
          </w:tcPr>
          <w:p w14:paraId="6DA6E16B">
            <w:pPr>
              <w:jc w:val="center"/>
              <w:rPr>
                <w:color w:val="000000" w:themeColor="text1"/>
                <w:szCs w:val="21"/>
                <w:highlight w:val="none"/>
                <w14:textFill>
                  <w14:solidFill>
                    <w14:schemeClr w14:val="tx1"/>
                  </w14:solidFill>
                </w14:textFill>
              </w:rPr>
            </w:pPr>
          </w:p>
        </w:tc>
      </w:tr>
      <w:tr w14:paraId="75836549">
        <w:tblPrEx>
          <w:tblCellMar>
            <w:top w:w="0" w:type="dxa"/>
            <w:left w:w="10" w:type="dxa"/>
            <w:bottom w:w="0" w:type="dxa"/>
            <w:right w:w="10" w:type="dxa"/>
          </w:tblCellMar>
        </w:tblPrEx>
        <w:trPr>
          <w:trHeight w:val="581" w:hRule="exact"/>
          <w:jc w:val="center"/>
        </w:trPr>
        <w:tc>
          <w:tcPr>
            <w:tcW w:w="1090" w:type="dxa"/>
            <w:tcBorders>
              <w:top w:val="single" w:color="auto" w:sz="4" w:space="0"/>
              <w:left w:val="single" w:color="auto" w:sz="4" w:space="0"/>
              <w:bottom w:val="single" w:color="auto" w:sz="4" w:space="0"/>
            </w:tcBorders>
            <w:shd w:val="clear" w:color="auto" w:fill="FFFFFF"/>
            <w:noWrap w:val="0"/>
            <w:vAlign w:val="center"/>
          </w:tcPr>
          <w:p w14:paraId="6B3E04B7">
            <w:pPr>
              <w:jc w:val="center"/>
              <w:rPr>
                <w:color w:val="000000" w:themeColor="text1"/>
                <w:szCs w:val="21"/>
                <w:highlight w:val="none"/>
                <w14:textFill>
                  <w14:solidFill>
                    <w14:schemeClr w14:val="tx1"/>
                  </w14:solidFill>
                </w14:textFill>
              </w:rPr>
            </w:pPr>
          </w:p>
        </w:tc>
        <w:tc>
          <w:tcPr>
            <w:tcW w:w="902" w:type="dxa"/>
            <w:tcBorders>
              <w:top w:val="single" w:color="auto" w:sz="4" w:space="0"/>
              <w:left w:val="single" w:color="auto" w:sz="4" w:space="0"/>
              <w:bottom w:val="single" w:color="auto" w:sz="4" w:space="0"/>
            </w:tcBorders>
            <w:shd w:val="clear" w:color="auto" w:fill="FFFFFF"/>
            <w:noWrap w:val="0"/>
            <w:vAlign w:val="center"/>
          </w:tcPr>
          <w:p w14:paraId="29FD7A8D">
            <w:pPr>
              <w:jc w:val="center"/>
              <w:rPr>
                <w:color w:val="000000" w:themeColor="text1"/>
                <w:szCs w:val="21"/>
                <w:highlight w:val="none"/>
                <w14:textFill>
                  <w14:solidFill>
                    <w14:schemeClr w14:val="tx1"/>
                  </w14:solidFill>
                </w14:textFill>
              </w:rPr>
            </w:pPr>
          </w:p>
        </w:tc>
        <w:tc>
          <w:tcPr>
            <w:tcW w:w="907" w:type="dxa"/>
            <w:tcBorders>
              <w:top w:val="single" w:color="auto" w:sz="4" w:space="0"/>
              <w:left w:val="single" w:color="auto" w:sz="4" w:space="0"/>
              <w:bottom w:val="single" w:color="auto" w:sz="4" w:space="0"/>
            </w:tcBorders>
            <w:shd w:val="clear" w:color="auto" w:fill="FFFFFF"/>
            <w:noWrap w:val="0"/>
            <w:vAlign w:val="center"/>
          </w:tcPr>
          <w:p w14:paraId="35772CFE">
            <w:pPr>
              <w:jc w:val="center"/>
              <w:rPr>
                <w:color w:val="000000" w:themeColor="text1"/>
                <w:szCs w:val="21"/>
                <w:highlight w:val="none"/>
                <w14:textFill>
                  <w14:solidFill>
                    <w14:schemeClr w14:val="tx1"/>
                  </w14:solidFill>
                </w14:textFill>
              </w:rPr>
            </w:pPr>
          </w:p>
        </w:tc>
        <w:tc>
          <w:tcPr>
            <w:tcW w:w="907" w:type="dxa"/>
            <w:tcBorders>
              <w:top w:val="single" w:color="auto" w:sz="4" w:space="0"/>
              <w:left w:val="single" w:color="auto" w:sz="4" w:space="0"/>
              <w:bottom w:val="single" w:color="auto" w:sz="4" w:space="0"/>
            </w:tcBorders>
            <w:shd w:val="clear" w:color="auto" w:fill="FFFFFF"/>
            <w:noWrap w:val="0"/>
            <w:vAlign w:val="center"/>
          </w:tcPr>
          <w:p w14:paraId="5AF1187E">
            <w:pPr>
              <w:jc w:val="center"/>
              <w:rPr>
                <w:color w:val="000000" w:themeColor="text1"/>
                <w:szCs w:val="21"/>
                <w:highlight w:val="none"/>
                <w14:textFill>
                  <w14:solidFill>
                    <w14:schemeClr w14:val="tx1"/>
                  </w14:solidFill>
                </w14:textFill>
              </w:rPr>
            </w:pPr>
          </w:p>
        </w:tc>
        <w:tc>
          <w:tcPr>
            <w:tcW w:w="907" w:type="dxa"/>
            <w:tcBorders>
              <w:top w:val="single" w:color="auto" w:sz="4" w:space="0"/>
              <w:left w:val="single" w:color="auto" w:sz="4" w:space="0"/>
              <w:bottom w:val="single" w:color="auto" w:sz="4" w:space="0"/>
            </w:tcBorders>
            <w:shd w:val="clear" w:color="auto" w:fill="FFFFFF"/>
            <w:noWrap w:val="0"/>
            <w:vAlign w:val="center"/>
          </w:tcPr>
          <w:p w14:paraId="08FA3932">
            <w:pPr>
              <w:jc w:val="center"/>
              <w:rPr>
                <w:color w:val="000000" w:themeColor="text1"/>
                <w:szCs w:val="21"/>
                <w:highlight w:val="none"/>
                <w14:textFill>
                  <w14:solidFill>
                    <w14:schemeClr w14:val="tx1"/>
                  </w14:solidFill>
                </w14:textFill>
              </w:rPr>
            </w:pPr>
          </w:p>
        </w:tc>
        <w:tc>
          <w:tcPr>
            <w:tcW w:w="912" w:type="dxa"/>
            <w:tcBorders>
              <w:top w:val="single" w:color="auto" w:sz="4" w:space="0"/>
              <w:left w:val="single" w:color="auto" w:sz="4" w:space="0"/>
              <w:bottom w:val="single" w:color="auto" w:sz="4" w:space="0"/>
            </w:tcBorders>
            <w:shd w:val="clear" w:color="auto" w:fill="FFFFFF"/>
            <w:noWrap w:val="0"/>
            <w:vAlign w:val="center"/>
          </w:tcPr>
          <w:p w14:paraId="03902FE8">
            <w:pPr>
              <w:jc w:val="center"/>
              <w:rPr>
                <w:color w:val="000000" w:themeColor="text1"/>
                <w:szCs w:val="21"/>
                <w:highlight w:val="none"/>
                <w14:textFill>
                  <w14:solidFill>
                    <w14:schemeClr w14:val="tx1"/>
                  </w14:solidFill>
                </w14:textFill>
              </w:rPr>
            </w:pPr>
          </w:p>
        </w:tc>
        <w:tc>
          <w:tcPr>
            <w:tcW w:w="902" w:type="dxa"/>
            <w:tcBorders>
              <w:top w:val="single" w:color="auto" w:sz="4" w:space="0"/>
              <w:left w:val="single" w:color="auto" w:sz="4" w:space="0"/>
              <w:bottom w:val="single" w:color="auto" w:sz="4" w:space="0"/>
            </w:tcBorders>
            <w:shd w:val="clear" w:color="auto" w:fill="FFFFFF"/>
            <w:noWrap w:val="0"/>
            <w:vAlign w:val="center"/>
          </w:tcPr>
          <w:p w14:paraId="21EB4631">
            <w:pPr>
              <w:jc w:val="center"/>
              <w:rPr>
                <w:color w:val="000000" w:themeColor="text1"/>
                <w:szCs w:val="21"/>
                <w:highlight w:val="none"/>
                <w14:textFill>
                  <w14:solidFill>
                    <w14:schemeClr w14:val="tx1"/>
                  </w14:solidFill>
                </w14:textFill>
              </w:rPr>
            </w:pPr>
          </w:p>
        </w:tc>
        <w:tc>
          <w:tcPr>
            <w:tcW w:w="907" w:type="dxa"/>
            <w:tcBorders>
              <w:top w:val="single" w:color="auto" w:sz="4" w:space="0"/>
              <w:left w:val="single" w:color="auto" w:sz="4" w:space="0"/>
              <w:bottom w:val="single" w:color="auto" w:sz="4" w:space="0"/>
            </w:tcBorders>
            <w:shd w:val="clear" w:color="auto" w:fill="FFFFFF"/>
            <w:noWrap w:val="0"/>
            <w:vAlign w:val="center"/>
          </w:tcPr>
          <w:p w14:paraId="55C7C251">
            <w:pPr>
              <w:jc w:val="center"/>
              <w:rPr>
                <w:color w:val="000000" w:themeColor="text1"/>
                <w:szCs w:val="21"/>
                <w:highlight w:val="none"/>
                <w14:textFill>
                  <w14:solidFill>
                    <w14:schemeClr w14:val="tx1"/>
                  </w14:solidFill>
                </w14:textFill>
              </w:rPr>
            </w:pPr>
          </w:p>
        </w:tc>
        <w:tc>
          <w:tcPr>
            <w:tcW w:w="91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37F0C52">
            <w:pPr>
              <w:jc w:val="center"/>
              <w:rPr>
                <w:color w:val="000000" w:themeColor="text1"/>
                <w:szCs w:val="21"/>
                <w:highlight w:val="none"/>
                <w14:textFill>
                  <w14:solidFill>
                    <w14:schemeClr w14:val="tx1"/>
                  </w14:solidFill>
                </w14:textFill>
              </w:rPr>
            </w:pPr>
          </w:p>
        </w:tc>
      </w:tr>
    </w:tbl>
    <w:p w14:paraId="7E4C2A80">
      <w:pPr>
        <w:spacing w:after="299" w:line="1" w:lineRule="exact"/>
        <w:rPr>
          <w:color w:val="000000" w:themeColor="text1"/>
          <w:highlight w:val="none"/>
          <w14:textFill>
            <w14:solidFill>
              <w14:schemeClr w14:val="tx1"/>
            </w14:solidFill>
          </w14:textFill>
        </w:rPr>
      </w:pPr>
    </w:p>
    <w:p w14:paraId="6D7DC294">
      <w:pPr>
        <w:pStyle w:val="237"/>
        <w:tabs>
          <w:tab w:val="left" w:pos="847"/>
          <w:tab w:val="left" w:leader="underscore" w:pos="850"/>
          <w:tab w:val="left" w:leader="underscore" w:pos="1906"/>
          <w:tab w:val="left" w:pos="1908"/>
          <w:tab w:val="left" w:pos="2964"/>
        </w:tabs>
        <w:spacing w:after="420" w:line="353" w:lineRule="exact"/>
        <w:ind w:firstLine="420"/>
        <w:jc w:val="right"/>
        <w:rPr>
          <w:color w:val="000000" w:themeColor="text1"/>
          <w:highlight w:val="none"/>
          <w14:textFill>
            <w14:solidFill>
              <w14:schemeClr w14:val="tx1"/>
            </w14:solidFill>
          </w14:textFill>
        </w:rPr>
        <w:sectPr>
          <w:headerReference r:id="rId17" w:type="default"/>
          <w:footerReference r:id="rId19" w:type="default"/>
          <w:headerReference r:id="rId18" w:type="even"/>
          <w:footerReference r:id="rId20" w:type="even"/>
          <w:pgSz w:w="11900" w:h="16832"/>
          <w:pgMar w:top="1440" w:right="1803" w:bottom="1440" w:left="1803" w:header="851" w:footer="851" w:gutter="0"/>
          <w:cols w:space="720" w:num="1"/>
        </w:sectPr>
      </w:pPr>
    </w:p>
    <w:p w14:paraId="1E7C27F8">
      <w:pPr>
        <w:pStyle w:val="9"/>
        <w:rPr>
          <w:rFonts w:hint="eastAsia"/>
          <w:b w:val="0"/>
          <w:bCs w:val="0"/>
          <w:color w:val="000000" w:themeColor="text1"/>
          <w:sz w:val="28"/>
          <w:szCs w:val="28"/>
          <w:highlight w:val="none"/>
          <w14:textFill>
            <w14:solidFill>
              <w14:schemeClr w14:val="tx1"/>
            </w14:solidFill>
          </w14:textFill>
        </w:rPr>
      </w:pPr>
      <w:bookmarkStart w:id="143" w:name="bookmark2250"/>
      <w:bookmarkStart w:id="144" w:name="bookmark2249"/>
      <w:bookmarkStart w:id="145" w:name="bookmark2251"/>
      <w:r>
        <w:rPr>
          <w:rFonts w:hint="eastAsia"/>
          <w:b w:val="0"/>
          <w:bCs w:val="0"/>
          <w:color w:val="000000" w:themeColor="text1"/>
          <w:sz w:val="28"/>
          <w:szCs w:val="28"/>
          <w:highlight w:val="none"/>
          <w14:textFill>
            <w14:solidFill>
              <w14:schemeClr w14:val="tx1"/>
            </w14:solidFill>
          </w14:textFill>
        </w:rPr>
        <w:t>附件五：计划开工日期、完工日期和施工进度网络图（或横道图）</w:t>
      </w:r>
      <w:bookmarkEnd w:id="143"/>
      <w:bookmarkEnd w:id="144"/>
      <w:bookmarkEnd w:id="145"/>
    </w:p>
    <w:p w14:paraId="040DFB58">
      <w:pPr>
        <w:rPr>
          <w:rFonts w:hint="eastAsia"/>
          <w:color w:val="000000" w:themeColor="text1"/>
          <w:highlight w:val="none"/>
          <w14:textFill>
            <w14:solidFill>
              <w14:schemeClr w14:val="tx1"/>
            </w14:solidFill>
          </w14:textFill>
        </w:rPr>
      </w:pPr>
    </w:p>
    <w:p w14:paraId="4E939A08">
      <w:pPr>
        <w:jc w:val="center"/>
        <w:rPr>
          <w:rFonts w:hint="eastAsia" w:ascii="宋体" w:hAnsi="宋体" w:cs="宋体"/>
          <w:b/>
          <w:bCs/>
          <w:color w:val="000000" w:themeColor="text1"/>
          <w:sz w:val="28"/>
          <w:szCs w:val="28"/>
          <w:highlight w:val="none"/>
          <w14:textFill>
            <w14:solidFill>
              <w14:schemeClr w14:val="tx1"/>
            </w14:solidFill>
          </w14:textFill>
        </w:rPr>
      </w:pPr>
      <w:bookmarkStart w:id="146" w:name="_Toc2597"/>
      <w:bookmarkStart w:id="147" w:name="bookmark2254"/>
      <w:bookmarkStart w:id="148" w:name="_Toc24573"/>
      <w:bookmarkStart w:id="149" w:name="bookmark2252"/>
      <w:bookmarkStart w:id="150" w:name="bookmark2253"/>
      <w:r>
        <w:rPr>
          <w:rFonts w:hint="eastAsia" w:ascii="宋体" w:hAnsi="宋体" w:cs="宋体"/>
          <w:b/>
          <w:bCs/>
          <w:color w:val="000000" w:themeColor="text1"/>
          <w:sz w:val="28"/>
          <w:szCs w:val="28"/>
          <w:highlight w:val="none"/>
          <w14:textFill>
            <w14:solidFill>
              <w14:schemeClr w14:val="tx1"/>
            </w14:solidFill>
          </w14:textFill>
        </w:rPr>
        <w:t>计划开工日期、完工日期和施工进度网络图（或横道图）</w:t>
      </w:r>
      <w:bookmarkEnd w:id="146"/>
      <w:bookmarkEnd w:id="147"/>
      <w:bookmarkEnd w:id="148"/>
      <w:bookmarkEnd w:id="149"/>
      <w:bookmarkEnd w:id="150"/>
    </w:p>
    <w:p w14:paraId="356F3BCD">
      <w:pPr>
        <w:jc w:val="center"/>
        <w:rPr>
          <w:b/>
          <w:color w:val="000000" w:themeColor="text1"/>
          <w:highlight w:val="none"/>
          <w14:textFill>
            <w14:solidFill>
              <w14:schemeClr w14:val="tx1"/>
            </w14:solidFill>
          </w14:textFill>
        </w:rPr>
      </w:pPr>
    </w:p>
    <w:p w14:paraId="02488992">
      <w:pPr>
        <w:pStyle w:val="237"/>
        <w:tabs>
          <w:tab w:val="left" w:pos="747"/>
        </w:tabs>
        <w:ind w:firstLine="420"/>
        <w:rPr>
          <w:color w:val="000000" w:themeColor="text1"/>
          <w:highlight w:val="none"/>
          <w14:textFill>
            <w14:solidFill>
              <w14:schemeClr w14:val="tx1"/>
            </w14:solidFill>
          </w14:textFill>
        </w:rPr>
      </w:pPr>
      <w:bookmarkStart w:id="151" w:name="bookmark2255"/>
      <w:bookmarkEnd w:id="151"/>
      <w:r>
        <w:rPr>
          <w:rFonts w:hint="eastAsia"/>
          <w:color w:val="000000" w:themeColor="text1"/>
          <w:highlight w:val="none"/>
          <w14:textFill>
            <w14:solidFill>
              <w14:schemeClr w14:val="tx1"/>
            </w14:solidFill>
          </w14:textFill>
        </w:rPr>
        <w:t>供应商</w:t>
      </w:r>
      <w:r>
        <w:rPr>
          <w:color w:val="000000" w:themeColor="text1"/>
          <w:highlight w:val="none"/>
          <w14:textFill>
            <w14:solidFill>
              <w14:schemeClr w14:val="tx1"/>
            </w14:solidFill>
          </w14:textFill>
        </w:rPr>
        <w:t>应递交施工进度网络图或施工进度表，说明按</w:t>
      </w:r>
      <w:r>
        <w:rPr>
          <w:rFonts w:hint="eastAsia"/>
          <w:color w:val="000000" w:themeColor="text1"/>
          <w:highlight w:val="none"/>
          <w14:textFill>
            <w14:solidFill>
              <w14:schemeClr w14:val="tx1"/>
            </w14:solidFill>
          </w14:textFill>
        </w:rPr>
        <w:t>磋商</w:t>
      </w:r>
      <w:r>
        <w:rPr>
          <w:color w:val="000000" w:themeColor="text1"/>
          <w:highlight w:val="none"/>
          <w14:textFill>
            <w14:solidFill>
              <w14:schemeClr w14:val="tx1"/>
            </w14:solidFill>
          </w14:textFill>
        </w:rPr>
        <w:t>文件要求的计划工期进行施工的各个关键日期。</w:t>
      </w:r>
    </w:p>
    <w:p w14:paraId="60996A03">
      <w:pPr>
        <w:spacing w:line="360" w:lineRule="auto"/>
        <w:ind w:firstLine="420"/>
        <w:rPr>
          <w:color w:val="000000" w:themeColor="text1"/>
          <w:highlight w:val="none"/>
          <w14:textFill>
            <w14:solidFill>
              <w14:schemeClr w14:val="tx1"/>
            </w14:solidFill>
          </w14:textFill>
        </w:rPr>
        <w:sectPr>
          <w:headerReference r:id="rId21" w:type="default"/>
          <w:footerReference r:id="rId23" w:type="default"/>
          <w:headerReference r:id="rId22" w:type="even"/>
          <w:footerReference r:id="rId24" w:type="even"/>
          <w:pgSz w:w="11900" w:h="16832"/>
          <w:pgMar w:top="1440" w:right="1803" w:bottom="1440" w:left="1803" w:header="851" w:footer="851" w:gutter="0"/>
          <w:cols w:space="720" w:num="1"/>
        </w:sectPr>
      </w:pPr>
      <w:bookmarkStart w:id="152" w:name="bookmark2256"/>
      <w:bookmarkEnd w:id="152"/>
      <w:r>
        <w:rPr>
          <w:color w:val="000000" w:themeColor="text1"/>
          <w:highlight w:val="none"/>
          <w14:textFill>
            <w14:solidFill>
              <w14:schemeClr w14:val="tx1"/>
            </w14:solidFill>
          </w14:textFill>
        </w:rPr>
        <w:t>施工进度表可采用网络图（或横道图）表示。</w:t>
      </w:r>
    </w:p>
    <w:p w14:paraId="0422F9A3">
      <w:pPr>
        <w:pStyle w:val="9"/>
        <w:rPr>
          <w:b w:val="0"/>
          <w:bCs w:val="0"/>
          <w:color w:val="000000" w:themeColor="text1"/>
          <w:sz w:val="28"/>
          <w:szCs w:val="28"/>
          <w:highlight w:val="none"/>
          <w14:textFill>
            <w14:solidFill>
              <w14:schemeClr w14:val="tx1"/>
            </w14:solidFill>
          </w14:textFill>
        </w:rPr>
      </w:pPr>
      <w:bookmarkStart w:id="153" w:name="bookmark2259"/>
      <w:bookmarkStart w:id="154" w:name="bookmark2258"/>
      <w:bookmarkStart w:id="155" w:name="bookmark2257"/>
      <w:r>
        <w:rPr>
          <w:rFonts w:hint="eastAsia"/>
          <w:b w:val="0"/>
          <w:bCs w:val="0"/>
          <w:color w:val="000000" w:themeColor="text1"/>
          <w:sz w:val="28"/>
          <w:szCs w:val="28"/>
          <w:highlight w:val="none"/>
          <w14:textFill>
            <w14:solidFill>
              <w14:schemeClr w14:val="tx1"/>
            </w14:solidFill>
          </w14:textFill>
        </w:rPr>
        <w:t>附件六：施工总平面图</w:t>
      </w:r>
      <w:bookmarkEnd w:id="153"/>
      <w:bookmarkEnd w:id="154"/>
      <w:bookmarkEnd w:id="155"/>
    </w:p>
    <w:p w14:paraId="180047D6">
      <w:pPr>
        <w:jc w:val="center"/>
        <w:rPr>
          <w:rFonts w:hint="eastAsia" w:ascii="宋体" w:hAnsi="宋体" w:cs="宋体"/>
          <w:b/>
          <w:bCs/>
          <w:color w:val="000000" w:themeColor="text1"/>
          <w:sz w:val="28"/>
          <w:szCs w:val="28"/>
          <w:highlight w:val="none"/>
          <w14:textFill>
            <w14:solidFill>
              <w14:schemeClr w14:val="tx1"/>
            </w14:solidFill>
          </w14:textFill>
        </w:rPr>
      </w:pPr>
      <w:bookmarkStart w:id="156" w:name="bookmark2262"/>
      <w:bookmarkStart w:id="157" w:name="bookmark2260"/>
      <w:bookmarkStart w:id="158" w:name="_Toc30163"/>
      <w:bookmarkStart w:id="159" w:name="_Toc768"/>
      <w:bookmarkStart w:id="160" w:name="bookmark2261"/>
    </w:p>
    <w:p w14:paraId="4D9E5BBB">
      <w:pPr>
        <w:jc w:val="center"/>
        <w:rPr>
          <w:rFonts w:hint="eastAsia"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施工总平面图</w:t>
      </w:r>
      <w:bookmarkEnd w:id="156"/>
      <w:bookmarkEnd w:id="157"/>
      <w:bookmarkEnd w:id="158"/>
      <w:bookmarkEnd w:id="159"/>
      <w:bookmarkEnd w:id="160"/>
    </w:p>
    <w:p w14:paraId="22F91805">
      <w:pPr>
        <w:jc w:val="center"/>
        <w:rPr>
          <w:b/>
          <w:color w:val="000000" w:themeColor="text1"/>
          <w:highlight w:val="none"/>
          <w14:textFill>
            <w14:solidFill>
              <w14:schemeClr w14:val="tx1"/>
            </w14:solidFill>
          </w14:textFill>
        </w:rPr>
      </w:pPr>
    </w:p>
    <w:p w14:paraId="414ABDE2">
      <w:pPr>
        <w:pStyle w:val="237"/>
        <w:ind w:firstLine="4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w:t>
      </w:r>
      <w:r>
        <w:rPr>
          <w:color w:val="000000" w:themeColor="text1"/>
          <w:highlight w:val="none"/>
          <w14:textFill>
            <w14:solidFill>
              <w14:schemeClr w14:val="tx1"/>
            </w14:solidFill>
          </w14:textFill>
        </w:rPr>
        <w:t>应递交一份施工总平面图，绘出现场临时设施布置图及表并附文字说明，说明临时设施、加工车间、现场办公、设备及仓储、供电、供水、卫生、生活、道路、消防等设施的情况和布置。</w:t>
      </w:r>
    </w:p>
    <w:p w14:paraId="7853968B">
      <w:pPr>
        <w:spacing w:line="360" w:lineRule="auto"/>
        <w:jc w:val="center"/>
        <w:rPr>
          <w:rFonts w:hint="eastAsia" w:ascii="宋体" w:hAnsi="宋体"/>
          <w:b/>
          <w:color w:val="000000" w:themeColor="text1"/>
          <w:sz w:val="32"/>
          <w:szCs w:val="32"/>
          <w:highlight w:val="none"/>
          <w14:textFill>
            <w14:solidFill>
              <w14:schemeClr w14:val="tx1"/>
            </w14:solidFill>
          </w14:textFill>
        </w:rPr>
      </w:pPr>
      <w:r>
        <w:rPr>
          <w:rFonts w:hint="eastAsia"/>
          <w:color w:val="000000" w:themeColor="text1"/>
          <w:highlight w:val="none"/>
          <w14:textFill>
            <w14:solidFill>
              <w14:schemeClr w14:val="tx1"/>
            </w14:solidFill>
          </w14:textFill>
        </w:rPr>
        <w:t>其他平面图由供应商根据需要制作。</w:t>
      </w:r>
      <w:r>
        <w:rPr>
          <w:color w:val="000000" w:themeColor="text1"/>
          <w:highlight w:val="none"/>
          <w14:textFill>
            <w14:solidFill>
              <w14:schemeClr w14:val="tx1"/>
            </w14:solidFill>
          </w14:textFill>
        </w:rPr>
        <w:br w:type="page" w:clear="all"/>
      </w:r>
      <w:r>
        <w:rPr>
          <w:rFonts w:hint="eastAsia" w:ascii="宋体" w:hAnsi="宋体" w:cs="方正小标宋简体"/>
          <w:b/>
          <w:bCs/>
          <w:color w:val="000000" w:themeColor="text1"/>
          <w:sz w:val="32"/>
          <w:szCs w:val="32"/>
          <w:highlight w:val="none"/>
          <w14:textFill>
            <w14:solidFill>
              <w14:schemeClr w14:val="tx1"/>
            </w14:solidFill>
          </w14:textFill>
        </w:rPr>
        <w:t>项目管理机构配备情况表及主要人员简历表</w:t>
      </w:r>
    </w:p>
    <w:p w14:paraId="560761A2">
      <w:pPr>
        <w:spacing w:before="156" w:after="50" w:line="360" w:lineRule="auto"/>
        <w:jc w:val="center"/>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（一）项目管理机构配备情况表</w:t>
      </w:r>
    </w:p>
    <w:p w14:paraId="24C48560">
      <w:pPr>
        <w:pStyle w:val="24"/>
        <w:spacing w:line="360" w:lineRule="auto"/>
        <w:contextualSpacing/>
        <w:rPr>
          <w:rFonts w:hint="eastAsia"/>
          <w:color w:val="000000" w:themeColor="text1"/>
          <w:sz w:val="24"/>
          <w:szCs w:val="24"/>
          <w:highlight w:val="none"/>
          <w14:textFill>
            <w14:solidFill>
              <w14:schemeClr w14:val="tx1"/>
            </w14:solidFill>
          </w14:textFill>
        </w:rPr>
      </w:pPr>
      <w:r>
        <w:rPr>
          <w:rFonts w:hint="eastAsia" w:hAnsi="宋体" w:cs="仿宋_GB2312"/>
          <w:color w:val="000000" w:themeColor="text1"/>
          <w:sz w:val="24"/>
          <w:highlight w:val="none"/>
          <w14:textFill>
            <w14:solidFill>
              <w14:schemeClr w14:val="tx1"/>
            </w14:solidFill>
          </w14:textFill>
        </w:rPr>
        <w:t>分标（如有）</w:t>
      </w:r>
      <w:r>
        <w:rPr>
          <w:rFonts w:hint="eastAsia"/>
          <w:color w:val="000000" w:themeColor="text1"/>
          <w:sz w:val="24"/>
          <w:szCs w:val="24"/>
          <w:highlight w:val="none"/>
          <w14:textFill>
            <w14:solidFill>
              <w14:schemeClr w14:val="tx1"/>
            </w14:solidFill>
          </w14:textFill>
        </w:rPr>
        <w:t>：</w:t>
      </w:r>
      <w:r>
        <w:rPr>
          <w:rFonts w:hint="eastAsia"/>
          <w:color w:val="000000" w:themeColor="text1"/>
          <w:sz w:val="24"/>
          <w:szCs w:val="24"/>
          <w:highlight w:val="none"/>
          <w:u w:val="single"/>
          <w14:textFill>
            <w14:solidFill>
              <w14:schemeClr w14:val="tx1"/>
            </w14:solidFill>
          </w14:textFill>
        </w:rPr>
        <w:t xml:space="preserve">         </w:t>
      </w:r>
    </w:p>
    <w:tbl>
      <w:tblPr>
        <w:tblStyle w:val="45"/>
        <w:tblW w:w="98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670"/>
        <w:gridCol w:w="829"/>
        <w:gridCol w:w="816"/>
        <w:gridCol w:w="1148"/>
        <w:gridCol w:w="1148"/>
        <w:gridCol w:w="1148"/>
        <w:gridCol w:w="744"/>
        <w:gridCol w:w="1167"/>
        <w:gridCol w:w="1276"/>
      </w:tblGrid>
      <w:tr w14:paraId="472AE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20" w:type="dxa"/>
            <w:vMerge w:val="restart"/>
            <w:noWrap w:val="0"/>
            <w:vAlign w:val="center"/>
          </w:tcPr>
          <w:p w14:paraId="3405119F">
            <w:pPr>
              <w:ind w:left="223" w:hanging="222"/>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岗位</w:t>
            </w:r>
          </w:p>
        </w:tc>
        <w:tc>
          <w:tcPr>
            <w:tcW w:w="670" w:type="dxa"/>
            <w:vMerge w:val="restart"/>
            <w:noWrap w:val="0"/>
            <w:vAlign w:val="center"/>
          </w:tcPr>
          <w:p w14:paraId="0FF4BF10">
            <w:pPr>
              <w:ind w:left="223" w:hanging="222"/>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姓名</w:t>
            </w:r>
          </w:p>
        </w:tc>
        <w:tc>
          <w:tcPr>
            <w:tcW w:w="829" w:type="dxa"/>
            <w:vMerge w:val="restart"/>
            <w:noWrap w:val="0"/>
            <w:vAlign w:val="center"/>
          </w:tcPr>
          <w:p w14:paraId="32F804D9">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身份证号</w:t>
            </w:r>
          </w:p>
        </w:tc>
        <w:tc>
          <w:tcPr>
            <w:tcW w:w="816" w:type="dxa"/>
            <w:vMerge w:val="restart"/>
            <w:noWrap w:val="0"/>
            <w:vAlign w:val="center"/>
          </w:tcPr>
          <w:p w14:paraId="152294EB">
            <w:pPr>
              <w:ind w:left="223" w:hanging="222"/>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职称</w:t>
            </w:r>
          </w:p>
        </w:tc>
        <w:tc>
          <w:tcPr>
            <w:tcW w:w="4188" w:type="dxa"/>
            <w:gridSpan w:val="4"/>
            <w:noWrap w:val="0"/>
            <w:vAlign w:val="center"/>
          </w:tcPr>
          <w:p w14:paraId="1939347A">
            <w:pPr>
              <w:ind w:left="223" w:hanging="222"/>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执业或职业资格</w:t>
            </w:r>
          </w:p>
        </w:tc>
        <w:tc>
          <w:tcPr>
            <w:tcW w:w="2443" w:type="dxa"/>
            <w:gridSpan w:val="2"/>
            <w:noWrap w:val="0"/>
            <w:vAlign w:val="center"/>
          </w:tcPr>
          <w:p w14:paraId="09BB8C8C">
            <w:pPr>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承担完工</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在建工程情况</w:t>
            </w:r>
          </w:p>
        </w:tc>
      </w:tr>
      <w:tr w14:paraId="5F7A4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20" w:type="dxa"/>
            <w:vMerge w:val="continue"/>
            <w:noWrap w:val="0"/>
            <w:vAlign w:val="center"/>
          </w:tcPr>
          <w:p w14:paraId="03258401">
            <w:pPr>
              <w:ind w:left="223" w:hanging="222"/>
              <w:jc w:val="center"/>
              <w:rPr>
                <w:color w:val="000000" w:themeColor="text1"/>
                <w:highlight w:val="none"/>
                <w14:textFill>
                  <w14:solidFill>
                    <w14:schemeClr w14:val="tx1"/>
                  </w14:solidFill>
                </w14:textFill>
              </w:rPr>
            </w:pPr>
          </w:p>
        </w:tc>
        <w:tc>
          <w:tcPr>
            <w:tcW w:w="670" w:type="dxa"/>
            <w:vMerge w:val="continue"/>
            <w:noWrap w:val="0"/>
            <w:vAlign w:val="center"/>
          </w:tcPr>
          <w:p w14:paraId="3BFD6E75">
            <w:pPr>
              <w:ind w:left="223" w:hanging="222"/>
              <w:jc w:val="center"/>
              <w:rPr>
                <w:color w:val="000000" w:themeColor="text1"/>
                <w:highlight w:val="none"/>
                <w14:textFill>
                  <w14:solidFill>
                    <w14:schemeClr w14:val="tx1"/>
                  </w14:solidFill>
                </w14:textFill>
              </w:rPr>
            </w:pPr>
          </w:p>
        </w:tc>
        <w:tc>
          <w:tcPr>
            <w:tcW w:w="829" w:type="dxa"/>
            <w:vMerge w:val="continue"/>
            <w:noWrap w:val="0"/>
            <w:vAlign w:val="center"/>
          </w:tcPr>
          <w:p w14:paraId="66AE7E90">
            <w:pPr>
              <w:ind w:left="223" w:hanging="222"/>
              <w:jc w:val="center"/>
              <w:rPr>
                <w:color w:val="000000" w:themeColor="text1"/>
                <w:highlight w:val="none"/>
                <w14:textFill>
                  <w14:solidFill>
                    <w14:schemeClr w14:val="tx1"/>
                  </w14:solidFill>
                </w14:textFill>
              </w:rPr>
            </w:pPr>
          </w:p>
        </w:tc>
        <w:tc>
          <w:tcPr>
            <w:tcW w:w="816" w:type="dxa"/>
            <w:vMerge w:val="continue"/>
            <w:noWrap w:val="0"/>
            <w:vAlign w:val="center"/>
          </w:tcPr>
          <w:p w14:paraId="7FEB0A2D">
            <w:pPr>
              <w:ind w:left="223" w:hanging="222"/>
              <w:jc w:val="center"/>
              <w:rPr>
                <w:color w:val="000000" w:themeColor="text1"/>
                <w:highlight w:val="none"/>
                <w14:textFill>
                  <w14:solidFill>
                    <w14:schemeClr w14:val="tx1"/>
                  </w14:solidFill>
                </w14:textFill>
              </w:rPr>
            </w:pPr>
          </w:p>
        </w:tc>
        <w:tc>
          <w:tcPr>
            <w:tcW w:w="1148" w:type="dxa"/>
            <w:noWrap w:val="0"/>
            <w:vAlign w:val="center"/>
          </w:tcPr>
          <w:p w14:paraId="17E4C1D0">
            <w:pPr>
              <w:ind w:left="223" w:hanging="222"/>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证书名称</w:t>
            </w:r>
          </w:p>
        </w:tc>
        <w:tc>
          <w:tcPr>
            <w:tcW w:w="1148" w:type="dxa"/>
            <w:noWrap w:val="0"/>
            <w:vAlign w:val="center"/>
          </w:tcPr>
          <w:p w14:paraId="06B5B3E5">
            <w:pPr>
              <w:ind w:left="223" w:hanging="222"/>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级别</w:t>
            </w:r>
          </w:p>
        </w:tc>
        <w:tc>
          <w:tcPr>
            <w:tcW w:w="1148" w:type="dxa"/>
            <w:noWrap w:val="0"/>
            <w:vAlign w:val="center"/>
          </w:tcPr>
          <w:p w14:paraId="5220F340">
            <w:pPr>
              <w:ind w:left="223" w:hanging="222"/>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证号</w:t>
            </w:r>
          </w:p>
        </w:tc>
        <w:tc>
          <w:tcPr>
            <w:tcW w:w="744" w:type="dxa"/>
            <w:noWrap w:val="0"/>
            <w:vAlign w:val="center"/>
          </w:tcPr>
          <w:p w14:paraId="4A288367">
            <w:pPr>
              <w:ind w:left="223" w:hanging="222"/>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专业</w:t>
            </w:r>
          </w:p>
        </w:tc>
        <w:tc>
          <w:tcPr>
            <w:tcW w:w="1167" w:type="dxa"/>
            <w:noWrap w:val="0"/>
            <w:vAlign w:val="center"/>
          </w:tcPr>
          <w:p w14:paraId="26565524">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完工/在建</w:t>
            </w:r>
          </w:p>
        </w:tc>
        <w:tc>
          <w:tcPr>
            <w:tcW w:w="1276" w:type="dxa"/>
            <w:noWrap w:val="0"/>
            <w:vAlign w:val="center"/>
          </w:tcPr>
          <w:p w14:paraId="037051EF">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主要项目</w:t>
            </w:r>
          </w:p>
          <w:p w14:paraId="5D47FBAF">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名称</w:t>
            </w:r>
          </w:p>
        </w:tc>
      </w:tr>
      <w:tr w14:paraId="3B4DA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0"/>
            <w:vAlign w:val="center"/>
          </w:tcPr>
          <w:p w14:paraId="670C7F86">
            <w:pPr>
              <w:pStyle w:val="312"/>
              <w:spacing w:line="240" w:lineRule="auto"/>
              <w:ind w:firstLine="0"/>
              <w:rPr>
                <w:color w:val="000000" w:themeColor="text1"/>
                <w:sz w:val="21"/>
                <w:szCs w:val="21"/>
                <w:highlight w:val="none"/>
                <w14:textFill>
                  <w14:solidFill>
                    <w14:schemeClr w14:val="tx1"/>
                  </w14:solidFill>
                </w14:textFill>
              </w:rPr>
            </w:pPr>
            <w:r>
              <w:rPr>
                <w:rFonts w:ascii="Times New Roman" w:hAnsi="Times New Roman" w:eastAsia="Times New Roman" w:cs="Times New Roman"/>
                <w:color w:val="000000" w:themeColor="text1"/>
                <w:sz w:val="21"/>
                <w:szCs w:val="21"/>
                <w:highlight w:val="none"/>
                <w:lang w:val="en-US" w:eastAsia="en-US" w:bidi="en-US"/>
                <w14:textFill>
                  <w14:solidFill>
                    <w14:schemeClr w14:val="tx1"/>
                  </w14:solidFill>
                </w14:textFill>
              </w:rPr>
              <w:t>1.</w:t>
            </w:r>
            <w:r>
              <w:rPr>
                <w:color w:val="000000" w:themeColor="text1"/>
                <w:sz w:val="21"/>
                <w:szCs w:val="21"/>
                <w:highlight w:val="none"/>
                <w14:textFill>
                  <w14:solidFill>
                    <w14:schemeClr w14:val="tx1"/>
                  </w14:solidFill>
                </w14:textFill>
              </w:rPr>
              <w:t>项目经理</w:t>
            </w:r>
          </w:p>
        </w:tc>
        <w:tc>
          <w:tcPr>
            <w:tcW w:w="670" w:type="dxa"/>
            <w:noWrap w:val="0"/>
            <w:vAlign w:val="center"/>
          </w:tcPr>
          <w:p w14:paraId="7F060181">
            <w:pPr>
              <w:ind w:left="223" w:hanging="222"/>
              <w:jc w:val="center"/>
              <w:rPr>
                <w:color w:val="000000" w:themeColor="text1"/>
                <w:szCs w:val="21"/>
                <w:highlight w:val="none"/>
                <w14:textFill>
                  <w14:solidFill>
                    <w14:schemeClr w14:val="tx1"/>
                  </w14:solidFill>
                </w14:textFill>
              </w:rPr>
            </w:pPr>
          </w:p>
        </w:tc>
        <w:tc>
          <w:tcPr>
            <w:tcW w:w="829" w:type="dxa"/>
            <w:noWrap w:val="0"/>
            <w:vAlign w:val="center"/>
          </w:tcPr>
          <w:p w14:paraId="76826335">
            <w:pPr>
              <w:ind w:left="223" w:hanging="222"/>
              <w:jc w:val="center"/>
              <w:rPr>
                <w:color w:val="000000" w:themeColor="text1"/>
                <w:szCs w:val="21"/>
                <w:highlight w:val="none"/>
                <w14:textFill>
                  <w14:solidFill>
                    <w14:schemeClr w14:val="tx1"/>
                  </w14:solidFill>
                </w14:textFill>
              </w:rPr>
            </w:pPr>
          </w:p>
        </w:tc>
        <w:tc>
          <w:tcPr>
            <w:tcW w:w="816" w:type="dxa"/>
            <w:noWrap w:val="0"/>
            <w:vAlign w:val="center"/>
          </w:tcPr>
          <w:p w14:paraId="0F20FE92">
            <w:pPr>
              <w:ind w:left="223" w:hanging="222"/>
              <w:jc w:val="center"/>
              <w:rPr>
                <w:color w:val="000000" w:themeColor="text1"/>
                <w:szCs w:val="21"/>
                <w:highlight w:val="none"/>
                <w14:textFill>
                  <w14:solidFill>
                    <w14:schemeClr w14:val="tx1"/>
                  </w14:solidFill>
                </w14:textFill>
              </w:rPr>
            </w:pPr>
          </w:p>
        </w:tc>
        <w:tc>
          <w:tcPr>
            <w:tcW w:w="1148" w:type="dxa"/>
            <w:noWrap w:val="0"/>
            <w:vAlign w:val="center"/>
          </w:tcPr>
          <w:p w14:paraId="2FA6EC62">
            <w:pPr>
              <w:ind w:left="223" w:hanging="222"/>
              <w:jc w:val="center"/>
              <w:rPr>
                <w:color w:val="000000" w:themeColor="text1"/>
                <w:szCs w:val="21"/>
                <w:highlight w:val="none"/>
                <w14:textFill>
                  <w14:solidFill>
                    <w14:schemeClr w14:val="tx1"/>
                  </w14:solidFill>
                </w14:textFill>
              </w:rPr>
            </w:pPr>
          </w:p>
        </w:tc>
        <w:tc>
          <w:tcPr>
            <w:tcW w:w="1148" w:type="dxa"/>
            <w:noWrap w:val="0"/>
            <w:vAlign w:val="center"/>
          </w:tcPr>
          <w:p w14:paraId="25C36B40">
            <w:pPr>
              <w:ind w:left="223" w:hanging="222"/>
              <w:jc w:val="center"/>
              <w:rPr>
                <w:color w:val="000000" w:themeColor="text1"/>
                <w:szCs w:val="21"/>
                <w:highlight w:val="none"/>
                <w14:textFill>
                  <w14:solidFill>
                    <w14:schemeClr w14:val="tx1"/>
                  </w14:solidFill>
                </w14:textFill>
              </w:rPr>
            </w:pPr>
          </w:p>
        </w:tc>
        <w:tc>
          <w:tcPr>
            <w:tcW w:w="1148" w:type="dxa"/>
            <w:noWrap w:val="0"/>
            <w:vAlign w:val="center"/>
          </w:tcPr>
          <w:p w14:paraId="2B34F819">
            <w:pPr>
              <w:ind w:left="223" w:hanging="222"/>
              <w:jc w:val="center"/>
              <w:rPr>
                <w:color w:val="000000" w:themeColor="text1"/>
                <w:szCs w:val="21"/>
                <w:highlight w:val="none"/>
                <w14:textFill>
                  <w14:solidFill>
                    <w14:schemeClr w14:val="tx1"/>
                  </w14:solidFill>
                </w14:textFill>
              </w:rPr>
            </w:pPr>
          </w:p>
        </w:tc>
        <w:tc>
          <w:tcPr>
            <w:tcW w:w="744" w:type="dxa"/>
            <w:noWrap w:val="0"/>
            <w:vAlign w:val="center"/>
          </w:tcPr>
          <w:p w14:paraId="670322EB">
            <w:pPr>
              <w:ind w:left="223" w:hanging="222"/>
              <w:jc w:val="center"/>
              <w:rPr>
                <w:color w:val="000000" w:themeColor="text1"/>
                <w:szCs w:val="21"/>
                <w:highlight w:val="none"/>
                <w14:textFill>
                  <w14:solidFill>
                    <w14:schemeClr w14:val="tx1"/>
                  </w14:solidFill>
                </w14:textFill>
              </w:rPr>
            </w:pPr>
          </w:p>
        </w:tc>
        <w:tc>
          <w:tcPr>
            <w:tcW w:w="1167" w:type="dxa"/>
            <w:noWrap w:val="0"/>
            <w:vAlign w:val="center"/>
          </w:tcPr>
          <w:p w14:paraId="0EC1A246">
            <w:pPr>
              <w:ind w:left="223" w:hanging="222"/>
              <w:jc w:val="center"/>
              <w:rPr>
                <w:color w:val="000000" w:themeColor="text1"/>
                <w:szCs w:val="21"/>
                <w:highlight w:val="none"/>
                <w14:textFill>
                  <w14:solidFill>
                    <w14:schemeClr w14:val="tx1"/>
                  </w14:solidFill>
                </w14:textFill>
              </w:rPr>
            </w:pPr>
          </w:p>
        </w:tc>
        <w:tc>
          <w:tcPr>
            <w:tcW w:w="1276" w:type="dxa"/>
            <w:noWrap w:val="0"/>
            <w:vAlign w:val="center"/>
          </w:tcPr>
          <w:p w14:paraId="1D2D559A">
            <w:pPr>
              <w:ind w:left="223" w:hanging="222"/>
              <w:jc w:val="center"/>
              <w:rPr>
                <w:color w:val="000000" w:themeColor="text1"/>
                <w:szCs w:val="21"/>
                <w:highlight w:val="none"/>
                <w14:textFill>
                  <w14:solidFill>
                    <w14:schemeClr w14:val="tx1"/>
                  </w14:solidFill>
                </w14:textFill>
              </w:rPr>
            </w:pPr>
          </w:p>
        </w:tc>
      </w:tr>
      <w:tr w14:paraId="44B64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0"/>
            <w:vAlign w:val="center"/>
          </w:tcPr>
          <w:p w14:paraId="6A1495A6">
            <w:pPr>
              <w:pStyle w:val="312"/>
              <w:spacing w:line="240" w:lineRule="auto"/>
              <w:ind w:firstLine="0"/>
              <w:rPr>
                <w:color w:val="000000" w:themeColor="text1"/>
                <w:sz w:val="21"/>
                <w:szCs w:val="21"/>
                <w:highlight w:val="none"/>
                <w14:textFill>
                  <w14:solidFill>
                    <w14:schemeClr w14:val="tx1"/>
                  </w14:solidFill>
                </w14:textFill>
              </w:rPr>
            </w:pPr>
            <w:r>
              <w:rPr>
                <w:rFonts w:ascii="Times New Roman" w:hAnsi="Times New Roman" w:eastAsia="Times New Roman" w:cs="Times New Roman"/>
                <w:color w:val="000000" w:themeColor="text1"/>
                <w:sz w:val="21"/>
                <w:szCs w:val="21"/>
                <w:highlight w:val="none"/>
                <w:lang w:val="en-US" w:bidi="en-US"/>
                <w14:textFill>
                  <w14:solidFill>
                    <w14:schemeClr w14:val="tx1"/>
                  </w14:solidFill>
                </w14:textFill>
              </w:rPr>
              <w:t>2.</w:t>
            </w:r>
            <w:r>
              <w:rPr>
                <w:color w:val="000000" w:themeColor="text1"/>
                <w:sz w:val="21"/>
                <w:szCs w:val="21"/>
                <w:highlight w:val="none"/>
                <w14:textFill>
                  <w14:solidFill>
                    <w14:schemeClr w14:val="tx1"/>
                  </w14:solidFill>
                </w14:textFill>
              </w:rPr>
              <w:t>技术负责人</w:t>
            </w:r>
            <w:r>
              <w:rPr>
                <w:rFonts w:hint="eastAsia"/>
                <w:color w:val="000000" w:themeColor="text1"/>
                <w:sz w:val="21"/>
                <w:szCs w:val="21"/>
                <w:highlight w:val="none"/>
                <w14:textFill>
                  <w14:solidFill>
                    <w14:schemeClr w14:val="tx1"/>
                  </w14:solidFill>
                </w14:textFill>
              </w:rPr>
              <w:t>（项目总工）</w:t>
            </w:r>
          </w:p>
        </w:tc>
        <w:tc>
          <w:tcPr>
            <w:tcW w:w="670" w:type="dxa"/>
            <w:noWrap w:val="0"/>
            <w:vAlign w:val="center"/>
          </w:tcPr>
          <w:p w14:paraId="7722BE0A">
            <w:pPr>
              <w:ind w:left="223" w:hanging="222"/>
              <w:jc w:val="center"/>
              <w:rPr>
                <w:color w:val="000000" w:themeColor="text1"/>
                <w:szCs w:val="21"/>
                <w:highlight w:val="none"/>
                <w14:textFill>
                  <w14:solidFill>
                    <w14:schemeClr w14:val="tx1"/>
                  </w14:solidFill>
                </w14:textFill>
              </w:rPr>
            </w:pPr>
          </w:p>
        </w:tc>
        <w:tc>
          <w:tcPr>
            <w:tcW w:w="829" w:type="dxa"/>
            <w:noWrap w:val="0"/>
            <w:vAlign w:val="center"/>
          </w:tcPr>
          <w:p w14:paraId="008516F5">
            <w:pPr>
              <w:ind w:left="223" w:hanging="222"/>
              <w:jc w:val="center"/>
              <w:rPr>
                <w:color w:val="000000" w:themeColor="text1"/>
                <w:szCs w:val="21"/>
                <w:highlight w:val="none"/>
                <w14:textFill>
                  <w14:solidFill>
                    <w14:schemeClr w14:val="tx1"/>
                  </w14:solidFill>
                </w14:textFill>
              </w:rPr>
            </w:pPr>
          </w:p>
        </w:tc>
        <w:tc>
          <w:tcPr>
            <w:tcW w:w="816" w:type="dxa"/>
            <w:noWrap w:val="0"/>
            <w:vAlign w:val="center"/>
          </w:tcPr>
          <w:p w14:paraId="7E8D1768">
            <w:pPr>
              <w:ind w:left="223" w:hanging="222"/>
              <w:jc w:val="center"/>
              <w:rPr>
                <w:color w:val="000000" w:themeColor="text1"/>
                <w:szCs w:val="21"/>
                <w:highlight w:val="none"/>
                <w14:textFill>
                  <w14:solidFill>
                    <w14:schemeClr w14:val="tx1"/>
                  </w14:solidFill>
                </w14:textFill>
              </w:rPr>
            </w:pPr>
          </w:p>
        </w:tc>
        <w:tc>
          <w:tcPr>
            <w:tcW w:w="1148" w:type="dxa"/>
            <w:noWrap w:val="0"/>
            <w:vAlign w:val="center"/>
          </w:tcPr>
          <w:p w14:paraId="35A52040">
            <w:pPr>
              <w:ind w:left="223" w:hanging="222"/>
              <w:jc w:val="center"/>
              <w:rPr>
                <w:color w:val="000000" w:themeColor="text1"/>
                <w:szCs w:val="21"/>
                <w:highlight w:val="none"/>
                <w14:textFill>
                  <w14:solidFill>
                    <w14:schemeClr w14:val="tx1"/>
                  </w14:solidFill>
                </w14:textFill>
              </w:rPr>
            </w:pPr>
          </w:p>
        </w:tc>
        <w:tc>
          <w:tcPr>
            <w:tcW w:w="1148" w:type="dxa"/>
            <w:noWrap w:val="0"/>
            <w:vAlign w:val="center"/>
          </w:tcPr>
          <w:p w14:paraId="799C16C4">
            <w:pPr>
              <w:ind w:left="223" w:hanging="222"/>
              <w:jc w:val="center"/>
              <w:rPr>
                <w:color w:val="000000" w:themeColor="text1"/>
                <w:szCs w:val="21"/>
                <w:highlight w:val="none"/>
                <w14:textFill>
                  <w14:solidFill>
                    <w14:schemeClr w14:val="tx1"/>
                  </w14:solidFill>
                </w14:textFill>
              </w:rPr>
            </w:pPr>
          </w:p>
        </w:tc>
        <w:tc>
          <w:tcPr>
            <w:tcW w:w="1148" w:type="dxa"/>
            <w:noWrap w:val="0"/>
            <w:vAlign w:val="center"/>
          </w:tcPr>
          <w:p w14:paraId="11D5CA78">
            <w:pPr>
              <w:ind w:left="223" w:hanging="222"/>
              <w:jc w:val="center"/>
              <w:rPr>
                <w:color w:val="000000" w:themeColor="text1"/>
                <w:szCs w:val="21"/>
                <w:highlight w:val="none"/>
                <w14:textFill>
                  <w14:solidFill>
                    <w14:schemeClr w14:val="tx1"/>
                  </w14:solidFill>
                </w14:textFill>
              </w:rPr>
            </w:pPr>
          </w:p>
        </w:tc>
        <w:tc>
          <w:tcPr>
            <w:tcW w:w="744" w:type="dxa"/>
            <w:noWrap w:val="0"/>
            <w:vAlign w:val="center"/>
          </w:tcPr>
          <w:p w14:paraId="57246FF6">
            <w:pPr>
              <w:ind w:left="223" w:hanging="222"/>
              <w:jc w:val="center"/>
              <w:rPr>
                <w:color w:val="000000" w:themeColor="text1"/>
                <w:szCs w:val="21"/>
                <w:highlight w:val="none"/>
                <w14:textFill>
                  <w14:solidFill>
                    <w14:schemeClr w14:val="tx1"/>
                  </w14:solidFill>
                </w14:textFill>
              </w:rPr>
            </w:pPr>
          </w:p>
        </w:tc>
        <w:tc>
          <w:tcPr>
            <w:tcW w:w="1167" w:type="dxa"/>
            <w:noWrap w:val="0"/>
            <w:vAlign w:val="center"/>
          </w:tcPr>
          <w:p w14:paraId="24A719FE">
            <w:pPr>
              <w:ind w:left="223" w:hanging="222"/>
              <w:jc w:val="center"/>
              <w:rPr>
                <w:color w:val="000000" w:themeColor="text1"/>
                <w:szCs w:val="21"/>
                <w:highlight w:val="none"/>
                <w14:textFill>
                  <w14:solidFill>
                    <w14:schemeClr w14:val="tx1"/>
                  </w14:solidFill>
                </w14:textFill>
              </w:rPr>
            </w:pPr>
          </w:p>
        </w:tc>
        <w:tc>
          <w:tcPr>
            <w:tcW w:w="1276" w:type="dxa"/>
            <w:noWrap w:val="0"/>
            <w:vAlign w:val="center"/>
          </w:tcPr>
          <w:p w14:paraId="3B681A6E">
            <w:pPr>
              <w:ind w:left="223" w:hanging="222"/>
              <w:jc w:val="center"/>
              <w:rPr>
                <w:color w:val="000000" w:themeColor="text1"/>
                <w:szCs w:val="21"/>
                <w:highlight w:val="none"/>
                <w14:textFill>
                  <w14:solidFill>
                    <w14:schemeClr w14:val="tx1"/>
                  </w14:solidFill>
                </w14:textFill>
              </w:rPr>
            </w:pPr>
          </w:p>
        </w:tc>
      </w:tr>
      <w:tr w14:paraId="32715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0"/>
            <w:vAlign w:val="center"/>
          </w:tcPr>
          <w:p w14:paraId="48747F06">
            <w:pPr>
              <w:pStyle w:val="312"/>
              <w:spacing w:line="240" w:lineRule="auto"/>
              <w:ind w:firstLine="0"/>
              <w:rPr>
                <w:color w:val="000000" w:themeColor="text1"/>
                <w:sz w:val="21"/>
                <w:szCs w:val="21"/>
                <w:highlight w:val="none"/>
                <w14:textFill>
                  <w14:solidFill>
                    <w14:schemeClr w14:val="tx1"/>
                  </w14:solidFill>
                </w14:textFill>
              </w:rPr>
            </w:pPr>
            <w:r>
              <w:rPr>
                <w:rFonts w:ascii="Times New Roman" w:hAnsi="Times New Roman" w:eastAsia="Times New Roman" w:cs="Times New Roman"/>
                <w:color w:val="000000" w:themeColor="text1"/>
                <w:sz w:val="21"/>
                <w:szCs w:val="21"/>
                <w:highlight w:val="none"/>
                <w:lang w:val="en-US" w:eastAsia="en-US" w:bidi="en-US"/>
                <w14:textFill>
                  <w14:solidFill>
                    <w14:schemeClr w14:val="tx1"/>
                  </w14:solidFill>
                </w14:textFill>
              </w:rPr>
              <w:t>3.</w:t>
            </w:r>
            <w:r>
              <w:rPr>
                <w:rFonts w:hint="eastAsia"/>
                <w:color w:val="000000" w:themeColor="text1"/>
                <w:sz w:val="21"/>
                <w:szCs w:val="21"/>
                <w:highlight w:val="none"/>
                <w14:textFill>
                  <w14:solidFill>
                    <w14:schemeClr w14:val="tx1"/>
                  </w14:solidFill>
                </w14:textFill>
              </w:rPr>
              <w:t xml:space="preserve"> 施工员</w:t>
            </w:r>
          </w:p>
        </w:tc>
        <w:tc>
          <w:tcPr>
            <w:tcW w:w="670" w:type="dxa"/>
            <w:noWrap w:val="0"/>
            <w:vAlign w:val="center"/>
          </w:tcPr>
          <w:p w14:paraId="78A75593">
            <w:pPr>
              <w:ind w:left="223" w:hanging="222"/>
              <w:jc w:val="center"/>
              <w:rPr>
                <w:color w:val="000000" w:themeColor="text1"/>
                <w:szCs w:val="21"/>
                <w:highlight w:val="none"/>
                <w14:textFill>
                  <w14:solidFill>
                    <w14:schemeClr w14:val="tx1"/>
                  </w14:solidFill>
                </w14:textFill>
              </w:rPr>
            </w:pPr>
          </w:p>
        </w:tc>
        <w:tc>
          <w:tcPr>
            <w:tcW w:w="829" w:type="dxa"/>
            <w:noWrap w:val="0"/>
            <w:vAlign w:val="center"/>
          </w:tcPr>
          <w:p w14:paraId="3B6412A0">
            <w:pPr>
              <w:ind w:left="223" w:hanging="222"/>
              <w:jc w:val="center"/>
              <w:rPr>
                <w:color w:val="000000" w:themeColor="text1"/>
                <w:szCs w:val="21"/>
                <w:highlight w:val="none"/>
                <w14:textFill>
                  <w14:solidFill>
                    <w14:schemeClr w14:val="tx1"/>
                  </w14:solidFill>
                </w14:textFill>
              </w:rPr>
            </w:pPr>
          </w:p>
        </w:tc>
        <w:tc>
          <w:tcPr>
            <w:tcW w:w="816" w:type="dxa"/>
            <w:noWrap w:val="0"/>
            <w:vAlign w:val="center"/>
          </w:tcPr>
          <w:p w14:paraId="21F76E1F">
            <w:pPr>
              <w:ind w:left="223" w:hanging="222"/>
              <w:jc w:val="center"/>
              <w:rPr>
                <w:color w:val="000000" w:themeColor="text1"/>
                <w:szCs w:val="21"/>
                <w:highlight w:val="none"/>
                <w14:textFill>
                  <w14:solidFill>
                    <w14:schemeClr w14:val="tx1"/>
                  </w14:solidFill>
                </w14:textFill>
              </w:rPr>
            </w:pPr>
          </w:p>
        </w:tc>
        <w:tc>
          <w:tcPr>
            <w:tcW w:w="1148" w:type="dxa"/>
            <w:noWrap w:val="0"/>
            <w:vAlign w:val="center"/>
          </w:tcPr>
          <w:p w14:paraId="0FD185B2">
            <w:pPr>
              <w:ind w:left="223" w:hanging="222"/>
              <w:jc w:val="center"/>
              <w:rPr>
                <w:color w:val="000000" w:themeColor="text1"/>
                <w:szCs w:val="21"/>
                <w:highlight w:val="none"/>
                <w14:textFill>
                  <w14:solidFill>
                    <w14:schemeClr w14:val="tx1"/>
                  </w14:solidFill>
                </w14:textFill>
              </w:rPr>
            </w:pPr>
          </w:p>
        </w:tc>
        <w:tc>
          <w:tcPr>
            <w:tcW w:w="1148" w:type="dxa"/>
            <w:noWrap w:val="0"/>
            <w:vAlign w:val="center"/>
          </w:tcPr>
          <w:p w14:paraId="0CF63370">
            <w:pPr>
              <w:ind w:left="223" w:hanging="222"/>
              <w:jc w:val="center"/>
              <w:rPr>
                <w:color w:val="000000" w:themeColor="text1"/>
                <w:szCs w:val="21"/>
                <w:highlight w:val="none"/>
                <w14:textFill>
                  <w14:solidFill>
                    <w14:schemeClr w14:val="tx1"/>
                  </w14:solidFill>
                </w14:textFill>
              </w:rPr>
            </w:pPr>
          </w:p>
        </w:tc>
        <w:tc>
          <w:tcPr>
            <w:tcW w:w="1148" w:type="dxa"/>
            <w:noWrap w:val="0"/>
            <w:vAlign w:val="center"/>
          </w:tcPr>
          <w:p w14:paraId="1556CB8B">
            <w:pPr>
              <w:ind w:left="223" w:hanging="222"/>
              <w:jc w:val="center"/>
              <w:rPr>
                <w:color w:val="000000" w:themeColor="text1"/>
                <w:szCs w:val="21"/>
                <w:highlight w:val="none"/>
                <w14:textFill>
                  <w14:solidFill>
                    <w14:schemeClr w14:val="tx1"/>
                  </w14:solidFill>
                </w14:textFill>
              </w:rPr>
            </w:pPr>
          </w:p>
        </w:tc>
        <w:tc>
          <w:tcPr>
            <w:tcW w:w="744" w:type="dxa"/>
            <w:noWrap w:val="0"/>
            <w:vAlign w:val="center"/>
          </w:tcPr>
          <w:p w14:paraId="33649A14">
            <w:pPr>
              <w:ind w:left="223" w:hanging="222"/>
              <w:jc w:val="center"/>
              <w:rPr>
                <w:color w:val="000000" w:themeColor="text1"/>
                <w:szCs w:val="21"/>
                <w:highlight w:val="none"/>
                <w14:textFill>
                  <w14:solidFill>
                    <w14:schemeClr w14:val="tx1"/>
                  </w14:solidFill>
                </w14:textFill>
              </w:rPr>
            </w:pPr>
          </w:p>
        </w:tc>
        <w:tc>
          <w:tcPr>
            <w:tcW w:w="1167" w:type="dxa"/>
            <w:noWrap w:val="0"/>
            <w:vAlign w:val="center"/>
          </w:tcPr>
          <w:p w14:paraId="3A17881E">
            <w:pPr>
              <w:ind w:left="223" w:hanging="222"/>
              <w:jc w:val="center"/>
              <w:rPr>
                <w:color w:val="000000" w:themeColor="text1"/>
                <w:szCs w:val="21"/>
                <w:highlight w:val="none"/>
                <w14:textFill>
                  <w14:solidFill>
                    <w14:schemeClr w14:val="tx1"/>
                  </w14:solidFill>
                </w14:textFill>
              </w:rPr>
            </w:pPr>
          </w:p>
        </w:tc>
        <w:tc>
          <w:tcPr>
            <w:tcW w:w="1276" w:type="dxa"/>
            <w:noWrap w:val="0"/>
            <w:vAlign w:val="center"/>
          </w:tcPr>
          <w:p w14:paraId="61AE5831">
            <w:pPr>
              <w:ind w:left="223" w:hanging="222"/>
              <w:jc w:val="center"/>
              <w:rPr>
                <w:color w:val="000000" w:themeColor="text1"/>
                <w:szCs w:val="21"/>
                <w:highlight w:val="none"/>
                <w14:textFill>
                  <w14:solidFill>
                    <w14:schemeClr w14:val="tx1"/>
                  </w14:solidFill>
                </w14:textFill>
              </w:rPr>
            </w:pPr>
          </w:p>
        </w:tc>
      </w:tr>
      <w:tr w14:paraId="2B007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0"/>
            <w:vAlign w:val="center"/>
          </w:tcPr>
          <w:p w14:paraId="70222D8F">
            <w:pPr>
              <w:pStyle w:val="312"/>
              <w:spacing w:line="240" w:lineRule="auto"/>
              <w:ind w:firstLine="0"/>
              <w:rPr>
                <w:color w:val="000000" w:themeColor="text1"/>
                <w:sz w:val="21"/>
                <w:szCs w:val="21"/>
                <w:highlight w:val="none"/>
                <w14:textFill>
                  <w14:solidFill>
                    <w14:schemeClr w14:val="tx1"/>
                  </w14:solidFill>
                </w14:textFill>
              </w:rPr>
            </w:pPr>
            <w:r>
              <w:rPr>
                <w:rFonts w:ascii="Times New Roman" w:hAnsi="Times New Roman" w:eastAsia="Times New Roman" w:cs="Times New Roman"/>
                <w:color w:val="000000" w:themeColor="text1"/>
                <w:sz w:val="21"/>
                <w:szCs w:val="21"/>
                <w:highlight w:val="none"/>
                <w:lang w:val="en-US" w:eastAsia="en-US" w:bidi="en-US"/>
                <w14:textFill>
                  <w14:solidFill>
                    <w14:schemeClr w14:val="tx1"/>
                  </w14:solidFill>
                </w14:textFill>
              </w:rPr>
              <w:t>4.</w:t>
            </w:r>
            <w:r>
              <w:rPr>
                <w:rFonts w:hint="eastAsia" w:ascii="Times New Roman" w:hAnsi="Times New Roman" w:eastAsia="Times New Roman" w:cs="Times New Roman"/>
                <w:color w:val="000000" w:themeColor="text1"/>
                <w:sz w:val="21"/>
                <w:szCs w:val="21"/>
                <w:highlight w:val="none"/>
                <w:lang w:val="en-US" w:eastAsia="en-US" w:bidi="en-US"/>
                <w14:textFill>
                  <w14:solidFill>
                    <w14:schemeClr w14:val="tx1"/>
                  </w14:solidFill>
                </w14:textFill>
              </w:rPr>
              <w:t>专职安全生产管理人员</w:t>
            </w:r>
          </w:p>
        </w:tc>
        <w:tc>
          <w:tcPr>
            <w:tcW w:w="670" w:type="dxa"/>
            <w:noWrap w:val="0"/>
            <w:vAlign w:val="center"/>
          </w:tcPr>
          <w:p w14:paraId="2B5F3B3E">
            <w:pPr>
              <w:ind w:left="223" w:hanging="222"/>
              <w:jc w:val="center"/>
              <w:rPr>
                <w:color w:val="000000" w:themeColor="text1"/>
                <w:szCs w:val="21"/>
                <w:highlight w:val="none"/>
                <w14:textFill>
                  <w14:solidFill>
                    <w14:schemeClr w14:val="tx1"/>
                  </w14:solidFill>
                </w14:textFill>
              </w:rPr>
            </w:pPr>
          </w:p>
        </w:tc>
        <w:tc>
          <w:tcPr>
            <w:tcW w:w="829" w:type="dxa"/>
            <w:noWrap w:val="0"/>
            <w:vAlign w:val="center"/>
          </w:tcPr>
          <w:p w14:paraId="401B02DA">
            <w:pPr>
              <w:ind w:left="223" w:hanging="222"/>
              <w:jc w:val="center"/>
              <w:rPr>
                <w:color w:val="000000" w:themeColor="text1"/>
                <w:szCs w:val="21"/>
                <w:highlight w:val="none"/>
                <w14:textFill>
                  <w14:solidFill>
                    <w14:schemeClr w14:val="tx1"/>
                  </w14:solidFill>
                </w14:textFill>
              </w:rPr>
            </w:pPr>
          </w:p>
        </w:tc>
        <w:tc>
          <w:tcPr>
            <w:tcW w:w="816" w:type="dxa"/>
            <w:noWrap w:val="0"/>
            <w:vAlign w:val="center"/>
          </w:tcPr>
          <w:p w14:paraId="1DF033F6">
            <w:pPr>
              <w:ind w:left="223" w:hanging="222"/>
              <w:jc w:val="center"/>
              <w:rPr>
                <w:color w:val="000000" w:themeColor="text1"/>
                <w:szCs w:val="21"/>
                <w:highlight w:val="none"/>
                <w14:textFill>
                  <w14:solidFill>
                    <w14:schemeClr w14:val="tx1"/>
                  </w14:solidFill>
                </w14:textFill>
              </w:rPr>
            </w:pPr>
          </w:p>
        </w:tc>
        <w:tc>
          <w:tcPr>
            <w:tcW w:w="1148" w:type="dxa"/>
            <w:noWrap w:val="0"/>
            <w:vAlign w:val="center"/>
          </w:tcPr>
          <w:p w14:paraId="2F99DD89">
            <w:pPr>
              <w:ind w:left="223" w:hanging="222"/>
              <w:jc w:val="center"/>
              <w:rPr>
                <w:color w:val="000000" w:themeColor="text1"/>
                <w:szCs w:val="21"/>
                <w:highlight w:val="none"/>
                <w14:textFill>
                  <w14:solidFill>
                    <w14:schemeClr w14:val="tx1"/>
                  </w14:solidFill>
                </w14:textFill>
              </w:rPr>
            </w:pPr>
          </w:p>
        </w:tc>
        <w:tc>
          <w:tcPr>
            <w:tcW w:w="1148" w:type="dxa"/>
            <w:noWrap w:val="0"/>
            <w:vAlign w:val="center"/>
          </w:tcPr>
          <w:p w14:paraId="2F198840">
            <w:pPr>
              <w:ind w:left="223" w:hanging="222"/>
              <w:jc w:val="center"/>
              <w:rPr>
                <w:color w:val="000000" w:themeColor="text1"/>
                <w:szCs w:val="21"/>
                <w:highlight w:val="none"/>
                <w14:textFill>
                  <w14:solidFill>
                    <w14:schemeClr w14:val="tx1"/>
                  </w14:solidFill>
                </w14:textFill>
              </w:rPr>
            </w:pPr>
          </w:p>
        </w:tc>
        <w:tc>
          <w:tcPr>
            <w:tcW w:w="1148" w:type="dxa"/>
            <w:noWrap w:val="0"/>
            <w:vAlign w:val="center"/>
          </w:tcPr>
          <w:p w14:paraId="0827DFE1">
            <w:pPr>
              <w:ind w:left="223" w:hanging="222"/>
              <w:jc w:val="center"/>
              <w:rPr>
                <w:color w:val="000000" w:themeColor="text1"/>
                <w:szCs w:val="21"/>
                <w:highlight w:val="none"/>
                <w14:textFill>
                  <w14:solidFill>
                    <w14:schemeClr w14:val="tx1"/>
                  </w14:solidFill>
                </w14:textFill>
              </w:rPr>
            </w:pPr>
          </w:p>
        </w:tc>
        <w:tc>
          <w:tcPr>
            <w:tcW w:w="744" w:type="dxa"/>
            <w:noWrap w:val="0"/>
            <w:vAlign w:val="center"/>
          </w:tcPr>
          <w:p w14:paraId="7CDDD2B8">
            <w:pPr>
              <w:ind w:left="223" w:hanging="222"/>
              <w:jc w:val="center"/>
              <w:rPr>
                <w:color w:val="000000" w:themeColor="text1"/>
                <w:szCs w:val="21"/>
                <w:highlight w:val="none"/>
                <w14:textFill>
                  <w14:solidFill>
                    <w14:schemeClr w14:val="tx1"/>
                  </w14:solidFill>
                </w14:textFill>
              </w:rPr>
            </w:pPr>
          </w:p>
        </w:tc>
        <w:tc>
          <w:tcPr>
            <w:tcW w:w="1167" w:type="dxa"/>
            <w:noWrap w:val="0"/>
            <w:vAlign w:val="center"/>
          </w:tcPr>
          <w:p w14:paraId="46499657">
            <w:pPr>
              <w:ind w:left="223" w:hanging="222"/>
              <w:jc w:val="center"/>
              <w:rPr>
                <w:color w:val="000000" w:themeColor="text1"/>
                <w:szCs w:val="21"/>
                <w:highlight w:val="none"/>
                <w14:textFill>
                  <w14:solidFill>
                    <w14:schemeClr w14:val="tx1"/>
                  </w14:solidFill>
                </w14:textFill>
              </w:rPr>
            </w:pPr>
          </w:p>
        </w:tc>
        <w:tc>
          <w:tcPr>
            <w:tcW w:w="1276" w:type="dxa"/>
            <w:noWrap w:val="0"/>
            <w:vAlign w:val="center"/>
          </w:tcPr>
          <w:p w14:paraId="5971B640">
            <w:pPr>
              <w:ind w:left="223" w:hanging="222"/>
              <w:jc w:val="center"/>
              <w:rPr>
                <w:color w:val="000000" w:themeColor="text1"/>
                <w:szCs w:val="21"/>
                <w:highlight w:val="none"/>
                <w14:textFill>
                  <w14:solidFill>
                    <w14:schemeClr w14:val="tx1"/>
                  </w14:solidFill>
                </w14:textFill>
              </w:rPr>
            </w:pPr>
          </w:p>
        </w:tc>
      </w:tr>
      <w:tr w14:paraId="55976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0"/>
            <w:vAlign w:val="center"/>
          </w:tcPr>
          <w:p w14:paraId="1EBB59F2">
            <w:pPr>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5.</w:t>
            </w:r>
            <w:r>
              <w:rPr>
                <w:color w:val="000000" w:themeColor="text1"/>
                <w:szCs w:val="21"/>
                <w:highlight w:val="none"/>
                <w14:textFill>
                  <w14:solidFill>
                    <w14:schemeClr w14:val="tx1"/>
                  </w14:solidFill>
                </w14:textFill>
              </w:rPr>
              <w:t xml:space="preserve"> 质量员</w:t>
            </w:r>
          </w:p>
        </w:tc>
        <w:tc>
          <w:tcPr>
            <w:tcW w:w="670" w:type="dxa"/>
            <w:noWrap w:val="0"/>
            <w:vAlign w:val="center"/>
          </w:tcPr>
          <w:p w14:paraId="1D907A60">
            <w:pPr>
              <w:ind w:left="223" w:hanging="222"/>
              <w:jc w:val="center"/>
              <w:rPr>
                <w:color w:val="000000" w:themeColor="text1"/>
                <w:szCs w:val="21"/>
                <w:highlight w:val="none"/>
                <w14:textFill>
                  <w14:solidFill>
                    <w14:schemeClr w14:val="tx1"/>
                  </w14:solidFill>
                </w14:textFill>
              </w:rPr>
            </w:pPr>
          </w:p>
        </w:tc>
        <w:tc>
          <w:tcPr>
            <w:tcW w:w="829" w:type="dxa"/>
            <w:noWrap w:val="0"/>
            <w:vAlign w:val="center"/>
          </w:tcPr>
          <w:p w14:paraId="54531B0B">
            <w:pPr>
              <w:ind w:left="223" w:hanging="222"/>
              <w:jc w:val="center"/>
              <w:rPr>
                <w:color w:val="000000" w:themeColor="text1"/>
                <w:szCs w:val="21"/>
                <w:highlight w:val="none"/>
                <w14:textFill>
                  <w14:solidFill>
                    <w14:schemeClr w14:val="tx1"/>
                  </w14:solidFill>
                </w14:textFill>
              </w:rPr>
            </w:pPr>
          </w:p>
        </w:tc>
        <w:tc>
          <w:tcPr>
            <w:tcW w:w="816" w:type="dxa"/>
            <w:noWrap w:val="0"/>
            <w:vAlign w:val="center"/>
          </w:tcPr>
          <w:p w14:paraId="1DB09806">
            <w:pPr>
              <w:ind w:left="223" w:hanging="222"/>
              <w:jc w:val="center"/>
              <w:rPr>
                <w:color w:val="000000" w:themeColor="text1"/>
                <w:szCs w:val="21"/>
                <w:highlight w:val="none"/>
                <w14:textFill>
                  <w14:solidFill>
                    <w14:schemeClr w14:val="tx1"/>
                  </w14:solidFill>
                </w14:textFill>
              </w:rPr>
            </w:pPr>
          </w:p>
        </w:tc>
        <w:tc>
          <w:tcPr>
            <w:tcW w:w="1148" w:type="dxa"/>
            <w:noWrap w:val="0"/>
            <w:vAlign w:val="center"/>
          </w:tcPr>
          <w:p w14:paraId="429FF76B">
            <w:pPr>
              <w:ind w:left="223" w:hanging="222"/>
              <w:jc w:val="center"/>
              <w:rPr>
                <w:color w:val="000000" w:themeColor="text1"/>
                <w:szCs w:val="21"/>
                <w:highlight w:val="none"/>
                <w14:textFill>
                  <w14:solidFill>
                    <w14:schemeClr w14:val="tx1"/>
                  </w14:solidFill>
                </w14:textFill>
              </w:rPr>
            </w:pPr>
          </w:p>
        </w:tc>
        <w:tc>
          <w:tcPr>
            <w:tcW w:w="1148" w:type="dxa"/>
            <w:noWrap w:val="0"/>
            <w:vAlign w:val="center"/>
          </w:tcPr>
          <w:p w14:paraId="72A309D5">
            <w:pPr>
              <w:ind w:left="223" w:hanging="222"/>
              <w:jc w:val="center"/>
              <w:rPr>
                <w:color w:val="000000" w:themeColor="text1"/>
                <w:szCs w:val="21"/>
                <w:highlight w:val="none"/>
                <w14:textFill>
                  <w14:solidFill>
                    <w14:schemeClr w14:val="tx1"/>
                  </w14:solidFill>
                </w14:textFill>
              </w:rPr>
            </w:pPr>
          </w:p>
        </w:tc>
        <w:tc>
          <w:tcPr>
            <w:tcW w:w="1148" w:type="dxa"/>
            <w:noWrap w:val="0"/>
            <w:vAlign w:val="center"/>
          </w:tcPr>
          <w:p w14:paraId="117E2FC2">
            <w:pPr>
              <w:ind w:left="223" w:hanging="222"/>
              <w:jc w:val="center"/>
              <w:rPr>
                <w:color w:val="000000" w:themeColor="text1"/>
                <w:szCs w:val="21"/>
                <w:highlight w:val="none"/>
                <w14:textFill>
                  <w14:solidFill>
                    <w14:schemeClr w14:val="tx1"/>
                  </w14:solidFill>
                </w14:textFill>
              </w:rPr>
            </w:pPr>
          </w:p>
        </w:tc>
        <w:tc>
          <w:tcPr>
            <w:tcW w:w="744" w:type="dxa"/>
            <w:noWrap w:val="0"/>
            <w:vAlign w:val="center"/>
          </w:tcPr>
          <w:p w14:paraId="29F638C8">
            <w:pPr>
              <w:ind w:left="223" w:hanging="222"/>
              <w:jc w:val="center"/>
              <w:rPr>
                <w:color w:val="000000" w:themeColor="text1"/>
                <w:szCs w:val="21"/>
                <w:highlight w:val="none"/>
                <w14:textFill>
                  <w14:solidFill>
                    <w14:schemeClr w14:val="tx1"/>
                  </w14:solidFill>
                </w14:textFill>
              </w:rPr>
            </w:pPr>
          </w:p>
        </w:tc>
        <w:tc>
          <w:tcPr>
            <w:tcW w:w="1167" w:type="dxa"/>
            <w:noWrap w:val="0"/>
            <w:vAlign w:val="center"/>
          </w:tcPr>
          <w:p w14:paraId="40D0BC18">
            <w:pPr>
              <w:ind w:left="223" w:hanging="222"/>
              <w:jc w:val="center"/>
              <w:rPr>
                <w:color w:val="000000" w:themeColor="text1"/>
                <w:szCs w:val="21"/>
                <w:highlight w:val="none"/>
                <w14:textFill>
                  <w14:solidFill>
                    <w14:schemeClr w14:val="tx1"/>
                  </w14:solidFill>
                </w14:textFill>
              </w:rPr>
            </w:pPr>
          </w:p>
        </w:tc>
        <w:tc>
          <w:tcPr>
            <w:tcW w:w="1276" w:type="dxa"/>
            <w:noWrap w:val="0"/>
            <w:vAlign w:val="center"/>
          </w:tcPr>
          <w:p w14:paraId="25298BF2">
            <w:pPr>
              <w:ind w:left="223" w:hanging="222"/>
              <w:jc w:val="center"/>
              <w:rPr>
                <w:color w:val="000000" w:themeColor="text1"/>
                <w:szCs w:val="21"/>
                <w:highlight w:val="none"/>
                <w14:textFill>
                  <w14:solidFill>
                    <w14:schemeClr w14:val="tx1"/>
                  </w14:solidFill>
                </w14:textFill>
              </w:rPr>
            </w:pPr>
          </w:p>
        </w:tc>
      </w:tr>
      <w:tr w14:paraId="64647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0"/>
            <w:vAlign w:val="center"/>
          </w:tcPr>
          <w:p w14:paraId="3B93E358">
            <w:pPr>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6.材料员</w:t>
            </w:r>
          </w:p>
        </w:tc>
        <w:tc>
          <w:tcPr>
            <w:tcW w:w="670" w:type="dxa"/>
            <w:noWrap w:val="0"/>
            <w:vAlign w:val="center"/>
          </w:tcPr>
          <w:p w14:paraId="05AE7542">
            <w:pPr>
              <w:ind w:left="223" w:hanging="222"/>
              <w:jc w:val="center"/>
              <w:rPr>
                <w:color w:val="000000" w:themeColor="text1"/>
                <w:szCs w:val="21"/>
                <w:highlight w:val="none"/>
                <w14:textFill>
                  <w14:solidFill>
                    <w14:schemeClr w14:val="tx1"/>
                  </w14:solidFill>
                </w14:textFill>
              </w:rPr>
            </w:pPr>
          </w:p>
        </w:tc>
        <w:tc>
          <w:tcPr>
            <w:tcW w:w="829" w:type="dxa"/>
            <w:noWrap w:val="0"/>
            <w:vAlign w:val="center"/>
          </w:tcPr>
          <w:p w14:paraId="1E07968B">
            <w:pPr>
              <w:ind w:left="223" w:hanging="222"/>
              <w:jc w:val="center"/>
              <w:rPr>
                <w:color w:val="000000" w:themeColor="text1"/>
                <w:szCs w:val="21"/>
                <w:highlight w:val="none"/>
                <w14:textFill>
                  <w14:solidFill>
                    <w14:schemeClr w14:val="tx1"/>
                  </w14:solidFill>
                </w14:textFill>
              </w:rPr>
            </w:pPr>
          </w:p>
        </w:tc>
        <w:tc>
          <w:tcPr>
            <w:tcW w:w="816" w:type="dxa"/>
            <w:noWrap w:val="0"/>
            <w:vAlign w:val="center"/>
          </w:tcPr>
          <w:p w14:paraId="3761D1B1">
            <w:pPr>
              <w:ind w:left="223" w:hanging="222"/>
              <w:jc w:val="center"/>
              <w:rPr>
                <w:color w:val="000000" w:themeColor="text1"/>
                <w:szCs w:val="21"/>
                <w:highlight w:val="none"/>
                <w14:textFill>
                  <w14:solidFill>
                    <w14:schemeClr w14:val="tx1"/>
                  </w14:solidFill>
                </w14:textFill>
              </w:rPr>
            </w:pPr>
          </w:p>
        </w:tc>
        <w:tc>
          <w:tcPr>
            <w:tcW w:w="1148" w:type="dxa"/>
            <w:noWrap w:val="0"/>
            <w:vAlign w:val="center"/>
          </w:tcPr>
          <w:p w14:paraId="3A2A5FD8">
            <w:pPr>
              <w:ind w:left="223" w:hanging="222"/>
              <w:jc w:val="center"/>
              <w:rPr>
                <w:color w:val="000000" w:themeColor="text1"/>
                <w:szCs w:val="21"/>
                <w:highlight w:val="none"/>
                <w14:textFill>
                  <w14:solidFill>
                    <w14:schemeClr w14:val="tx1"/>
                  </w14:solidFill>
                </w14:textFill>
              </w:rPr>
            </w:pPr>
          </w:p>
        </w:tc>
        <w:tc>
          <w:tcPr>
            <w:tcW w:w="1148" w:type="dxa"/>
            <w:noWrap w:val="0"/>
            <w:vAlign w:val="center"/>
          </w:tcPr>
          <w:p w14:paraId="4B42B362">
            <w:pPr>
              <w:ind w:left="223" w:hanging="222"/>
              <w:jc w:val="center"/>
              <w:rPr>
                <w:color w:val="000000" w:themeColor="text1"/>
                <w:szCs w:val="21"/>
                <w:highlight w:val="none"/>
                <w14:textFill>
                  <w14:solidFill>
                    <w14:schemeClr w14:val="tx1"/>
                  </w14:solidFill>
                </w14:textFill>
              </w:rPr>
            </w:pPr>
          </w:p>
        </w:tc>
        <w:tc>
          <w:tcPr>
            <w:tcW w:w="1148" w:type="dxa"/>
            <w:noWrap w:val="0"/>
            <w:vAlign w:val="center"/>
          </w:tcPr>
          <w:p w14:paraId="318FFC28">
            <w:pPr>
              <w:ind w:left="223" w:hanging="222"/>
              <w:jc w:val="center"/>
              <w:rPr>
                <w:color w:val="000000" w:themeColor="text1"/>
                <w:szCs w:val="21"/>
                <w:highlight w:val="none"/>
                <w14:textFill>
                  <w14:solidFill>
                    <w14:schemeClr w14:val="tx1"/>
                  </w14:solidFill>
                </w14:textFill>
              </w:rPr>
            </w:pPr>
          </w:p>
        </w:tc>
        <w:tc>
          <w:tcPr>
            <w:tcW w:w="744" w:type="dxa"/>
            <w:noWrap w:val="0"/>
            <w:vAlign w:val="center"/>
          </w:tcPr>
          <w:p w14:paraId="49D9DA12">
            <w:pPr>
              <w:ind w:left="223" w:hanging="222"/>
              <w:jc w:val="center"/>
              <w:rPr>
                <w:color w:val="000000" w:themeColor="text1"/>
                <w:szCs w:val="21"/>
                <w:highlight w:val="none"/>
                <w14:textFill>
                  <w14:solidFill>
                    <w14:schemeClr w14:val="tx1"/>
                  </w14:solidFill>
                </w14:textFill>
              </w:rPr>
            </w:pPr>
          </w:p>
        </w:tc>
        <w:tc>
          <w:tcPr>
            <w:tcW w:w="1167" w:type="dxa"/>
            <w:noWrap w:val="0"/>
            <w:vAlign w:val="center"/>
          </w:tcPr>
          <w:p w14:paraId="6AD46E60">
            <w:pPr>
              <w:ind w:left="223" w:hanging="222"/>
              <w:jc w:val="center"/>
              <w:rPr>
                <w:color w:val="000000" w:themeColor="text1"/>
                <w:szCs w:val="21"/>
                <w:highlight w:val="none"/>
                <w14:textFill>
                  <w14:solidFill>
                    <w14:schemeClr w14:val="tx1"/>
                  </w14:solidFill>
                </w14:textFill>
              </w:rPr>
            </w:pPr>
          </w:p>
        </w:tc>
        <w:tc>
          <w:tcPr>
            <w:tcW w:w="1276" w:type="dxa"/>
            <w:noWrap w:val="0"/>
            <w:vAlign w:val="center"/>
          </w:tcPr>
          <w:p w14:paraId="4EB98D25">
            <w:pPr>
              <w:ind w:left="223" w:hanging="222"/>
              <w:jc w:val="center"/>
              <w:rPr>
                <w:color w:val="000000" w:themeColor="text1"/>
                <w:szCs w:val="21"/>
                <w:highlight w:val="none"/>
                <w14:textFill>
                  <w14:solidFill>
                    <w14:schemeClr w14:val="tx1"/>
                  </w14:solidFill>
                </w14:textFill>
              </w:rPr>
            </w:pPr>
          </w:p>
        </w:tc>
      </w:tr>
      <w:tr w14:paraId="7F152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0"/>
            <w:vAlign w:val="center"/>
          </w:tcPr>
          <w:p w14:paraId="3423CBCF">
            <w:pPr>
              <w:ind w:left="223" w:hanging="222"/>
              <w:jc w:val="center"/>
              <w:rPr>
                <w:color w:val="000000" w:themeColor="text1"/>
                <w:szCs w:val="21"/>
                <w:highlight w:val="none"/>
                <w14:textFill>
                  <w14:solidFill>
                    <w14:schemeClr w14:val="tx1"/>
                  </w14:solidFill>
                </w14:textFill>
              </w:rPr>
            </w:pPr>
          </w:p>
        </w:tc>
        <w:tc>
          <w:tcPr>
            <w:tcW w:w="670" w:type="dxa"/>
            <w:noWrap w:val="0"/>
            <w:vAlign w:val="center"/>
          </w:tcPr>
          <w:p w14:paraId="55D8DD0B">
            <w:pPr>
              <w:ind w:left="223" w:hanging="222"/>
              <w:jc w:val="center"/>
              <w:rPr>
                <w:color w:val="000000" w:themeColor="text1"/>
                <w:szCs w:val="21"/>
                <w:highlight w:val="none"/>
                <w14:textFill>
                  <w14:solidFill>
                    <w14:schemeClr w14:val="tx1"/>
                  </w14:solidFill>
                </w14:textFill>
              </w:rPr>
            </w:pPr>
          </w:p>
        </w:tc>
        <w:tc>
          <w:tcPr>
            <w:tcW w:w="829" w:type="dxa"/>
            <w:noWrap w:val="0"/>
            <w:vAlign w:val="center"/>
          </w:tcPr>
          <w:p w14:paraId="15295B96">
            <w:pPr>
              <w:ind w:left="223" w:hanging="222"/>
              <w:jc w:val="center"/>
              <w:rPr>
                <w:color w:val="000000" w:themeColor="text1"/>
                <w:szCs w:val="21"/>
                <w:highlight w:val="none"/>
                <w14:textFill>
                  <w14:solidFill>
                    <w14:schemeClr w14:val="tx1"/>
                  </w14:solidFill>
                </w14:textFill>
              </w:rPr>
            </w:pPr>
          </w:p>
        </w:tc>
        <w:tc>
          <w:tcPr>
            <w:tcW w:w="816" w:type="dxa"/>
            <w:noWrap w:val="0"/>
            <w:vAlign w:val="center"/>
          </w:tcPr>
          <w:p w14:paraId="4D51398D">
            <w:pPr>
              <w:ind w:left="223" w:hanging="222"/>
              <w:jc w:val="center"/>
              <w:rPr>
                <w:color w:val="000000" w:themeColor="text1"/>
                <w:szCs w:val="21"/>
                <w:highlight w:val="none"/>
                <w14:textFill>
                  <w14:solidFill>
                    <w14:schemeClr w14:val="tx1"/>
                  </w14:solidFill>
                </w14:textFill>
              </w:rPr>
            </w:pPr>
          </w:p>
        </w:tc>
        <w:tc>
          <w:tcPr>
            <w:tcW w:w="1148" w:type="dxa"/>
            <w:noWrap w:val="0"/>
            <w:vAlign w:val="center"/>
          </w:tcPr>
          <w:p w14:paraId="003CC043">
            <w:pPr>
              <w:ind w:left="223" w:hanging="222"/>
              <w:jc w:val="center"/>
              <w:rPr>
                <w:color w:val="000000" w:themeColor="text1"/>
                <w:szCs w:val="21"/>
                <w:highlight w:val="none"/>
                <w14:textFill>
                  <w14:solidFill>
                    <w14:schemeClr w14:val="tx1"/>
                  </w14:solidFill>
                </w14:textFill>
              </w:rPr>
            </w:pPr>
          </w:p>
        </w:tc>
        <w:tc>
          <w:tcPr>
            <w:tcW w:w="1148" w:type="dxa"/>
            <w:noWrap w:val="0"/>
            <w:vAlign w:val="center"/>
          </w:tcPr>
          <w:p w14:paraId="755C11EC">
            <w:pPr>
              <w:ind w:left="223" w:hanging="222"/>
              <w:jc w:val="center"/>
              <w:rPr>
                <w:color w:val="000000" w:themeColor="text1"/>
                <w:szCs w:val="21"/>
                <w:highlight w:val="none"/>
                <w14:textFill>
                  <w14:solidFill>
                    <w14:schemeClr w14:val="tx1"/>
                  </w14:solidFill>
                </w14:textFill>
              </w:rPr>
            </w:pPr>
          </w:p>
        </w:tc>
        <w:tc>
          <w:tcPr>
            <w:tcW w:w="1148" w:type="dxa"/>
            <w:noWrap w:val="0"/>
            <w:vAlign w:val="center"/>
          </w:tcPr>
          <w:p w14:paraId="77465D3E">
            <w:pPr>
              <w:ind w:left="223" w:hanging="222"/>
              <w:jc w:val="center"/>
              <w:rPr>
                <w:color w:val="000000" w:themeColor="text1"/>
                <w:szCs w:val="21"/>
                <w:highlight w:val="none"/>
                <w14:textFill>
                  <w14:solidFill>
                    <w14:schemeClr w14:val="tx1"/>
                  </w14:solidFill>
                </w14:textFill>
              </w:rPr>
            </w:pPr>
          </w:p>
        </w:tc>
        <w:tc>
          <w:tcPr>
            <w:tcW w:w="744" w:type="dxa"/>
            <w:noWrap w:val="0"/>
            <w:vAlign w:val="center"/>
          </w:tcPr>
          <w:p w14:paraId="3225A510">
            <w:pPr>
              <w:ind w:left="223" w:hanging="222"/>
              <w:jc w:val="center"/>
              <w:rPr>
                <w:color w:val="000000" w:themeColor="text1"/>
                <w:szCs w:val="21"/>
                <w:highlight w:val="none"/>
                <w14:textFill>
                  <w14:solidFill>
                    <w14:schemeClr w14:val="tx1"/>
                  </w14:solidFill>
                </w14:textFill>
              </w:rPr>
            </w:pPr>
          </w:p>
        </w:tc>
        <w:tc>
          <w:tcPr>
            <w:tcW w:w="1167" w:type="dxa"/>
            <w:noWrap w:val="0"/>
            <w:vAlign w:val="center"/>
          </w:tcPr>
          <w:p w14:paraId="1EE8EFBB">
            <w:pPr>
              <w:ind w:left="223" w:hanging="222"/>
              <w:jc w:val="center"/>
              <w:rPr>
                <w:color w:val="000000" w:themeColor="text1"/>
                <w:szCs w:val="21"/>
                <w:highlight w:val="none"/>
                <w14:textFill>
                  <w14:solidFill>
                    <w14:schemeClr w14:val="tx1"/>
                  </w14:solidFill>
                </w14:textFill>
              </w:rPr>
            </w:pPr>
          </w:p>
        </w:tc>
        <w:tc>
          <w:tcPr>
            <w:tcW w:w="1276" w:type="dxa"/>
            <w:noWrap w:val="0"/>
            <w:vAlign w:val="center"/>
          </w:tcPr>
          <w:p w14:paraId="7B126F8C">
            <w:pPr>
              <w:ind w:left="223" w:hanging="222"/>
              <w:jc w:val="center"/>
              <w:rPr>
                <w:color w:val="000000" w:themeColor="text1"/>
                <w:szCs w:val="21"/>
                <w:highlight w:val="none"/>
                <w14:textFill>
                  <w14:solidFill>
                    <w14:schemeClr w14:val="tx1"/>
                  </w14:solidFill>
                </w14:textFill>
              </w:rPr>
            </w:pPr>
          </w:p>
        </w:tc>
      </w:tr>
      <w:tr w14:paraId="33401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866" w:type="dxa"/>
            <w:gridSpan w:val="10"/>
            <w:noWrap w:val="0"/>
            <w:vAlign w:val="center"/>
          </w:tcPr>
          <w:p w14:paraId="214969B8">
            <w:pPr>
              <w:spacing w:line="360" w:lineRule="auto"/>
              <w:ind w:left="223" w:hanging="222"/>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一旦我单位成交，将实行项目经理负责制，我方保证并配备上述项目管理机构。上述填报内容真实，若不真实，愿按有关规定接受处理。项目管理班子机构设置、职责分工等情况另附资料说明。</w:t>
            </w:r>
          </w:p>
        </w:tc>
      </w:tr>
    </w:tbl>
    <w:p w14:paraId="7C2A91D7">
      <w:pPr>
        <w:spacing w:line="360" w:lineRule="auto"/>
        <w:contextualSpacing/>
        <w:jc w:val="lef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备注：</w:t>
      </w:r>
    </w:p>
    <w:p w14:paraId="7A259B1F">
      <w:pPr>
        <w:spacing w:line="360" w:lineRule="auto"/>
        <w:ind w:firstLine="480"/>
        <w:contextualSpacing/>
        <w:jc w:val="left"/>
        <w:rPr>
          <w:rFonts w:hint="eastAsia"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1</w:t>
      </w:r>
      <w:r>
        <w:rPr>
          <w:rFonts w:ascii="宋体" w:hAnsi="宋体"/>
          <w:color w:val="000000" w:themeColor="text1"/>
          <w:sz w:val="24"/>
          <w:szCs w:val="20"/>
          <w:highlight w:val="none"/>
          <w14:textFill>
            <w14:solidFill>
              <w14:schemeClr w14:val="tx1"/>
            </w14:solidFill>
          </w14:textFill>
        </w:rPr>
        <w:t>.</w:t>
      </w:r>
      <w:r>
        <w:rPr>
          <w:rFonts w:hint="eastAsia" w:ascii="宋体" w:hAnsi="宋体"/>
          <w:color w:val="000000" w:themeColor="text1"/>
          <w:sz w:val="24"/>
          <w:szCs w:val="20"/>
          <w:highlight w:val="none"/>
          <w14:textFill>
            <w14:solidFill>
              <w14:schemeClr w14:val="tx1"/>
            </w14:solidFill>
          </w14:textFill>
        </w:rPr>
        <w:t>本表所列岗位的所有管理人员的情况均应如实填写。可按以上格式扩展为多页填写。</w:t>
      </w:r>
    </w:p>
    <w:p w14:paraId="4BB0AB9D">
      <w:pPr>
        <w:spacing w:line="360" w:lineRule="auto"/>
        <w:ind w:firstLine="480"/>
        <w:contextualSpacing/>
        <w:jc w:val="left"/>
        <w:rPr>
          <w:rFonts w:hint="eastAsia"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2</w:t>
      </w:r>
      <w:r>
        <w:rPr>
          <w:rFonts w:ascii="宋体" w:hAnsi="宋体"/>
          <w:color w:val="000000" w:themeColor="text1"/>
          <w:sz w:val="24"/>
          <w:szCs w:val="20"/>
          <w:highlight w:val="none"/>
          <w14:textFill>
            <w14:solidFill>
              <w14:schemeClr w14:val="tx1"/>
            </w14:solidFill>
          </w14:textFill>
        </w:rPr>
        <w:t>.</w:t>
      </w:r>
      <w:r>
        <w:rPr>
          <w:rFonts w:hint="eastAsia" w:ascii="宋体" w:hAnsi="宋体"/>
          <w:color w:val="000000" w:themeColor="text1"/>
          <w:sz w:val="24"/>
          <w:szCs w:val="20"/>
          <w:highlight w:val="none"/>
          <w14:textFill>
            <w14:solidFill>
              <w14:schemeClr w14:val="tx1"/>
            </w14:solidFill>
          </w14:textFill>
        </w:rPr>
        <w:t>供应商应当在本表后附所有管理人员的身份证、职称证、执业或职业资格证书的复印件并加盖供应商电子签章。</w:t>
      </w:r>
    </w:p>
    <w:p w14:paraId="1D4B8147">
      <w:pPr>
        <w:spacing w:line="360" w:lineRule="auto"/>
        <w:ind w:firstLine="480"/>
        <w:contextualSpacing/>
        <w:rPr>
          <w:rFonts w:hint="eastAsia" w:ascii="宋体" w:hAnsi="宋体"/>
          <w:color w:val="000000" w:themeColor="text1"/>
          <w:spacing w:val="20"/>
          <w:sz w:val="24"/>
          <w:szCs w:val="20"/>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法定代表人或者委托代理人</w:t>
      </w:r>
      <w:r>
        <w:rPr>
          <w:rFonts w:hint="eastAsia" w:ascii="宋体" w:hAnsi="宋体"/>
          <w:color w:val="000000" w:themeColor="text1"/>
          <w:spacing w:val="20"/>
          <w:sz w:val="24"/>
          <w:highlight w:val="none"/>
          <w14:textFill>
            <w14:solidFill>
              <w14:schemeClr w14:val="tx1"/>
            </w14:solidFill>
          </w14:textFill>
        </w:rPr>
        <w:t>签字：</w:t>
      </w:r>
      <w:r>
        <w:rPr>
          <w:rFonts w:hint="eastAsia" w:ascii="宋体" w:hAnsi="宋体"/>
          <w:color w:val="000000" w:themeColor="text1"/>
          <w:spacing w:val="20"/>
          <w:sz w:val="24"/>
          <w:highlight w:val="none"/>
          <w:u w:val="single"/>
          <w14:textFill>
            <w14:solidFill>
              <w14:schemeClr w14:val="tx1"/>
            </w14:solidFill>
          </w14:textFill>
        </w:rPr>
        <w:t xml:space="preserve">        </w:t>
      </w:r>
    </w:p>
    <w:p w14:paraId="24A7BF47">
      <w:pPr>
        <w:spacing w:line="360" w:lineRule="auto"/>
        <w:ind w:firstLine="560"/>
        <w:contextualSpacing/>
        <w:jc w:val="left"/>
        <w:rPr>
          <w:rFonts w:hint="eastAsia" w:ascii="宋体" w:hAnsi="宋体"/>
          <w:color w:val="000000" w:themeColor="text1"/>
          <w:spacing w:val="20"/>
          <w:sz w:val="24"/>
          <w:highlight w:val="none"/>
          <w14:textFill>
            <w14:solidFill>
              <w14:schemeClr w14:val="tx1"/>
            </w14:solidFill>
          </w14:textFill>
        </w:rPr>
      </w:pPr>
      <w:r>
        <w:rPr>
          <w:rFonts w:hint="eastAsia" w:ascii="宋体" w:hAnsi="宋体"/>
          <w:color w:val="000000" w:themeColor="text1"/>
          <w:spacing w:val="20"/>
          <w:sz w:val="24"/>
          <w:highlight w:val="none"/>
          <w14:textFill>
            <w14:solidFill>
              <w14:schemeClr w14:val="tx1"/>
            </w14:solidFill>
          </w14:textFill>
        </w:rPr>
        <w:t>供应商（电子签章）：</w:t>
      </w:r>
      <w:r>
        <w:rPr>
          <w:rFonts w:hint="eastAsia" w:ascii="宋体" w:hAnsi="宋体"/>
          <w:color w:val="000000" w:themeColor="text1"/>
          <w:spacing w:val="20"/>
          <w:sz w:val="24"/>
          <w:highlight w:val="none"/>
          <w:u w:val="single"/>
          <w14:textFill>
            <w14:solidFill>
              <w14:schemeClr w14:val="tx1"/>
            </w14:solidFill>
          </w14:textFill>
        </w:rPr>
        <w:t xml:space="preserve">            </w:t>
      </w:r>
      <w:r>
        <w:rPr>
          <w:rFonts w:hint="eastAsia" w:ascii="宋体" w:hAnsi="宋体"/>
          <w:color w:val="000000" w:themeColor="text1"/>
          <w:spacing w:val="20"/>
          <w:sz w:val="24"/>
          <w:highlight w:val="none"/>
          <w14:textFill>
            <w14:solidFill>
              <w14:schemeClr w14:val="tx1"/>
            </w14:solidFill>
          </w14:textFill>
        </w:rPr>
        <w:t xml:space="preserve">       </w:t>
      </w:r>
    </w:p>
    <w:p w14:paraId="55F25F5B">
      <w:pPr>
        <w:spacing w:line="360" w:lineRule="auto"/>
        <w:ind w:firstLine="560"/>
        <w:contextualSpacing/>
        <w:jc w:val="left"/>
        <w:rPr>
          <w:rFonts w:hint="eastAsia"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pacing w:val="20"/>
          <w:sz w:val="24"/>
          <w:highlight w:val="none"/>
          <w14:textFill>
            <w14:solidFill>
              <w14:schemeClr w14:val="tx1"/>
            </w14:solidFill>
          </w14:textFill>
        </w:rPr>
        <w:t>日 期：</w:t>
      </w:r>
      <w:r>
        <w:rPr>
          <w:rFonts w:hint="eastAsia" w:ascii="宋体" w:hAnsi="宋体"/>
          <w:color w:val="000000" w:themeColor="text1"/>
          <w:spacing w:val="20"/>
          <w:sz w:val="24"/>
          <w:highlight w:val="none"/>
          <w:u w:val="single"/>
          <w14:textFill>
            <w14:solidFill>
              <w14:schemeClr w14:val="tx1"/>
            </w14:solidFill>
          </w14:textFill>
        </w:rPr>
        <w:t xml:space="preserve">         </w:t>
      </w:r>
    </w:p>
    <w:p w14:paraId="7B1DAF16">
      <w:pPr>
        <w:spacing w:line="360" w:lineRule="auto"/>
        <w:jc w:val="center"/>
        <w:rPr>
          <w:rFonts w:hint="eastAsia" w:ascii="宋体" w:hAnsi="宋体"/>
          <w:b/>
          <w:color w:val="000000" w:themeColor="text1"/>
          <w:sz w:val="28"/>
          <w:szCs w:val="28"/>
          <w:highlight w:val="none"/>
          <w14:textFill>
            <w14:solidFill>
              <w14:schemeClr w14:val="tx1"/>
            </w14:solidFill>
          </w14:textFill>
        </w:rPr>
      </w:pPr>
      <w:r>
        <w:rPr>
          <w:rFonts w:ascii="宋体" w:hAnsi="宋体"/>
          <w:b/>
          <w:color w:val="000000" w:themeColor="text1"/>
          <w:sz w:val="32"/>
          <w:szCs w:val="32"/>
          <w:highlight w:val="none"/>
          <w14:textFill>
            <w14:solidFill>
              <w14:schemeClr w14:val="tx1"/>
            </w14:solidFill>
          </w14:textFill>
        </w:rPr>
        <w:br w:type="page" w:clear="all"/>
      </w:r>
      <w:r>
        <w:rPr>
          <w:rFonts w:hint="eastAsia" w:ascii="宋体" w:hAnsi="宋体"/>
          <w:b/>
          <w:color w:val="000000" w:themeColor="text1"/>
          <w:sz w:val="28"/>
          <w:szCs w:val="28"/>
          <w:highlight w:val="none"/>
          <w14:textFill>
            <w14:solidFill>
              <w14:schemeClr w14:val="tx1"/>
            </w14:solidFill>
          </w14:textFill>
        </w:rPr>
        <w:t>（二）拟投入的主要人员简历表</w:t>
      </w:r>
    </w:p>
    <w:p w14:paraId="605F3A81">
      <w:pPr>
        <w:spacing w:line="360" w:lineRule="auto"/>
        <w:ind w:firstLine="562"/>
        <w:jc w:val="center"/>
        <w:rPr>
          <w:color w:val="000000" w:themeColor="text1"/>
          <w:sz w:val="28"/>
          <w:szCs w:val="28"/>
          <w:highlight w:val="none"/>
          <w:u w:val="single"/>
          <w14:textFill>
            <w14:solidFill>
              <w14:schemeClr w14:val="tx1"/>
            </w14:solidFill>
          </w14:textFill>
        </w:rPr>
      </w:pPr>
      <w:r>
        <w:rPr>
          <w:rFonts w:hint="eastAsia" w:cs="宋体"/>
          <w:b/>
          <w:color w:val="000000" w:themeColor="text1"/>
          <w:sz w:val="28"/>
          <w:szCs w:val="28"/>
          <w:highlight w:val="none"/>
          <w14:textFill>
            <w14:solidFill>
              <w14:schemeClr w14:val="tx1"/>
            </w14:solidFill>
          </w14:textFill>
        </w:rPr>
        <w:t>项目经理简历表</w:t>
      </w:r>
    </w:p>
    <w:tbl>
      <w:tblPr>
        <w:tblStyle w:val="45"/>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
        <w:gridCol w:w="1176"/>
        <w:gridCol w:w="55"/>
        <w:gridCol w:w="387"/>
        <w:gridCol w:w="888"/>
        <w:gridCol w:w="660"/>
        <w:gridCol w:w="328"/>
        <w:gridCol w:w="234"/>
        <w:gridCol w:w="1417"/>
        <w:gridCol w:w="242"/>
        <w:gridCol w:w="1088"/>
        <w:gridCol w:w="88"/>
        <w:gridCol w:w="409"/>
        <w:gridCol w:w="1108"/>
        <w:gridCol w:w="36"/>
        <w:gridCol w:w="79"/>
        <w:gridCol w:w="1405"/>
        <w:gridCol w:w="11"/>
      </w:tblGrid>
      <w:tr w14:paraId="056B7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176" w:type="dxa"/>
            <w:noWrap w:val="0"/>
            <w:vAlign w:val="center"/>
          </w:tcPr>
          <w:p w14:paraId="2755B970">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姓名</w:t>
            </w:r>
          </w:p>
        </w:tc>
        <w:tc>
          <w:tcPr>
            <w:tcW w:w="2318" w:type="dxa"/>
            <w:gridSpan w:val="5"/>
            <w:noWrap w:val="0"/>
            <w:vAlign w:val="center"/>
          </w:tcPr>
          <w:p w14:paraId="218C7254">
            <w:pPr>
              <w:jc w:val="center"/>
              <w:rPr>
                <w:color w:val="000000" w:themeColor="text1"/>
                <w:highlight w:val="none"/>
                <w14:textFill>
                  <w14:solidFill>
                    <w14:schemeClr w14:val="tx1"/>
                  </w14:solidFill>
                </w14:textFill>
              </w:rPr>
            </w:pPr>
          </w:p>
        </w:tc>
        <w:tc>
          <w:tcPr>
            <w:tcW w:w="1893" w:type="dxa"/>
            <w:gridSpan w:val="3"/>
            <w:noWrap w:val="0"/>
            <w:vAlign w:val="center"/>
          </w:tcPr>
          <w:p w14:paraId="387ED4F1">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性别</w:t>
            </w:r>
          </w:p>
        </w:tc>
        <w:tc>
          <w:tcPr>
            <w:tcW w:w="1585" w:type="dxa"/>
            <w:gridSpan w:val="3"/>
            <w:noWrap w:val="0"/>
            <w:vAlign w:val="center"/>
          </w:tcPr>
          <w:p w14:paraId="496F4179">
            <w:pPr>
              <w:jc w:val="center"/>
              <w:rPr>
                <w:color w:val="000000" w:themeColor="text1"/>
                <w:highlight w:val="none"/>
                <w14:textFill>
                  <w14:solidFill>
                    <w14:schemeClr w14:val="tx1"/>
                  </w14:solidFill>
                </w14:textFill>
              </w:rPr>
            </w:pPr>
          </w:p>
        </w:tc>
        <w:tc>
          <w:tcPr>
            <w:tcW w:w="1108" w:type="dxa"/>
            <w:noWrap w:val="0"/>
            <w:vAlign w:val="center"/>
          </w:tcPr>
          <w:p w14:paraId="5305837E">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年龄</w:t>
            </w:r>
          </w:p>
        </w:tc>
        <w:tc>
          <w:tcPr>
            <w:tcW w:w="1531" w:type="dxa"/>
            <w:gridSpan w:val="4"/>
            <w:noWrap w:val="0"/>
            <w:vAlign w:val="center"/>
          </w:tcPr>
          <w:p w14:paraId="026F01EB">
            <w:pPr>
              <w:jc w:val="center"/>
              <w:rPr>
                <w:color w:val="000000" w:themeColor="text1"/>
                <w:highlight w:val="none"/>
                <w14:textFill>
                  <w14:solidFill>
                    <w14:schemeClr w14:val="tx1"/>
                  </w14:solidFill>
                </w14:textFill>
              </w:rPr>
            </w:pPr>
          </w:p>
        </w:tc>
      </w:tr>
      <w:tr w14:paraId="3125D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76" w:type="dxa"/>
            <w:noWrap w:val="0"/>
            <w:vAlign w:val="center"/>
          </w:tcPr>
          <w:p w14:paraId="57E0FE71">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岗位</w:t>
            </w:r>
          </w:p>
        </w:tc>
        <w:tc>
          <w:tcPr>
            <w:tcW w:w="2318" w:type="dxa"/>
            <w:gridSpan w:val="5"/>
            <w:noWrap w:val="0"/>
            <w:vAlign w:val="center"/>
          </w:tcPr>
          <w:p w14:paraId="1CA816C0">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项目经理</w:t>
            </w:r>
          </w:p>
        </w:tc>
        <w:tc>
          <w:tcPr>
            <w:tcW w:w="1893" w:type="dxa"/>
            <w:gridSpan w:val="3"/>
            <w:noWrap w:val="0"/>
            <w:vAlign w:val="center"/>
          </w:tcPr>
          <w:p w14:paraId="0A0DE0FD">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职称</w:t>
            </w:r>
          </w:p>
        </w:tc>
        <w:tc>
          <w:tcPr>
            <w:tcW w:w="1585" w:type="dxa"/>
            <w:gridSpan w:val="3"/>
            <w:noWrap w:val="0"/>
            <w:vAlign w:val="center"/>
          </w:tcPr>
          <w:p w14:paraId="0AFBE482">
            <w:pPr>
              <w:jc w:val="center"/>
              <w:rPr>
                <w:color w:val="000000" w:themeColor="text1"/>
                <w:highlight w:val="none"/>
                <w14:textFill>
                  <w14:solidFill>
                    <w14:schemeClr w14:val="tx1"/>
                  </w14:solidFill>
                </w14:textFill>
              </w:rPr>
            </w:pPr>
          </w:p>
        </w:tc>
        <w:tc>
          <w:tcPr>
            <w:tcW w:w="1108" w:type="dxa"/>
            <w:noWrap w:val="0"/>
            <w:vAlign w:val="center"/>
          </w:tcPr>
          <w:p w14:paraId="5C368178">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学历</w:t>
            </w:r>
          </w:p>
        </w:tc>
        <w:tc>
          <w:tcPr>
            <w:tcW w:w="1531" w:type="dxa"/>
            <w:gridSpan w:val="4"/>
            <w:noWrap w:val="0"/>
            <w:vAlign w:val="center"/>
          </w:tcPr>
          <w:p w14:paraId="1294308C">
            <w:pPr>
              <w:jc w:val="center"/>
              <w:rPr>
                <w:color w:val="000000" w:themeColor="text1"/>
                <w:highlight w:val="none"/>
                <w14:textFill>
                  <w14:solidFill>
                    <w14:schemeClr w14:val="tx1"/>
                  </w14:solidFill>
                </w14:textFill>
              </w:rPr>
            </w:pPr>
          </w:p>
        </w:tc>
      </w:tr>
      <w:tr w14:paraId="29286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76" w:type="dxa"/>
            <w:noWrap w:val="0"/>
            <w:vAlign w:val="center"/>
          </w:tcPr>
          <w:p w14:paraId="37E222EC">
            <w:pPr>
              <w:jc w:val="center"/>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从业开始时间</w:t>
            </w:r>
          </w:p>
        </w:tc>
        <w:tc>
          <w:tcPr>
            <w:tcW w:w="2318" w:type="dxa"/>
            <w:gridSpan w:val="5"/>
            <w:noWrap w:val="0"/>
            <w:vAlign w:val="center"/>
          </w:tcPr>
          <w:p w14:paraId="0594C8BF">
            <w:pPr>
              <w:jc w:val="center"/>
              <w:rPr>
                <w:color w:val="000000" w:themeColor="text1"/>
                <w:highlight w:val="none"/>
                <w14:textFill>
                  <w14:solidFill>
                    <w14:schemeClr w14:val="tx1"/>
                  </w14:solidFill>
                </w14:textFill>
              </w:rPr>
            </w:pPr>
          </w:p>
        </w:tc>
        <w:tc>
          <w:tcPr>
            <w:tcW w:w="1893" w:type="dxa"/>
            <w:gridSpan w:val="3"/>
            <w:noWrap w:val="0"/>
            <w:vAlign w:val="center"/>
          </w:tcPr>
          <w:p w14:paraId="1C795A2E">
            <w:pPr>
              <w:jc w:val="center"/>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职称</w:t>
            </w:r>
            <w:r>
              <w:rPr>
                <w:rFonts w:cs="宋体"/>
                <w:color w:val="000000" w:themeColor="text1"/>
                <w:highlight w:val="none"/>
                <w14:textFill>
                  <w14:solidFill>
                    <w14:schemeClr w14:val="tx1"/>
                  </w14:solidFill>
                </w14:textFill>
              </w:rPr>
              <w:t>获</w:t>
            </w:r>
            <w:r>
              <w:rPr>
                <w:rFonts w:hint="eastAsia" w:cs="宋体"/>
                <w:color w:val="000000" w:themeColor="text1"/>
                <w:highlight w:val="none"/>
                <w14:textFill>
                  <w14:solidFill>
                    <w14:schemeClr w14:val="tx1"/>
                  </w14:solidFill>
                </w14:textFill>
              </w:rPr>
              <w:t>得</w:t>
            </w:r>
            <w:r>
              <w:rPr>
                <w:rFonts w:cs="宋体"/>
                <w:color w:val="000000" w:themeColor="text1"/>
                <w:highlight w:val="none"/>
                <w14:textFill>
                  <w14:solidFill>
                    <w14:schemeClr w14:val="tx1"/>
                  </w14:solidFill>
                </w14:textFill>
              </w:rPr>
              <w:t>时间</w:t>
            </w:r>
          </w:p>
        </w:tc>
        <w:tc>
          <w:tcPr>
            <w:tcW w:w="1585" w:type="dxa"/>
            <w:gridSpan w:val="3"/>
            <w:noWrap w:val="0"/>
            <w:vAlign w:val="center"/>
          </w:tcPr>
          <w:p w14:paraId="6174F857">
            <w:pPr>
              <w:jc w:val="center"/>
              <w:rPr>
                <w:color w:val="000000" w:themeColor="text1"/>
                <w:highlight w:val="none"/>
                <w14:textFill>
                  <w14:solidFill>
                    <w14:schemeClr w14:val="tx1"/>
                  </w14:solidFill>
                </w14:textFill>
              </w:rPr>
            </w:pPr>
          </w:p>
        </w:tc>
        <w:tc>
          <w:tcPr>
            <w:tcW w:w="1108" w:type="dxa"/>
            <w:noWrap w:val="0"/>
            <w:vAlign w:val="center"/>
          </w:tcPr>
          <w:p w14:paraId="13ED090B">
            <w:pPr>
              <w:jc w:val="center"/>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毕业时间</w:t>
            </w:r>
          </w:p>
        </w:tc>
        <w:tc>
          <w:tcPr>
            <w:tcW w:w="1531" w:type="dxa"/>
            <w:gridSpan w:val="4"/>
            <w:noWrap w:val="0"/>
            <w:vAlign w:val="center"/>
          </w:tcPr>
          <w:p w14:paraId="70FFB961">
            <w:pPr>
              <w:jc w:val="center"/>
              <w:rPr>
                <w:color w:val="000000" w:themeColor="text1"/>
                <w:highlight w:val="none"/>
                <w14:textFill>
                  <w14:solidFill>
                    <w14:schemeClr w14:val="tx1"/>
                  </w14:solidFill>
                </w14:textFill>
              </w:rPr>
            </w:pPr>
          </w:p>
        </w:tc>
      </w:tr>
      <w:tr w14:paraId="15486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noWrap w:val="0"/>
            <w:vAlign w:val="center"/>
          </w:tcPr>
          <w:p w14:paraId="43DF7E10">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担任项目经理年限</w:t>
            </w:r>
          </w:p>
        </w:tc>
        <w:tc>
          <w:tcPr>
            <w:tcW w:w="2497" w:type="dxa"/>
            <w:gridSpan w:val="5"/>
            <w:noWrap w:val="0"/>
            <w:vAlign w:val="center"/>
          </w:tcPr>
          <w:p w14:paraId="23AEECA2">
            <w:pPr>
              <w:jc w:val="center"/>
              <w:rPr>
                <w:color w:val="000000" w:themeColor="text1"/>
                <w:highlight w:val="none"/>
                <w14:textFill>
                  <w14:solidFill>
                    <w14:schemeClr w14:val="tx1"/>
                  </w14:solidFill>
                </w14:textFill>
              </w:rPr>
            </w:pPr>
          </w:p>
        </w:tc>
        <w:tc>
          <w:tcPr>
            <w:tcW w:w="1417" w:type="dxa"/>
            <w:noWrap w:val="0"/>
            <w:vAlign w:val="center"/>
          </w:tcPr>
          <w:p w14:paraId="00BB8840">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身份</w:t>
            </w:r>
            <w:r>
              <w:rPr>
                <w:color w:val="000000" w:themeColor="text1"/>
                <w:highlight w:val="none"/>
                <w14:textFill>
                  <w14:solidFill>
                    <w14:schemeClr w14:val="tx1"/>
                  </w14:solidFill>
                </w14:textFill>
              </w:rPr>
              <w:t>证号码</w:t>
            </w:r>
          </w:p>
        </w:tc>
        <w:tc>
          <w:tcPr>
            <w:tcW w:w="4466" w:type="dxa"/>
            <w:gridSpan w:val="9"/>
            <w:noWrap w:val="0"/>
            <w:vAlign w:val="center"/>
          </w:tcPr>
          <w:p w14:paraId="5C04166A">
            <w:pPr>
              <w:jc w:val="center"/>
              <w:rPr>
                <w:color w:val="000000" w:themeColor="text1"/>
                <w:highlight w:val="none"/>
                <w14:textFill>
                  <w14:solidFill>
                    <w14:schemeClr w14:val="tx1"/>
                  </w14:solidFill>
                </w14:textFill>
              </w:rPr>
            </w:pPr>
          </w:p>
        </w:tc>
      </w:tr>
      <w:tr w14:paraId="1DC0C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noWrap w:val="0"/>
            <w:vAlign w:val="center"/>
          </w:tcPr>
          <w:p w14:paraId="2CD4C756">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证书名称</w:t>
            </w:r>
          </w:p>
        </w:tc>
        <w:tc>
          <w:tcPr>
            <w:tcW w:w="1275" w:type="dxa"/>
            <w:gridSpan w:val="2"/>
            <w:noWrap w:val="0"/>
            <w:vAlign w:val="center"/>
          </w:tcPr>
          <w:p w14:paraId="26D8026E">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注册专业</w:t>
            </w:r>
          </w:p>
        </w:tc>
        <w:tc>
          <w:tcPr>
            <w:tcW w:w="1222" w:type="dxa"/>
            <w:gridSpan w:val="3"/>
            <w:noWrap w:val="0"/>
            <w:vAlign w:val="center"/>
          </w:tcPr>
          <w:p w14:paraId="6447E131">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级别</w:t>
            </w:r>
          </w:p>
        </w:tc>
        <w:tc>
          <w:tcPr>
            <w:tcW w:w="1417" w:type="dxa"/>
            <w:noWrap w:val="0"/>
            <w:vAlign w:val="center"/>
          </w:tcPr>
          <w:p w14:paraId="61CACA67">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证书编号</w:t>
            </w:r>
          </w:p>
        </w:tc>
        <w:tc>
          <w:tcPr>
            <w:tcW w:w="1418" w:type="dxa"/>
            <w:gridSpan w:val="3"/>
            <w:noWrap w:val="0"/>
            <w:vAlign w:val="center"/>
          </w:tcPr>
          <w:p w14:paraId="40DB18F8">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注册时间</w:t>
            </w:r>
          </w:p>
        </w:tc>
        <w:tc>
          <w:tcPr>
            <w:tcW w:w="1632" w:type="dxa"/>
            <w:gridSpan w:val="4"/>
            <w:noWrap w:val="0"/>
            <w:vAlign w:val="center"/>
          </w:tcPr>
          <w:p w14:paraId="2EDAA08C">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注册单位</w:t>
            </w:r>
          </w:p>
        </w:tc>
        <w:tc>
          <w:tcPr>
            <w:tcW w:w="1416" w:type="dxa"/>
            <w:gridSpan w:val="2"/>
            <w:noWrap w:val="0"/>
            <w:vAlign w:val="center"/>
          </w:tcPr>
          <w:p w14:paraId="0FEB75B4">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注册有效期</w:t>
            </w:r>
          </w:p>
        </w:tc>
      </w:tr>
      <w:tr w14:paraId="22445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noWrap w:val="0"/>
            <w:vAlign w:val="center"/>
          </w:tcPr>
          <w:p w14:paraId="2661917F">
            <w:pPr>
              <w:jc w:val="center"/>
              <w:rPr>
                <w:rFonts w:hint="eastAsia"/>
                <w:color w:val="000000" w:themeColor="text1"/>
                <w:highlight w:val="none"/>
                <w14:textFill>
                  <w14:solidFill>
                    <w14:schemeClr w14:val="tx1"/>
                  </w14:solidFill>
                </w14:textFill>
              </w:rPr>
            </w:pPr>
          </w:p>
        </w:tc>
        <w:tc>
          <w:tcPr>
            <w:tcW w:w="1275" w:type="dxa"/>
            <w:gridSpan w:val="2"/>
            <w:noWrap w:val="0"/>
            <w:vAlign w:val="center"/>
          </w:tcPr>
          <w:p w14:paraId="26284DC2">
            <w:pPr>
              <w:jc w:val="center"/>
              <w:rPr>
                <w:rFonts w:hint="eastAsia"/>
                <w:color w:val="000000" w:themeColor="text1"/>
                <w:highlight w:val="none"/>
                <w14:textFill>
                  <w14:solidFill>
                    <w14:schemeClr w14:val="tx1"/>
                  </w14:solidFill>
                </w14:textFill>
              </w:rPr>
            </w:pPr>
          </w:p>
        </w:tc>
        <w:tc>
          <w:tcPr>
            <w:tcW w:w="1222" w:type="dxa"/>
            <w:gridSpan w:val="3"/>
            <w:noWrap w:val="0"/>
            <w:vAlign w:val="center"/>
          </w:tcPr>
          <w:p w14:paraId="33BAC65A">
            <w:pPr>
              <w:jc w:val="center"/>
              <w:rPr>
                <w:rFonts w:hint="eastAsia" w:cs="宋体"/>
                <w:color w:val="000000" w:themeColor="text1"/>
                <w:highlight w:val="none"/>
                <w14:textFill>
                  <w14:solidFill>
                    <w14:schemeClr w14:val="tx1"/>
                  </w14:solidFill>
                </w14:textFill>
              </w:rPr>
            </w:pPr>
          </w:p>
        </w:tc>
        <w:tc>
          <w:tcPr>
            <w:tcW w:w="1417" w:type="dxa"/>
            <w:noWrap w:val="0"/>
            <w:vAlign w:val="center"/>
          </w:tcPr>
          <w:p w14:paraId="10500CB6">
            <w:pPr>
              <w:jc w:val="center"/>
              <w:rPr>
                <w:rFonts w:hint="eastAsia"/>
                <w:color w:val="000000" w:themeColor="text1"/>
                <w:highlight w:val="none"/>
                <w14:textFill>
                  <w14:solidFill>
                    <w14:schemeClr w14:val="tx1"/>
                  </w14:solidFill>
                </w14:textFill>
              </w:rPr>
            </w:pPr>
          </w:p>
        </w:tc>
        <w:tc>
          <w:tcPr>
            <w:tcW w:w="1418" w:type="dxa"/>
            <w:gridSpan w:val="3"/>
            <w:noWrap w:val="0"/>
            <w:vAlign w:val="center"/>
          </w:tcPr>
          <w:p w14:paraId="0F259EA0">
            <w:pPr>
              <w:jc w:val="center"/>
              <w:rPr>
                <w:rFonts w:hint="eastAsia"/>
                <w:color w:val="000000" w:themeColor="text1"/>
                <w:highlight w:val="none"/>
                <w14:textFill>
                  <w14:solidFill>
                    <w14:schemeClr w14:val="tx1"/>
                  </w14:solidFill>
                </w14:textFill>
              </w:rPr>
            </w:pPr>
          </w:p>
        </w:tc>
        <w:tc>
          <w:tcPr>
            <w:tcW w:w="1632" w:type="dxa"/>
            <w:gridSpan w:val="4"/>
            <w:noWrap w:val="0"/>
            <w:vAlign w:val="center"/>
          </w:tcPr>
          <w:p w14:paraId="237178DC">
            <w:pPr>
              <w:jc w:val="center"/>
              <w:rPr>
                <w:rFonts w:hint="eastAsia"/>
                <w:color w:val="000000" w:themeColor="text1"/>
                <w:highlight w:val="none"/>
                <w14:textFill>
                  <w14:solidFill>
                    <w14:schemeClr w14:val="tx1"/>
                  </w14:solidFill>
                </w14:textFill>
              </w:rPr>
            </w:pPr>
          </w:p>
        </w:tc>
        <w:tc>
          <w:tcPr>
            <w:tcW w:w="1416" w:type="dxa"/>
            <w:gridSpan w:val="2"/>
            <w:noWrap w:val="0"/>
            <w:vAlign w:val="center"/>
          </w:tcPr>
          <w:p w14:paraId="505E872A">
            <w:pPr>
              <w:jc w:val="center"/>
              <w:rPr>
                <w:rFonts w:hint="eastAsia"/>
                <w:color w:val="000000" w:themeColor="text1"/>
                <w:highlight w:val="none"/>
                <w14:textFill>
                  <w14:solidFill>
                    <w14:schemeClr w14:val="tx1"/>
                  </w14:solidFill>
                </w14:textFill>
              </w:rPr>
            </w:pPr>
          </w:p>
        </w:tc>
      </w:tr>
      <w:tr w14:paraId="4306D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noWrap w:val="0"/>
            <w:vAlign w:val="center"/>
          </w:tcPr>
          <w:p w14:paraId="39EABD08">
            <w:pPr>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安全生产考核合格证书</w:t>
            </w:r>
          </w:p>
        </w:tc>
        <w:tc>
          <w:tcPr>
            <w:tcW w:w="1275" w:type="dxa"/>
            <w:gridSpan w:val="2"/>
            <w:noWrap w:val="0"/>
            <w:vAlign w:val="center"/>
          </w:tcPr>
          <w:p w14:paraId="438799FF">
            <w:pPr>
              <w:jc w:val="center"/>
              <w:rPr>
                <w:rFonts w:hint="eastAsia"/>
                <w:color w:val="000000" w:themeColor="text1"/>
                <w:highlight w:val="none"/>
                <w14:textFill>
                  <w14:solidFill>
                    <w14:schemeClr w14:val="tx1"/>
                  </w14:solidFill>
                </w14:textFill>
              </w:rPr>
            </w:pPr>
          </w:p>
        </w:tc>
        <w:tc>
          <w:tcPr>
            <w:tcW w:w="1222" w:type="dxa"/>
            <w:gridSpan w:val="3"/>
            <w:noWrap w:val="0"/>
            <w:vAlign w:val="center"/>
          </w:tcPr>
          <w:p w14:paraId="22FA3DC0">
            <w:pPr>
              <w:jc w:val="center"/>
              <w:rPr>
                <w:rFonts w:hint="eastAsia" w:cs="宋体"/>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B类</w:t>
            </w:r>
          </w:p>
        </w:tc>
        <w:tc>
          <w:tcPr>
            <w:tcW w:w="1417" w:type="dxa"/>
            <w:noWrap w:val="0"/>
            <w:vAlign w:val="center"/>
          </w:tcPr>
          <w:p w14:paraId="1E9E408C">
            <w:pPr>
              <w:jc w:val="center"/>
              <w:rPr>
                <w:rFonts w:hint="eastAsia"/>
                <w:color w:val="000000" w:themeColor="text1"/>
                <w:highlight w:val="none"/>
                <w14:textFill>
                  <w14:solidFill>
                    <w14:schemeClr w14:val="tx1"/>
                  </w14:solidFill>
                </w14:textFill>
              </w:rPr>
            </w:pPr>
          </w:p>
        </w:tc>
        <w:tc>
          <w:tcPr>
            <w:tcW w:w="1418" w:type="dxa"/>
            <w:gridSpan w:val="3"/>
            <w:noWrap w:val="0"/>
            <w:vAlign w:val="center"/>
          </w:tcPr>
          <w:p w14:paraId="04C9ECA1">
            <w:pPr>
              <w:jc w:val="center"/>
              <w:rPr>
                <w:rFonts w:hint="eastAsia"/>
                <w:color w:val="000000" w:themeColor="text1"/>
                <w:highlight w:val="none"/>
                <w14:textFill>
                  <w14:solidFill>
                    <w14:schemeClr w14:val="tx1"/>
                  </w14:solidFill>
                </w14:textFill>
              </w:rPr>
            </w:pPr>
          </w:p>
        </w:tc>
        <w:tc>
          <w:tcPr>
            <w:tcW w:w="1632" w:type="dxa"/>
            <w:gridSpan w:val="4"/>
            <w:noWrap w:val="0"/>
            <w:vAlign w:val="center"/>
          </w:tcPr>
          <w:p w14:paraId="6AFB5F86">
            <w:pPr>
              <w:jc w:val="center"/>
              <w:rPr>
                <w:rFonts w:hint="eastAsia"/>
                <w:color w:val="000000" w:themeColor="text1"/>
                <w:highlight w:val="none"/>
                <w14:textFill>
                  <w14:solidFill>
                    <w14:schemeClr w14:val="tx1"/>
                  </w14:solidFill>
                </w14:textFill>
              </w:rPr>
            </w:pPr>
          </w:p>
        </w:tc>
        <w:tc>
          <w:tcPr>
            <w:tcW w:w="1416" w:type="dxa"/>
            <w:gridSpan w:val="2"/>
            <w:noWrap w:val="0"/>
            <w:vAlign w:val="center"/>
          </w:tcPr>
          <w:p w14:paraId="6C952519">
            <w:pPr>
              <w:jc w:val="center"/>
              <w:rPr>
                <w:rFonts w:hint="eastAsia"/>
                <w:color w:val="000000" w:themeColor="text1"/>
                <w:highlight w:val="none"/>
                <w14:textFill>
                  <w14:solidFill>
                    <w14:schemeClr w14:val="tx1"/>
                  </w14:solidFill>
                </w14:textFill>
              </w:rPr>
            </w:pPr>
          </w:p>
        </w:tc>
      </w:tr>
      <w:tr w14:paraId="3D1B2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0" w:hRule="atLeast"/>
          <w:jc w:val="center"/>
        </w:trPr>
        <w:tc>
          <w:tcPr>
            <w:tcW w:w="9611" w:type="dxa"/>
            <w:gridSpan w:val="17"/>
            <w:noWrap w:val="0"/>
            <w:vAlign w:val="center"/>
          </w:tcPr>
          <w:p w14:paraId="10CA99FD">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在建和已完工程项目情况</w:t>
            </w:r>
          </w:p>
        </w:tc>
      </w:tr>
      <w:tr w14:paraId="14B09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4"/>
            <w:noWrap w:val="0"/>
            <w:vAlign w:val="center"/>
          </w:tcPr>
          <w:p w14:paraId="5758CE1C">
            <w:pPr>
              <w:jc w:val="center"/>
              <w:rPr>
                <w:color w:val="000000" w:themeColor="text1"/>
                <w:highlight w:val="none"/>
                <w14:textFill>
                  <w14:solidFill>
                    <w14:schemeClr w14:val="tx1"/>
                  </w14:solidFill>
                </w14:textFill>
              </w:rPr>
            </w:pPr>
          </w:p>
        </w:tc>
        <w:tc>
          <w:tcPr>
            <w:tcW w:w="1548" w:type="dxa"/>
            <w:gridSpan w:val="2"/>
            <w:noWrap w:val="0"/>
            <w:vAlign w:val="center"/>
          </w:tcPr>
          <w:p w14:paraId="079F8C4C">
            <w:pPr>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项目1</w:t>
            </w:r>
          </w:p>
        </w:tc>
        <w:tc>
          <w:tcPr>
            <w:tcW w:w="1979" w:type="dxa"/>
            <w:gridSpan w:val="3"/>
            <w:noWrap w:val="0"/>
            <w:vAlign w:val="center"/>
          </w:tcPr>
          <w:p w14:paraId="62AD11C5">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项目2</w:t>
            </w:r>
          </w:p>
        </w:tc>
        <w:tc>
          <w:tcPr>
            <w:tcW w:w="1330" w:type="dxa"/>
            <w:gridSpan w:val="2"/>
            <w:noWrap w:val="0"/>
            <w:vAlign w:val="center"/>
          </w:tcPr>
          <w:p w14:paraId="75CAE725">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项目3</w:t>
            </w:r>
          </w:p>
        </w:tc>
        <w:tc>
          <w:tcPr>
            <w:tcW w:w="1641" w:type="dxa"/>
            <w:gridSpan w:val="4"/>
            <w:noWrap w:val="0"/>
            <w:vAlign w:val="center"/>
          </w:tcPr>
          <w:p w14:paraId="39A9B352">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项目4</w:t>
            </w:r>
          </w:p>
        </w:tc>
        <w:tc>
          <w:tcPr>
            <w:tcW w:w="1484" w:type="dxa"/>
            <w:gridSpan w:val="2"/>
            <w:noWrap w:val="0"/>
            <w:vAlign w:val="center"/>
          </w:tcPr>
          <w:p w14:paraId="30CAB9D5">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p>
        </w:tc>
      </w:tr>
      <w:tr w14:paraId="71F91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4"/>
            <w:noWrap w:val="0"/>
            <w:vAlign w:val="center"/>
          </w:tcPr>
          <w:p w14:paraId="181FA5A9">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项目名称</w:t>
            </w:r>
          </w:p>
        </w:tc>
        <w:tc>
          <w:tcPr>
            <w:tcW w:w="1548" w:type="dxa"/>
            <w:gridSpan w:val="2"/>
            <w:noWrap w:val="0"/>
            <w:vAlign w:val="center"/>
          </w:tcPr>
          <w:p w14:paraId="20FD149C">
            <w:pPr>
              <w:jc w:val="center"/>
              <w:rPr>
                <w:color w:val="000000" w:themeColor="text1"/>
                <w:highlight w:val="none"/>
                <w14:textFill>
                  <w14:solidFill>
                    <w14:schemeClr w14:val="tx1"/>
                  </w14:solidFill>
                </w14:textFill>
              </w:rPr>
            </w:pPr>
          </w:p>
        </w:tc>
        <w:tc>
          <w:tcPr>
            <w:tcW w:w="1979" w:type="dxa"/>
            <w:gridSpan w:val="3"/>
            <w:noWrap w:val="0"/>
            <w:vAlign w:val="center"/>
          </w:tcPr>
          <w:p w14:paraId="3DB13D8E">
            <w:pPr>
              <w:jc w:val="center"/>
              <w:rPr>
                <w:color w:val="000000" w:themeColor="text1"/>
                <w:highlight w:val="none"/>
                <w14:textFill>
                  <w14:solidFill>
                    <w14:schemeClr w14:val="tx1"/>
                  </w14:solidFill>
                </w14:textFill>
              </w:rPr>
            </w:pPr>
          </w:p>
        </w:tc>
        <w:tc>
          <w:tcPr>
            <w:tcW w:w="1330" w:type="dxa"/>
            <w:gridSpan w:val="2"/>
            <w:noWrap w:val="0"/>
            <w:vAlign w:val="center"/>
          </w:tcPr>
          <w:p w14:paraId="709D6D9D">
            <w:pPr>
              <w:jc w:val="center"/>
              <w:rPr>
                <w:color w:val="000000" w:themeColor="text1"/>
                <w:highlight w:val="none"/>
                <w14:textFill>
                  <w14:solidFill>
                    <w14:schemeClr w14:val="tx1"/>
                  </w14:solidFill>
                </w14:textFill>
              </w:rPr>
            </w:pPr>
          </w:p>
        </w:tc>
        <w:tc>
          <w:tcPr>
            <w:tcW w:w="1641" w:type="dxa"/>
            <w:gridSpan w:val="4"/>
            <w:noWrap w:val="0"/>
            <w:vAlign w:val="center"/>
          </w:tcPr>
          <w:p w14:paraId="0B5820FC">
            <w:pPr>
              <w:jc w:val="center"/>
              <w:rPr>
                <w:color w:val="000000" w:themeColor="text1"/>
                <w:highlight w:val="none"/>
                <w14:textFill>
                  <w14:solidFill>
                    <w14:schemeClr w14:val="tx1"/>
                  </w14:solidFill>
                </w14:textFill>
              </w:rPr>
            </w:pPr>
          </w:p>
        </w:tc>
        <w:tc>
          <w:tcPr>
            <w:tcW w:w="1484" w:type="dxa"/>
            <w:gridSpan w:val="2"/>
            <w:noWrap w:val="0"/>
            <w:vAlign w:val="center"/>
          </w:tcPr>
          <w:p w14:paraId="451E5BCB">
            <w:pPr>
              <w:jc w:val="center"/>
              <w:rPr>
                <w:color w:val="000000" w:themeColor="text1"/>
                <w:highlight w:val="none"/>
                <w14:textFill>
                  <w14:solidFill>
                    <w14:schemeClr w14:val="tx1"/>
                  </w14:solidFill>
                </w14:textFill>
              </w:rPr>
            </w:pPr>
          </w:p>
        </w:tc>
      </w:tr>
      <w:tr w14:paraId="07002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0"/>
            <w:vAlign w:val="center"/>
          </w:tcPr>
          <w:p w14:paraId="16549242">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建设单位</w:t>
            </w:r>
          </w:p>
        </w:tc>
        <w:tc>
          <w:tcPr>
            <w:tcW w:w="1548" w:type="dxa"/>
            <w:gridSpan w:val="2"/>
            <w:noWrap w:val="0"/>
            <w:vAlign w:val="center"/>
          </w:tcPr>
          <w:p w14:paraId="145E210D">
            <w:pPr>
              <w:jc w:val="center"/>
              <w:rPr>
                <w:color w:val="000000" w:themeColor="text1"/>
                <w:highlight w:val="none"/>
                <w14:textFill>
                  <w14:solidFill>
                    <w14:schemeClr w14:val="tx1"/>
                  </w14:solidFill>
                </w14:textFill>
              </w:rPr>
            </w:pPr>
          </w:p>
        </w:tc>
        <w:tc>
          <w:tcPr>
            <w:tcW w:w="1979" w:type="dxa"/>
            <w:gridSpan w:val="3"/>
            <w:noWrap w:val="0"/>
            <w:vAlign w:val="center"/>
          </w:tcPr>
          <w:p w14:paraId="78343A49">
            <w:pPr>
              <w:jc w:val="center"/>
              <w:rPr>
                <w:color w:val="000000" w:themeColor="text1"/>
                <w:highlight w:val="none"/>
                <w14:textFill>
                  <w14:solidFill>
                    <w14:schemeClr w14:val="tx1"/>
                  </w14:solidFill>
                </w14:textFill>
              </w:rPr>
            </w:pPr>
          </w:p>
        </w:tc>
        <w:tc>
          <w:tcPr>
            <w:tcW w:w="1330" w:type="dxa"/>
            <w:gridSpan w:val="2"/>
            <w:noWrap w:val="0"/>
            <w:vAlign w:val="center"/>
          </w:tcPr>
          <w:p w14:paraId="03B58C8D">
            <w:pPr>
              <w:jc w:val="center"/>
              <w:rPr>
                <w:color w:val="000000" w:themeColor="text1"/>
                <w:highlight w:val="none"/>
                <w14:textFill>
                  <w14:solidFill>
                    <w14:schemeClr w14:val="tx1"/>
                  </w14:solidFill>
                </w14:textFill>
              </w:rPr>
            </w:pPr>
          </w:p>
        </w:tc>
        <w:tc>
          <w:tcPr>
            <w:tcW w:w="1641" w:type="dxa"/>
            <w:gridSpan w:val="4"/>
            <w:noWrap w:val="0"/>
            <w:vAlign w:val="center"/>
          </w:tcPr>
          <w:p w14:paraId="67270A5C">
            <w:pPr>
              <w:jc w:val="center"/>
              <w:rPr>
                <w:color w:val="000000" w:themeColor="text1"/>
                <w:highlight w:val="none"/>
                <w14:textFill>
                  <w14:solidFill>
                    <w14:schemeClr w14:val="tx1"/>
                  </w14:solidFill>
                </w14:textFill>
              </w:rPr>
            </w:pPr>
          </w:p>
        </w:tc>
        <w:tc>
          <w:tcPr>
            <w:tcW w:w="1484" w:type="dxa"/>
            <w:gridSpan w:val="2"/>
            <w:noWrap w:val="0"/>
            <w:vAlign w:val="center"/>
          </w:tcPr>
          <w:p w14:paraId="15387D06">
            <w:pPr>
              <w:jc w:val="center"/>
              <w:rPr>
                <w:color w:val="000000" w:themeColor="text1"/>
                <w:highlight w:val="none"/>
                <w14:textFill>
                  <w14:solidFill>
                    <w14:schemeClr w14:val="tx1"/>
                  </w14:solidFill>
                </w14:textFill>
              </w:rPr>
            </w:pPr>
          </w:p>
        </w:tc>
      </w:tr>
      <w:tr w14:paraId="7DF97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0"/>
            <w:vAlign w:val="center"/>
          </w:tcPr>
          <w:p w14:paraId="58A0526A">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建设规模</w:t>
            </w:r>
          </w:p>
        </w:tc>
        <w:tc>
          <w:tcPr>
            <w:tcW w:w="1548" w:type="dxa"/>
            <w:gridSpan w:val="2"/>
            <w:noWrap w:val="0"/>
            <w:vAlign w:val="center"/>
          </w:tcPr>
          <w:p w14:paraId="522DAA54">
            <w:pPr>
              <w:jc w:val="center"/>
              <w:rPr>
                <w:color w:val="000000" w:themeColor="text1"/>
                <w:highlight w:val="none"/>
                <w14:textFill>
                  <w14:solidFill>
                    <w14:schemeClr w14:val="tx1"/>
                  </w14:solidFill>
                </w14:textFill>
              </w:rPr>
            </w:pPr>
          </w:p>
        </w:tc>
        <w:tc>
          <w:tcPr>
            <w:tcW w:w="1979" w:type="dxa"/>
            <w:gridSpan w:val="3"/>
            <w:noWrap w:val="0"/>
            <w:vAlign w:val="center"/>
          </w:tcPr>
          <w:p w14:paraId="68D54ADC">
            <w:pPr>
              <w:jc w:val="center"/>
              <w:rPr>
                <w:color w:val="000000" w:themeColor="text1"/>
                <w:highlight w:val="none"/>
                <w14:textFill>
                  <w14:solidFill>
                    <w14:schemeClr w14:val="tx1"/>
                  </w14:solidFill>
                </w14:textFill>
              </w:rPr>
            </w:pPr>
          </w:p>
        </w:tc>
        <w:tc>
          <w:tcPr>
            <w:tcW w:w="1330" w:type="dxa"/>
            <w:gridSpan w:val="2"/>
            <w:noWrap w:val="0"/>
            <w:vAlign w:val="center"/>
          </w:tcPr>
          <w:p w14:paraId="35BD79BF">
            <w:pPr>
              <w:jc w:val="center"/>
              <w:rPr>
                <w:color w:val="000000" w:themeColor="text1"/>
                <w:highlight w:val="none"/>
                <w14:textFill>
                  <w14:solidFill>
                    <w14:schemeClr w14:val="tx1"/>
                  </w14:solidFill>
                </w14:textFill>
              </w:rPr>
            </w:pPr>
          </w:p>
        </w:tc>
        <w:tc>
          <w:tcPr>
            <w:tcW w:w="1641" w:type="dxa"/>
            <w:gridSpan w:val="4"/>
            <w:noWrap w:val="0"/>
            <w:vAlign w:val="center"/>
          </w:tcPr>
          <w:p w14:paraId="0EAB0FDE">
            <w:pPr>
              <w:jc w:val="center"/>
              <w:rPr>
                <w:color w:val="000000" w:themeColor="text1"/>
                <w:highlight w:val="none"/>
                <w14:textFill>
                  <w14:solidFill>
                    <w14:schemeClr w14:val="tx1"/>
                  </w14:solidFill>
                </w14:textFill>
              </w:rPr>
            </w:pPr>
          </w:p>
        </w:tc>
        <w:tc>
          <w:tcPr>
            <w:tcW w:w="1484" w:type="dxa"/>
            <w:gridSpan w:val="2"/>
            <w:noWrap w:val="0"/>
            <w:vAlign w:val="center"/>
          </w:tcPr>
          <w:p w14:paraId="5E7D80B7">
            <w:pPr>
              <w:jc w:val="center"/>
              <w:rPr>
                <w:color w:val="000000" w:themeColor="text1"/>
                <w:highlight w:val="none"/>
                <w14:textFill>
                  <w14:solidFill>
                    <w14:schemeClr w14:val="tx1"/>
                  </w14:solidFill>
                </w14:textFill>
              </w:rPr>
            </w:pPr>
          </w:p>
        </w:tc>
      </w:tr>
      <w:tr w14:paraId="05D70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0"/>
            <w:vAlign w:val="center"/>
          </w:tcPr>
          <w:p w14:paraId="153CC56C">
            <w:pPr>
              <w:jc w:val="center"/>
              <w:rPr>
                <w:rFonts w:hint="eastAsia" w:ascii="宋体" w:hAnsi="宋体" w:cs="宋体"/>
                <w:color w:val="000000" w:themeColor="text1"/>
                <w:sz w:val="27"/>
                <w:szCs w:val="27"/>
                <w:highlight w:val="none"/>
                <w:lang w:bidi="ar"/>
                <w14:textFill>
                  <w14:solidFill>
                    <w14:schemeClr w14:val="tx1"/>
                  </w14:solidFill>
                </w14:textFill>
              </w:rPr>
            </w:pPr>
            <w:r>
              <w:rPr>
                <w:rFonts w:hint="eastAsia" w:cs="宋体"/>
                <w:color w:val="000000" w:themeColor="text1"/>
                <w:highlight w:val="none"/>
                <w14:textFill>
                  <w14:solidFill>
                    <w14:schemeClr w14:val="tx1"/>
                  </w14:solidFill>
                </w14:textFill>
              </w:rPr>
              <w:t>开工日期</w:t>
            </w:r>
          </w:p>
        </w:tc>
        <w:tc>
          <w:tcPr>
            <w:tcW w:w="1548" w:type="dxa"/>
            <w:gridSpan w:val="2"/>
            <w:noWrap w:val="0"/>
            <w:vAlign w:val="center"/>
          </w:tcPr>
          <w:p w14:paraId="2D33523E">
            <w:pPr>
              <w:jc w:val="center"/>
              <w:rPr>
                <w:color w:val="000000" w:themeColor="text1"/>
                <w:highlight w:val="none"/>
                <w14:textFill>
                  <w14:solidFill>
                    <w14:schemeClr w14:val="tx1"/>
                  </w14:solidFill>
                </w14:textFill>
              </w:rPr>
            </w:pPr>
          </w:p>
        </w:tc>
        <w:tc>
          <w:tcPr>
            <w:tcW w:w="1979" w:type="dxa"/>
            <w:gridSpan w:val="3"/>
            <w:noWrap w:val="0"/>
            <w:vAlign w:val="center"/>
          </w:tcPr>
          <w:p w14:paraId="2088E4A6">
            <w:pPr>
              <w:jc w:val="center"/>
              <w:rPr>
                <w:color w:val="000000" w:themeColor="text1"/>
                <w:highlight w:val="none"/>
                <w14:textFill>
                  <w14:solidFill>
                    <w14:schemeClr w14:val="tx1"/>
                  </w14:solidFill>
                </w14:textFill>
              </w:rPr>
            </w:pPr>
          </w:p>
        </w:tc>
        <w:tc>
          <w:tcPr>
            <w:tcW w:w="1330" w:type="dxa"/>
            <w:gridSpan w:val="2"/>
            <w:noWrap w:val="0"/>
            <w:vAlign w:val="center"/>
          </w:tcPr>
          <w:p w14:paraId="0F068F75">
            <w:pPr>
              <w:jc w:val="center"/>
              <w:rPr>
                <w:color w:val="000000" w:themeColor="text1"/>
                <w:highlight w:val="none"/>
                <w14:textFill>
                  <w14:solidFill>
                    <w14:schemeClr w14:val="tx1"/>
                  </w14:solidFill>
                </w14:textFill>
              </w:rPr>
            </w:pPr>
          </w:p>
        </w:tc>
        <w:tc>
          <w:tcPr>
            <w:tcW w:w="1641" w:type="dxa"/>
            <w:gridSpan w:val="4"/>
            <w:noWrap w:val="0"/>
            <w:vAlign w:val="center"/>
          </w:tcPr>
          <w:p w14:paraId="5D74B904">
            <w:pPr>
              <w:jc w:val="center"/>
              <w:rPr>
                <w:color w:val="000000" w:themeColor="text1"/>
                <w:highlight w:val="none"/>
                <w14:textFill>
                  <w14:solidFill>
                    <w14:schemeClr w14:val="tx1"/>
                  </w14:solidFill>
                </w14:textFill>
              </w:rPr>
            </w:pPr>
          </w:p>
        </w:tc>
        <w:tc>
          <w:tcPr>
            <w:tcW w:w="1484" w:type="dxa"/>
            <w:gridSpan w:val="2"/>
            <w:noWrap w:val="0"/>
            <w:vAlign w:val="center"/>
          </w:tcPr>
          <w:p w14:paraId="63DBF44A">
            <w:pPr>
              <w:jc w:val="center"/>
              <w:rPr>
                <w:color w:val="000000" w:themeColor="text1"/>
                <w:highlight w:val="none"/>
                <w14:textFill>
                  <w14:solidFill>
                    <w14:schemeClr w14:val="tx1"/>
                  </w14:solidFill>
                </w14:textFill>
              </w:rPr>
            </w:pPr>
          </w:p>
        </w:tc>
      </w:tr>
      <w:tr w14:paraId="220A8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0"/>
            <w:vAlign w:val="center"/>
          </w:tcPr>
          <w:p w14:paraId="3F4E544F">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竣工日期</w:t>
            </w:r>
          </w:p>
        </w:tc>
        <w:tc>
          <w:tcPr>
            <w:tcW w:w="1548" w:type="dxa"/>
            <w:gridSpan w:val="2"/>
            <w:noWrap w:val="0"/>
            <w:vAlign w:val="center"/>
          </w:tcPr>
          <w:p w14:paraId="0B304294">
            <w:pPr>
              <w:jc w:val="center"/>
              <w:rPr>
                <w:color w:val="000000" w:themeColor="text1"/>
                <w:highlight w:val="none"/>
                <w14:textFill>
                  <w14:solidFill>
                    <w14:schemeClr w14:val="tx1"/>
                  </w14:solidFill>
                </w14:textFill>
              </w:rPr>
            </w:pPr>
          </w:p>
        </w:tc>
        <w:tc>
          <w:tcPr>
            <w:tcW w:w="1979" w:type="dxa"/>
            <w:gridSpan w:val="3"/>
            <w:noWrap w:val="0"/>
            <w:vAlign w:val="center"/>
          </w:tcPr>
          <w:p w14:paraId="4FAF9F27">
            <w:pPr>
              <w:jc w:val="center"/>
              <w:rPr>
                <w:color w:val="000000" w:themeColor="text1"/>
                <w:highlight w:val="none"/>
                <w14:textFill>
                  <w14:solidFill>
                    <w14:schemeClr w14:val="tx1"/>
                  </w14:solidFill>
                </w14:textFill>
              </w:rPr>
            </w:pPr>
          </w:p>
        </w:tc>
        <w:tc>
          <w:tcPr>
            <w:tcW w:w="1330" w:type="dxa"/>
            <w:gridSpan w:val="2"/>
            <w:noWrap w:val="0"/>
            <w:vAlign w:val="center"/>
          </w:tcPr>
          <w:p w14:paraId="18D81B31">
            <w:pPr>
              <w:jc w:val="center"/>
              <w:rPr>
                <w:color w:val="000000" w:themeColor="text1"/>
                <w:highlight w:val="none"/>
                <w14:textFill>
                  <w14:solidFill>
                    <w14:schemeClr w14:val="tx1"/>
                  </w14:solidFill>
                </w14:textFill>
              </w:rPr>
            </w:pPr>
          </w:p>
        </w:tc>
        <w:tc>
          <w:tcPr>
            <w:tcW w:w="1641" w:type="dxa"/>
            <w:gridSpan w:val="4"/>
            <w:noWrap w:val="0"/>
            <w:vAlign w:val="center"/>
          </w:tcPr>
          <w:p w14:paraId="7EB1D3D8">
            <w:pPr>
              <w:jc w:val="center"/>
              <w:rPr>
                <w:color w:val="000000" w:themeColor="text1"/>
                <w:highlight w:val="none"/>
                <w14:textFill>
                  <w14:solidFill>
                    <w14:schemeClr w14:val="tx1"/>
                  </w14:solidFill>
                </w14:textFill>
              </w:rPr>
            </w:pPr>
          </w:p>
        </w:tc>
        <w:tc>
          <w:tcPr>
            <w:tcW w:w="1484" w:type="dxa"/>
            <w:gridSpan w:val="2"/>
            <w:noWrap w:val="0"/>
            <w:vAlign w:val="center"/>
          </w:tcPr>
          <w:p w14:paraId="25E83D45">
            <w:pPr>
              <w:jc w:val="center"/>
              <w:rPr>
                <w:color w:val="000000" w:themeColor="text1"/>
                <w:highlight w:val="none"/>
                <w14:textFill>
                  <w14:solidFill>
                    <w14:schemeClr w14:val="tx1"/>
                  </w14:solidFill>
                </w14:textFill>
              </w:rPr>
            </w:pPr>
          </w:p>
        </w:tc>
      </w:tr>
      <w:tr w14:paraId="4D996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0"/>
            <w:vAlign w:val="center"/>
          </w:tcPr>
          <w:p w14:paraId="402C7BC4">
            <w:pPr>
              <w:jc w:val="center"/>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人员角色</w:t>
            </w:r>
          </w:p>
        </w:tc>
        <w:tc>
          <w:tcPr>
            <w:tcW w:w="1548" w:type="dxa"/>
            <w:gridSpan w:val="2"/>
            <w:noWrap w:val="0"/>
            <w:vAlign w:val="center"/>
          </w:tcPr>
          <w:p w14:paraId="4F147B91">
            <w:pPr>
              <w:jc w:val="center"/>
              <w:rPr>
                <w:color w:val="000000" w:themeColor="text1"/>
                <w:highlight w:val="none"/>
                <w14:textFill>
                  <w14:solidFill>
                    <w14:schemeClr w14:val="tx1"/>
                  </w14:solidFill>
                </w14:textFill>
              </w:rPr>
            </w:pPr>
          </w:p>
        </w:tc>
        <w:tc>
          <w:tcPr>
            <w:tcW w:w="1979" w:type="dxa"/>
            <w:gridSpan w:val="3"/>
            <w:noWrap w:val="0"/>
            <w:vAlign w:val="center"/>
          </w:tcPr>
          <w:p w14:paraId="5663FF07">
            <w:pPr>
              <w:jc w:val="center"/>
              <w:rPr>
                <w:color w:val="000000" w:themeColor="text1"/>
                <w:highlight w:val="none"/>
                <w14:textFill>
                  <w14:solidFill>
                    <w14:schemeClr w14:val="tx1"/>
                  </w14:solidFill>
                </w14:textFill>
              </w:rPr>
            </w:pPr>
          </w:p>
        </w:tc>
        <w:tc>
          <w:tcPr>
            <w:tcW w:w="1330" w:type="dxa"/>
            <w:gridSpan w:val="2"/>
            <w:noWrap w:val="0"/>
            <w:vAlign w:val="center"/>
          </w:tcPr>
          <w:p w14:paraId="6BDC9E1E">
            <w:pPr>
              <w:jc w:val="center"/>
              <w:rPr>
                <w:color w:val="000000" w:themeColor="text1"/>
                <w:highlight w:val="none"/>
                <w14:textFill>
                  <w14:solidFill>
                    <w14:schemeClr w14:val="tx1"/>
                  </w14:solidFill>
                </w14:textFill>
              </w:rPr>
            </w:pPr>
          </w:p>
        </w:tc>
        <w:tc>
          <w:tcPr>
            <w:tcW w:w="1641" w:type="dxa"/>
            <w:gridSpan w:val="4"/>
            <w:noWrap w:val="0"/>
            <w:vAlign w:val="center"/>
          </w:tcPr>
          <w:p w14:paraId="4502304F">
            <w:pPr>
              <w:jc w:val="center"/>
              <w:rPr>
                <w:color w:val="000000" w:themeColor="text1"/>
                <w:highlight w:val="none"/>
                <w14:textFill>
                  <w14:solidFill>
                    <w14:schemeClr w14:val="tx1"/>
                  </w14:solidFill>
                </w14:textFill>
              </w:rPr>
            </w:pPr>
          </w:p>
        </w:tc>
        <w:tc>
          <w:tcPr>
            <w:tcW w:w="1484" w:type="dxa"/>
            <w:gridSpan w:val="2"/>
            <w:noWrap w:val="0"/>
            <w:vAlign w:val="center"/>
          </w:tcPr>
          <w:p w14:paraId="42783D84">
            <w:pPr>
              <w:jc w:val="center"/>
              <w:rPr>
                <w:color w:val="000000" w:themeColor="text1"/>
                <w:highlight w:val="none"/>
                <w14:textFill>
                  <w14:solidFill>
                    <w14:schemeClr w14:val="tx1"/>
                  </w14:solidFill>
                </w14:textFill>
              </w:rPr>
            </w:pPr>
          </w:p>
        </w:tc>
      </w:tr>
      <w:tr w14:paraId="674C5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0"/>
            <w:vAlign w:val="center"/>
          </w:tcPr>
          <w:p w14:paraId="52082169">
            <w:pPr>
              <w:jc w:val="center"/>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在建或已完</w:t>
            </w:r>
          </w:p>
        </w:tc>
        <w:tc>
          <w:tcPr>
            <w:tcW w:w="1548" w:type="dxa"/>
            <w:gridSpan w:val="2"/>
            <w:noWrap w:val="0"/>
            <w:vAlign w:val="center"/>
          </w:tcPr>
          <w:p w14:paraId="173153FC">
            <w:pPr>
              <w:jc w:val="center"/>
              <w:rPr>
                <w:color w:val="000000" w:themeColor="text1"/>
                <w:highlight w:val="none"/>
                <w14:textFill>
                  <w14:solidFill>
                    <w14:schemeClr w14:val="tx1"/>
                  </w14:solidFill>
                </w14:textFill>
              </w:rPr>
            </w:pPr>
          </w:p>
        </w:tc>
        <w:tc>
          <w:tcPr>
            <w:tcW w:w="1979" w:type="dxa"/>
            <w:gridSpan w:val="3"/>
            <w:noWrap w:val="0"/>
            <w:vAlign w:val="center"/>
          </w:tcPr>
          <w:p w14:paraId="3311F66C">
            <w:pPr>
              <w:jc w:val="center"/>
              <w:rPr>
                <w:color w:val="000000" w:themeColor="text1"/>
                <w:highlight w:val="none"/>
                <w14:textFill>
                  <w14:solidFill>
                    <w14:schemeClr w14:val="tx1"/>
                  </w14:solidFill>
                </w14:textFill>
              </w:rPr>
            </w:pPr>
          </w:p>
        </w:tc>
        <w:tc>
          <w:tcPr>
            <w:tcW w:w="1330" w:type="dxa"/>
            <w:gridSpan w:val="2"/>
            <w:noWrap w:val="0"/>
            <w:vAlign w:val="center"/>
          </w:tcPr>
          <w:p w14:paraId="02C6A6FD">
            <w:pPr>
              <w:jc w:val="center"/>
              <w:rPr>
                <w:color w:val="000000" w:themeColor="text1"/>
                <w:highlight w:val="none"/>
                <w14:textFill>
                  <w14:solidFill>
                    <w14:schemeClr w14:val="tx1"/>
                  </w14:solidFill>
                </w14:textFill>
              </w:rPr>
            </w:pPr>
          </w:p>
        </w:tc>
        <w:tc>
          <w:tcPr>
            <w:tcW w:w="1641" w:type="dxa"/>
            <w:gridSpan w:val="4"/>
            <w:noWrap w:val="0"/>
            <w:vAlign w:val="center"/>
          </w:tcPr>
          <w:p w14:paraId="15779E25">
            <w:pPr>
              <w:jc w:val="center"/>
              <w:rPr>
                <w:color w:val="000000" w:themeColor="text1"/>
                <w:highlight w:val="none"/>
                <w14:textFill>
                  <w14:solidFill>
                    <w14:schemeClr w14:val="tx1"/>
                  </w14:solidFill>
                </w14:textFill>
              </w:rPr>
            </w:pPr>
          </w:p>
        </w:tc>
        <w:tc>
          <w:tcPr>
            <w:tcW w:w="1484" w:type="dxa"/>
            <w:gridSpan w:val="2"/>
            <w:noWrap w:val="0"/>
            <w:vAlign w:val="center"/>
          </w:tcPr>
          <w:p w14:paraId="29D46B46">
            <w:pPr>
              <w:jc w:val="center"/>
              <w:rPr>
                <w:color w:val="000000" w:themeColor="text1"/>
                <w:highlight w:val="none"/>
                <w14:textFill>
                  <w14:solidFill>
                    <w14:schemeClr w14:val="tx1"/>
                  </w14:solidFill>
                </w14:textFill>
              </w:rPr>
            </w:pPr>
          </w:p>
        </w:tc>
      </w:tr>
      <w:tr w14:paraId="206F2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0"/>
            <w:vAlign w:val="center"/>
          </w:tcPr>
          <w:p w14:paraId="6140E0C2">
            <w:pPr>
              <w:jc w:val="center"/>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工程质量</w:t>
            </w:r>
          </w:p>
        </w:tc>
        <w:tc>
          <w:tcPr>
            <w:tcW w:w="1548" w:type="dxa"/>
            <w:gridSpan w:val="2"/>
            <w:noWrap w:val="0"/>
            <w:vAlign w:val="center"/>
          </w:tcPr>
          <w:p w14:paraId="016DCAD5">
            <w:pPr>
              <w:jc w:val="center"/>
              <w:rPr>
                <w:color w:val="000000" w:themeColor="text1"/>
                <w:highlight w:val="none"/>
                <w14:textFill>
                  <w14:solidFill>
                    <w14:schemeClr w14:val="tx1"/>
                  </w14:solidFill>
                </w14:textFill>
              </w:rPr>
            </w:pPr>
          </w:p>
        </w:tc>
        <w:tc>
          <w:tcPr>
            <w:tcW w:w="1979" w:type="dxa"/>
            <w:gridSpan w:val="3"/>
            <w:noWrap w:val="0"/>
            <w:vAlign w:val="center"/>
          </w:tcPr>
          <w:p w14:paraId="75F34A6B">
            <w:pPr>
              <w:jc w:val="center"/>
              <w:rPr>
                <w:color w:val="000000" w:themeColor="text1"/>
                <w:highlight w:val="none"/>
                <w14:textFill>
                  <w14:solidFill>
                    <w14:schemeClr w14:val="tx1"/>
                  </w14:solidFill>
                </w14:textFill>
              </w:rPr>
            </w:pPr>
          </w:p>
        </w:tc>
        <w:tc>
          <w:tcPr>
            <w:tcW w:w="1330" w:type="dxa"/>
            <w:gridSpan w:val="2"/>
            <w:noWrap w:val="0"/>
            <w:vAlign w:val="center"/>
          </w:tcPr>
          <w:p w14:paraId="62A2C4F2">
            <w:pPr>
              <w:jc w:val="center"/>
              <w:rPr>
                <w:color w:val="000000" w:themeColor="text1"/>
                <w:highlight w:val="none"/>
                <w14:textFill>
                  <w14:solidFill>
                    <w14:schemeClr w14:val="tx1"/>
                  </w14:solidFill>
                </w14:textFill>
              </w:rPr>
            </w:pPr>
          </w:p>
        </w:tc>
        <w:tc>
          <w:tcPr>
            <w:tcW w:w="1641" w:type="dxa"/>
            <w:gridSpan w:val="4"/>
            <w:noWrap w:val="0"/>
            <w:vAlign w:val="center"/>
          </w:tcPr>
          <w:p w14:paraId="32D78C6D">
            <w:pPr>
              <w:jc w:val="center"/>
              <w:rPr>
                <w:color w:val="000000" w:themeColor="text1"/>
                <w:highlight w:val="none"/>
                <w14:textFill>
                  <w14:solidFill>
                    <w14:schemeClr w14:val="tx1"/>
                  </w14:solidFill>
                </w14:textFill>
              </w:rPr>
            </w:pPr>
          </w:p>
        </w:tc>
        <w:tc>
          <w:tcPr>
            <w:tcW w:w="1484" w:type="dxa"/>
            <w:gridSpan w:val="2"/>
            <w:noWrap w:val="0"/>
            <w:vAlign w:val="center"/>
          </w:tcPr>
          <w:p w14:paraId="1E7D5DB4">
            <w:pPr>
              <w:jc w:val="center"/>
              <w:rPr>
                <w:color w:val="000000" w:themeColor="text1"/>
                <w:highlight w:val="none"/>
                <w14:textFill>
                  <w14:solidFill>
                    <w14:schemeClr w14:val="tx1"/>
                  </w14:solidFill>
                </w14:textFill>
              </w:rPr>
            </w:pPr>
          </w:p>
        </w:tc>
      </w:tr>
      <w:tr w14:paraId="06EF5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0"/>
            <w:vAlign w:val="center"/>
          </w:tcPr>
          <w:p w14:paraId="28E56753">
            <w:pPr>
              <w:jc w:val="center"/>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受奖情况</w:t>
            </w:r>
          </w:p>
        </w:tc>
        <w:tc>
          <w:tcPr>
            <w:tcW w:w="1548" w:type="dxa"/>
            <w:gridSpan w:val="2"/>
            <w:noWrap w:val="0"/>
            <w:vAlign w:val="center"/>
          </w:tcPr>
          <w:p w14:paraId="71E39862">
            <w:pPr>
              <w:jc w:val="center"/>
              <w:rPr>
                <w:color w:val="000000" w:themeColor="text1"/>
                <w:highlight w:val="none"/>
                <w14:textFill>
                  <w14:solidFill>
                    <w14:schemeClr w14:val="tx1"/>
                  </w14:solidFill>
                </w14:textFill>
              </w:rPr>
            </w:pPr>
          </w:p>
        </w:tc>
        <w:tc>
          <w:tcPr>
            <w:tcW w:w="1979" w:type="dxa"/>
            <w:gridSpan w:val="3"/>
            <w:noWrap w:val="0"/>
            <w:vAlign w:val="center"/>
          </w:tcPr>
          <w:p w14:paraId="6914C0C4">
            <w:pPr>
              <w:jc w:val="center"/>
              <w:rPr>
                <w:color w:val="000000" w:themeColor="text1"/>
                <w:highlight w:val="none"/>
                <w14:textFill>
                  <w14:solidFill>
                    <w14:schemeClr w14:val="tx1"/>
                  </w14:solidFill>
                </w14:textFill>
              </w:rPr>
            </w:pPr>
          </w:p>
        </w:tc>
        <w:tc>
          <w:tcPr>
            <w:tcW w:w="1330" w:type="dxa"/>
            <w:gridSpan w:val="2"/>
            <w:noWrap w:val="0"/>
            <w:vAlign w:val="center"/>
          </w:tcPr>
          <w:p w14:paraId="7320AD3C">
            <w:pPr>
              <w:jc w:val="center"/>
              <w:rPr>
                <w:color w:val="000000" w:themeColor="text1"/>
                <w:highlight w:val="none"/>
                <w14:textFill>
                  <w14:solidFill>
                    <w14:schemeClr w14:val="tx1"/>
                  </w14:solidFill>
                </w14:textFill>
              </w:rPr>
            </w:pPr>
          </w:p>
        </w:tc>
        <w:tc>
          <w:tcPr>
            <w:tcW w:w="1641" w:type="dxa"/>
            <w:gridSpan w:val="4"/>
            <w:noWrap w:val="0"/>
            <w:vAlign w:val="center"/>
          </w:tcPr>
          <w:p w14:paraId="2D3B6CB7">
            <w:pPr>
              <w:jc w:val="center"/>
              <w:rPr>
                <w:color w:val="000000" w:themeColor="text1"/>
                <w:highlight w:val="none"/>
                <w14:textFill>
                  <w14:solidFill>
                    <w14:schemeClr w14:val="tx1"/>
                  </w14:solidFill>
                </w14:textFill>
              </w:rPr>
            </w:pPr>
          </w:p>
        </w:tc>
        <w:tc>
          <w:tcPr>
            <w:tcW w:w="1484" w:type="dxa"/>
            <w:gridSpan w:val="2"/>
            <w:noWrap w:val="0"/>
            <w:vAlign w:val="center"/>
          </w:tcPr>
          <w:p w14:paraId="4C39D168">
            <w:pPr>
              <w:jc w:val="center"/>
              <w:rPr>
                <w:color w:val="000000" w:themeColor="text1"/>
                <w:highlight w:val="none"/>
                <w14:textFill>
                  <w14:solidFill>
                    <w14:schemeClr w14:val="tx1"/>
                  </w14:solidFill>
                </w14:textFill>
              </w:rPr>
            </w:pPr>
          </w:p>
        </w:tc>
      </w:tr>
    </w:tbl>
    <w:p w14:paraId="6CF51719">
      <w:pPr>
        <w:rPr>
          <w:rFonts w:ascii="宋体" w:hAnsi="宋体"/>
          <w:color w:val="000000" w:themeColor="text1"/>
          <w:szCs w:val="21"/>
          <w:highlight w:val="none"/>
          <w14:textFill>
            <w14:solidFill>
              <w14:schemeClr w14:val="tx1"/>
            </w14:solidFill>
          </w14:textFill>
        </w:rPr>
      </w:pPr>
      <w:r>
        <w:rPr>
          <w:rFonts w:hint="eastAsia" w:ascii="宋体" w:hAnsi="宋体" w:cs="楷体_GB2312"/>
          <w:color w:val="000000" w:themeColor="text1"/>
          <w:szCs w:val="21"/>
          <w:highlight w:val="none"/>
          <w14:textFill>
            <w14:solidFill>
              <w14:schemeClr w14:val="tx1"/>
            </w14:solidFill>
          </w14:textFill>
        </w:rPr>
        <w:t>备注：</w:t>
      </w:r>
    </w:p>
    <w:p w14:paraId="5D1647B4">
      <w:pPr>
        <w:spacing w:line="360" w:lineRule="auto"/>
        <w:ind w:firstLine="42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1.项目</w:t>
      </w:r>
      <w:r>
        <w:rPr>
          <w:rFonts w:ascii="宋体" w:hAnsi="宋体"/>
          <w:color w:val="000000" w:themeColor="text1"/>
          <w:szCs w:val="21"/>
          <w:highlight w:val="none"/>
          <w14:textFill>
            <w14:solidFill>
              <w14:schemeClr w14:val="tx1"/>
            </w14:solidFill>
          </w14:textFill>
        </w:rPr>
        <w:t>数</w:t>
      </w:r>
      <w:r>
        <w:rPr>
          <w:rFonts w:hint="eastAsia" w:ascii="宋体" w:hAnsi="宋体"/>
          <w:color w:val="000000" w:themeColor="text1"/>
          <w:szCs w:val="21"/>
          <w:highlight w:val="none"/>
          <w14:textFill>
            <w14:solidFill>
              <w14:schemeClr w14:val="tx1"/>
            </w14:solidFill>
          </w14:textFill>
        </w:rPr>
        <w:t>可</w:t>
      </w:r>
      <w:r>
        <w:rPr>
          <w:rFonts w:ascii="宋体" w:hAnsi="宋体"/>
          <w:color w:val="000000" w:themeColor="text1"/>
          <w:szCs w:val="21"/>
          <w:highlight w:val="none"/>
          <w14:textFill>
            <w14:solidFill>
              <w14:schemeClr w14:val="tx1"/>
            </w14:solidFill>
          </w14:textFill>
        </w:rPr>
        <w:t>以根据需要增加</w:t>
      </w:r>
      <w:r>
        <w:rPr>
          <w:rFonts w:hint="eastAsia" w:ascii="宋体" w:hAnsi="宋体"/>
          <w:color w:val="000000" w:themeColor="text1"/>
          <w:szCs w:val="21"/>
          <w:highlight w:val="none"/>
          <w14:textFill>
            <w14:solidFill>
              <w14:schemeClr w14:val="tx1"/>
            </w14:solidFill>
          </w14:textFill>
        </w:rPr>
        <w:t>。</w:t>
      </w:r>
    </w:p>
    <w:p w14:paraId="0E8AFD4D">
      <w:pPr>
        <w:spacing w:line="360" w:lineRule="auto"/>
        <w:ind w:firstLine="42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2.本表后附项目经理的学历证、安全生产考核合格证（B类）、本表所列证书复印件并加盖供应商电子签章。</w:t>
      </w:r>
    </w:p>
    <w:p w14:paraId="549A8133">
      <w:pPr>
        <w:spacing w:before="156"/>
        <w:ind w:firstLine="643"/>
        <w:jc w:val="center"/>
        <w:rPr>
          <w:color w:val="000000" w:themeColor="text1"/>
          <w:sz w:val="28"/>
          <w:szCs w:val="28"/>
          <w:highlight w:val="none"/>
          <w:u w:val="single"/>
          <w14:textFill>
            <w14:solidFill>
              <w14:schemeClr w14:val="tx1"/>
            </w14:solidFill>
          </w14:textFill>
        </w:rPr>
      </w:pPr>
      <w:r>
        <w:rPr>
          <w:rFonts w:cs="宋体"/>
          <w:b/>
          <w:color w:val="000000" w:themeColor="text1"/>
          <w:sz w:val="32"/>
          <w:szCs w:val="32"/>
          <w:highlight w:val="none"/>
          <w14:textFill>
            <w14:solidFill>
              <w14:schemeClr w14:val="tx1"/>
            </w14:solidFill>
          </w14:textFill>
        </w:rPr>
        <w:br w:type="page" w:clear="all"/>
      </w:r>
      <w:r>
        <w:rPr>
          <w:rFonts w:hint="eastAsia" w:cs="宋体"/>
          <w:b/>
          <w:color w:val="000000" w:themeColor="text1"/>
          <w:sz w:val="28"/>
          <w:szCs w:val="28"/>
          <w:highlight w:val="none"/>
          <w14:textFill>
            <w14:solidFill>
              <w14:schemeClr w14:val="tx1"/>
            </w14:solidFill>
          </w14:textFill>
        </w:rPr>
        <w:t>项目技术负责人（项目总工）简历表</w:t>
      </w:r>
    </w:p>
    <w:tbl>
      <w:tblPr>
        <w:tblStyle w:val="45"/>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
        <w:gridCol w:w="1154"/>
        <w:gridCol w:w="164"/>
        <w:gridCol w:w="300"/>
        <w:gridCol w:w="888"/>
        <w:gridCol w:w="660"/>
        <w:gridCol w:w="328"/>
        <w:gridCol w:w="234"/>
        <w:gridCol w:w="1417"/>
        <w:gridCol w:w="242"/>
        <w:gridCol w:w="1088"/>
        <w:gridCol w:w="88"/>
        <w:gridCol w:w="409"/>
        <w:gridCol w:w="1108"/>
        <w:gridCol w:w="36"/>
        <w:gridCol w:w="79"/>
        <w:gridCol w:w="1405"/>
        <w:gridCol w:w="11"/>
      </w:tblGrid>
      <w:tr w14:paraId="52678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154" w:type="dxa"/>
            <w:noWrap w:val="0"/>
            <w:vAlign w:val="center"/>
          </w:tcPr>
          <w:p w14:paraId="564354FF">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姓名</w:t>
            </w:r>
          </w:p>
        </w:tc>
        <w:tc>
          <w:tcPr>
            <w:tcW w:w="2340" w:type="dxa"/>
            <w:gridSpan w:val="5"/>
            <w:noWrap w:val="0"/>
            <w:vAlign w:val="center"/>
          </w:tcPr>
          <w:p w14:paraId="4132A903">
            <w:pPr>
              <w:jc w:val="center"/>
              <w:rPr>
                <w:color w:val="000000" w:themeColor="text1"/>
                <w:highlight w:val="none"/>
                <w14:textFill>
                  <w14:solidFill>
                    <w14:schemeClr w14:val="tx1"/>
                  </w14:solidFill>
                </w14:textFill>
              </w:rPr>
            </w:pPr>
          </w:p>
        </w:tc>
        <w:tc>
          <w:tcPr>
            <w:tcW w:w="1893" w:type="dxa"/>
            <w:gridSpan w:val="3"/>
            <w:noWrap w:val="0"/>
            <w:vAlign w:val="center"/>
          </w:tcPr>
          <w:p w14:paraId="03678A03">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性别</w:t>
            </w:r>
          </w:p>
        </w:tc>
        <w:tc>
          <w:tcPr>
            <w:tcW w:w="1585" w:type="dxa"/>
            <w:gridSpan w:val="3"/>
            <w:noWrap w:val="0"/>
            <w:vAlign w:val="center"/>
          </w:tcPr>
          <w:p w14:paraId="2D211192">
            <w:pPr>
              <w:jc w:val="center"/>
              <w:rPr>
                <w:color w:val="000000" w:themeColor="text1"/>
                <w:highlight w:val="none"/>
                <w14:textFill>
                  <w14:solidFill>
                    <w14:schemeClr w14:val="tx1"/>
                  </w14:solidFill>
                </w14:textFill>
              </w:rPr>
            </w:pPr>
          </w:p>
        </w:tc>
        <w:tc>
          <w:tcPr>
            <w:tcW w:w="1108" w:type="dxa"/>
            <w:noWrap w:val="0"/>
            <w:vAlign w:val="center"/>
          </w:tcPr>
          <w:p w14:paraId="1AA611B2">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年龄</w:t>
            </w:r>
          </w:p>
        </w:tc>
        <w:tc>
          <w:tcPr>
            <w:tcW w:w="1531" w:type="dxa"/>
            <w:gridSpan w:val="4"/>
            <w:noWrap w:val="0"/>
            <w:vAlign w:val="center"/>
          </w:tcPr>
          <w:p w14:paraId="788E5429">
            <w:pPr>
              <w:jc w:val="center"/>
              <w:rPr>
                <w:color w:val="000000" w:themeColor="text1"/>
                <w:highlight w:val="none"/>
                <w14:textFill>
                  <w14:solidFill>
                    <w14:schemeClr w14:val="tx1"/>
                  </w14:solidFill>
                </w14:textFill>
              </w:rPr>
            </w:pPr>
          </w:p>
        </w:tc>
      </w:tr>
      <w:tr w14:paraId="72FA7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54" w:type="dxa"/>
            <w:noWrap w:val="0"/>
            <w:vAlign w:val="center"/>
          </w:tcPr>
          <w:p w14:paraId="3429C20C">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岗位</w:t>
            </w:r>
          </w:p>
        </w:tc>
        <w:tc>
          <w:tcPr>
            <w:tcW w:w="2340" w:type="dxa"/>
            <w:gridSpan w:val="5"/>
            <w:noWrap w:val="0"/>
            <w:vAlign w:val="center"/>
          </w:tcPr>
          <w:p w14:paraId="5839A5E6">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项目技术负责人（项目总工）</w:t>
            </w:r>
          </w:p>
        </w:tc>
        <w:tc>
          <w:tcPr>
            <w:tcW w:w="1893" w:type="dxa"/>
            <w:gridSpan w:val="3"/>
            <w:noWrap w:val="0"/>
            <w:vAlign w:val="center"/>
          </w:tcPr>
          <w:p w14:paraId="33FCD0A0">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职称</w:t>
            </w:r>
          </w:p>
        </w:tc>
        <w:tc>
          <w:tcPr>
            <w:tcW w:w="1585" w:type="dxa"/>
            <w:gridSpan w:val="3"/>
            <w:noWrap w:val="0"/>
            <w:vAlign w:val="center"/>
          </w:tcPr>
          <w:p w14:paraId="50A7C591">
            <w:pPr>
              <w:jc w:val="center"/>
              <w:rPr>
                <w:color w:val="000000" w:themeColor="text1"/>
                <w:highlight w:val="none"/>
                <w14:textFill>
                  <w14:solidFill>
                    <w14:schemeClr w14:val="tx1"/>
                  </w14:solidFill>
                </w14:textFill>
              </w:rPr>
            </w:pPr>
          </w:p>
        </w:tc>
        <w:tc>
          <w:tcPr>
            <w:tcW w:w="1108" w:type="dxa"/>
            <w:noWrap w:val="0"/>
            <w:vAlign w:val="center"/>
          </w:tcPr>
          <w:p w14:paraId="6B2999E6">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学历</w:t>
            </w:r>
          </w:p>
        </w:tc>
        <w:tc>
          <w:tcPr>
            <w:tcW w:w="1531" w:type="dxa"/>
            <w:gridSpan w:val="4"/>
            <w:noWrap w:val="0"/>
            <w:vAlign w:val="center"/>
          </w:tcPr>
          <w:p w14:paraId="4AB06F82">
            <w:pPr>
              <w:jc w:val="center"/>
              <w:rPr>
                <w:color w:val="000000" w:themeColor="text1"/>
                <w:highlight w:val="none"/>
                <w14:textFill>
                  <w14:solidFill>
                    <w14:schemeClr w14:val="tx1"/>
                  </w14:solidFill>
                </w14:textFill>
              </w:rPr>
            </w:pPr>
          </w:p>
        </w:tc>
      </w:tr>
      <w:tr w14:paraId="3B45F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54" w:type="dxa"/>
            <w:noWrap w:val="0"/>
            <w:vAlign w:val="center"/>
          </w:tcPr>
          <w:p w14:paraId="7493A627">
            <w:pPr>
              <w:jc w:val="center"/>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从业开始时间</w:t>
            </w:r>
          </w:p>
        </w:tc>
        <w:tc>
          <w:tcPr>
            <w:tcW w:w="2340" w:type="dxa"/>
            <w:gridSpan w:val="5"/>
            <w:noWrap w:val="0"/>
            <w:vAlign w:val="center"/>
          </w:tcPr>
          <w:p w14:paraId="2D2787A2">
            <w:pPr>
              <w:jc w:val="center"/>
              <w:rPr>
                <w:color w:val="000000" w:themeColor="text1"/>
                <w:highlight w:val="none"/>
                <w14:textFill>
                  <w14:solidFill>
                    <w14:schemeClr w14:val="tx1"/>
                  </w14:solidFill>
                </w14:textFill>
              </w:rPr>
            </w:pPr>
          </w:p>
        </w:tc>
        <w:tc>
          <w:tcPr>
            <w:tcW w:w="1893" w:type="dxa"/>
            <w:gridSpan w:val="3"/>
            <w:noWrap w:val="0"/>
            <w:vAlign w:val="center"/>
          </w:tcPr>
          <w:p w14:paraId="58F232BF">
            <w:pPr>
              <w:jc w:val="center"/>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职称</w:t>
            </w:r>
            <w:r>
              <w:rPr>
                <w:rFonts w:cs="宋体"/>
                <w:color w:val="000000" w:themeColor="text1"/>
                <w:highlight w:val="none"/>
                <w14:textFill>
                  <w14:solidFill>
                    <w14:schemeClr w14:val="tx1"/>
                  </w14:solidFill>
                </w14:textFill>
              </w:rPr>
              <w:t>获</w:t>
            </w:r>
            <w:r>
              <w:rPr>
                <w:rFonts w:hint="eastAsia" w:cs="宋体"/>
                <w:color w:val="000000" w:themeColor="text1"/>
                <w:highlight w:val="none"/>
                <w14:textFill>
                  <w14:solidFill>
                    <w14:schemeClr w14:val="tx1"/>
                  </w14:solidFill>
                </w14:textFill>
              </w:rPr>
              <w:t>得</w:t>
            </w:r>
            <w:r>
              <w:rPr>
                <w:rFonts w:cs="宋体"/>
                <w:color w:val="000000" w:themeColor="text1"/>
                <w:highlight w:val="none"/>
                <w14:textFill>
                  <w14:solidFill>
                    <w14:schemeClr w14:val="tx1"/>
                  </w14:solidFill>
                </w14:textFill>
              </w:rPr>
              <w:t>时间</w:t>
            </w:r>
          </w:p>
        </w:tc>
        <w:tc>
          <w:tcPr>
            <w:tcW w:w="1585" w:type="dxa"/>
            <w:gridSpan w:val="3"/>
            <w:noWrap w:val="0"/>
            <w:vAlign w:val="center"/>
          </w:tcPr>
          <w:p w14:paraId="20734D3E">
            <w:pPr>
              <w:jc w:val="center"/>
              <w:rPr>
                <w:color w:val="000000" w:themeColor="text1"/>
                <w:highlight w:val="none"/>
                <w14:textFill>
                  <w14:solidFill>
                    <w14:schemeClr w14:val="tx1"/>
                  </w14:solidFill>
                </w14:textFill>
              </w:rPr>
            </w:pPr>
          </w:p>
        </w:tc>
        <w:tc>
          <w:tcPr>
            <w:tcW w:w="1108" w:type="dxa"/>
            <w:noWrap w:val="0"/>
            <w:vAlign w:val="center"/>
          </w:tcPr>
          <w:p w14:paraId="0DD66A68">
            <w:pPr>
              <w:jc w:val="center"/>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毕业时间</w:t>
            </w:r>
          </w:p>
        </w:tc>
        <w:tc>
          <w:tcPr>
            <w:tcW w:w="1531" w:type="dxa"/>
            <w:gridSpan w:val="4"/>
            <w:noWrap w:val="0"/>
            <w:vAlign w:val="center"/>
          </w:tcPr>
          <w:p w14:paraId="5A6CC2BF">
            <w:pPr>
              <w:jc w:val="center"/>
              <w:rPr>
                <w:color w:val="000000" w:themeColor="text1"/>
                <w:highlight w:val="none"/>
                <w14:textFill>
                  <w14:solidFill>
                    <w14:schemeClr w14:val="tx1"/>
                  </w14:solidFill>
                </w14:textFill>
              </w:rPr>
            </w:pPr>
          </w:p>
        </w:tc>
      </w:tr>
      <w:tr w14:paraId="44287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318" w:type="dxa"/>
            <w:gridSpan w:val="2"/>
            <w:noWrap w:val="0"/>
            <w:vAlign w:val="center"/>
          </w:tcPr>
          <w:p w14:paraId="492B2C2E">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担任</w:t>
            </w:r>
            <w:r>
              <w:rPr>
                <w:rFonts w:hint="eastAsia"/>
                <w:color w:val="000000" w:themeColor="text1"/>
                <w:highlight w:val="none"/>
                <w14:textFill>
                  <w14:solidFill>
                    <w14:schemeClr w14:val="tx1"/>
                  </w14:solidFill>
                </w14:textFill>
              </w:rPr>
              <w:t>……</w:t>
            </w:r>
            <w:r>
              <w:rPr>
                <w:rFonts w:hint="eastAsia" w:cs="宋体"/>
                <w:color w:val="000000" w:themeColor="text1"/>
                <w:highlight w:val="none"/>
                <w14:textFill>
                  <w14:solidFill>
                    <w14:schemeClr w14:val="tx1"/>
                  </w14:solidFill>
                </w14:textFill>
              </w:rPr>
              <w:t>年限</w:t>
            </w:r>
          </w:p>
        </w:tc>
        <w:tc>
          <w:tcPr>
            <w:tcW w:w="2410" w:type="dxa"/>
            <w:gridSpan w:val="5"/>
            <w:noWrap w:val="0"/>
            <w:vAlign w:val="center"/>
          </w:tcPr>
          <w:p w14:paraId="609123E2">
            <w:pPr>
              <w:jc w:val="center"/>
              <w:rPr>
                <w:color w:val="000000" w:themeColor="text1"/>
                <w:highlight w:val="none"/>
                <w14:textFill>
                  <w14:solidFill>
                    <w14:schemeClr w14:val="tx1"/>
                  </w14:solidFill>
                </w14:textFill>
              </w:rPr>
            </w:pPr>
          </w:p>
        </w:tc>
        <w:tc>
          <w:tcPr>
            <w:tcW w:w="1417" w:type="dxa"/>
            <w:noWrap w:val="0"/>
            <w:vAlign w:val="center"/>
          </w:tcPr>
          <w:p w14:paraId="5215B33F">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身份</w:t>
            </w:r>
            <w:r>
              <w:rPr>
                <w:color w:val="000000" w:themeColor="text1"/>
                <w:highlight w:val="none"/>
                <w14:textFill>
                  <w14:solidFill>
                    <w14:schemeClr w14:val="tx1"/>
                  </w14:solidFill>
                </w14:textFill>
              </w:rPr>
              <w:t>证号码</w:t>
            </w:r>
          </w:p>
        </w:tc>
        <w:tc>
          <w:tcPr>
            <w:tcW w:w="4466" w:type="dxa"/>
            <w:gridSpan w:val="9"/>
            <w:noWrap w:val="0"/>
            <w:vAlign w:val="center"/>
          </w:tcPr>
          <w:p w14:paraId="5B14F1A2">
            <w:pPr>
              <w:jc w:val="center"/>
              <w:rPr>
                <w:color w:val="000000" w:themeColor="text1"/>
                <w:highlight w:val="none"/>
                <w14:textFill>
                  <w14:solidFill>
                    <w14:schemeClr w14:val="tx1"/>
                  </w14:solidFill>
                </w14:textFill>
              </w:rPr>
            </w:pPr>
          </w:p>
        </w:tc>
      </w:tr>
      <w:tr w14:paraId="07FA0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318" w:type="dxa"/>
            <w:gridSpan w:val="2"/>
            <w:noWrap w:val="0"/>
            <w:vAlign w:val="center"/>
          </w:tcPr>
          <w:p w14:paraId="7CFFFD50">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证书名称</w:t>
            </w:r>
          </w:p>
        </w:tc>
        <w:tc>
          <w:tcPr>
            <w:tcW w:w="1188" w:type="dxa"/>
            <w:gridSpan w:val="2"/>
            <w:noWrap w:val="0"/>
            <w:vAlign w:val="center"/>
          </w:tcPr>
          <w:p w14:paraId="21BB2378">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注册专业</w:t>
            </w:r>
          </w:p>
        </w:tc>
        <w:tc>
          <w:tcPr>
            <w:tcW w:w="1222" w:type="dxa"/>
            <w:gridSpan w:val="3"/>
            <w:noWrap w:val="0"/>
            <w:vAlign w:val="center"/>
          </w:tcPr>
          <w:p w14:paraId="190A4C31">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级别</w:t>
            </w:r>
          </w:p>
        </w:tc>
        <w:tc>
          <w:tcPr>
            <w:tcW w:w="1417" w:type="dxa"/>
            <w:noWrap w:val="0"/>
            <w:vAlign w:val="center"/>
          </w:tcPr>
          <w:p w14:paraId="673FBFDC">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证书编号</w:t>
            </w:r>
          </w:p>
        </w:tc>
        <w:tc>
          <w:tcPr>
            <w:tcW w:w="1418" w:type="dxa"/>
            <w:gridSpan w:val="3"/>
            <w:noWrap w:val="0"/>
            <w:vAlign w:val="center"/>
          </w:tcPr>
          <w:p w14:paraId="728A4A7F">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注册时间</w:t>
            </w:r>
          </w:p>
        </w:tc>
        <w:tc>
          <w:tcPr>
            <w:tcW w:w="1632" w:type="dxa"/>
            <w:gridSpan w:val="4"/>
            <w:noWrap w:val="0"/>
            <w:vAlign w:val="center"/>
          </w:tcPr>
          <w:p w14:paraId="2D496EFC">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注册单位</w:t>
            </w:r>
          </w:p>
        </w:tc>
        <w:tc>
          <w:tcPr>
            <w:tcW w:w="1416" w:type="dxa"/>
            <w:gridSpan w:val="2"/>
            <w:noWrap w:val="0"/>
            <w:vAlign w:val="center"/>
          </w:tcPr>
          <w:p w14:paraId="34898C42">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注册有效期</w:t>
            </w:r>
          </w:p>
        </w:tc>
      </w:tr>
      <w:tr w14:paraId="0636A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318" w:type="dxa"/>
            <w:gridSpan w:val="2"/>
            <w:noWrap w:val="0"/>
            <w:vAlign w:val="center"/>
          </w:tcPr>
          <w:p w14:paraId="7875D0C2">
            <w:pPr>
              <w:jc w:val="center"/>
              <w:rPr>
                <w:rFonts w:hint="eastAsia"/>
                <w:color w:val="000000" w:themeColor="text1"/>
                <w:highlight w:val="none"/>
                <w14:textFill>
                  <w14:solidFill>
                    <w14:schemeClr w14:val="tx1"/>
                  </w14:solidFill>
                </w14:textFill>
              </w:rPr>
            </w:pPr>
          </w:p>
        </w:tc>
        <w:tc>
          <w:tcPr>
            <w:tcW w:w="1188" w:type="dxa"/>
            <w:gridSpan w:val="2"/>
            <w:noWrap w:val="0"/>
            <w:vAlign w:val="center"/>
          </w:tcPr>
          <w:p w14:paraId="275B5EF5">
            <w:pPr>
              <w:jc w:val="center"/>
              <w:rPr>
                <w:rFonts w:hint="eastAsia"/>
                <w:color w:val="000000" w:themeColor="text1"/>
                <w:highlight w:val="none"/>
                <w14:textFill>
                  <w14:solidFill>
                    <w14:schemeClr w14:val="tx1"/>
                  </w14:solidFill>
                </w14:textFill>
              </w:rPr>
            </w:pPr>
          </w:p>
        </w:tc>
        <w:tc>
          <w:tcPr>
            <w:tcW w:w="1222" w:type="dxa"/>
            <w:gridSpan w:val="3"/>
            <w:noWrap w:val="0"/>
            <w:vAlign w:val="center"/>
          </w:tcPr>
          <w:p w14:paraId="7C60331A">
            <w:pPr>
              <w:jc w:val="center"/>
              <w:rPr>
                <w:rFonts w:hint="eastAsia" w:cs="宋体"/>
                <w:color w:val="000000" w:themeColor="text1"/>
                <w:highlight w:val="none"/>
                <w14:textFill>
                  <w14:solidFill>
                    <w14:schemeClr w14:val="tx1"/>
                  </w14:solidFill>
                </w14:textFill>
              </w:rPr>
            </w:pPr>
          </w:p>
        </w:tc>
        <w:tc>
          <w:tcPr>
            <w:tcW w:w="1417" w:type="dxa"/>
            <w:noWrap w:val="0"/>
            <w:vAlign w:val="center"/>
          </w:tcPr>
          <w:p w14:paraId="16AB1BC5">
            <w:pPr>
              <w:jc w:val="center"/>
              <w:rPr>
                <w:rFonts w:hint="eastAsia"/>
                <w:color w:val="000000" w:themeColor="text1"/>
                <w:highlight w:val="none"/>
                <w14:textFill>
                  <w14:solidFill>
                    <w14:schemeClr w14:val="tx1"/>
                  </w14:solidFill>
                </w14:textFill>
              </w:rPr>
            </w:pPr>
          </w:p>
        </w:tc>
        <w:tc>
          <w:tcPr>
            <w:tcW w:w="1418" w:type="dxa"/>
            <w:gridSpan w:val="3"/>
            <w:noWrap w:val="0"/>
            <w:vAlign w:val="center"/>
          </w:tcPr>
          <w:p w14:paraId="70FC5A1F">
            <w:pPr>
              <w:jc w:val="center"/>
              <w:rPr>
                <w:rFonts w:hint="eastAsia"/>
                <w:color w:val="000000" w:themeColor="text1"/>
                <w:highlight w:val="none"/>
                <w14:textFill>
                  <w14:solidFill>
                    <w14:schemeClr w14:val="tx1"/>
                  </w14:solidFill>
                </w14:textFill>
              </w:rPr>
            </w:pPr>
          </w:p>
        </w:tc>
        <w:tc>
          <w:tcPr>
            <w:tcW w:w="1632" w:type="dxa"/>
            <w:gridSpan w:val="4"/>
            <w:noWrap w:val="0"/>
            <w:vAlign w:val="center"/>
          </w:tcPr>
          <w:p w14:paraId="33F7094D">
            <w:pPr>
              <w:jc w:val="center"/>
              <w:rPr>
                <w:rFonts w:hint="eastAsia"/>
                <w:color w:val="000000" w:themeColor="text1"/>
                <w:highlight w:val="none"/>
                <w14:textFill>
                  <w14:solidFill>
                    <w14:schemeClr w14:val="tx1"/>
                  </w14:solidFill>
                </w14:textFill>
              </w:rPr>
            </w:pPr>
          </w:p>
        </w:tc>
        <w:tc>
          <w:tcPr>
            <w:tcW w:w="1416" w:type="dxa"/>
            <w:gridSpan w:val="2"/>
            <w:noWrap w:val="0"/>
            <w:vAlign w:val="center"/>
          </w:tcPr>
          <w:p w14:paraId="6EB2A1FE">
            <w:pPr>
              <w:jc w:val="center"/>
              <w:rPr>
                <w:rFonts w:hint="eastAsia"/>
                <w:color w:val="000000" w:themeColor="text1"/>
                <w:highlight w:val="none"/>
                <w14:textFill>
                  <w14:solidFill>
                    <w14:schemeClr w14:val="tx1"/>
                  </w14:solidFill>
                </w14:textFill>
              </w:rPr>
            </w:pPr>
          </w:p>
        </w:tc>
      </w:tr>
      <w:tr w14:paraId="6F56B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318" w:type="dxa"/>
            <w:gridSpan w:val="2"/>
            <w:noWrap w:val="0"/>
            <w:vAlign w:val="center"/>
          </w:tcPr>
          <w:p w14:paraId="494CFF3A">
            <w:pPr>
              <w:jc w:val="center"/>
              <w:rPr>
                <w:rFonts w:hint="eastAsia"/>
                <w:color w:val="000000" w:themeColor="text1"/>
                <w:highlight w:val="none"/>
                <w14:textFill>
                  <w14:solidFill>
                    <w14:schemeClr w14:val="tx1"/>
                  </w14:solidFill>
                </w14:textFill>
              </w:rPr>
            </w:pPr>
          </w:p>
        </w:tc>
        <w:tc>
          <w:tcPr>
            <w:tcW w:w="1188" w:type="dxa"/>
            <w:gridSpan w:val="2"/>
            <w:noWrap w:val="0"/>
            <w:vAlign w:val="center"/>
          </w:tcPr>
          <w:p w14:paraId="0CCB4588">
            <w:pPr>
              <w:jc w:val="center"/>
              <w:rPr>
                <w:rFonts w:hint="eastAsia"/>
                <w:color w:val="000000" w:themeColor="text1"/>
                <w:highlight w:val="none"/>
                <w14:textFill>
                  <w14:solidFill>
                    <w14:schemeClr w14:val="tx1"/>
                  </w14:solidFill>
                </w14:textFill>
              </w:rPr>
            </w:pPr>
          </w:p>
        </w:tc>
        <w:tc>
          <w:tcPr>
            <w:tcW w:w="1222" w:type="dxa"/>
            <w:gridSpan w:val="3"/>
            <w:noWrap w:val="0"/>
            <w:vAlign w:val="center"/>
          </w:tcPr>
          <w:p w14:paraId="7E136789">
            <w:pPr>
              <w:jc w:val="center"/>
              <w:rPr>
                <w:rFonts w:hint="eastAsia" w:cs="宋体"/>
                <w:color w:val="000000" w:themeColor="text1"/>
                <w:highlight w:val="none"/>
                <w14:textFill>
                  <w14:solidFill>
                    <w14:schemeClr w14:val="tx1"/>
                  </w14:solidFill>
                </w14:textFill>
              </w:rPr>
            </w:pPr>
          </w:p>
        </w:tc>
        <w:tc>
          <w:tcPr>
            <w:tcW w:w="1417" w:type="dxa"/>
            <w:noWrap w:val="0"/>
            <w:vAlign w:val="center"/>
          </w:tcPr>
          <w:p w14:paraId="60331F70">
            <w:pPr>
              <w:jc w:val="center"/>
              <w:rPr>
                <w:rFonts w:hint="eastAsia"/>
                <w:color w:val="000000" w:themeColor="text1"/>
                <w:highlight w:val="none"/>
                <w14:textFill>
                  <w14:solidFill>
                    <w14:schemeClr w14:val="tx1"/>
                  </w14:solidFill>
                </w14:textFill>
              </w:rPr>
            </w:pPr>
          </w:p>
        </w:tc>
        <w:tc>
          <w:tcPr>
            <w:tcW w:w="1418" w:type="dxa"/>
            <w:gridSpan w:val="3"/>
            <w:noWrap w:val="0"/>
            <w:vAlign w:val="center"/>
          </w:tcPr>
          <w:p w14:paraId="14DEB483">
            <w:pPr>
              <w:jc w:val="center"/>
              <w:rPr>
                <w:rFonts w:hint="eastAsia"/>
                <w:color w:val="000000" w:themeColor="text1"/>
                <w:highlight w:val="none"/>
                <w14:textFill>
                  <w14:solidFill>
                    <w14:schemeClr w14:val="tx1"/>
                  </w14:solidFill>
                </w14:textFill>
              </w:rPr>
            </w:pPr>
          </w:p>
        </w:tc>
        <w:tc>
          <w:tcPr>
            <w:tcW w:w="1632" w:type="dxa"/>
            <w:gridSpan w:val="4"/>
            <w:noWrap w:val="0"/>
            <w:vAlign w:val="center"/>
          </w:tcPr>
          <w:p w14:paraId="448C24A5">
            <w:pPr>
              <w:jc w:val="center"/>
              <w:rPr>
                <w:rFonts w:hint="eastAsia"/>
                <w:color w:val="000000" w:themeColor="text1"/>
                <w:highlight w:val="none"/>
                <w14:textFill>
                  <w14:solidFill>
                    <w14:schemeClr w14:val="tx1"/>
                  </w14:solidFill>
                </w14:textFill>
              </w:rPr>
            </w:pPr>
          </w:p>
        </w:tc>
        <w:tc>
          <w:tcPr>
            <w:tcW w:w="1416" w:type="dxa"/>
            <w:gridSpan w:val="2"/>
            <w:noWrap w:val="0"/>
            <w:vAlign w:val="center"/>
          </w:tcPr>
          <w:p w14:paraId="362E9582">
            <w:pPr>
              <w:jc w:val="center"/>
              <w:rPr>
                <w:rFonts w:hint="eastAsia"/>
                <w:color w:val="000000" w:themeColor="text1"/>
                <w:highlight w:val="none"/>
                <w14:textFill>
                  <w14:solidFill>
                    <w14:schemeClr w14:val="tx1"/>
                  </w14:solidFill>
                </w14:textFill>
              </w:rPr>
            </w:pPr>
          </w:p>
        </w:tc>
      </w:tr>
      <w:tr w14:paraId="0A13C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0" w:hRule="atLeast"/>
          <w:jc w:val="center"/>
        </w:trPr>
        <w:tc>
          <w:tcPr>
            <w:tcW w:w="9611" w:type="dxa"/>
            <w:gridSpan w:val="17"/>
            <w:noWrap w:val="0"/>
            <w:vAlign w:val="center"/>
          </w:tcPr>
          <w:p w14:paraId="26F03AD6">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在建和已完工程项目情况</w:t>
            </w:r>
          </w:p>
        </w:tc>
      </w:tr>
      <w:tr w14:paraId="57FD4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4"/>
            <w:noWrap w:val="0"/>
            <w:vAlign w:val="center"/>
          </w:tcPr>
          <w:p w14:paraId="09213D9F">
            <w:pPr>
              <w:jc w:val="center"/>
              <w:rPr>
                <w:color w:val="000000" w:themeColor="text1"/>
                <w:highlight w:val="none"/>
                <w14:textFill>
                  <w14:solidFill>
                    <w14:schemeClr w14:val="tx1"/>
                  </w14:solidFill>
                </w14:textFill>
              </w:rPr>
            </w:pPr>
          </w:p>
        </w:tc>
        <w:tc>
          <w:tcPr>
            <w:tcW w:w="1548" w:type="dxa"/>
            <w:gridSpan w:val="2"/>
            <w:noWrap w:val="0"/>
            <w:vAlign w:val="center"/>
          </w:tcPr>
          <w:p w14:paraId="77B2C9BA">
            <w:pPr>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项目1</w:t>
            </w:r>
          </w:p>
        </w:tc>
        <w:tc>
          <w:tcPr>
            <w:tcW w:w="1979" w:type="dxa"/>
            <w:gridSpan w:val="3"/>
            <w:noWrap w:val="0"/>
            <w:vAlign w:val="center"/>
          </w:tcPr>
          <w:p w14:paraId="1513A306">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项目2</w:t>
            </w:r>
          </w:p>
        </w:tc>
        <w:tc>
          <w:tcPr>
            <w:tcW w:w="1330" w:type="dxa"/>
            <w:gridSpan w:val="2"/>
            <w:noWrap w:val="0"/>
            <w:vAlign w:val="center"/>
          </w:tcPr>
          <w:p w14:paraId="282F056E">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项目3</w:t>
            </w:r>
          </w:p>
        </w:tc>
        <w:tc>
          <w:tcPr>
            <w:tcW w:w="1641" w:type="dxa"/>
            <w:gridSpan w:val="4"/>
            <w:noWrap w:val="0"/>
            <w:vAlign w:val="center"/>
          </w:tcPr>
          <w:p w14:paraId="430A6500">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项目4</w:t>
            </w:r>
          </w:p>
        </w:tc>
        <w:tc>
          <w:tcPr>
            <w:tcW w:w="1484" w:type="dxa"/>
            <w:gridSpan w:val="2"/>
            <w:noWrap w:val="0"/>
            <w:vAlign w:val="center"/>
          </w:tcPr>
          <w:p w14:paraId="1A36AB55">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p>
        </w:tc>
      </w:tr>
      <w:tr w14:paraId="4125F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4"/>
            <w:noWrap w:val="0"/>
            <w:vAlign w:val="center"/>
          </w:tcPr>
          <w:p w14:paraId="78949E47">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项目名称</w:t>
            </w:r>
          </w:p>
        </w:tc>
        <w:tc>
          <w:tcPr>
            <w:tcW w:w="1548" w:type="dxa"/>
            <w:gridSpan w:val="2"/>
            <w:noWrap w:val="0"/>
            <w:vAlign w:val="center"/>
          </w:tcPr>
          <w:p w14:paraId="268540DE">
            <w:pPr>
              <w:jc w:val="center"/>
              <w:rPr>
                <w:color w:val="000000" w:themeColor="text1"/>
                <w:highlight w:val="none"/>
                <w14:textFill>
                  <w14:solidFill>
                    <w14:schemeClr w14:val="tx1"/>
                  </w14:solidFill>
                </w14:textFill>
              </w:rPr>
            </w:pPr>
          </w:p>
        </w:tc>
        <w:tc>
          <w:tcPr>
            <w:tcW w:w="1979" w:type="dxa"/>
            <w:gridSpan w:val="3"/>
            <w:noWrap w:val="0"/>
            <w:vAlign w:val="center"/>
          </w:tcPr>
          <w:p w14:paraId="5A849964">
            <w:pPr>
              <w:jc w:val="center"/>
              <w:rPr>
                <w:color w:val="000000" w:themeColor="text1"/>
                <w:highlight w:val="none"/>
                <w14:textFill>
                  <w14:solidFill>
                    <w14:schemeClr w14:val="tx1"/>
                  </w14:solidFill>
                </w14:textFill>
              </w:rPr>
            </w:pPr>
          </w:p>
        </w:tc>
        <w:tc>
          <w:tcPr>
            <w:tcW w:w="1330" w:type="dxa"/>
            <w:gridSpan w:val="2"/>
            <w:noWrap w:val="0"/>
            <w:vAlign w:val="center"/>
          </w:tcPr>
          <w:p w14:paraId="0198FF24">
            <w:pPr>
              <w:jc w:val="center"/>
              <w:rPr>
                <w:color w:val="000000" w:themeColor="text1"/>
                <w:highlight w:val="none"/>
                <w14:textFill>
                  <w14:solidFill>
                    <w14:schemeClr w14:val="tx1"/>
                  </w14:solidFill>
                </w14:textFill>
              </w:rPr>
            </w:pPr>
          </w:p>
        </w:tc>
        <w:tc>
          <w:tcPr>
            <w:tcW w:w="1641" w:type="dxa"/>
            <w:gridSpan w:val="4"/>
            <w:noWrap w:val="0"/>
            <w:vAlign w:val="center"/>
          </w:tcPr>
          <w:p w14:paraId="2C3B5197">
            <w:pPr>
              <w:jc w:val="center"/>
              <w:rPr>
                <w:color w:val="000000" w:themeColor="text1"/>
                <w:highlight w:val="none"/>
                <w14:textFill>
                  <w14:solidFill>
                    <w14:schemeClr w14:val="tx1"/>
                  </w14:solidFill>
                </w14:textFill>
              </w:rPr>
            </w:pPr>
          </w:p>
        </w:tc>
        <w:tc>
          <w:tcPr>
            <w:tcW w:w="1484" w:type="dxa"/>
            <w:gridSpan w:val="2"/>
            <w:noWrap w:val="0"/>
            <w:vAlign w:val="center"/>
          </w:tcPr>
          <w:p w14:paraId="7C040DA7">
            <w:pPr>
              <w:jc w:val="center"/>
              <w:rPr>
                <w:color w:val="000000" w:themeColor="text1"/>
                <w:highlight w:val="none"/>
                <w14:textFill>
                  <w14:solidFill>
                    <w14:schemeClr w14:val="tx1"/>
                  </w14:solidFill>
                </w14:textFill>
              </w:rPr>
            </w:pPr>
          </w:p>
        </w:tc>
      </w:tr>
      <w:tr w14:paraId="5B9CE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0"/>
            <w:vAlign w:val="center"/>
          </w:tcPr>
          <w:p w14:paraId="158674D3">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建设单位</w:t>
            </w:r>
          </w:p>
        </w:tc>
        <w:tc>
          <w:tcPr>
            <w:tcW w:w="1548" w:type="dxa"/>
            <w:gridSpan w:val="2"/>
            <w:noWrap w:val="0"/>
            <w:vAlign w:val="center"/>
          </w:tcPr>
          <w:p w14:paraId="78C4F05C">
            <w:pPr>
              <w:jc w:val="center"/>
              <w:rPr>
                <w:color w:val="000000" w:themeColor="text1"/>
                <w:highlight w:val="none"/>
                <w14:textFill>
                  <w14:solidFill>
                    <w14:schemeClr w14:val="tx1"/>
                  </w14:solidFill>
                </w14:textFill>
              </w:rPr>
            </w:pPr>
          </w:p>
        </w:tc>
        <w:tc>
          <w:tcPr>
            <w:tcW w:w="1979" w:type="dxa"/>
            <w:gridSpan w:val="3"/>
            <w:noWrap w:val="0"/>
            <w:vAlign w:val="center"/>
          </w:tcPr>
          <w:p w14:paraId="373F9FDC">
            <w:pPr>
              <w:jc w:val="center"/>
              <w:rPr>
                <w:color w:val="000000" w:themeColor="text1"/>
                <w:highlight w:val="none"/>
                <w14:textFill>
                  <w14:solidFill>
                    <w14:schemeClr w14:val="tx1"/>
                  </w14:solidFill>
                </w14:textFill>
              </w:rPr>
            </w:pPr>
          </w:p>
        </w:tc>
        <w:tc>
          <w:tcPr>
            <w:tcW w:w="1330" w:type="dxa"/>
            <w:gridSpan w:val="2"/>
            <w:noWrap w:val="0"/>
            <w:vAlign w:val="center"/>
          </w:tcPr>
          <w:p w14:paraId="0F090502">
            <w:pPr>
              <w:jc w:val="center"/>
              <w:rPr>
                <w:color w:val="000000" w:themeColor="text1"/>
                <w:highlight w:val="none"/>
                <w14:textFill>
                  <w14:solidFill>
                    <w14:schemeClr w14:val="tx1"/>
                  </w14:solidFill>
                </w14:textFill>
              </w:rPr>
            </w:pPr>
          </w:p>
        </w:tc>
        <w:tc>
          <w:tcPr>
            <w:tcW w:w="1641" w:type="dxa"/>
            <w:gridSpan w:val="4"/>
            <w:noWrap w:val="0"/>
            <w:vAlign w:val="center"/>
          </w:tcPr>
          <w:p w14:paraId="4401A618">
            <w:pPr>
              <w:jc w:val="center"/>
              <w:rPr>
                <w:color w:val="000000" w:themeColor="text1"/>
                <w:highlight w:val="none"/>
                <w14:textFill>
                  <w14:solidFill>
                    <w14:schemeClr w14:val="tx1"/>
                  </w14:solidFill>
                </w14:textFill>
              </w:rPr>
            </w:pPr>
          </w:p>
        </w:tc>
        <w:tc>
          <w:tcPr>
            <w:tcW w:w="1484" w:type="dxa"/>
            <w:gridSpan w:val="2"/>
            <w:noWrap w:val="0"/>
            <w:vAlign w:val="center"/>
          </w:tcPr>
          <w:p w14:paraId="03949A40">
            <w:pPr>
              <w:jc w:val="center"/>
              <w:rPr>
                <w:color w:val="000000" w:themeColor="text1"/>
                <w:highlight w:val="none"/>
                <w14:textFill>
                  <w14:solidFill>
                    <w14:schemeClr w14:val="tx1"/>
                  </w14:solidFill>
                </w14:textFill>
              </w:rPr>
            </w:pPr>
          </w:p>
        </w:tc>
      </w:tr>
      <w:tr w14:paraId="30668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0"/>
            <w:vAlign w:val="center"/>
          </w:tcPr>
          <w:p w14:paraId="0AC590FD">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建设规模</w:t>
            </w:r>
          </w:p>
        </w:tc>
        <w:tc>
          <w:tcPr>
            <w:tcW w:w="1548" w:type="dxa"/>
            <w:gridSpan w:val="2"/>
            <w:noWrap w:val="0"/>
            <w:vAlign w:val="center"/>
          </w:tcPr>
          <w:p w14:paraId="70213074">
            <w:pPr>
              <w:jc w:val="center"/>
              <w:rPr>
                <w:color w:val="000000" w:themeColor="text1"/>
                <w:highlight w:val="none"/>
                <w14:textFill>
                  <w14:solidFill>
                    <w14:schemeClr w14:val="tx1"/>
                  </w14:solidFill>
                </w14:textFill>
              </w:rPr>
            </w:pPr>
          </w:p>
        </w:tc>
        <w:tc>
          <w:tcPr>
            <w:tcW w:w="1979" w:type="dxa"/>
            <w:gridSpan w:val="3"/>
            <w:noWrap w:val="0"/>
            <w:vAlign w:val="center"/>
          </w:tcPr>
          <w:p w14:paraId="076970A7">
            <w:pPr>
              <w:jc w:val="center"/>
              <w:rPr>
                <w:color w:val="000000" w:themeColor="text1"/>
                <w:highlight w:val="none"/>
                <w14:textFill>
                  <w14:solidFill>
                    <w14:schemeClr w14:val="tx1"/>
                  </w14:solidFill>
                </w14:textFill>
              </w:rPr>
            </w:pPr>
          </w:p>
        </w:tc>
        <w:tc>
          <w:tcPr>
            <w:tcW w:w="1330" w:type="dxa"/>
            <w:gridSpan w:val="2"/>
            <w:noWrap w:val="0"/>
            <w:vAlign w:val="center"/>
          </w:tcPr>
          <w:p w14:paraId="189403D2">
            <w:pPr>
              <w:jc w:val="center"/>
              <w:rPr>
                <w:color w:val="000000" w:themeColor="text1"/>
                <w:highlight w:val="none"/>
                <w14:textFill>
                  <w14:solidFill>
                    <w14:schemeClr w14:val="tx1"/>
                  </w14:solidFill>
                </w14:textFill>
              </w:rPr>
            </w:pPr>
          </w:p>
        </w:tc>
        <w:tc>
          <w:tcPr>
            <w:tcW w:w="1641" w:type="dxa"/>
            <w:gridSpan w:val="4"/>
            <w:noWrap w:val="0"/>
            <w:vAlign w:val="center"/>
          </w:tcPr>
          <w:p w14:paraId="5F8F0A31">
            <w:pPr>
              <w:jc w:val="center"/>
              <w:rPr>
                <w:color w:val="000000" w:themeColor="text1"/>
                <w:highlight w:val="none"/>
                <w14:textFill>
                  <w14:solidFill>
                    <w14:schemeClr w14:val="tx1"/>
                  </w14:solidFill>
                </w14:textFill>
              </w:rPr>
            </w:pPr>
          </w:p>
        </w:tc>
        <w:tc>
          <w:tcPr>
            <w:tcW w:w="1484" w:type="dxa"/>
            <w:gridSpan w:val="2"/>
            <w:noWrap w:val="0"/>
            <w:vAlign w:val="center"/>
          </w:tcPr>
          <w:p w14:paraId="00891770">
            <w:pPr>
              <w:jc w:val="center"/>
              <w:rPr>
                <w:color w:val="000000" w:themeColor="text1"/>
                <w:highlight w:val="none"/>
                <w14:textFill>
                  <w14:solidFill>
                    <w14:schemeClr w14:val="tx1"/>
                  </w14:solidFill>
                </w14:textFill>
              </w:rPr>
            </w:pPr>
          </w:p>
        </w:tc>
      </w:tr>
      <w:tr w14:paraId="22F3E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0"/>
            <w:vAlign w:val="center"/>
          </w:tcPr>
          <w:p w14:paraId="5B9294B8">
            <w:pPr>
              <w:jc w:val="center"/>
              <w:rPr>
                <w:rFonts w:hint="eastAsia" w:ascii="宋体" w:hAnsi="宋体" w:cs="宋体"/>
                <w:color w:val="000000" w:themeColor="text1"/>
                <w:sz w:val="27"/>
                <w:szCs w:val="27"/>
                <w:highlight w:val="none"/>
                <w:lang w:bidi="ar"/>
                <w14:textFill>
                  <w14:solidFill>
                    <w14:schemeClr w14:val="tx1"/>
                  </w14:solidFill>
                </w14:textFill>
              </w:rPr>
            </w:pPr>
            <w:r>
              <w:rPr>
                <w:rFonts w:hint="eastAsia" w:cs="宋体"/>
                <w:color w:val="000000" w:themeColor="text1"/>
                <w:highlight w:val="none"/>
                <w14:textFill>
                  <w14:solidFill>
                    <w14:schemeClr w14:val="tx1"/>
                  </w14:solidFill>
                </w14:textFill>
              </w:rPr>
              <w:t>开工日期</w:t>
            </w:r>
          </w:p>
        </w:tc>
        <w:tc>
          <w:tcPr>
            <w:tcW w:w="1548" w:type="dxa"/>
            <w:gridSpan w:val="2"/>
            <w:noWrap w:val="0"/>
            <w:vAlign w:val="center"/>
          </w:tcPr>
          <w:p w14:paraId="0058A600">
            <w:pPr>
              <w:jc w:val="center"/>
              <w:rPr>
                <w:color w:val="000000" w:themeColor="text1"/>
                <w:highlight w:val="none"/>
                <w14:textFill>
                  <w14:solidFill>
                    <w14:schemeClr w14:val="tx1"/>
                  </w14:solidFill>
                </w14:textFill>
              </w:rPr>
            </w:pPr>
          </w:p>
        </w:tc>
        <w:tc>
          <w:tcPr>
            <w:tcW w:w="1979" w:type="dxa"/>
            <w:gridSpan w:val="3"/>
            <w:noWrap w:val="0"/>
            <w:vAlign w:val="center"/>
          </w:tcPr>
          <w:p w14:paraId="2E9E550F">
            <w:pPr>
              <w:jc w:val="center"/>
              <w:rPr>
                <w:color w:val="000000" w:themeColor="text1"/>
                <w:highlight w:val="none"/>
                <w14:textFill>
                  <w14:solidFill>
                    <w14:schemeClr w14:val="tx1"/>
                  </w14:solidFill>
                </w14:textFill>
              </w:rPr>
            </w:pPr>
          </w:p>
        </w:tc>
        <w:tc>
          <w:tcPr>
            <w:tcW w:w="1330" w:type="dxa"/>
            <w:gridSpan w:val="2"/>
            <w:noWrap w:val="0"/>
            <w:vAlign w:val="center"/>
          </w:tcPr>
          <w:p w14:paraId="78769916">
            <w:pPr>
              <w:jc w:val="center"/>
              <w:rPr>
                <w:color w:val="000000" w:themeColor="text1"/>
                <w:highlight w:val="none"/>
                <w14:textFill>
                  <w14:solidFill>
                    <w14:schemeClr w14:val="tx1"/>
                  </w14:solidFill>
                </w14:textFill>
              </w:rPr>
            </w:pPr>
          </w:p>
        </w:tc>
        <w:tc>
          <w:tcPr>
            <w:tcW w:w="1641" w:type="dxa"/>
            <w:gridSpan w:val="4"/>
            <w:noWrap w:val="0"/>
            <w:vAlign w:val="center"/>
          </w:tcPr>
          <w:p w14:paraId="717067B1">
            <w:pPr>
              <w:jc w:val="center"/>
              <w:rPr>
                <w:color w:val="000000" w:themeColor="text1"/>
                <w:highlight w:val="none"/>
                <w14:textFill>
                  <w14:solidFill>
                    <w14:schemeClr w14:val="tx1"/>
                  </w14:solidFill>
                </w14:textFill>
              </w:rPr>
            </w:pPr>
          </w:p>
        </w:tc>
        <w:tc>
          <w:tcPr>
            <w:tcW w:w="1484" w:type="dxa"/>
            <w:gridSpan w:val="2"/>
            <w:noWrap w:val="0"/>
            <w:vAlign w:val="center"/>
          </w:tcPr>
          <w:p w14:paraId="6227271D">
            <w:pPr>
              <w:jc w:val="center"/>
              <w:rPr>
                <w:color w:val="000000" w:themeColor="text1"/>
                <w:highlight w:val="none"/>
                <w14:textFill>
                  <w14:solidFill>
                    <w14:schemeClr w14:val="tx1"/>
                  </w14:solidFill>
                </w14:textFill>
              </w:rPr>
            </w:pPr>
          </w:p>
        </w:tc>
      </w:tr>
      <w:tr w14:paraId="518BA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0"/>
            <w:vAlign w:val="center"/>
          </w:tcPr>
          <w:p w14:paraId="551908D2">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竣工日期</w:t>
            </w:r>
          </w:p>
        </w:tc>
        <w:tc>
          <w:tcPr>
            <w:tcW w:w="1548" w:type="dxa"/>
            <w:gridSpan w:val="2"/>
            <w:noWrap w:val="0"/>
            <w:vAlign w:val="center"/>
          </w:tcPr>
          <w:p w14:paraId="2FD0081E">
            <w:pPr>
              <w:jc w:val="center"/>
              <w:rPr>
                <w:color w:val="000000" w:themeColor="text1"/>
                <w:highlight w:val="none"/>
                <w14:textFill>
                  <w14:solidFill>
                    <w14:schemeClr w14:val="tx1"/>
                  </w14:solidFill>
                </w14:textFill>
              </w:rPr>
            </w:pPr>
          </w:p>
        </w:tc>
        <w:tc>
          <w:tcPr>
            <w:tcW w:w="1979" w:type="dxa"/>
            <w:gridSpan w:val="3"/>
            <w:noWrap w:val="0"/>
            <w:vAlign w:val="center"/>
          </w:tcPr>
          <w:p w14:paraId="60D759AF">
            <w:pPr>
              <w:jc w:val="center"/>
              <w:rPr>
                <w:color w:val="000000" w:themeColor="text1"/>
                <w:highlight w:val="none"/>
                <w14:textFill>
                  <w14:solidFill>
                    <w14:schemeClr w14:val="tx1"/>
                  </w14:solidFill>
                </w14:textFill>
              </w:rPr>
            </w:pPr>
          </w:p>
        </w:tc>
        <w:tc>
          <w:tcPr>
            <w:tcW w:w="1330" w:type="dxa"/>
            <w:gridSpan w:val="2"/>
            <w:noWrap w:val="0"/>
            <w:vAlign w:val="center"/>
          </w:tcPr>
          <w:p w14:paraId="53416117">
            <w:pPr>
              <w:jc w:val="center"/>
              <w:rPr>
                <w:color w:val="000000" w:themeColor="text1"/>
                <w:highlight w:val="none"/>
                <w14:textFill>
                  <w14:solidFill>
                    <w14:schemeClr w14:val="tx1"/>
                  </w14:solidFill>
                </w14:textFill>
              </w:rPr>
            </w:pPr>
          </w:p>
        </w:tc>
        <w:tc>
          <w:tcPr>
            <w:tcW w:w="1641" w:type="dxa"/>
            <w:gridSpan w:val="4"/>
            <w:noWrap w:val="0"/>
            <w:vAlign w:val="center"/>
          </w:tcPr>
          <w:p w14:paraId="3A1CDA98">
            <w:pPr>
              <w:jc w:val="center"/>
              <w:rPr>
                <w:color w:val="000000" w:themeColor="text1"/>
                <w:highlight w:val="none"/>
                <w14:textFill>
                  <w14:solidFill>
                    <w14:schemeClr w14:val="tx1"/>
                  </w14:solidFill>
                </w14:textFill>
              </w:rPr>
            </w:pPr>
          </w:p>
        </w:tc>
        <w:tc>
          <w:tcPr>
            <w:tcW w:w="1484" w:type="dxa"/>
            <w:gridSpan w:val="2"/>
            <w:noWrap w:val="0"/>
            <w:vAlign w:val="center"/>
          </w:tcPr>
          <w:p w14:paraId="5CE6181E">
            <w:pPr>
              <w:jc w:val="center"/>
              <w:rPr>
                <w:color w:val="000000" w:themeColor="text1"/>
                <w:highlight w:val="none"/>
                <w14:textFill>
                  <w14:solidFill>
                    <w14:schemeClr w14:val="tx1"/>
                  </w14:solidFill>
                </w14:textFill>
              </w:rPr>
            </w:pPr>
          </w:p>
        </w:tc>
      </w:tr>
      <w:tr w14:paraId="2CCC1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0"/>
            <w:vAlign w:val="center"/>
          </w:tcPr>
          <w:p w14:paraId="36487FE9">
            <w:pPr>
              <w:jc w:val="center"/>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人员角色</w:t>
            </w:r>
          </w:p>
        </w:tc>
        <w:tc>
          <w:tcPr>
            <w:tcW w:w="1548" w:type="dxa"/>
            <w:gridSpan w:val="2"/>
            <w:noWrap w:val="0"/>
            <w:vAlign w:val="center"/>
          </w:tcPr>
          <w:p w14:paraId="15801032">
            <w:pPr>
              <w:jc w:val="center"/>
              <w:rPr>
                <w:color w:val="000000" w:themeColor="text1"/>
                <w:highlight w:val="none"/>
                <w14:textFill>
                  <w14:solidFill>
                    <w14:schemeClr w14:val="tx1"/>
                  </w14:solidFill>
                </w14:textFill>
              </w:rPr>
            </w:pPr>
          </w:p>
        </w:tc>
        <w:tc>
          <w:tcPr>
            <w:tcW w:w="1979" w:type="dxa"/>
            <w:gridSpan w:val="3"/>
            <w:noWrap w:val="0"/>
            <w:vAlign w:val="center"/>
          </w:tcPr>
          <w:p w14:paraId="16623837">
            <w:pPr>
              <w:jc w:val="center"/>
              <w:rPr>
                <w:color w:val="000000" w:themeColor="text1"/>
                <w:highlight w:val="none"/>
                <w14:textFill>
                  <w14:solidFill>
                    <w14:schemeClr w14:val="tx1"/>
                  </w14:solidFill>
                </w14:textFill>
              </w:rPr>
            </w:pPr>
          </w:p>
        </w:tc>
        <w:tc>
          <w:tcPr>
            <w:tcW w:w="1330" w:type="dxa"/>
            <w:gridSpan w:val="2"/>
            <w:noWrap w:val="0"/>
            <w:vAlign w:val="center"/>
          </w:tcPr>
          <w:p w14:paraId="14CDF1C6">
            <w:pPr>
              <w:jc w:val="center"/>
              <w:rPr>
                <w:color w:val="000000" w:themeColor="text1"/>
                <w:highlight w:val="none"/>
                <w14:textFill>
                  <w14:solidFill>
                    <w14:schemeClr w14:val="tx1"/>
                  </w14:solidFill>
                </w14:textFill>
              </w:rPr>
            </w:pPr>
          </w:p>
        </w:tc>
        <w:tc>
          <w:tcPr>
            <w:tcW w:w="1641" w:type="dxa"/>
            <w:gridSpan w:val="4"/>
            <w:noWrap w:val="0"/>
            <w:vAlign w:val="center"/>
          </w:tcPr>
          <w:p w14:paraId="738B3C1A">
            <w:pPr>
              <w:jc w:val="center"/>
              <w:rPr>
                <w:color w:val="000000" w:themeColor="text1"/>
                <w:highlight w:val="none"/>
                <w14:textFill>
                  <w14:solidFill>
                    <w14:schemeClr w14:val="tx1"/>
                  </w14:solidFill>
                </w14:textFill>
              </w:rPr>
            </w:pPr>
          </w:p>
        </w:tc>
        <w:tc>
          <w:tcPr>
            <w:tcW w:w="1484" w:type="dxa"/>
            <w:gridSpan w:val="2"/>
            <w:noWrap w:val="0"/>
            <w:vAlign w:val="center"/>
          </w:tcPr>
          <w:p w14:paraId="70BE1575">
            <w:pPr>
              <w:jc w:val="center"/>
              <w:rPr>
                <w:color w:val="000000" w:themeColor="text1"/>
                <w:highlight w:val="none"/>
                <w14:textFill>
                  <w14:solidFill>
                    <w14:schemeClr w14:val="tx1"/>
                  </w14:solidFill>
                </w14:textFill>
              </w:rPr>
            </w:pPr>
          </w:p>
        </w:tc>
      </w:tr>
      <w:tr w14:paraId="299EA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0"/>
            <w:vAlign w:val="center"/>
          </w:tcPr>
          <w:p w14:paraId="36FB44B4">
            <w:pPr>
              <w:jc w:val="center"/>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在建或已完</w:t>
            </w:r>
          </w:p>
        </w:tc>
        <w:tc>
          <w:tcPr>
            <w:tcW w:w="1548" w:type="dxa"/>
            <w:gridSpan w:val="2"/>
            <w:noWrap w:val="0"/>
            <w:vAlign w:val="center"/>
          </w:tcPr>
          <w:p w14:paraId="1919B5BF">
            <w:pPr>
              <w:jc w:val="center"/>
              <w:rPr>
                <w:color w:val="000000" w:themeColor="text1"/>
                <w:highlight w:val="none"/>
                <w14:textFill>
                  <w14:solidFill>
                    <w14:schemeClr w14:val="tx1"/>
                  </w14:solidFill>
                </w14:textFill>
              </w:rPr>
            </w:pPr>
          </w:p>
        </w:tc>
        <w:tc>
          <w:tcPr>
            <w:tcW w:w="1979" w:type="dxa"/>
            <w:gridSpan w:val="3"/>
            <w:noWrap w:val="0"/>
            <w:vAlign w:val="center"/>
          </w:tcPr>
          <w:p w14:paraId="6777B48F">
            <w:pPr>
              <w:jc w:val="center"/>
              <w:rPr>
                <w:color w:val="000000" w:themeColor="text1"/>
                <w:highlight w:val="none"/>
                <w14:textFill>
                  <w14:solidFill>
                    <w14:schemeClr w14:val="tx1"/>
                  </w14:solidFill>
                </w14:textFill>
              </w:rPr>
            </w:pPr>
          </w:p>
        </w:tc>
        <w:tc>
          <w:tcPr>
            <w:tcW w:w="1330" w:type="dxa"/>
            <w:gridSpan w:val="2"/>
            <w:noWrap w:val="0"/>
            <w:vAlign w:val="center"/>
          </w:tcPr>
          <w:p w14:paraId="19EA747E">
            <w:pPr>
              <w:jc w:val="center"/>
              <w:rPr>
                <w:color w:val="000000" w:themeColor="text1"/>
                <w:highlight w:val="none"/>
                <w14:textFill>
                  <w14:solidFill>
                    <w14:schemeClr w14:val="tx1"/>
                  </w14:solidFill>
                </w14:textFill>
              </w:rPr>
            </w:pPr>
          </w:p>
        </w:tc>
        <w:tc>
          <w:tcPr>
            <w:tcW w:w="1641" w:type="dxa"/>
            <w:gridSpan w:val="4"/>
            <w:noWrap w:val="0"/>
            <w:vAlign w:val="center"/>
          </w:tcPr>
          <w:p w14:paraId="2AA752F0">
            <w:pPr>
              <w:jc w:val="center"/>
              <w:rPr>
                <w:color w:val="000000" w:themeColor="text1"/>
                <w:highlight w:val="none"/>
                <w14:textFill>
                  <w14:solidFill>
                    <w14:schemeClr w14:val="tx1"/>
                  </w14:solidFill>
                </w14:textFill>
              </w:rPr>
            </w:pPr>
          </w:p>
        </w:tc>
        <w:tc>
          <w:tcPr>
            <w:tcW w:w="1484" w:type="dxa"/>
            <w:gridSpan w:val="2"/>
            <w:noWrap w:val="0"/>
            <w:vAlign w:val="center"/>
          </w:tcPr>
          <w:p w14:paraId="36D8E88D">
            <w:pPr>
              <w:jc w:val="center"/>
              <w:rPr>
                <w:color w:val="000000" w:themeColor="text1"/>
                <w:highlight w:val="none"/>
                <w14:textFill>
                  <w14:solidFill>
                    <w14:schemeClr w14:val="tx1"/>
                  </w14:solidFill>
                </w14:textFill>
              </w:rPr>
            </w:pPr>
          </w:p>
        </w:tc>
      </w:tr>
      <w:tr w14:paraId="51B8D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0"/>
            <w:vAlign w:val="center"/>
          </w:tcPr>
          <w:p w14:paraId="52FC0B38">
            <w:pPr>
              <w:jc w:val="center"/>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工程质量</w:t>
            </w:r>
          </w:p>
        </w:tc>
        <w:tc>
          <w:tcPr>
            <w:tcW w:w="1548" w:type="dxa"/>
            <w:gridSpan w:val="2"/>
            <w:noWrap w:val="0"/>
            <w:vAlign w:val="center"/>
          </w:tcPr>
          <w:p w14:paraId="64DD0AD2">
            <w:pPr>
              <w:jc w:val="center"/>
              <w:rPr>
                <w:color w:val="000000" w:themeColor="text1"/>
                <w:highlight w:val="none"/>
                <w14:textFill>
                  <w14:solidFill>
                    <w14:schemeClr w14:val="tx1"/>
                  </w14:solidFill>
                </w14:textFill>
              </w:rPr>
            </w:pPr>
          </w:p>
        </w:tc>
        <w:tc>
          <w:tcPr>
            <w:tcW w:w="1979" w:type="dxa"/>
            <w:gridSpan w:val="3"/>
            <w:noWrap w:val="0"/>
            <w:vAlign w:val="center"/>
          </w:tcPr>
          <w:p w14:paraId="011C687E">
            <w:pPr>
              <w:jc w:val="center"/>
              <w:rPr>
                <w:color w:val="000000" w:themeColor="text1"/>
                <w:highlight w:val="none"/>
                <w14:textFill>
                  <w14:solidFill>
                    <w14:schemeClr w14:val="tx1"/>
                  </w14:solidFill>
                </w14:textFill>
              </w:rPr>
            </w:pPr>
          </w:p>
        </w:tc>
        <w:tc>
          <w:tcPr>
            <w:tcW w:w="1330" w:type="dxa"/>
            <w:gridSpan w:val="2"/>
            <w:noWrap w:val="0"/>
            <w:vAlign w:val="center"/>
          </w:tcPr>
          <w:p w14:paraId="20597888">
            <w:pPr>
              <w:jc w:val="center"/>
              <w:rPr>
                <w:color w:val="000000" w:themeColor="text1"/>
                <w:highlight w:val="none"/>
                <w14:textFill>
                  <w14:solidFill>
                    <w14:schemeClr w14:val="tx1"/>
                  </w14:solidFill>
                </w14:textFill>
              </w:rPr>
            </w:pPr>
          </w:p>
        </w:tc>
        <w:tc>
          <w:tcPr>
            <w:tcW w:w="1641" w:type="dxa"/>
            <w:gridSpan w:val="4"/>
            <w:noWrap w:val="0"/>
            <w:vAlign w:val="center"/>
          </w:tcPr>
          <w:p w14:paraId="08051167">
            <w:pPr>
              <w:jc w:val="center"/>
              <w:rPr>
                <w:color w:val="000000" w:themeColor="text1"/>
                <w:highlight w:val="none"/>
                <w14:textFill>
                  <w14:solidFill>
                    <w14:schemeClr w14:val="tx1"/>
                  </w14:solidFill>
                </w14:textFill>
              </w:rPr>
            </w:pPr>
          </w:p>
        </w:tc>
        <w:tc>
          <w:tcPr>
            <w:tcW w:w="1484" w:type="dxa"/>
            <w:gridSpan w:val="2"/>
            <w:noWrap w:val="0"/>
            <w:vAlign w:val="center"/>
          </w:tcPr>
          <w:p w14:paraId="64E14EAC">
            <w:pPr>
              <w:jc w:val="center"/>
              <w:rPr>
                <w:color w:val="000000" w:themeColor="text1"/>
                <w:highlight w:val="none"/>
                <w14:textFill>
                  <w14:solidFill>
                    <w14:schemeClr w14:val="tx1"/>
                  </w14:solidFill>
                </w14:textFill>
              </w:rPr>
            </w:pPr>
          </w:p>
        </w:tc>
      </w:tr>
      <w:tr w14:paraId="05AC6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0"/>
            <w:vAlign w:val="center"/>
          </w:tcPr>
          <w:p w14:paraId="3F88384C">
            <w:pPr>
              <w:jc w:val="center"/>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受奖情况</w:t>
            </w:r>
          </w:p>
        </w:tc>
        <w:tc>
          <w:tcPr>
            <w:tcW w:w="1548" w:type="dxa"/>
            <w:gridSpan w:val="2"/>
            <w:noWrap w:val="0"/>
            <w:vAlign w:val="center"/>
          </w:tcPr>
          <w:p w14:paraId="52EA653B">
            <w:pPr>
              <w:jc w:val="center"/>
              <w:rPr>
                <w:color w:val="000000" w:themeColor="text1"/>
                <w:highlight w:val="none"/>
                <w14:textFill>
                  <w14:solidFill>
                    <w14:schemeClr w14:val="tx1"/>
                  </w14:solidFill>
                </w14:textFill>
              </w:rPr>
            </w:pPr>
          </w:p>
        </w:tc>
        <w:tc>
          <w:tcPr>
            <w:tcW w:w="1979" w:type="dxa"/>
            <w:gridSpan w:val="3"/>
            <w:noWrap w:val="0"/>
            <w:vAlign w:val="center"/>
          </w:tcPr>
          <w:p w14:paraId="2C76D1E5">
            <w:pPr>
              <w:jc w:val="center"/>
              <w:rPr>
                <w:color w:val="000000" w:themeColor="text1"/>
                <w:highlight w:val="none"/>
                <w14:textFill>
                  <w14:solidFill>
                    <w14:schemeClr w14:val="tx1"/>
                  </w14:solidFill>
                </w14:textFill>
              </w:rPr>
            </w:pPr>
          </w:p>
        </w:tc>
        <w:tc>
          <w:tcPr>
            <w:tcW w:w="1330" w:type="dxa"/>
            <w:gridSpan w:val="2"/>
            <w:noWrap w:val="0"/>
            <w:vAlign w:val="center"/>
          </w:tcPr>
          <w:p w14:paraId="37E80680">
            <w:pPr>
              <w:jc w:val="center"/>
              <w:rPr>
                <w:color w:val="000000" w:themeColor="text1"/>
                <w:highlight w:val="none"/>
                <w14:textFill>
                  <w14:solidFill>
                    <w14:schemeClr w14:val="tx1"/>
                  </w14:solidFill>
                </w14:textFill>
              </w:rPr>
            </w:pPr>
          </w:p>
        </w:tc>
        <w:tc>
          <w:tcPr>
            <w:tcW w:w="1641" w:type="dxa"/>
            <w:gridSpan w:val="4"/>
            <w:noWrap w:val="0"/>
            <w:vAlign w:val="center"/>
          </w:tcPr>
          <w:p w14:paraId="70B1FA4A">
            <w:pPr>
              <w:jc w:val="center"/>
              <w:rPr>
                <w:color w:val="000000" w:themeColor="text1"/>
                <w:highlight w:val="none"/>
                <w14:textFill>
                  <w14:solidFill>
                    <w14:schemeClr w14:val="tx1"/>
                  </w14:solidFill>
                </w14:textFill>
              </w:rPr>
            </w:pPr>
          </w:p>
        </w:tc>
        <w:tc>
          <w:tcPr>
            <w:tcW w:w="1484" w:type="dxa"/>
            <w:gridSpan w:val="2"/>
            <w:noWrap w:val="0"/>
            <w:vAlign w:val="center"/>
          </w:tcPr>
          <w:p w14:paraId="20F6E872">
            <w:pPr>
              <w:jc w:val="center"/>
              <w:rPr>
                <w:color w:val="000000" w:themeColor="text1"/>
                <w:highlight w:val="none"/>
                <w14:textFill>
                  <w14:solidFill>
                    <w14:schemeClr w14:val="tx1"/>
                  </w14:solidFill>
                </w14:textFill>
              </w:rPr>
            </w:pPr>
          </w:p>
        </w:tc>
      </w:tr>
    </w:tbl>
    <w:p w14:paraId="31AA1A28">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s="楷体_GB2312"/>
          <w:color w:val="000000" w:themeColor="text1"/>
          <w:szCs w:val="21"/>
          <w:highlight w:val="none"/>
          <w14:textFill>
            <w14:solidFill>
              <w14:schemeClr w14:val="tx1"/>
            </w14:solidFill>
          </w14:textFill>
        </w:rPr>
        <w:t>备注：</w:t>
      </w:r>
    </w:p>
    <w:p w14:paraId="059DE15D">
      <w:pPr>
        <w:spacing w:line="360" w:lineRule="auto"/>
        <w:ind w:firstLine="420"/>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.项目</w:t>
      </w:r>
      <w:r>
        <w:rPr>
          <w:rFonts w:ascii="宋体" w:hAnsi="宋体"/>
          <w:color w:val="000000" w:themeColor="text1"/>
          <w:szCs w:val="21"/>
          <w:highlight w:val="none"/>
          <w14:textFill>
            <w14:solidFill>
              <w14:schemeClr w14:val="tx1"/>
            </w14:solidFill>
          </w14:textFill>
        </w:rPr>
        <w:t>数</w:t>
      </w:r>
      <w:r>
        <w:rPr>
          <w:rFonts w:hint="eastAsia" w:ascii="宋体" w:hAnsi="宋体"/>
          <w:color w:val="000000" w:themeColor="text1"/>
          <w:szCs w:val="21"/>
          <w:highlight w:val="none"/>
          <w14:textFill>
            <w14:solidFill>
              <w14:schemeClr w14:val="tx1"/>
            </w14:solidFill>
          </w14:textFill>
        </w:rPr>
        <w:t>可</w:t>
      </w:r>
      <w:r>
        <w:rPr>
          <w:rFonts w:ascii="宋体" w:hAnsi="宋体"/>
          <w:color w:val="000000" w:themeColor="text1"/>
          <w:szCs w:val="21"/>
          <w:highlight w:val="none"/>
          <w14:textFill>
            <w14:solidFill>
              <w14:schemeClr w14:val="tx1"/>
            </w14:solidFill>
          </w14:textFill>
        </w:rPr>
        <w:t>以根据需要增加。</w:t>
      </w:r>
    </w:p>
    <w:p w14:paraId="4558AD05">
      <w:pPr>
        <w:spacing w:line="360" w:lineRule="auto"/>
        <w:ind w:firstLine="42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2.本表后附项目技术负责人（项目总工）的学历证、本表所列证书复印件并加盖供应商电子签章。</w:t>
      </w:r>
    </w:p>
    <w:p w14:paraId="0AF70C62">
      <w:pPr>
        <w:spacing w:line="360" w:lineRule="auto"/>
        <w:rPr>
          <w:rFonts w:hint="eastAsia" w:eastAsia="楷体_GB2312"/>
          <w:color w:val="000000" w:themeColor="text1"/>
          <w:highlight w:val="none"/>
          <w14:textFill>
            <w14:solidFill>
              <w14:schemeClr w14:val="tx1"/>
            </w14:solidFill>
          </w14:textFill>
        </w:rPr>
      </w:pPr>
    </w:p>
    <w:p w14:paraId="445463B7">
      <w:pPr>
        <w:pStyle w:val="339"/>
        <w:spacing w:line="360" w:lineRule="auto"/>
        <w:jc w:val="center"/>
        <w:outlineLvl w:val="0"/>
        <w:rPr>
          <w:color w:val="000000" w:themeColor="text1"/>
          <w:sz w:val="28"/>
          <w:szCs w:val="28"/>
          <w:highlight w:val="none"/>
          <w:u w:val="single"/>
          <w14:textFill>
            <w14:solidFill>
              <w14:schemeClr w14:val="tx1"/>
            </w14:solidFill>
          </w14:textFill>
        </w:rPr>
      </w:pPr>
      <w:r>
        <w:rPr>
          <w:rFonts w:cs="宋体"/>
          <w:b/>
          <w:bCs/>
          <w:color w:val="000000" w:themeColor="text1"/>
          <w:sz w:val="28"/>
          <w:szCs w:val="28"/>
          <w:highlight w:val="none"/>
          <w14:textFill>
            <w14:solidFill>
              <w14:schemeClr w14:val="tx1"/>
            </w14:solidFill>
          </w14:textFill>
        </w:rPr>
        <w:br w:type="page" w:clear="all"/>
      </w:r>
      <w:bookmarkStart w:id="161" w:name="_Toc122424266"/>
      <w:bookmarkStart w:id="162" w:name="_Toc122424017"/>
      <w:r>
        <w:rPr>
          <w:rFonts w:hint="eastAsia" w:cs="宋体"/>
          <w:b/>
          <w:color w:val="000000" w:themeColor="text1"/>
          <w:sz w:val="28"/>
          <w:szCs w:val="28"/>
          <w:highlight w:val="none"/>
          <w14:textFill>
            <w14:solidFill>
              <w14:schemeClr w14:val="tx1"/>
            </w14:solidFill>
          </w14:textFill>
        </w:rPr>
        <w:t>专职安全生产管理人员</w:t>
      </w:r>
      <w:bookmarkEnd w:id="161"/>
      <w:bookmarkEnd w:id="162"/>
    </w:p>
    <w:tbl>
      <w:tblPr>
        <w:tblStyle w:val="45"/>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
        <w:gridCol w:w="1154"/>
        <w:gridCol w:w="77"/>
        <w:gridCol w:w="387"/>
        <w:gridCol w:w="888"/>
        <w:gridCol w:w="660"/>
        <w:gridCol w:w="328"/>
        <w:gridCol w:w="234"/>
        <w:gridCol w:w="66"/>
        <w:gridCol w:w="1209"/>
        <w:gridCol w:w="142"/>
        <w:gridCol w:w="242"/>
        <w:gridCol w:w="1088"/>
        <w:gridCol w:w="88"/>
        <w:gridCol w:w="409"/>
        <w:gridCol w:w="1108"/>
        <w:gridCol w:w="36"/>
        <w:gridCol w:w="79"/>
        <w:gridCol w:w="1405"/>
        <w:gridCol w:w="11"/>
      </w:tblGrid>
      <w:tr w14:paraId="728E5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154" w:type="dxa"/>
            <w:noWrap w:val="0"/>
            <w:vAlign w:val="center"/>
          </w:tcPr>
          <w:p w14:paraId="3DD26098">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姓名</w:t>
            </w:r>
          </w:p>
        </w:tc>
        <w:tc>
          <w:tcPr>
            <w:tcW w:w="2340" w:type="dxa"/>
            <w:gridSpan w:val="5"/>
            <w:noWrap w:val="0"/>
            <w:vAlign w:val="center"/>
          </w:tcPr>
          <w:p w14:paraId="2A9A796A">
            <w:pPr>
              <w:jc w:val="center"/>
              <w:rPr>
                <w:color w:val="000000" w:themeColor="text1"/>
                <w:highlight w:val="none"/>
                <w14:textFill>
                  <w14:solidFill>
                    <w14:schemeClr w14:val="tx1"/>
                  </w14:solidFill>
                </w14:textFill>
              </w:rPr>
            </w:pPr>
          </w:p>
        </w:tc>
        <w:tc>
          <w:tcPr>
            <w:tcW w:w="1893" w:type="dxa"/>
            <w:gridSpan w:val="5"/>
            <w:noWrap w:val="0"/>
            <w:vAlign w:val="center"/>
          </w:tcPr>
          <w:p w14:paraId="7FFB0416">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性别</w:t>
            </w:r>
          </w:p>
        </w:tc>
        <w:tc>
          <w:tcPr>
            <w:tcW w:w="1585" w:type="dxa"/>
            <w:gridSpan w:val="3"/>
            <w:noWrap w:val="0"/>
            <w:vAlign w:val="center"/>
          </w:tcPr>
          <w:p w14:paraId="7BA3138C">
            <w:pPr>
              <w:jc w:val="center"/>
              <w:rPr>
                <w:color w:val="000000" w:themeColor="text1"/>
                <w:highlight w:val="none"/>
                <w14:textFill>
                  <w14:solidFill>
                    <w14:schemeClr w14:val="tx1"/>
                  </w14:solidFill>
                </w14:textFill>
              </w:rPr>
            </w:pPr>
          </w:p>
        </w:tc>
        <w:tc>
          <w:tcPr>
            <w:tcW w:w="1108" w:type="dxa"/>
            <w:noWrap w:val="0"/>
            <w:vAlign w:val="center"/>
          </w:tcPr>
          <w:p w14:paraId="702C3A3F">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年龄</w:t>
            </w:r>
          </w:p>
        </w:tc>
        <w:tc>
          <w:tcPr>
            <w:tcW w:w="1531" w:type="dxa"/>
            <w:gridSpan w:val="4"/>
            <w:noWrap w:val="0"/>
            <w:vAlign w:val="center"/>
          </w:tcPr>
          <w:p w14:paraId="76FDADF7">
            <w:pPr>
              <w:jc w:val="center"/>
              <w:rPr>
                <w:color w:val="000000" w:themeColor="text1"/>
                <w:highlight w:val="none"/>
                <w14:textFill>
                  <w14:solidFill>
                    <w14:schemeClr w14:val="tx1"/>
                  </w14:solidFill>
                </w14:textFill>
              </w:rPr>
            </w:pPr>
          </w:p>
        </w:tc>
      </w:tr>
      <w:tr w14:paraId="5D00F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54" w:type="dxa"/>
            <w:noWrap w:val="0"/>
            <w:vAlign w:val="center"/>
          </w:tcPr>
          <w:p w14:paraId="32815AE4">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岗位</w:t>
            </w:r>
          </w:p>
        </w:tc>
        <w:tc>
          <w:tcPr>
            <w:tcW w:w="2340" w:type="dxa"/>
            <w:gridSpan w:val="5"/>
            <w:noWrap w:val="0"/>
            <w:vAlign w:val="center"/>
          </w:tcPr>
          <w:p w14:paraId="29121465">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专职安全生产管理人员</w:t>
            </w:r>
          </w:p>
        </w:tc>
        <w:tc>
          <w:tcPr>
            <w:tcW w:w="1893" w:type="dxa"/>
            <w:gridSpan w:val="5"/>
            <w:noWrap w:val="0"/>
            <w:vAlign w:val="center"/>
          </w:tcPr>
          <w:p w14:paraId="3E179AD4">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职称</w:t>
            </w:r>
          </w:p>
        </w:tc>
        <w:tc>
          <w:tcPr>
            <w:tcW w:w="1585" w:type="dxa"/>
            <w:gridSpan w:val="3"/>
            <w:noWrap w:val="0"/>
            <w:vAlign w:val="center"/>
          </w:tcPr>
          <w:p w14:paraId="56135979">
            <w:pPr>
              <w:jc w:val="center"/>
              <w:rPr>
                <w:color w:val="000000" w:themeColor="text1"/>
                <w:highlight w:val="none"/>
                <w14:textFill>
                  <w14:solidFill>
                    <w14:schemeClr w14:val="tx1"/>
                  </w14:solidFill>
                </w14:textFill>
              </w:rPr>
            </w:pPr>
          </w:p>
        </w:tc>
        <w:tc>
          <w:tcPr>
            <w:tcW w:w="1108" w:type="dxa"/>
            <w:noWrap w:val="0"/>
            <w:vAlign w:val="center"/>
          </w:tcPr>
          <w:p w14:paraId="5970762C">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学历</w:t>
            </w:r>
          </w:p>
        </w:tc>
        <w:tc>
          <w:tcPr>
            <w:tcW w:w="1531" w:type="dxa"/>
            <w:gridSpan w:val="4"/>
            <w:noWrap w:val="0"/>
            <w:vAlign w:val="center"/>
          </w:tcPr>
          <w:p w14:paraId="3DD8643C">
            <w:pPr>
              <w:jc w:val="center"/>
              <w:rPr>
                <w:color w:val="000000" w:themeColor="text1"/>
                <w:highlight w:val="none"/>
                <w14:textFill>
                  <w14:solidFill>
                    <w14:schemeClr w14:val="tx1"/>
                  </w14:solidFill>
                </w14:textFill>
              </w:rPr>
            </w:pPr>
          </w:p>
        </w:tc>
      </w:tr>
      <w:tr w14:paraId="418CE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54" w:type="dxa"/>
            <w:noWrap w:val="0"/>
            <w:vAlign w:val="center"/>
          </w:tcPr>
          <w:p w14:paraId="08D31A16">
            <w:pPr>
              <w:jc w:val="center"/>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从业开始时间</w:t>
            </w:r>
          </w:p>
        </w:tc>
        <w:tc>
          <w:tcPr>
            <w:tcW w:w="2340" w:type="dxa"/>
            <w:gridSpan w:val="5"/>
            <w:noWrap w:val="0"/>
            <w:vAlign w:val="center"/>
          </w:tcPr>
          <w:p w14:paraId="651FE587">
            <w:pPr>
              <w:jc w:val="center"/>
              <w:rPr>
                <w:color w:val="000000" w:themeColor="text1"/>
                <w:highlight w:val="none"/>
                <w14:textFill>
                  <w14:solidFill>
                    <w14:schemeClr w14:val="tx1"/>
                  </w14:solidFill>
                </w14:textFill>
              </w:rPr>
            </w:pPr>
          </w:p>
        </w:tc>
        <w:tc>
          <w:tcPr>
            <w:tcW w:w="1893" w:type="dxa"/>
            <w:gridSpan w:val="5"/>
            <w:noWrap w:val="0"/>
            <w:vAlign w:val="center"/>
          </w:tcPr>
          <w:p w14:paraId="302E3CF9">
            <w:pPr>
              <w:jc w:val="center"/>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职称</w:t>
            </w:r>
            <w:r>
              <w:rPr>
                <w:rFonts w:cs="宋体"/>
                <w:color w:val="000000" w:themeColor="text1"/>
                <w:highlight w:val="none"/>
                <w14:textFill>
                  <w14:solidFill>
                    <w14:schemeClr w14:val="tx1"/>
                  </w14:solidFill>
                </w14:textFill>
              </w:rPr>
              <w:t>获</w:t>
            </w:r>
            <w:r>
              <w:rPr>
                <w:rFonts w:hint="eastAsia" w:cs="宋体"/>
                <w:color w:val="000000" w:themeColor="text1"/>
                <w:highlight w:val="none"/>
                <w14:textFill>
                  <w14:solidFill>
                    <w14:schemeClr w14:val="tx1"/>
                  </w14:solidFill>
                </w14:textFill>
              </w:rPr>
              <w:t>得</w:t>
            </w:r>
            <w:r>
              <w:rPr>
                <w:rFonts w:cs="宋体"/>
                <w:color w:val="000000" w:themeColor="text1"/>
                <w:highlight w:val="none"/>
                <w14:textFill>
                  <w14:solidFill>
                    <w14:schemeClr w14:val="tx1"/>
                  </w14:solidFill>
                </w14:textFill>
              </w:rPr>
              <w:t>时间</w:t>
            </w:r>
          </w:p>
        </w:tc>
        <w:tc>
          <w:tcPr>
            <w:tcW w:w="1585" w:type="dxa"/>
            <w:gridSpan w:val="3"/>
            <w:noWrap w:val="0"/>
            <w:vAlign w:val="center"/>
          </w:tcPr>
          <w:p w14:paraId="74D2C3E9">
            <w:pPr>
              <w:jc w:val="center"/>
              <w:rPr>
                <w:color w:val="000000" w:themeColor="text1"/>
                <w:highlight w:val="none"/>
                <w14:textFill>
                  <w14:solidFill>
                    <w14:schemeClr w14:val="tx1"/>
                  </w14:solidFill>
                </w14:textFill>
              </w:rPr>
            </w:pPr>
          </w:p>
        </w:tc>
        <w:tc>
          <w:tcPr>
            <w:tcW w:w="1108" w:type="dxa"/>
            <w:noWrap w:val="0"/>
            <w:vAlign w:val="center"/>
          </w:tcPr>
          <w:p w14:paraId="790F4A85">
            <w:pPr>
              <w:jc w:val="center"/>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毕业时间</w:t>
            </w:r>
          </w:p>
        </w:tc>
        <w:tc>
          <w:tcPr>
            <w:tcW w:w="1531" w:type="dxa"/>
            <w:gridSpan w:val="4"/>
            <w:noWrap w:val="0"/>
            <w:vAlign w:val="center"/>
          </w:tcPr>
          <w:p w14:paraId="76C5BB59">
            <w:pPr>
              <w:jc w:val="center"/>
              <w:rPr>
                <w:color w:val="000000" w:themeColor="text1"/>
                <w:highlight w:val="none"/>
                <w14:textFill>
                  <w14:solidFill>
                    <w14:schemeClr w14:val="tx1"/>
                  </w14:solidFill>
                </w14:textFill>
              </w:rPr>
            </w:pPr>
          </w:p>
        </w:tc>
      </w:tr>
      <w:tr w14:paraId="31B45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noWrap w:val="0"/>
            <w:vAlign w:val="center"/>
          </w:tcPr>
          <w:p w14:paraId="281FC0B0">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担任……年限</w:t>
            </w:r>
          </w:p>
        </w:tc>
        <w:tc>
          <w:tcPr>
            <w:tcW w:w="2563" w:type="dxa"/>
            <w:gridSpan w:val="6"/>
            <w:noWrap w:val="0"/>
            <w:vAlign w:val="center"/>
          </w:tcPr>
          <w:p w14:paraId="2E3C70B0">
            <w:pPr>
              <w:jc w:val="center"/>
              <w:rPr>
                <w:color w:val="000000" w:themeColor="text1"/>
                <w:highlight w:val="none"/>
                <w14:textFill>
                  <w14:solidFill>
                    <w14:schemeClr w14:val="tx1"/>
                  </w14:solidFill>
                </w14:textFill>
              </w:rPr>
            </w:pPr>
          </w:p>
        </w:tc>
        <w:tc>
          <w:tcPr>
            <w:tcW w:w="1209" w:type="dxa"/>
            <w:noWrap w:val="0"/>
            <w:vAlign w:val="center"/>
          </w:tcPr>
          <w:p w14:paraId="225BC315">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身份</w:t>
            </w:r>
            <w:r>
              <w:rPr>
                <w:color w:val="000000" w:themeColor="text1"/>
                <w:highlight w:val="none"/>
                <w14:textFill>
                  <w14:solidFill>
                    <w14:schemeClr w14:val="tx1"/>
                  </w14:solidFill>
                </w14:textFill>
              </w:rPr>
              <w:t>证号码</w:t>
            </w:r>
          </w:p>
        </w:tc>
        <w:tc>
          <w:tcPr>
            <w:tcW w:w="4608" w:type="dxa"/>
            <w:gridSpan w:val="10"/>
            <w:noWrap w:val="0"/>
            <w:vAlign w:val="center"/>
          </w:tcPr>
          <w:p w14:paraId="2ACA4CD0">
            <w:pPr>
              <w:jc w:val="center"/>
              <w:rPr>
                <w:color w:val="000000" w:themeColor="text1"/>
                <w:highlight w:val="none"/>
                <w14:textFill>
                  <w14:solidFill>
                    <w14:schemeClr w14:val="tx1"/>
                  </w14:solidFill>
                </w14:textFill>
              </w:rPr>
            </w:pPr>
          </w:p>
        </w:tc>
      </w:tr>
      <w:tr w14:paraId="15BBF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noWrap w:val="0"/>
            <w:vAlign w:val="center"/>
          </w:tcPr>
          <w:p w14:paraId="7487EC1E">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证书名称</w:t>
            </w:r>
          </w:p>
        </w:tc>
        <w:tc>
          <w:tcPr>
            <w:tcW w:w="1275" w:type="dxa"/>
            <w:gridSpan w:val="2"/>
            <w:noWrap w:val="0"/>
            <w:vAlign w:val="center"/>
          </w:tcPr>
          <w:p w14:paraId="36AA1A5D">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注册专业</w:t>
            </w:r>
          </w:p>
        </w:tc>
        <w:tc>
          <w:tcPr>
            <w:tcW w:w="1222" w:type="dxa"/>
            <w:gridSpan w:val="3"/>
            <w:noWrap w:val="0"/>
            <w:vAlign w:val="center"/>
          </w:tcPr>
          <w:p w14:paraId="66916055">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级别</w:t>
            </w:r>
          </w:p>
        </w:tc>
        <w:tc>
          <w:tcPr>
            <w:tcW w:w="1417" w:type="dxa"/>
            <w:gridSpan w:val="3"/>
            <w:noWrap w:val="0"/>
            <w:vAlign w:val="center"/>
          </w:tcPr>
          <w:p w14:paraId="7C2099FB">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证书编号</w:t>
            </w:r>
          </w:p>
        </w:tc>
        <w:tc>
          <w:tcPr>
            <w:tcW w:w="1418" w:type="dxa"/>
            <w:gridSpan w:val="3"/>
            <w:noWrap w:val="0"/>
            <w:vAlign w:val="center"/>
          </w:tcPr>
          <w:p w14:paraId="63A07E48">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注册时间</w:t>
            </w:r>
          </w:p>
        </w:tc>
        <w:tc>
          <w:tcPr>
            <w:tcW w:w="1632" w:type="dxa"/>
            <w:gridSpan w:val="4"/>
            <w:noWrap w:val="0"/>
            <w:vAlign w:val="center"/>
          </w:tcPr>
          <w:p w14:paraId="29B11A2B">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注册单位</w:t>
            </w:r>
          </w:p>
        </w:tc>
        <w:tc>
          <w:tcPr>
            <w:tcW w:w="1416" w:type="dxa"/>
            <w:gridSpan w:val="2"/>
            <w:noWrap w:val="0"/>
            <w:vAlign w:val="center"/>
          </w:tcPr>
          <w:p w14:paraId="602D64E8">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注册有效期</w:t>
            </w:r>
          </w:p>
        </w:tc>
      </w:tr>
      <w:tr w14:paraId="67F43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noWrap w:val="0"/>
            <w:vAlign w:val="center"/>
          </w:tcPr>
          <w:p w14:paraId="717BFA02">
            <w:pPr>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安全生产考核合格证书</w:t>
            </w:r>
          </w:p>
        </w:tc>
        <w:tc>
          <w:tcPr>
            <w:tcW w:w="1275" w:type="dxa"/>
            <w:gridSpan w:val="2"/>
            <w:noWrap w:val="0"/>
            <w:vAlign w:val="center"/>
          </w:tcPr>
          <w:p w14:paraId="7317EB72">
            <w:pPr>
              <w:jc w:val="center"/>
              <w:rPr>
                <w:rFonts w:hint="eastAsia"/>
                <w:color w:val="000000" w:themeColor="text1"/>
                <w:highlight w:val="none"/>
                <w14:textFill>
                  <w14:solidFill>
                    <w14:schemeClr w14:val="tx1"/>
                  </w14:solidFill>
                </w14:textFill>
              </w:rPr>
            </w:pPr>
          </w:p>
        </w:tc>
        <w:tc>
          <w:tcPr>
            <w:tcW w:w="1222" w:type="dxa"/>
            <w:gridSpan w:val="3"/>
            <w:noWrap w:val="0"/>
            <w:vAlign w:val="center"/>
          </w:tcPr>
          <w:p w14:paraId="6EB3A595">
            <w:pPr>
              <w:jc w:val="center"/>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C类</w:t>
            </w:r>
          </w:p>
        </w:tc>
        <w:tc>
          <w:tcPr>
            <w:tcW w:w="1417" w:type="dxa"/>
            <w:gridSpan w:val="3"/>
            <w:noWrap w:val="0"/>
            <w:vAlign w:val="center"/>
          </w:tcPr>
          <w:p w14:paraId="0299C311">
            <w:pPr>
              <w:jc w:val="center"/>
              <w:rPr>
                <w:rFonts w:hint="eastAsia"/>
                <w:color w:val="000000" w:themeColor="text1"/>
                <w:highlight w:val="none"/>
                <w14:textFill>
                  <w14:solidFill>
                    <w14:schemeClr w14:val="tx1"/>
                  </w14:solidFill>
                </w14:textFill>
              </w:rPr>
            </w:pPr>
          </w:p>
        </w:tc>
        <w:tc>
          <w:tcPr>
            <w:tcW w:w="1418" w:type="dxa"/>
            <w:gridSpan w:val="3"/>
            <w:noWrap w:val="0"/>
            <w:vAlign w:val="center"/>
          </w:tcPr>
          <w:p w14:paraId="045EBB7F">
            <w:pPr>
              <w:jc w:val="center"/>
              <w:rPr>
                <w:rFonts w:hint="eastAsia"/>
                <w:color w:val="000000" w:themeColor="text1"/>
                <w:highlight w:val="none"/>
                <w14:textFill>
                  <w14:solidFill>
                    <w14:schemeClr w14:val="tx1"/>
                  </w14:solidFill>
                </w14:textFill>
              </w:rPr>
            </w:pPr>
          </w:p>
        </w:tc>
        <w:tc>
          <w:tcPr>
            <w:tcW w:w="1632" w:type="dxa"/>
            <w:gridSpan w:val="4"/>
            <w:noWrap w:val="0"/>
            <w:vAlign w:val="center"/>
          </w:tcPr>
          <w:p w14:paraId="1D5A3578">
            <w:pPr>
              <w:jc w:val="center"/>
              <w:rPr>
                <w:rFonts w:hint="eastAsia"/>
                <w:color w:val="000000" w:themeColor="text1"/>
                <w:highlight w:val="none"/>
                <w14:textFill>
                  <w14:solidFill>
                    <w14:schemeClr w14:val="tx1"/>
                  </w14:solidFill>
                </w14:textFill>
              </w:rPr>
            </w:pPr>
          </w:p>
        </w:tc>
        <w:tc>
          <w:tcPr>
            <w:tcW w:w="1416" w:type="dxa"/>
            <w:gridSpan w:val="2"/>
            <w:noWrap w:val="0"/>
            <w:vAlign w:val="center"/>
          </w:tcPr>
          <w:p w14:paraId="0736649F">
            <w:pPr>
              <w:jc w:val="center"/>
              <w:rPr>
                <w:rFonts w:hint="eastAsia"/>
                <w:color w:val="000000" w:themeColor="text1"/>
                <w:highlight w:val="none"/>
                <w14:textFill>
                  <w14:solidFill>
                    <w14:schemeClr w14:val="tx1"/>
                  </w14:solidFill>
                </w14:textFill>
              </w:rPr>
            </w:pPr>
          </w:p>
        </w:tc>
      </w:tr>
      <w:tr w14:paraId="2C146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noWrap w:val="0"/>
            <w:vAlign w:val="center"/>
          </w:tcPr>
          <w:p w14:paraId="7B63B46C">
            <w:pPr>
              <w:jc w:val="center"/>
              <w:rPr>
                <w:rFonts w:hint="eastAsia"/>
                <w:color w:val="000000" w:themeColor="text1"/>
                <w:highlight w:val="none"/>
                <w14:textFill>
                  <w14:solidFill>
                    <w14:schemeClr w14:val="tx1"/>
                  </w14:solidFill>
                </w14:textFill>
              </w:rPr>
            </w:pPr>
          </w:p>
        </w:tc>
        <w:tc>
          <w:tcPr>
            <w:tcW w:w="1275" w:type="dxa"/>
            <w:gridSpan w:val="2"/>
            <w:noWrap w:val="0"/>
            <w:vAlign w:val="center"/>
          </w:tcPr>
          <w:p w14:paraId="281E2D45">
            <w:pPr>
              <w:jc w:val="center"/>
              <w:rPr>
                <w:rFonts w:hint="eastAsia"/>
                <w:color w:val="000000" w:themeColor="text1"/>
                <w:highlight w:val="none"/>
                <w14:textFill>
                  <w14:solidFill>
                    <w14:schemeClr w14:val="tx1"/>
                  </w14:solidFill>
                </w14:textFill>
              </w:rPr>
            </w:pPr>
          </w:p>
        </w:tc>
        <w:tc>
          <w:tcPr>
            <w:tcW w:w="1222" w:type="dxa"/>
            <w:gridSpan w:val="3"/>
            <w:noWrap w:val="0"/>
            <w:vAlign w:val="center"/>
          </w:tcPr>
          <w:p w14:paraId="71E91A78">
            <w:pPr>
              <w:jc w:val="center"/>
              <w:rPr>
                <w:rFonts w:hint="eastAsia" w:cs="宋体"/>
                <w:color w:val="000000" w:themeColor="text1"/>
                <w:highlight w:val="none"/>
                <w14:textFill>
                  <w14:solidFill>
                    <w14:schemeClr w14:val="tx1"/>
                  </w14:solidFill>
                </w14:textFill>
              </w:rPr>
            </w:pPr>
          </w:p>
        </w:tc>
        <w:tc>
          <w:tcPr>
            <w:tcW w:w="1417" w:type="dxa"/>
            <w:gridSpan w:val="3"/>
            <w:noWrap w:val="0"/>
            <w:vAlign w:val="center"/>
          </w:tcPr>
          <w:p w14:paraId="6CDF4B01">
            <w:pPr>
              <w:jc w:val="center"/>
              <w:rPr>
                <w:rFonts w:hint="eastAsia"/>
                <w:color w:val="000000" w:themeColor="text1"/>
                <w:highlight w:val="none"/>
                <w14:textFill>
                  <w14:solidFill>
                    <w14:schemeClr w14:val="tx1"/>
                  </w14:solidFill>
                </w14:textFill>
              </w:rPr>
            </w:pPr>
          </w:p>
        </w:tc>
        <w:tc>
          <w:tcPr>
            <w:tcW w:w="1418" w:type="dxa"/>
            <w:gridSpan w:val="3"/>
            <w:noWrap w:val="0"/>
            <w:vAlign w:val="center"/>
          </w:tcPr>
          <w:p w14:paraId="73260D0E">
            <w:pPr>
              <w:jc w:val="center"/>
              <w:rPr>
                <w:rFonts w:hint="eastAsia"/>
                <w:color w:val="000000" w:themeColor="text1"/>
                <w:highlight w:val="none"/>
                <w14:textFill>
                  <w14:solidFill>
                    <w14:schemeClr w14:val="tx1"/>
                  </w14:solidFill>
                </w14:textFill>
              </w:rPr>
            </w:pPr>
          </w:p>
        </w:tc>
        <w:tc>
          <w:tcPr>
            <w:tcW w:w="1632" w:type="dxa"/>
            <w:gridSpan w:val="4"/>
            <w:noWrap w:val="0"/>
            <w:vAlign w:val="center"/>
          </w:tcPr>
          <w:p w14:paraId="0F109B8A">
            <w:pPr>
              <w:jc w:val="center"/>
              <w:rPr>
                <w:rFonts w:hint="eastAsia"/>
                <w:color w:val="000000" w:themeColor="text1"/>
                <w:highlight w:val="none"/>
                <w14:textFill>
                  <w14:solidFill>
                    <w14:schemeClr w14:val="tx1"/>
                  </w14:solidFill>
                </w14:textFill>
              </w:rPr>
            </w:pPr>
          </w:p>
        </w:tc>
        <w:tc>
          <w:tcPr>
            <w:tcW w:w="1416" w:type="dxa"/>
            <w:gridSpan w:val="2"/>
            <w:noWrap w:val="0"/>
            <w:vAlign w:val="center"/>
          </w:tcPr>
          <w:p w14:paraId="2AA9DCFA">
            <w:pPr>
              <w:jc w:val="center"/>
              <w:rPr>
                <w:rFonts w:hint="eastAsia"/>
                <w:color w:val="000000" w:themeColor="text1"/>
                <w:highlight w:val="none"/>
                <w14:textFill>
                  <w14:solidFill>
                    <w14:schemeClr w14:val="tx1"/>
                  </w14:solidFill>
                </w14:textFill>
              </w:rPr>
            </w:pPr>
          </w:p>
        </w:tc>
      </w:tr>
      <w:tr w14:paraId="676F8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0" w:hRule="atLeast"/>
          <w:jc w:val="center"/>
        </w:trPr>
        <w:tc>
          <w:tcPr>
            <w:tcW w:w="9611" w:type="dxa"/>
            <w:gridSpan w:val="19"/>
            <w:noWrap w:val="0"/>
            <w:vAlign w:val="center"/>
          </w:tcPr>
          <w:p w14:paraId="244F4417">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在建和已完工程项目情况</w:t>
            </w:r>
          </w:p>
        </w:tc>
      </w:tr>
      <w:tr w14:paraId="2F51E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4"/>
            <w:noWrap w:val="0"/>
            <w:vAlign w:val="center"/>
          </w:tcPr>
          <w:p w14:paraId="712B98F3">
            <w:pPr>
              <w:jc w:val="center"/>
              <w:rPr>
                <w:color w:val="000000" w:themeColor="text1"/>
                <w:highlight w:val="none"/>
                <w14:textFill>
                  <w14:solidFill>
                    <w14:schemeClr w14:val="tx1"/>
                  </w14:solidFill>
                </w14:textFill>
              </w:rPr>
            </w:pPr>
          </w:p>
        </w:tc>
        <w:tc>
          <w:tcPr>
            <w:tcW w:w="1548" w:type="dxa"/>
            <w:gridSpan w:val="2"/>
            <w:noWrap w:val="0"/>
            <w:vAlign w:val="center"/>
          </w:tcPr>
          <w:p w14:paraId="0E6B89CF">
            <w:pPr>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项目1</w:t>
            </w:r>
          </w:p>
        </w:tc>
        <w:tc>
          <w:tcPr>
            <w:tcW w:w="1837" w:type="dxa"/>
            <w:gridSpan w:val="4"/>
            <w:noWrap w:val="0"/>
            <w:vAlign w:val="center"/>
          </w:tcPr>
          <w:p w14:paraId="49DD82BD">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项目2</w:t>
            </w:r>
          </w:p>
        </w:tc>
        <w:tc>
          <w:tcPr>
            <w:tcW w:w="1472" w:type="dxa"/>
            <w:gridSpan w:val="3"/>
            <w:noWrap w:val="0"/>
            <w:vAlign w:val="center"/>
          </w:tcPr>
          <w:p w14:paraId="2FE6C818">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项目3</w:t>
            </w:r>
          </w:p>
        </w:tc>
        <w:tc>
          <w:tcPr>
            <w:tcW w:w="1641" w:type="dxa"/>
            <w:gridSpan w:val="4"/>
            <w:noWrap w:val="0"/>
            <w:vAlign w:val="center"/>
          </w:tcPr>
          <w:p w14:paraId="3E16AE18">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项目4</w:t>
            </w:r>
          </w:p>
        </w:tc>
        <w:tc>
          <w:tcPr>
            <w:tcW w:w="1484" w:type="dxa"/>
            <w:gridSpan w:val="2"/>
            <w:noWrap w:val="0"/>
            <w:vAlign w:val="center"/>
          </w:tcPr>
          <w:p w14:paraId="46673DA4">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p>
        </w:tc>
      </w:tr>
      <w:tr w14:paraId="7E3C9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4"/>
            <w:noWrap w:val="0"/>
            <w:vAlign w:val="center"/>
          </w:tcPr>
          <w:p w14:paraId="50C180DE">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项目名称</w:t>
            </w:r>
          </w:p>
        </w:tc>
        <w:tc>
          <w:tcPr>
            <w:tcW w:w="1548" w:type="dxa"/>
            <w:gridSpan w:val="2"/>
            <w:noWrap w:val="0"/>
            <w:vAlign w:val="center"/>
          </w:tcPr>
          <w:p w14:paraId="7CCD3EF6">
            <w:pPr>
              <w:jc w:val="center"/>
              <w:rPr>
                <w:color w:val="000000" w:themeColor="text1"/>
                <w:highlight w:val="none"/>
                <w14:textFill>
                  <w14:solidFill>
                    <w14:schemeClr w14:val="tx1"/>
                  </w14:solidFill>
                </w14:textFill>
              </w:rPr>
            </w:pPr>
          </w:p>
        </w:tc>
        <w:tc>
          <w:tcPr>
            <w:tcW w:w="1837" w:type="dxa"/>
            <w:gridSpan w:val="4"/>
            <w:noWrap w:val="0"/>
            <w:vAlign w:val="center"/>
          </w:tcPr>
          <w:p w14:paraId="306B0C4F">
            <w:pPr>
              <w:jc w:val="center"/>
              <w:rPr>
                <w:color w:val="000000" w:themeColor="text1"/>
                <w:highlight w:val="none"/>
                <w14:textFill>
                  <w14:solidFill>
                    <w14:schemeClr w14:val="tx1"/>
                  </w14:solidFill>
                </w14:textFill>
              </w:rPr>
            </w:pPr>
          </w:p>
        </w:tc>
        <w:tc>
          <w:tcPr>
            <w:tcW w:w="1472" w:type="dxa"/>
            <w:gridSpan w:val="3"/>
            <w:noWrap w:val="0"/>
            <w:vAlign w:val="center"/>
          </w:tcPr>
          <w:p w14:paraId="7F0AB71B">
            <w:pPr>
              <w:jc w:val="center"/>
              <w:rPr>
                <w:color w:val="000000" w:themeColor="text1"/>
                <w:highlight w:val="none"/>
                <w14:textFill>
                  <w14:solidFill>
                    <w14:schemeClr w14:val="tx1"/>
                  </w14:solidFill>
                </w14:textFill>
              </w:rPr>
            </w:pPr>
          </w:p>
        </w:tc>
        <w:tc>
          <w:tcPr>
            <w:tcW w:w="1641" w:type="dxa"/>
            <w:gridSpan w:val="4"/>
            <w:noWrap w:val="0"/>
            <w:vAlign w:val="center"/>
          </w:tcPr>
          <w:p w14:paraId="269951EF">
            <w:pPr>
              <w:jc w:val="center"/>
              <w:rPr>
                <w:color w:val="000000" w:themeColor="text1"/>
                <w:highlight w:val="none"/>
                <w14:textFill>
                  <w14:solidFill>
                    <w14:schemeClr w14:val="tx1"/>
                  </w14:solidFill>
                </w14:textFill>
              </w:rPr>
            </w:pPr>
          </w:p>
        </w:tc>
        <w:tc>
          <w:tcPr>
            <w:tcW w:w="1484" w:type="dxa"/>
            <w:gridSpan w:val="2"/>
            <w:noWrap w:val="0"/>
            <w:vAlign w:val="center"/>
          </w:tcPr>
          <w:p w14:paraId="0656C553">
            <w:pPr>
              <w:jc w:val="center"/>
              <w:rPr>
                <w:color w:val="000000" w:themeColor="text1"/>
                <w:highlight w:val="none"/>
                <w14:textFill>
                  <w14:solidFill>
                    <w14:schemeClr w14:val="tx1"/>
                  </w14:solidFill>
                </w14:textFill>
              </w:rPr>
            </w:pPr>
          </w:p>
        </w:tc>
      </w:tr>
      <w:tr w14:paraId="508F9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0"/>
            <w:vAlign w:val="center"/>
          </w:tcPr>
          <w:p w14:paraId="32ADD85F">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建设单位</w:t>
            </w:r>
          </w:p>
        </w:tc>
        <w:tc>
          <w:tcPr>
            <w:tcW w:w="1548" w:type="dxa"/>
            <w:gridSpan w:val="2"/>
            <w:noWrap w:val="0"/>
            <w:vAlign w:val="center"/>
          </w:tcPr>
          <w:p w14:paraId="4D2CEF64">
            <w:pPr>
              <w:jc w:val="center"/>
              <w:rPr>
                <w:color w:val="000000" w:themeColor="text1"/>
                <w:highlight w:val="none"/>
                <w14:textFill>
                  <w14:solidFill>
                    <w14:schemeClr w14:val="tx1"/>
                  </w14:solidFill>
                </w14:textFill>
              </w:rPr>
            </w:pPr>
          </w:p>
        </w:tc>
        <w:tc>
          <w:tcPr>
            <w:tcW w:w="1837" w:type="dxa"/>
            <w:gridSpan w:val="4"/>
            <w:noWrap w:val="0"/>
            <w:vAlign w:val="center"/>
          </w:tcPr>
          <w:p w14:paraId="60D691D8">
            <w:pPr>
              <w:jc w:val="center"/>
              <w:rPr>
                <w:color w:val="000000" w:themeColor="text1"/>
                <w:highlight w:val="none"/>
                <w14:textFill>
                  <w14:solidFill>
                    <w14:schemeClr w14:val="tx1"/>
                  </w14:solidFill>
                </w14:textFill>
              </w:rPr>
            </w:pPr>
          </w:p>
        </w:tc>
        <w:tc>
          <w:tcPr>
            <w:tcW w:w="1472" w:type="dxa"/>
            <w:gridSpan w:val="3"/>
            <w:noWrap w:val="0"/>
            <w:vAlign w:val="center"/>
          </w:tcPr>
          <w:p w14:paraId="2963C34B">
            <w:pPr>
              <w:jc w:val="center"/>
              <w:rPr>
                <w:color w:val="000000" w:themeColor="text1"/>
                <w:highlight w:val="none"/>
                <w14:textFill>
                  <w14:solidFill>
                    <w14:schemeClr w14:val="tx1"/>
                  </w14:solidFill>
                </w14:textFill>
              </w:rPr>
            </w:pPr>
          </w:p>
        </w:tc>
        <w:tc>
          <w:tcPr>
            <w:tcW w:w="1641" w:type="dxa"/>
            <w:gridSpan w:val="4"/>
            <w:noWrap w:val="0"/>
            <w:vAlign w:val="center"/>
          </w:tcPr>
          <w:p w14:paraId="798E9A9B">
            <w:pPr>
              <w:jc w:val="center"/>
              <w:rPr>
                <w:color w:val="000000" w:themeColor="text1"/>
                <w:highlight w:val="none"/>
                <w14:textFill>
                  <w14:solidFill>
                    <w14:schemeClr w14:val="tx1"/>
                  </w14:solidFill>
                </w14:textFill>
              </w:rPr>
            </w:pPr>
          </w:p>
        </w:tc>
        <w:tc>
          <w:tcPr>
            <w:tcW w:w="1484" w:type="dxa"/>
            <w:gridSpan w:val="2"/>
            <w:noWrap w:val="0"/>
            <w:vAlign w:val="center"/>
          </w:tcPr>
          <w:p w14:paraId="6922E87E">
            <w:pPr>
              <w:jc w:val="center"/>
              <w:rPr>
                <w:color w:val="000000" w:themeColor="text1"/>
                <w:highlight w:val="none"/>
                <w14:textFill>
                  <w14:solidFill>
                    <w14:schemeClr w14:val="tx1"/>
                  </w14:solidFill>
                </w14:textFill>
              </w:rPr>
            </w:pPr>
          </w:p>
        </w:tc>
      </w:tr>
      <w:tr w14:paraId="4AEB4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0"/>
            <w:vAlign w:val="center"/>
          </w:tcPr>
          <w:p w14:paraId="72AA861B">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建设规模</w:t>
            </w:r>
          </w:p>
        </w:tc>
        <w:tc>
          <w:tcPr>
            <w:tcW w:w="1548" w:type="dxa"/>
            <w:gridSpan w:val="2"/>
            <w:noWrap w:val="0"/>
            <w:vAlign w:val="center"/>
          </w:tcPr>
          <w:p w14:paraId="683EB083">
            <w:pPr>
              <w:jc w:val="center"/>
              <w:rPr>
                <w:color w:val="000000" w:themeColor="text1"/>
                <w:highlight w:val="none"/>
                <w14:textFill>
                  <w14:solidFill>
                    <w14:schemeClr w14:val="tx1"/>
                  </w14:solidFill>
                </w14:textFill>
              </w:rPr>
            </w:pPr>
          </w:p>
        </w:tc>
        <w:tc>
          <w:tcPr>
            <w:tcW w:w="1837" w:type="dxa"/>
            <w:gridSpan w:val="4"/>
            <w:noWrap w:val="0"/>
            <w:vAlign w:val="center"/>
          </w:tcPr>
          <w:p w14:paraId="1F40A66C">
            <w:pPr>
              <w:jc w:val="center"/>
              <w:rPr>
                <w:color w:val="000000" w:themeColor="text1"/>
                <w:highlight w:val="none"/>
                <w14:textFill>
                  <w14:solidFill>
                    <w14:schemeClr w14:val="tx1"/>
                  </w14:solidFill>
                </w14:textFill>
              </w:rPr>
            </w:pPr>
          </w:p>
        </w:tc>
        <w:tc>
          <w:tcPr>
            <w:tcW w:w="1472" w:type="dxa"/>
            <w:gridSpan w:val="3"/>
            <w:noWrap w:val="0"/>
            <w:vAlign w:val="center"/>
          </w:tcPr>
          <w:p w14:paraId="5A1F6174">
            <w:pPr>
              <w:jc w:val="center"/>
              <w:rPr>
                <w:color w:val="000000" w:themeColor="text1"/>
                <w:highlight w:val="none"/>
                <w14:textFill>
                  <w14:solidFill>
                    <w14:schemeClr w14:val="tx1"/>
                  </w14:solidFill>
                </w14:textFill>
              </w:rPr>
            </w:pPr>
          </w:p>
        </w:tc>
        <w:tc>
          <w:tcPr>
            <w:tcW w:w="1641" w:type="dxa"/>
            <w:gridSpan w:val="4"/>
            <w:noWrap w:val="0"/>
            <w:vAlign w:val="center"/>
          </w:tcPr>
          <w:p w14:paraId="4E9B8CD1">
            <w:pPr>
              <w:jc w:val="center"/>
              <w:rPr>
                <w:color w:val="000000" w:themeColor="text1"/>
                <w:highlight w:val="none"/>
                <w14:textFill>
                  <w14:solidFill>
                    <w14:schemeClr w14:val="tx1"/>
                  </w14:solidFill>
                </w14:textFill>
              </w:rPr>
            </w:pPr>
          </w:p>
        </w:tc>
        <w:tc>
          <w:tcPr>
            <w:tcW w:w="1484" w:type="dxa"/>
            <w:gridSpan w:val="2"/>
            <w:noWrap w:val="0"/>
            <w:vAlign w:val="center"/>
          </w:tcPr>
          <w:p w14:paraId="75F274CF">
            <w:pPr>
              <w:jc w:val="center"/>
              <w:rPr>
                <w:color w:val="000000" w:themeColor="text1"/>
                <w:highlight w:val="none"/>
                <w14:textFill>
                  <w14:solidFill>
                    <w14:schemeClr w14:val="tx1"/>
                  </w14:solidFill>
                </w14:textFill>
              </w:rPr>
            </w:pPr>
          </w:p>
        </w:tc>
      </w:tr>
      <w:tr w14:paraId="10B0C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0"/>
            <w:vAlign w:val="center"/>
          </w:tcPr>
          <w:p w14:paraId="5FCC2B21">
            <w:pPr>
              <w:jc w:val="center"/>
              <w:rPr>
                <w:rFonts w:hint="eastAsia" w:ascii="宋体" w:hAnsi="宋体" w:cs="宋体"/>
                <w:color w:val="000000" w:themeColor="text1"/>
                <w:sz w:val="27"/>
                <w:szCs w:val="27"/>
                <w:highlight w:val="none"/>
                <w:lang w:bidi="ar"/>
                <w14:textFill>
                  <w14:solidFill>
                    <w14:schemeClr w14:val="tx1"/>
                  </w14:solidFill>
                </w14:textFill>
              </w:rPr>
            </w:pPr>
            <w:r>
              <w:rPr>
                <w:rFonts w:hint="eastAsia" w:cs="宋体"/>
                <w:color w:val="000000" w:themeColor="text1"/>
                <w:highlight w:val="none"/>
                <w14:textFill>
                  <w14:solidFill>
                    <w14:schemeClr w14:val="tx1"/>
                  </w14:solidFill>
                </w14:textFill>
              </w:rPr>
              <w:t>开工日期</w:t>
            </w:r>
          </w:p>
        </w:tc>
        <w:tc>
          <w:tcPr>
            <w:tcW w:w="1548" w:type="dxa"/>
            <w:gridSpan w:val="2"/>
            <w:noWrap w:val="0"/>
            <w:vAlign w:val="center"/>
          </w:tcPr>
          <w:p w14:paraId="405CDBDD">
            <w:pPr>
              <w:jc w:val="center"/>
              <w:rPr>
                <w:color w:val="000000" w:themeColor="text1"/>
                <w:highlight w:val="none"/>
                <w14:textFill>
                  <w14:solidFill>
                    <w14:schemeClr w14:val="tx1"/>
                  </w14:solidFill>
                </w14:textFill>
              </w:rPr>
            </w:pPr>
          </w:p>
        </w:tc>
        <w:tc>
          <w:tcPr>
            <w:tcW w:w="1837" w:type="dxa"/>
            <w:gridSpan w:val="4"/>
            <w:noWrap w:val="0"/>
            <w:vAlign w:val="center"/>
          </w:tcPr>
          <w:p w14:paraId="6C8DFC37">
            <w:pPr>
              <w:jc w:val="center"/>
              <w:rPr>
                <w:color w:val="000000" w:themeColor="text1"/>
                <w:highlight w:val="none"/>
                <w14:textFill>
                  <w14:solidFill>
                    <w14:schemeClr w14:val="tx1"/>
                  </w14:solidFill>
                </w14:textFill>
              </w:rPr>
            </w:pPr>
          </w:p>
        </w:tc>
        <w:tc>
          <w:tcPr>
            <w:tcW w:w="1472" w:type="dxa"/>
            <w:gridSpan w:val="3"/>
            <w:noWrap w:val="0"/>
            <w:vAlign w:val="center"/>
          </w:tcPr>
          <w:p w14:paraId="5C9C1B4C">
            <w:pPr>
              <w:jc w:val="center"/>
              <w:rPr>
                <w:color w:val="000000" w:themeColor="text1"/>
                <w:highlight w:val="none"/>
                <w14:textFill>
                  <w14:solidFill>
                    <w14:schemeClr w14:val="tx1"/>
                  </w14:solidFill>
                </w14:textFill>
              </w:rPr>
            </w:pPr>
          </w:p>
        </w:tc>
        <w:tc>
          <w:tcPr>
            <w:tcW w:w="1641" w:type="dxa"/>
            <w:gridSpan w:val="4"/>
            <w:noWrap w:val="0"/>
            <w:vAlign w:val="center"/>
          </w:tcPr>
          <w:p w14:paraId="79259521">
            <w:pPr>
              <w:jc w:val="center"/>
              <w:rPr>
                <w:color w:val="000000" w:themeColor="text1"/>
                <w:highlight w:val="none"/>
                <w14:textFill>
                  <w14:solidFill>
                    <w14:schemeClr w14:val="tx1"/>
                  </w14:solidFill>
                </w14:textFill>
              </w:rPr>
            </w:pPr>
          </w:p>
        </w:tc>
        <w:tc>
          <w:tcPr>
            <w:tcW w:w="1484" w:type="dxa"/>
            <w:gridSpan w:val="2"/>
            <w:noWrap w:val="0"/>
            <w:vAlign w:val="center"/>
          </w:tcPr>
          <w:p w14:paraId="6DAF25C1">
            <w:pPr>
              <w:jc w:val="center"/>
              <w:rPr>
                <w:color w:val="000000" w:themeColor="text1"/>
                <w:highlight w:val="none"/>
                <w14:textFill>
                  <w14:solidFill>
                    <w14:schemeClr w14:val="tx1"/>
                  </w14:solidFill>
                </w14:textFill>
              </w:rPr>
            </w:pPr>
          </w:p>
        </w:tc>
      </w:tr>
      <w:tr w14:paraId="201AC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0"/>
            <w:vAlign w:val="center"/>
          </w:tcPr>
          <w:p w14:paraId="05181B1B">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竣工日期</w:t>
            </w:r>
          </w:p>
        </w:tc>
        <w:tc>
          <w:tcPr>
            <w:tcW w:w="1548" w:type="dxa"/>
            <w:gridSpan w:val="2"/>
            <w:noWrap w:val="0"/>
            <w:vAlign w:val="center"/>
          </w:tcPr>
          <w:p w14:paraId="0B438898">
            <w:pPr>
              <w:jc w:val="center"/>
              <w:rPr>
                <w:color w:val="000000" w:themeColor="text1"/>
                <w:highlight w:val="none"/>
                <w14:textFill>
                  <w14:solidFill>
                    <w14:schemeClr w14:val="tx1"/>
                  </w14:solidFill>
                </w14:textFill>
              </w:rPr>
            </w:pPr>
          </w:p>
        </w:tc>
        <w:tc>
          <w:tcPr>
            <w:tcW w:w="1837" w:type="dxa"/>
            <w:gridSpan w:val="4"/>
            <w:noWrap w:val="0"/>
            <w:vAlign w:val="center"/>
          </w:tcPr>
          <w:p w14:paraId="461CA882">
            <w:pPr>
              <w:jc w:val="center"/>
              <w:rPr>
                <w:color w:val="000000" w:themeColor="text1"/>
                <w:highlight w:val="none"/>
                <w14:textFill>
                  <w14:solidFill>
                    <w14:schemeClr w14:val="tx1"/>
                  </w14:solidFill>
                </w14:textFill>
              </w:rPr>
            </w:pPr>
          </w:p>
        </w:tc>
        <w:tc>
          <w:tcPr>
            <w:tcW w:w="1472" w:type="dxa"/>
            <w:gridSpan w:val="3"/>
            <w:noWrap w:val="0"/>
            <w:vAlign w:val="center"/>
          </w:tcPr>
          <w:p w14:paraId="573359C6">
            <w:pPr>
              <w:jc w:val="center"/>
              <w:rPr>
                <w:color w:val="000000" w:themeColor="text1"/>
                <w:highlight w:val="none"/>
                <w14:textFill>
                  <w14:solidFill>
                    <w14:schemeClr w14:val="tx1"/>
                  </w14:solidFill>
                </w14:textFill>
              </w:rPr>
            </w:pPr>
          </w:p>
        </w:tc>
        <w:tc>
          <w:tcPr>
            <w:tcW w:w="1641" w:type="dxa"/>
            <w:gridSpan w:val="4"/>
            <w:noWrap w:val="0"/>
            <w:vAlign w:val="center"/>
          </w:tcPr>
          <w:p w14:paraId="7AB3CECD">
            <w:pPr>
              <w:jc w:val="center"/>
              <w:rPr>
                <w:color w:val="000000" w:themeColor="text1"/>
                <w:highlight w:val="none"/>
                <w14:textFill>
                  <w14:solidFill>
                    <w14:schemeClr w14:val="tx1"/>
                  </w14:solidFill>
                </w14:textFill>
              </w:rPr>
            </w:pPr>
          </w:p>
        </w:tc>
        <w:tc>
          <w:tcPr>
            <w:tcW w:w="1484" w:type="dxa"/>
            <w:gridSpan w:val="2"/>
            <w:noWrap w:val="0"/>
            <w:vAlign w:val="center"/>
          </w:tcPr>
          <w:p w14:paraId="3FBD3567">
            <w:pPr>
              <w:jc w:val="center"/>
              <w:rPr>
                <w:color w:val="000000" w:themeColor="text1"/>
                <w:highlight w:val="none"/>
                <w14:textFill>
                  <w14:solidFill>
                    <w14:schemeClr w14:val="tx1"/>
                  </w14:solidFill>
                </w14:textFill>
              </w:rPr>
            </w:pPr>
          </w:p>
        </w:tc>
      </w:tr>
      <w:tr w14:paraId="18077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0"/>
            <w:vAlign w:val="center"/>
          </w:tcPr>
          <w:p w14:paraId="0A4A4B5F">
            <w:pPr>
              <w:jc w:val="center"/>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人员角色</w:t>
            </w:r>
          </w:p>
        </w:tc>
        <w:tc>
          <w:tcPr>
            <w:tcW w:w="1548" w:type="dxa"/>
            <w:gridSpan w:val="2"/>
            <w:noWrap w:val="0"/>
            <w:vAlign w:val="center"/>
          </w:tcPr>
          <w:p w14:paraId="437CBDD1">
            <w:pPr>
              <w:jc w:val="center"/>
              <w:rPr>
                <w:color w:val="000000" w:themeColor="text1"/>
                <w:highlight w:val="none"/>
                <w14:textFill>
                  <w14:solidFill>
                    <w14:schemeClr w14:val="tx1"/>
                  </w14:solidFill>
                </w14:textFill>
              </w:rPr>
            </w:pPr>
          </w:p>
        </w:tc>
        <w:tc>
          <w:tcPr>
            <w:tcW w:w="1837" w:type="dxa"/>
            <w:gridSpan w:val="4"/>
            <w:noWrap w:val="0"/>
            <w:vAlign w:val="center"/>
          </w:tcPr>
          <w:p w14:paraId="2A811B7B">
            <w:pPr>
              <w:jc w:val="center"/>
              <w:rPr>
                <w:color w:val="000000" w:themeColor="text1"/>
                <w:highlight w:val="none"/>
                <w14:textFill>
                  <w14:solidFill>
                    <w14:schemeClr w14:val="tx1"/>
                  </w14:solidFill>
                </w14:textFill>
              </w:rPr>
            </w:pPr>
          </w:p>
        </w:tc>
        <w:tc>
          <w:tcPr>
            <w:tcW w:w="1472" w:type="dxa"/>
            <w:gridSpan w:val="3"/>
            <w:noWrap w:val="0"/>
            <w:vAlign w:val="center"/>
          </w:tcPr>
          <w:p w14:paraId="592E1C82">
            <w:pPr>
              <w:jc w:val="center"/>
              <w:rPr>
                <w:color w:val="000000" w:themeColor="text1"/>
                <w:highlight w:val="none"/>
                <w14:textFill>
                  <w14:solidFill>
                    <w14:schemeClr w14:val="tx1"/>
                  </w14:solidFill>
                </w14:textFill>
              </w:rPr>
            </w:pPr>
          </w:p>
        </w:tc>
        <w:tc>
          <w:tcPr>
            <w:tcW w:w="1641" w:type="dxa"/>
            <w:gridSpan w:val="4"/>
            <w:noWrap w:val="0"/>
            <w:vAlign w:val="center"/>
          </w:tcPr>
          <w:p w14:paraId="0D377415">
            <w:pPr>
              <w:jc w:val="center"/>
              <w:rPr>
                <w:color w:val="000000" w:themeColor="text1"/>
                <w:highlight w:val="none"/>
                <w14:textFill>
                  <w14:solidFill>
                    <w14:schemeClr w14:val="tx1"/>
                  </w14:solidFill>
                </w14:textFill>
              </w:rPr>
            </w:pPr>
          </w:p>
        </w:tc>
        <w:tc>
          <w:tcPr>
            <w:tcW w:w="1484" w:type="dxa"/>
            <w:gridSpan w:val="2"/>
            <w:noWrap w:val="0"/>
            <w:vAlign w:val="center"/>
          </w:tcPr>
          <w:p w14:paraId="3A9D0499">
            <w:pPr>
              <w:jc w:val="center"/>
              <w:rPr>
                <w:color w:val="000000" w:themeColor="text1"/>
                <w:highlight w:val="none"/>
                <w14:textFill>
                  <w14:solidFill>
                    <w14:schemeClr w14:val="tx1"/>
                  </w14:solidFill>
                </w14:textFill>
              </w:rPr>
            </w:pPr>
          </w:p>
        </w:tc>
      </w:tr>
      <w:tr w14:paraId="2719B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0"/>
            <w:vAlign w:val="center"/>
          </w:tcPr>
          <w:p w14:paraId="66B098DC">
            <w:pPr>
              <w:jc w:val="center"/>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在建或已完</w:t>
            </w:r>
          </w:p>
        </w:tc>
        <w:tc>
          <w:tcPr>
            <w:tcW w:w="1548" w:type="dxa"/>
            <w:gridSpan w:val="2"/>
            <w:noWrap w:val="0"/>
            <w:vAlign w:val="center"/>
          </w:tcPr>
          <w:p w14:paraId="5AAE443E">
            <w:pPr>
              <w:jc w:val="center"/>
              <w:rPr>
                <w:color w:val="000000" w:themeColor="text1"/>
                <w:highlight w:val="none"/>
                <w14:textFill>
                  <w14:solidFill>
                    <w14:schemeClr w14:val="tx1"/>
                  </w14:solidFill>
                </w14:textFill>
              </w:rPr>
            </w:pPr>
          </w:p>
        </w:tc>
        <w:tc>
          <w:tcPr>
            <w:tcW w:w="1837" w:type="dxa"/>
            <w:gridSpan w:val="4"/>
            <w:noWrap w:val="0"/>
            <w:vAlign w:val="center"/>
          </w:tcPr>
          <w:p w14:paraId="45CDE358">
            <w:pPr>
              <w:jc w:val="center"/>
              <w:rPr>
                <w:color w:val="000000" w:themeColor="text1"/>
                <w:highlight w:val="none"/>
                <w14:textFill>
                  <w14:solidFill>
                    <w14:schemeClr w14:val="tx1"/>
                  </w14:solidFill>
                </w14:textFill>
              </w:rPr>
            </w:pPr>
          </w:p>
        </w:tc>
        <w:tc>
          <w:tcPr>
            <w:tcW w:w="1472" w:type="dxa"/>
            <w:gridSpan w:val="3"/>
            <w:noWrap w:val="0"/>
            <w:vAlign w:val="center"/>
          </w:tcPr>
          <w:p w14:paraId="39C5877C">
            <w:pPr>
              <w:jc w:val="center"/>
              <w:rPr>
                <w:color w:val="000000" w:themeColor="text1"/>
                <w:highlight w:val="none"/>
                <w14:textFill>
                  <w14:solidFill>
                    <w14:schemeClr w14:val="tx1"/>
                  </w14:solidFill>
                </w14:textFill>
              </w:rPr>
            </w:pPr>
          </w:p>
        </w:tc>
        <w:tc>
          <w:tcPr>
            <w:tcW w:w="1641" w:type="dxa"/>
            <w:gridSpan w:val="4"/>
            <w:noWrap w:val="0"/>
            <w:vAlign w:val="center"/>
          </w:tcPr>
          <w:p w14:paraId="44B456FF">
            <w:pPr>
              <w:jc w:val="center"/>
              <w:rPr>
                <w:color w:val="000000" w:themeColor="text1"/>
                <w:highlight w:val="none"/>
                <w14:textFill>
                  <w14:solidFill>
                    <w14:schemeClr w14:val="tx1"/>
                  </w14:solidFill>
                </w14:textFill>
              </w:rPr>
            </w:pPr>
          </w:p>
        </w:tc>
        <w:tc>
          <w:tcPr>
            <w:tcW w:w="1484" w:type="dxa"/>
            <w:gridSpan w:val="2"/>
            <w:noWrap w:val="0"/>
            <w:vAlign w:val="center"/>
          </w:tcPr>
          <w:p w14:paraId="522CD026">
            <w:pPr>
              <w:jc w:val="center"/>
              <w:rPr>
                <w:color w:val="000000" w:themeColor="text1"/>
                <w:highlight w:val="none"/>
                <w14:textFill>
                  <w14:solidFill>
                    <w14:schemeClr w14:val="tx1"/>
                  </w14:solidFill>
                </w14:textFill>
              </w:rPr>
            </w:pPr>
          </w:p>
        </w:tc>
      </w:tr>
      <w:tr w14:paraId="6819B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0"/>
            <w:vAlign w:val="center"/>
          </w:tcPr>
          <w:p w14:paraId="30506B83">
            <w:pPr>
              <w:jc w:val="center"/>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工程质量</w:t>
            </w:r>
          </w:p>
        </w:tc>
        <w:tc>
          <w:tcPr>
            <w:tcW w:w="1548" w:type="dxa"/>
            <w:gridSpan w:val="2"/>
            <w:noWrap w:val="0"/>
            <w:vAlign w:val="center"/>
          </w:tcPr>
          <w:p w14:paraId="2FCF337B">
            <w:pPr>
              <w:jc w:val="center"/>
              <w:rPr>
                <w:color w:val="000000" w:themeColor="text1"/>
                <w:highlight w:val="none"/>
                <w14:textFill>
                  <w14:solidFill>
                    <w14:schemeClr w14:val="tx1"/>
                  </w14:solidFill>
                </w14:textFill>
              </w:rPr>
            </w:pPr>
          </w:p>
        </w:tc>
        <w:tc>
          <w:tcPr>
            <w:tcW w:w="1837" w:type="dxa"/>
            <w:gridSpan w:val="4"/>
            <w:noWrap w:val="0"/>
            <w:vAlign w:val="center"/>
          </w:tcPr>
          <w:p w14:paraId="52250D1D">
            <w:pPr>
              <w:jc w:val="center"/>
              <w:rPr>
                <w:color w:val="000000" w:themeColor="text1"/>
                <w:highlight w:val="none"/>
                <w14:textFill>
                  <w14:solidFill>
                    <w14:schemeClr w14:val="tx1"/>
                  </w14:solidFill>
                </w14:textFill>
              </w:rPr>
            </w:pPr>
          </w:p>
        </w:tc>
        <w:tc>
          <w:tcPr>
            <w:tcW w:w="1472" w:type="dxa"/>
            <w:gridSpan w:val="3"/>
            <w:noWrap w:val="0"/>
            <w:vAlign w:val="center"/>
          </w:tcPr>
          <w:p w14:paraId="14B2840A">
            <w:pPr>
              <w:jc w:val="center"/>
              <w:rPr>
                <w:color w:val="000000" w:themeColor="text1"/>
                <w:highlight w:val="none"/>
                <w14:textFill>
                  <w14:solidFill>
                    <w14:schemeClr w14:val="tx1"/>
                  </w14:solidFill>
                </w14:textFill>
              </w:rPr>
            </w:pPr>
          </w:p>
        </w:tc>
        <w:tc>
          <w:tcPr>
            <w:tcW w:w="1641" w:type="dxa"/>
            <w:gridSpan w:val="4"/>
            <w:noWrap w:val="0"/>
            <w:vAlign w:val="center"/>
          </w:tcPr>
          <w:p w14:paraId="697E2F07">
            <w:pPr>
              <w:jc w:val="center"/>
              <w:rPr>
                <w:color w:val="000000" w:themeColor="text1"/>
                <w:highlight w:val="none"/>
                <w14:textFill>
                  <w14:solidFill>
                    <w14:schemeClr w14:val="tx1"/>
                  </w14:solidFill>
                </w14:textFill>
              </w:rPr>
            </w:pPr>
          </w:p>
        </w:tc>
        <w:tc>
          <w:tcPr>
            <w:tcW w:w="1484" w:type="dxa"/>
            <w:gridSpan w:val="2"/>
            <w:noWrap w:val="0"/>
            <w:vAlign w:val="center"/>
          </w:tcPr>
          <w:p w14:paraId="5E56BA55">
            <w:pPr>
              <w:jc w:val="center"/>
              <w:rPr>
                <w:color w:val="000000" w:themeColor="text1"/>
                <w:highlight w:val="none"/>
                <w14:textFill>
                  <w14:solidFill>
                    <w14:schemeClr w14:val="tx1"/>
                  </w14:solidFill>
                </w14:textFill>
              </w:rPr>
            </w:pPr>
          </w:p>
        </w:tc>
      </w:tr>
      <w:tr w14:paraId="1F28D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0"/>
            <w:vAlign w:val="center"/>
          </w:tcPr>
          <w:p w14:paraId="04D7E058">
            <w:pPr>
              <w:jc w:val="center"/>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受奖情况</w:t>
            </w:r>
          </w:p>
        </w:tc>
        <w:tc>
          <w:tcPr>
            <w:tcW w:w="1548" w:type="dxa"/>
            <w:gridSpan w:val="2"/>
            <w:noWrap w:val="0"/>
            <w:vAlign w:val="center"/>
          </w:tcPr>
          <w:p w14:paraId="30119F1E">
            <w:pPr>
              <w:jc w:val="center"/>
              <w:rPr>
                <w:color w:val="000000" w:themeColor="text1"/>
                <w:highlight w:val="none"/>
                <w14:textFill>
                  <w14:solidFill>
                    <w14:schemeClr w14:val="tx1"/>
                  </w14:solidFill>
                </w14:textFill>
              </w:rPr>
            </w:pPr>
          </w:p>
        </w:tc>
        <w:tc>
          <w:tcPr>
            <w:tcW w:w="1837" w:type="dxa"/>
            <w:gridSpan w:val="4"/>
            <w:noWrap w:val="0"/>
            <w:vAlign w:val="center"/>
          </w:tcPr>
          <w:p w14:paraId="4C0FB460">
            <w:pPr>
              <w:jc w:val="center"/>
              <w:rPr>
                <w:color w:val="000000" w:themeColor="text1"/>
                <w:highlight w:val="none"/>
                <w14:textFill>
                  <w14:solidFill>
                    <w14:schemeClr w14:val="tx1"/>
                  </w14:solidFill>
                </w14:textFill>
              </w:rPr>
            </w:pPr>
          </w:p>
        </w:tc>
        <w:tc>
          <w:tcPr>
            <w:tcW w:w="1472" w:type="dxa"/>
            <w:gridSpan w:val="3"/>
            <w:noWrap w:val="0"/>
            <w:vAlign w:val="center"/>
          </w:tcPr>
          <w:p w14:paraId="460BBDDB">
            <w:pPr>
              <w:jc w:val="center"/>
              <w:rPr>
                <w:color w:val="000000" w:themeColor="text1"/>
                <w:highlight w:val="none"/>
                <w14:textFill>
                  <w14:solidFill>
                    <w14:schemeClr w14:val="tx1"/>
                  </w14:solidFill>
                </w14:textFill>
              </w:rPr>
            </w:pPr>
          </w:p>
        </w:tc>
        <w:tc>
          <w:tcPr>
            <w:tcW w:w="1641" w:type="dxa"/>
            <w:gridSpan w:val="4"/>
            <w:noWrap w:val="0"/>
            <w:vAlign w:val="center"/>
          </w:tcPr>
          <w:p w14:paraId="5798FEFC">
            <w:pPr>
              <w:jc w:val="center"/>
              <w:rPr>
                <w:color w:val="000000" w:themeColor="text1"/>
                <w:highlight w:val="none"/>
                <w14:textFill>
                  <w14:solidFill>
                    <w14:schemeClr w14:val="tx1"/>
                  </w14:solidFill>
                </w14:textFill>
              </w:rPr>
            </w:pPr>
          </w:p>
        </w:tc>
        <w:tc>
          <w:tcPr>
            <w:tcW w:w="1484" w:type="dxa"/>
            <w:gridSpan w:val="2"/>
            <w:noWrap w:val="0"/>
            <w:vAlign w:val="center"/>
          </w:tcPr>
          <w:p w14:paraId="3B2ABD44">
            <w:pPr>
              <w:jc w:val="center"/>
              <w:rPr>
                <w:color w:val="000000" w:themeColor="text1"/>
                <w:highlight w:val="none"/>
                <w14:textFill>
                  <w14:solidFill>
                    <w14:schemeClr w14:val="tx1"/>
                  </w14:solidFill>
                </w14:textFill>
              </w:rPr>
            </w:pPr>
          </w:p>
        </w:tc>
      </w:tr>
    </w:tbl>
    <w:p w14:paraId="00E2828B">
      <w:pPr>
        <w:spacing w:line="360" w:lineRule="auto"/>
        <w:rPr>
          <w:rFonts w:ascii="宋体" w:hAnsi="宋体"/>
          <w:color w:val="000000" w:themeColor="text1"/>
          <w:highlight w:val="none"/>
          <w14:textFill>
            <w14:solidFill>
              <w14:schemeClr w14:val="tx1"/>
            </w14:solidFill>
          </w14:textFill>
        </w:rPr>
      </w:pPr>
      <w:r>
        <w:rPr>
          <w:rFonts w:hint="eastAsia" w:ascii="宋体" w:hAnsi="宋体" w:cs="楷体_GB2312"/>
          <w:color w:val="000000" w:themeColor="text1"/>
          <w:highlight w:val="none"/>
          <w14:textFill>
            <w14:solidFill>
              <w14:schemeClr w14:val="tx1"/>
            </w14:solidFill>
          </w14:textFill>
        </w:rPr>
        <w:t>备注：</w:t>
      </w:r>
    </w:p>
    <w:p w14:paraId="7D6DBAAC">
      <w:pPr>
        <w:spacing w:line="360" w:lineRule="auto"/>
        <w:ind w:firstLine="42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1.供应商可以根据项目情况增减表格内容，项目数可以根据需要增加。</w:t>
      </w:r>
    </w:p>
    <w:p w14:paraId="26861EAA">
      <w:pPr>
        <w:spacing w:line="360" w:lineRule="auto"/>
        <w:ind w:firstLine="42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本表后附专职安全生产管理人员的学历证、安全生产考核合格证（C类）、本表所列证书复印件并加盖供应商电子签章。</w:t>
      </w:r>
    </w:p>
    <w:p w14:paraId="38D4D55E">
      <w:pPr>
        <w:spacing w:line="360" w:lineRule="auto"/>
        <w:rPr>
          <w:rFonts w:hint="eastAsia" w:ascii="宋体" w:hAnsi="宋体"/>
          <w:color w:val="000000" w:themeColor="text1"/>
          <w:szCs w:val="21"/>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br w:type="page" w:clear="all"/>
      </w:r>
      <w:r>
        <w:rPr>
          <w:rFonts w:hint="eastAsia" w:ascii="宋体" w:hAnsi="宋体"/>
          <w:b/>
          <w:bCs/>
          <w:color w:val="000000" w:themeColor="text1"/>
          <w:sz w:val="24"/>
          <w:highlight w:val="none"/>
          <w14:textFill>
            <w14:solidFill>
              <w14:schemeClr w14:val="tx1"/>
            </w14:solidFill>
          </w14:textFill>
        </w:rPr>
        <w:t>其他文书、文件格式</w:t>
      </w:r>
    </w:p>
    <w:p w14:paraId="580A5196">
      <w:pPr>
        <w:jc w:val="cente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pPr>
      <w:bookmarkStart w:id="163" w:name="_Toc71365926"/>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中小企业声明函（工程）</w:t>
      </w:r>
      <w:bookmarkEnd w:id="163"/>
    </w:p>
    <w:p w14:paraId="1EE8CA8D">
      <w:pPr>
        <w:spacing w:before="2" w:line="500" w:lineRule="exact"/>
        <w:ind w:firstLine="708"/>
        <w:rPr>
          <w:rFonts w:hint="eastAsia" w:ascii="宋体" w:hAnsi="宋体" w:cs="宋体"/>
          <w:b/>
          <w:bCs/>
          <w:color w:val="000000" w:themeColor="text1"/>
          <w:sz w:val="24"/>
          <w:highlight w:val="none"/>
          <w14:textFill>
            <w14:solidFill>
              <w14:schemeClr w14:val="tx1"/>
            </w14:solidFill>
          </w14:textFill>
        </w:rPr>
      </w:pPr>
    </w:p>
    <w:p w14:paraId="63AF3BA4">
      <w:pPr>
        <w:pStyle w:val="18"/>
        <w:spacing w:line="500" w:lineRule="exact"/>
        <w:ind w:right="142" w:firstLine="705"/>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本公司（联合体）郑重声明，根据《政府采购促进中小企业发展管理办法》（财库﹝2020﹞46号）的规定，本公司（联合体）参加</w:t>
      </w:r>
      <w:r>
        <w:rPr>
          <w:rFonts w:ascii="宋体" w:hAnsi="宋体"/>
          <w:color w:val="000000" w:themeColor="text1"/>
          <w:sz w:val="24"/>
          <w:highlight w:val="none"/>
          <w:u w:val="single"/>
          <w14:textFill>
            <w14:solidFill>
              <w14:schemeClr w14:val="tx1"/>
            </w14:solidFill>
          </w14:textFill>
        </w:rPr>
        <w:t>（单位名称）</w:t>
      </w:r>
      <w:r>
        <w:rPr>
          <w:rFonts w:ascii="宋体" w:hAnsi="宋体"/>
          <w:color w:val="000000" w:themeColor="text1"/>
          <w:sz w:val="24"/>
          <w:highlight w:val="none"/>
          <w14:textFill>
            <w14:solidFill>
              <w14:schemeClr w14:val="tx1"/>
            </w14:solidFill>
          </w14:textFill>
        </w:rPr>
        <w:t>的</w:t>
      </w:r>
      <w:r>
        <w:rPr>
          <w:rFonts w:ascii="宋体" w:hAnsi="宋体"/>
          <w:color w:val="000000" w:themeColor="text1"/>
          <w:sz w:val="24"/>
          <w:highlight w:val="none"/>
          <w:u w:val="single"/>
          <w14:textFill>
            <w14:solidFill>
              <w14:schemeClr w14:val="tx1"/>
            </w14:solidFill>
          </w14:textFill>
        </w:rPr>
        <w:t>（项目名称）</w:t>
      </w:r>
      <w:r>
        <w:rPr>
          <w:rFonts w:ascii="宋体" w:hAnsi="宋体"/>
          <w:color w:val="000000" w:themeColor="text1"/>
          <w:sz w:val="24"/>
          <w:highlight w:val="none"/>
          <w14:textFill>
            <w14:solidFill>
              <w14:schemeClr w14:val="tx1"/>
            </w14:solidFill>
          </w14:textFill>
        </w:rPr>
        <w:t>采购活动，</w:t>
      </w:r>
      <w:r>
        <w:rPr>
          <w:rFonts w:hint="eastAsia" w:ascii="宋体" w:hAnsi="宋体"/>
          <w:color w:val="000000" w:themeColor="text1"/>
          <w:sz w:val="24"/>
          <w:highlight w:val="none"/>
          <w14:textFill>
            <w14:solidFill>
              <w14:schemeClr w14:val="tx1"/>
            </w14:solidFill>
          </w14:textFill>
        </w:rPr>
        <w:t>工程的施工单位全部为符合政策要求的中小企业。相关企业（含联合体中的中小企业、签订分包意向协议的中小企业）的具体情况如下：</w:t>
      </w:r>
    </w:p>
    <w:p w14:paraId="548FFA2A">
      <w:pPr>
        <w:tabs>
          <w:tab w:val="left" w:pos="1384"/>
          <w:tab w:val="left" w:pos="4562"/>
          <w:tab w:val="left" w:pos="6803"/>
        </w:tabs>
        <w:spacing w:before="13" w:line="500" w:lineRule="exact"/>
        <w:ind w:right="142" w:firstLine="772"/>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w:t>
      </w:r>
      <w:r>
        <w:rPr>
          <w:rFonts w:ascii="宋体" w:hAnsi="宋体"/>
          <w:color w:val="000000" w:themeColor="text1"/>
          <w:sz w:val="24"/>
          <w:highlight w:val="none"/>
          <w:u w:val="single"/>
          <w14:textFill>
            <w14:solidFill>
              <w14:schemeClr w14:val="tx1"/>
            </w14:solidFill>
          </w14:textFill>
        </w:rPr>
        <w:t>（标的名称）</w:t>
      </w:r>
      <w:r>
        <w:rPr>
          <w:rFonts w:ascii="宋体" w:hAnsi="宋体"/>
          <w:color w:val="000000" w:themeColor="text1"/>
          <w:sz w:val="24"/>
          <w:highlight w:val="none"/>
          <w14:textFill>
            <w14:solidFill>
              <w14:schemeClr w14:val="tx1"/>
            </w14:solidFill>
          </w14:textFill>
        </w:rPr>
        <w:t>，属于</w:t>
      </w:r>
      <w:r>
        <w:rPr>
          <w:rFonts w:ascii="宋体" w:hAnsi="宋体"/>
          <w:color w:val="000000" w:themeColor="text1"/>
          <w:sz w:val="24"/>
          <w:highlight w:val="none"/>
          <w:u w:val="single"/>
          <w14:textFill>
            <w14:solidFill>
              <w14:schemeClr w14:val="tx1"/>
            </w14:solidFill>
          </w14:textFill>
        </w:rPr>
        <w:t>（采购文件中明确的所属</w:t>
      </w:r>
      <w:r>
        <w:rPr>
          <w:rFonts w:hint="eastAsia" w:ascii="宋体" w:hAnsi="宋体"/>
          <w:color w:val="000000" w:themeColor="text1"/>
          <w:sz w:val="24"/>
          <w:highlight w:val="none"/>
          <w:u w:val="single"/>
          <w14:textFill>
            <w14:solidFill>
              <w14:schemeClr w14:val="tx1"/>
            </w14:solidFill>
          </w14:textFill>
        </w:rPr>
        <w:t>行</w:t>
      </w:r>
      <w:r>
        <w:rPr>
          <w:rFonts w:ascii="宋体" w:hAnsi="宋体"/>
          <w:color w:val="000000" w:themeColor="text1"/>
          <w:sz w:val="24"/>
          <w:highlight w:val="none"/>
          <w:u w:val="single"/>
          <w14:textFill>
            <w14:solidFill>
              <w14:schemeClr w14:val="tx1"/>
            </w14:solidFill>
          </w14:textFill>
        </w:rPr>
        <w:t>业）</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承建企业为</w:t>
      </w:r>
      <w:r>
        <w:rPr>
          <w:rFonts w:hint="eastAsia" w:ascii="宋体" w:hAnsi="宋体"/>
          <w:color w:val="000000" w:themeColor="text1"/>
          <w:sz w:val="24"/>
          <w:highlight w:val="none"/>
          <w:u w:val="single"/>
          <w14:textFill>
            <w14:solidFill>
              <w14:schemeClr w14:val="tx1"/>
            </w14:solidFill>
          </w14:textFill>
        </w:rPr>
        <w:t>（企业名称）</w:t>
      </w:r>
      <w:r>
        <w:rPr>
          <w:rFonts w:hint="eastAsia" w:ascii="宋体" w:hAnsi="宋体"/>
          <w:color w:val="000000" w:themeColor="text1"/>
          <w:sz w:val="24"/>
          <w:highlight w:val="none"/>
          <w14:textFill>
            <w14:solidFill>
              <w14:schemeClr w14:val="tx1"/>
            </w14:solidFill>
          </w14:textFill>
        </w:rPr>
        <w:t>，从业人员人，营业收入为万元，资产总额为万元</w:t>
      </w:r>
      <w:r>
        <w:rPr>
          <w:rFonts w:ascii="宋体" w:hAnsi="宋体"/>
          <w:color w:val="000000" w:themeColor="text1"/>
          <w:sz w:val="24"/>
          <w:highlight w:val="none"/>
          <w14:textFill>
            <w14:solidFill>
              <w14:schemeClr w14:val="tx1"/>
            </w14:solidFill>
          </w14:textFill>
        </w:rPr>
        <w:t>，属于</w:t>
      </w:r>
      <w:r>
        <w:rPr>
          <w:rFonts w:ascii="宋体" w:hAnsi="宋体"/>
          <w:color w:val="000000" w:themeColor="text1"/>
          <w:sz w:val="24"/>
          <w:highlight w:val="none"/>
          <w:u w:val="single"/>
          <w14:textFill>
            <w14:solidFill>
              <w14:schemeClr w14:val="tx1"/>
            </w14:solidFill>
          </w14:textFill>
        </w:rPr>
        <w:t>（中型企业、</w:t>
      </w:r>
      <w:r>
        <w:rPr>
          <w:rFonts w:hint="eastAsia" w:ascii="宋体" w:hAnsi="宋体"/>
          <w:color w:val="000000" w:themeColor="text1"/>
          <w:sz w:val="24"/>
          <w:highlight w:val="none"/>
          <w:u w:val="single"/>
          <w14:textFill>
            <w14:solidFill>
              <w14:schemeClr w14:val="tx1"/>
            </w14:solidFill>
          </w14:textFill>
        </w:rPr>
        <w:t>小型企业、微型企业）</w:t>
      </w:r>
      <w:r>
        <w:rPr>
          <w:rFonts w:hint="eastAsia" w:ascii="宋体" w:hAnsi="宋体"/>
          <w:color w:val="000000" w:themeColor="text1"/>
          <w:sz w:val="24"/>
          <w:highlight w:val="none"/>
          <w14:textFill>
            <w14:solidFill>
              <w14:schemeClr w14:val="tx1"/>
            </w14:solidFill>
          </w14:textFill>
        </w:rPr>
        <w:t>；</w:t>
      </w:r>
    </w:p>
    <w:p w14:paraId="327CF334">
      <w:pPr>
        <w:tabs>
          <w:tab w:val="left" w:pos="1065"/>
          <w:tab w:val="left" w:pos="4262"/>
          <w:tab w:val="left" w:pos="6477"/>
        </w:tabs>
        <w:spacing w:before="20" w:line="500" w:lineRule="exact"/>
        <w:ind w:right="84" w:firstLine="772"/>
        <w:rPr>
          <w:rFonts w:hint="eastAsia" w:ascii="宋体" w:hAnsi="宋体"/>
          <w:color w:val="000000" w:themeColor="text1"/>
          <w:sz w:val="24"/>
          <w:highlight w:val="none"/>
          <w:u w:val="single"/>
          <w14:textFill>
            <w14:solidFill>
              <w14:schemeClr w14:val="tx1"/>
            </w14:solidFill>
          </w14:textFill>
        </w:rPr>
      </w:pPr>
      <w:r>
        <w:rPr>
          <w:rFonts w:ascii="宋体" w:hAnsi="宋体"/>
          <w:color w:val="000000" w:themeColor="text1"/>
          <w:sz w:val="24"/>
          <w:highlight w:val="none"/>
          <w14:textFill>
            <w14:solidFill>
              <w14:schemeClr w14:val="tx1"/>
            </w14:solidFill>
          </w14:textFill>
        </w:rPr>
        <w:t>2.</w:t>
      </w:r>
      <w:r>
        <w:rPr>
          <w:rFonts w:ascii="宋体" w:hAnsi="宋体"/>
          <w:color w:val="000000" w:themeColor="text1"/>
          <w:sz w:val="24"/>
          <w:highlight w:val="none"/>
          <w:u w:val="single"/>
          <w14:textFill>
            <w14:solidFill>
              <w14:schemeClr w14:val="tx1"/>
            </w14:solidFill>
          </w14:textFill>
        </w:rPr>
        <w:t>（标的名称）</w:t>
      </w:r>
      <w:r>
        <w:rPr>
          <w:rFonts w:ascii="宋体" w:hAnsi="宋体"/>
          <w:color w:val="000000" w:themeColor="text1"/>
          <w:sz w:val="24"/>
          <w:highlight w:val="none"/>
          <w14:textFill>
            <w14:solidFill>
              <w14:schemeClr w14:val="tx1"/>
            </w14:solidFill>
          </w14:textFill>
        </w:rPr>
        <w:t>，属于</w:t>
      </w:r>
      <w:r>
        <w:rPr>
          <w:rFonts w:ascii="宋体" w:hAnsi="宋体"/>
          <w:color w:val="000000" w:themeColor="text1"/>
          <w:sz w:val="24"/>
          <w:highlight w:val="none"/>
          <w:u w:val="single"/>
          <w14:textFill>
            <w14:solidFill>
              <w14:schemeClr w14:val="tx1"/>
            </w14:solidFill>
          </w14:textFill>
        </w:rPr>
        <w:t>（采购文件中明确的所属</w:t>
      </w:r>
      <w:r>
        <w:rPr>
          <w:rFonts w:hint="eastAsia" w:ascii="宋体" w:hAnsi="宋体"/>
          <w:color w:val="000000" w:themeColor="text1"/>
          <w:sz w:val="24"/>
          <w:highlight w:val="none"/>
          <w:u w:val="single"/>
          <w14:textFill>
            <w14:solidFill>
              <w14:schemeClr w14:val="tx1"/>
            </w14:solidFill>
          </w14:textFill>
        </w:rPr>
        <w:t>行业</w:t>
      </w:r>
      <w:r>
        <w:rPr>
          <w:rFonts w:ascii="宋体" w:hAnsi="宋体"/>
          <w:color w:val="000000" w:themeColor="text1"/>
          <w:sz w:val="24"/>
          <w:highlight w:val="none"/>
          <w:u w:val="single"/>
          <w14:textFill>
            <w14:solidFill>
              <w14:schemeClr w14:val="tx1"/>
            </w14:solidFill>
          </w14:textFill>
        </w:rPr>
        <w:t>）</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承建企业为</w:t>
      </w:r>
      <w:r>
        <w:rPr>
          <w:rFonts w:hint="eastAsia" w:ascii="宋体" w:hAnsi="宋体"/>
          <w:color w:val="000000" w:themeColor="text1"/>
          <w:sz w:val="24"/>
          <w:highlight w:val="none"/>
          <w:u w:val="single"/>
          <w14:textFill>
            <w14:solidFill>
              <w14:schemeClr w14:val="tx1"/>
            </w14:solidFill>
          </w14:textFill>
        </w:rPr>
        <w:t>（企业名称）</w:t>
      </w:r>
      <w:r>
        <w:rPr>
          <w:rFonts w:hint="eastAsia" w:ascii="宋体" w:hAnsi="宋体"/>
          <w:color w:val="000000" w:themeColor="text1"/>
          <w:sz w:val="24"/>
          <w:highlight w:val="none"/>
          <w14:textFill>
            <w14:solidFill>
              <w14:schemeClr w14:val="tx1"/>
            </w14:solidFill>
          </w14:textFill>
        </w:rPr>
        <w:t>，从业人员人，营业收入为万元，资产总额为万元</w:t>
      </w:r>
      <w:r>
        <w:rPr>
          <w:rFonts w:ascii="宋体" w:hAnsi="宋体"/>
          <w:color w:val="000000" w:themeColor="text1"/>
          <w:sz w:val="24"/>
          <w:highlight w:val="none"/>
          <w14:textFill>
            <w14:solidFill>
              <w14:schemeClr w14:val="tx1"/>
            </w14:solidFill>
          </w14:textFill>
        </w:rPr>
        <w:t>，属于</w:t>
      </w:r>
      <w:r>
        <w:rPr>
          <w:rFonts w:ascii="宋体" w:hAnsi="宋体"/>
          <w:color w:val="000000" w:themeColor="text1"/>
          <w:sz w:val="24"/>
          <w:highlight w:val="none"/>
          <w:u w:val="single"/>
          <w14:textFill>
            <w14:solidFill>
              <w14:schemeClr w14:val="tx1"/>
            </w14:solidFill>
          </w14:textFill>
        </w:rPr>
        <w:t>（中型企业、</w:t>
      </w:r>
      <w:r>
        <w:rPr>
          <w:rFonts w:hint="eastAsia" w:ascii="宋体" w:hAnsi="宋体"/>
          <w:color w:val="000000" w:themeColor="text1"/>
          <w:sz w:val="24"/>
          <w:highlight w:val="none"/>
          <w:u w:val="single"/>
          <w14:textFill>
            <w14:solidFill>
              <w14:schemeClr w14:val="tx1"/>
            </w14:solidFill>
          </w14:textFill>
        </w:rPr>
        <w:t>小型企业、微型企业）</w:t>
      </w:r>
      <w:r>
        <w:rPr>
          <w:rFonts w:hint="eastAsia" w:ascii="宋体" w:hAnsi="宋体"/>
          <w:color w:val="000000" w:themeColor="text1"/>
          <w:sz w:val="24"/>
          <w:highlight w:val="none"/>
          <w14:textFill>
            <w14:solidFill>
              <w14:schemeClr w14:val="tx1"/>
            </w14:solidFill>
          </w14:textFill>
        </w:rPr>
        <w:t>；</w:t>
      </w:r>
    </w:p>
    <w:p w14:paraId="7E8AD27A">
      <w:pPr>
        <w:pStyle w:val="18"/>
        <w:spacing w:before="34" w:line="500" w:lineRule="exact"/>
        <w:ind w:right="142" w:firstLine="705"/>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 </w:t>
      </w:r>
    </w:p>
    <w:p w14:paraId="2EB98231">
      <w:pPr>
        <w:pStyle w:val="18"/>
        <w:spacing w:before="34" w:line="500" w:lineRule="exact"/>
        <w:ind w:right="142" w:firstLine="705"/>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以上企业，不属于大企业的分支机构，不存在控股股东为大企业的情形，也不存在与大企业的负责人为同一人的情形。</w:t>
      </w:r>
    </w:p>
    <w:p w14:paraId="1DC44C9F">
      <w:pPr>
        <w:pStyle w:val="18"/>
        <w:spacing w:before="25" w:line="500" w:lineRule="exact"/>
        <w:ind w:right="142" w:firstLine="705"/>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本企业对上述声明内容的真实性负责。如有虚假，将依法承担相应责任。</w:t>
      </w:r>
    </w:p>
    <w:p w14:paraId="0EBC39CB">
      <w:pPr>
        <w:pStyle w:val="18"/>
        <w:spacing w:before="56" w:line="500" w:lineRule="exact"/>
        <w:ind w:right="1808" w:firstLine="705"/>
        <w:rPr>
          <w:rFonts w:hint="eastAsia" w:ascii="宋体" w:hAnsi="宋体"/>
          <w:color w:val="000000" w:themeColor="text1"/>
          <w:sz w:val="24"/>
          <w:highlight w:val="none"/>
          <w14:textFill>
            <w14:solidFill>
              <w14:schemeClr w14:val="tx1"/>
            </w14:solidFill>
          </w14:textFill>
        </w:rPr>
      </w:pPr>
    </w:p>
    <w:p w14:paraId="6601E5E7">
      <w:pPr>
        <w:pStyle w:val="18"/>
        <w:spacing w:before="56" w:line="500" w:lineRule="exact"/>
        <w:ind w:right="650" w:firstLine="5625"/>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企业名称（章）： </w:t>
      </w:r>
    </w:p>
    <w:p w14:paraId="71DDC1DB">
      <w:pPr>
        <w:pStyle w:val="18"/>
        <w:spacing w:before="56" w:line="500" w:lineRule="exact"/>
        <w:ind w:right="1808" w:firstLine="5625"/>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日 期：</w:t>
      </w:r>
    </w:p>
    <w:p w14:paraId="6362E0D3">
      <w:pPr>
        <w:spacing w:line="520" w:lineRule="exact"/>
        <w:jc w:val="left"/>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6357D8A4">
      <w:pPr>
        <w:spacing w:line="520" w:lineRule="exact"/>
        <w:jc w:val="center"/>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br w:type="page" w:clear="all"/>
      </w: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残疾人福利性单位声明函</w:t>
      </w:r>
    </w:p>
    <w:p w14:paraId="3C1EEB30">
      <w:pPr>
        <w:spacing w:line="360" w:lineRule="auto"/>
        <w:contextualSpacing/>
        <w:rPr>
          <w:rFonts w:hint="eastAsia" w:ascii="仿宋_GB2312" w:hAnsi="仿宋_GB2312" w:eastAsia="仿宋_GB2312" w:cs="仿宋_GB2312"/>
          <w:color w:val="000000" w:themeColor="text1"/>
          <w:sz w:val="32"/>
          <w:szCs w:val="32"/>
          <w:highlight w:val="none"/>
          <w14:textFill>
            <w14:solidFill>
              <w14:schemeClr w14:val="tx1"/>
            </w14:solidFill>
          </w14:textFill>
        </w:rPr>
      </w:pPr>
    </w:p>
    <w:p w14:paraId="09316197">
      <w:pPr>
        <w:spacing w:line="360" w:lineRule="auto"/>
        <w:ind w:firstLine="48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46798677">
      <w:pPr>
        <w:spacing w:line="360" w:lineRule="auto"/>
        <w:ind w:firstLine="48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本单位对上述声明的真实性负责。如有虚假，将依法承担相应责任。</w:t>
      </w:r>
    </w:p>
    <w:p w14:paraId="3F286E4E">
      <w:pPr>
        <w:spacing w:line="360" w:lineRule="auto"/>
        <w:contextualSpacing/>
        <w:rPr>
          <w:rFonts w:hint="eastAsia" w:ascii="宋体" w:hAnsi="宋体" w:cs="仿宋_GB2312"/>
          <w:color w:val="000000" w:themeColor="text1"/>
          <w:sz w:val="24"/>
          <w:highlight w:val="none"/>
          <w14:textFill>
            <w14:solidFill>
              <w14:schemeClr w14:val="tx1"/>
            </w14:solidFill>
          </w14:textFill>
        </w:rPr>
      </w:pPr>
    </w:p>
    <w:p w14:paraId="0D1C6F78">
      <w:pPr>
        <w:spacing w:line="360" w:lineRule="auto"/>
        <w:contextualSpacing/>
        <w:rPr>
          <w:rFonts w:hint="eastAsia" w:ascii="宋体" w:hAnsi="宋体" w:cs="仿宋_GB2312"/>
          <w:color w:val="000000" w:themeColor="text1"/>
          <w:sz w:val="24"/>
          <w:highlight w:val="none"/>
          <w14:textFill>
            <w14:solidFill>
              <w14:schemeClr w14:val="tx1"/>
            </w14:solidFill>
          </w14:textFill>
        </w:rPr>
      </w:pPr>
    </w:p>
    <w:p w14:paraId="16ED0CDD">
      <w:pPr>
        <w:spacing w:line="360" w:lineRule="auto"/>
        <w:contextualSpacing/>
        <w:rPr>
          <w:rFonts w:hint="eastAsia" w:ascii="宋体" w:hAnsi="宋体" w:cs="仿宋_GB2312"/>
          <w:color w:val="000000" w:themeColor="text1"/>
          <w:sz w:val="24"/>
          <w:highlight w:val="none"/>
          <w14:textFill>
            <w14:solidFill>
              <w14:schemeClr w14:val="tx1"/>
            </w14:solidFill>
          </w14:textFill>
        </w:rPr>
      </w:pPr>
    </w:p>
    <w:p w14:paraId="1F132B97">
      <w:pPr>
        <w:spacing w:line="360" w:lineRule="auto"/>
        <w:ind w:firstLine="24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单位名称（盖章）：</w:t>
      </w:r>
    </w:p>
    <w:p w14:paraId="3D7C0743">
      <w:pPr>
        <w:spacing w:line="360" w:lineRule="auto"/>
        <w:ind w:firstLine="36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日  期：</w:t>
      </w:r>
    </w:p>
    <w:p w14:paraId="5A2F7326">
      <w:pPr>
        <w:spacing w:line="360" w:lineRule="auto"/>
        <w:contextualSpacing/>
        <w:rPr>
          <w:rFonts w:hint="eastAsia" w:ascii="宋体" w:hAnsi="宋体" w:cs="仿宋_GB2312"/>
          <w:color w:val="000000" w:themeColor="text1"/>
          <w:sz w:val="24"/>
          <w:highlight w:val="none"/>
          <w14:textFill>
            <w14:solidFill>
              <w14:schemeClr w14:val="tx1"/>
            </w14:solidFill>
          </w14:textFill>
        </w:rPr>
      </w:pPr>
    </w:p>
    <w:p w14:paraId="69616287">
      <w:pPr>
        <w:spacing w:line="360" w:lineRule="auto"/>
        <w:contextualSpacing/>
        <w:rPr>
          <w:rFonts w:hint="eastAsia" w:ascii="宋体" w:hAnsi="宋体" w:cs="仿宋_GB2312"/>
          <w:color w:val="000000" w:themeColor="text1"/>
          <w:sz w:val="24"/>
          <w:highlight w:val="none"/>
          <w14:textFill>
            <w14:solidFill>
              <w14:schemeClr w14:val="tx1"/>
            </w14:solidFill>
          </w14:textFill>
        </w:rPr>
      </w:pPr>
    </w:p>
    <w:p w14:paraId="580DBA32">
      <w:pPr>
        <w:spacing w:line="360" w:lineRule="auto"/>
        <w:contextualSpacing/>
        <w:rPr>
          <w:rFonts w:hint="eastAsia" w:ascii="宋体" w:hAnsi="宋体" w:cs="仿宋_GB2312"/>
          <w:color w:val="000000" w:themeColor="text1"/>
          <w:sz w:val="24"/>
          <w:highlight w:val="none"/>
          <w14:textFill>
            <w14:solidFill>
              <w14:schemeClr w14:val="tx1"/>
            </w14:solidFill>
          </w14:textFill>
        </w:rPr>
      </w:pPr>
    </w:p>
    <w:p w14:paraId="21ACF23F">
      <w:pPr>
        <w:spacing w:line="360" w:lineRule="auto"/>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注：请根据自己的真实情况出具《残疾人福利性单位声明函》。依法享受中小企业优惠政策的，采购人或者采购代理机构在公告成交结果时，同时公告其《残疾人福利性单位声明函》，接受社会监督。</w:t>
      </w:r>
    </w:p>
    <w:p w14:paraId="02D62BD0">
      <w:pPr>
        <w:spacing w:line="360" w:lineRule="auto"/>
        <w:jc w:val="center"/>
        <w:rPr>
          <w:rFonts w:hint="eastAsia" w:ascii="宋体" w:hAnsi="宋体" w:cs="仿宋_GB2312"/>
          <w:color w:val="000000" w:themeColor="text1"/>
          <w:sz w:val="24"/>
          <w:highlight w:val="none"/>
          <w14:textFill>
            <w14:solidFill>
              <w14:schemeClr w14:val="tx1"/>
            </w14:solidFill>
          </w14:textFill>
        </w:rPr>
      </w:pPr>
      <w:r>
        <w:rPr>
          <w:rFonts w:ascii="宋体" w:hAnsi="宋体" w:cs="仿宋_GB2312"/>
          <w:color w:val="000000" w:themeColor="text1"/>
          <w:sz w:val="24"/>
          <w:highlight w:val="none"/>
          <w14:textFill>
            <w14:solidFill>
              <w14:schemeClr w14:val="tx1"/>
            </w14:solidFill>
          </w14:textFill>
        </w:rPr>
        <w:br w:type="page" w:clear="all"/>
      </w:r>
    </w:p>
    <w:p w14:paraId="3AD6B97E">
      <w:pPr>
        <w:spacing w:line="360" w:lineRule="auto"/>
        <w:jc w:val="center"/>
        <w:rPr>
          <w:rFonts w:hint="eastAsia" w:ascii="宋体" w:hAnsi="宋体"/>
          <w:b/>
          <w:bCs/>
          <w:color w:val="000000" w:themeColor="text1"/>
          <w:sz w:val="32"/>
          <w:szCs w:val="32"/>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质疑函（格式）</w:t>
      </w:r>
    </w:p>
    <w:p w14:paraId="5C9AC383">
      <w:pPr>
        <w:pStyle w:val="24"/>
        <w:spacing w:line="360" w:lineRule="auto"/>
        <w:ind w:firstLine="482"/>
        <w:contextualSpacing/>
        <w:rPr>
          <w:rFonts w:hAnsi="宋体"/>
          <w:b/>
          <w:bCs/>
          <w:color w:val="000000" w:themeColor="text1"/>
          <w:sz w:val="24"/>
          <w:szCs w:val="24"/>
          <w:highlight w:val="none"/>
          <w14:textFill>
            <w14:solidFill>
              <w14:schemeClr w14:val="tx1"/>
            </w14:solidFill>
          </w14:textFill>
        </w:rPr>
      </w:pPr>
      <w:r>
        <w:rPr>
          <w:rFonts w:hint="eastAsia" w:hAnsi="宋体"/>
          <w:b/>
          <w:bCs/>
          <w:color w:val="000000" w:themeColor="text1"/>
          <w:sz w:val="24"/>
          <w:szCs w:val="24"/>
          <w:highlight w:val="none"/>
          <w14:textFill>
            <w14:solidFill>
              <w14:schemeClr w14:val="tx1"/>
            </w14:solidFill>
          </w14:textFill>
        </w:rPr>
        <w:t>一、质疑供应商基本信息：</w:t>
      </w:r>
    </w:p>
    <w:p w14:paraId="45DC5DAC">
      <w:pPr>
        <w:pStyle w:val="24"/>
        <w:spacing w:line="360" w:lineRule="auto"/>
        <w:ind w:firstLine="480"/>
        <w:contextualSpacing/>
        <w:rPr>
          <w:rFonts w:hint="eastAsia"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质疑供应商：</w:t>
      </w:r>
      <w:r>
        <w:rPr>
          <w:rFonts w:hint="eastAsia" w:hAnsi="宋体"/>
          <w:bCs/>
          <w:color w:val="000000" w:themeColor="text1"/>
          <w:sz w:val="24"/>
          <w:szCs w:val="24"/>
          <w:highlight w:val="none"/>
          <w:u w:val="single"/>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 xml:space="preserve">                 </w:t>
      </w:r>
    </w:p>
    <w:p w14:paraId="37BD08F4">
      <w:pPr>
        <w:pStyle w:val="24"/>
        <w:spacing w:line="360" w:lineRule="auto"/>
        <w:ind w:firstLine="480"/>
        <w:contextualSpacing/>
        <w:rPr>
          <w:rFonts w:hint="eastAsia"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地址</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r>
        <w:rPr>
          <w:rFonts w:hAnsi="宋体"/>
          <w:bCs/>
          <w:color w:val="000000" w:themeColor="text1"/>
          <w:sz w:val="24"/>
          <w:szCs w:val="24"/>
          <w:highlight w:val="none"/>
          <w14:textFill>
            <w14:solidFill>
              <w14:schemeClr w14:val="tx1"/>
            </w14:solidFill>
          </w14:textFill>
        </w:rPr>
        <w:t>邮编</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 xml:space="preserve">                 </w:t>
      </w:r>
    </w:p>
    <w:p w14:paraId="520E1E8E">
      <w:pPr>
        <w:pStyle w:val="24"/>
        <w:spacing w:line="360" w:lineRule="auto"/>
        <w:ind w:firstLine="480"/>
        <w:contextualSpacing/>
        <w:rPr>
          <w:rFonts w:hint="eastAsia"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联系人</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r>
        <w:rPr>
          <w:rFonts w:hAnsi="宋体"/>
          <w:bCs/>
          <w:color w:val="000000" w:themeColor="text1"/>
          <w:sz w:val="24"/>
          <w:szCs w:val="24"/>
          <w:highlight w:val="none"/>
          <w14:textFill>
            <w14:solidFill>
              <w14:schemeClr w14:val="tx1"/>
            </w14:solidFill>
          </w14:textFill>
        </w:rPr>
        <w:t>联系电话</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p>
    <w:p w14:paraId="2EEE8EE4">
      <w:pPr>
        <w:pStyle w:val="24"/>
        <w:spacing w:line="360" w:lineRule="auto"/>
        <w:ind w:firstLine="480"/>
        <w:contextualSpacing/>
        <w:rPr>
          <w:rFonts w:hint="eastAsia"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授权代表：</w:t>
      </w:r>
      <w:r>
        <w:rPr>
          <w:rFonts w:hint="eastAsia" w:hAnsi="宋体"/>
          <w:bCs/>
          <w:color w:val="000000" w:themeColor="text1"/>
          <w:sz w:val="24"/>
          <w:szCs w:val="24"/>
          <w:highlight w:val="none"/>
          <w:u w:val="single"/>
          <w14:textFill>
            <w14:solidFill>
              <w14:schemeClr w14:val="tx1"/>
            </w14:solidFill>
          </w14:textFill>
        </w:rPr>
        <w:t xml:space="preserve">                      </w:t>
      </w:r>
    </w:p>
    <w:p w14:paraId="7632B5F7">
      <w:pPr>
        <w:pStyle w:val="24"/>
        <w:spacing w:line="360" w:lineRule="auto"/>
        <w:ind w:firstLine="480"/>
        <w:contextualSpacing/>
        <w:rPr>
          <w:rFonts w:hint="eastAsia" w:hAnsi="宋体"/>
          <w:bCs/>
          <w:color w:val="000000" w:themeColor="text1"/>
          <w:sz w:val="24"/>
          <w:szCs w:val="24"/>
          <w:highlight w:val="none"/>
          <w:u w:val="single"/>
          <w14:textFill>
            <w14:solidFill>
              <w14:schemeClr w14:val="tx1"/>
            </w14:solidFill>
          </w14:textFill>
        </w:rPr>
      </w:pPr>
      <w:r>
        <w:rPr>
          <w:rFonts w:hAnsi="宋体"/>
          <w:bCs/>
          <w:color w:val="000000" w:themeColor="text1"/>
          <w:sz w:val="24"/>
          <w:szCs w:val="24"/>
          <w:highlight w:val="none"/>
          <w14:textFill>
            <w14:solidFill>
              <w14:schemeClr w14:val="tx1"/>
            </w14:solidFill>
          </w14:textFill>
        </w:rPr>
        <w:t>联系</w:t>
      </w:r>
      <w:r>
        <w:rPr>
          <w:rFonts w:hint="eastAsia" w:hAnsi="宋体"/>
          <w:bCs/>
          <w:color w:val="000000" w:themeColor="text1"/>
          <w:sz w:val="24"/>
          <w:szCs w:val="24"/>
          <w:highlight w:val="none"/>
          <w14:textFill>
            <w14:solidFill>
              <w14:schemeClr w14:val="tx1"/>
            </w14:solidFill>
          </w14:textFill>
        </w:rPr>
        <w:t>电话：</w:t>
      </w:r>
      <w:r>
        <w:rPr>
          <w:rFonts w:hint="eastAsia" w:hAnsi="宋体"/>
          <w:bCs/>
          <w:color w:val="000000" w:themeColor="text1"/>
          <w:sz w:val="24"/>
          <w:szCs w:val="24"/>
          <w:highlight w:val="none"/>
          <w:u w:val="single"/>
          <w14:textFill>
            <w14:solidFill>
              <w14:schemeClr w14:val="tx1"/>
            </w14:solidFill>
          </w14:textFill>
        </w:rPr>
        <w:t xml:space="preserve">                      </w:t>
      </w:r>
    </w:p>
    <w:p w14:paraId="20F23262">
      <w:pPr>
        <w:pStyle w:val="24"/>
        <w:spacing w:line="360" w:lineRule="auto"/>
        <w:ind w:firstLine="480"/>
        <w:contextualSpacing/>
        <w:rPr>
          <w:rFonts w:hint="eastAsia"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地址</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r>
        <w:rPr>
          <w:rFonts w:hAnsi="宋体"/>
          <w:bCs/>
          <w:color w:val="000000" w:themeColor="text1"/>
          <w:sz w:val="24"/>
          <w:szCs w:val="24"/>
          <w:highlight w:val="none"/>
          <w14:textFill>
            <w14:solidFill>
              <w14:schemeClr w14:val="tx1"/>
            </w14:solidFill>
          </w14:textFill>
        </w:rPr>
        <w:t>邮编</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 xml:space="preserve">     </w:t>
      </w:r>
    </w:p>
    <w:p w14:paraId="23DDD300">
      <w:pPr>
        <w:pStyle w:val="24"/>
        <w:spacing w:line="360" w:lineRule="auto"/>
        <w:ind w:firstLine="482"/>
        <w:contextualSpacing/>
        <w:rPr>
          <w:rFonts w:hint="eastAsia" w:hAnsi="宋体"/>
          <w:b/>
          <w:bCs/>
          <w:color w:val="000000" w:themeColor="text1"/>
          <w:sz w:val="24"/>
          <w:szCs w:val="24"/>
          <w:highlight w:val="none"/>
          <w14:textFill>
            <w14:solidFill>
              <w14:schemeClr w14:val="tx1"/>
            </w14:solidFill>
          </w14:textFill>
        </w:rPr>
      </w:pPr>
      <w:r>
        <w:rPr>
          <w:rFonts w:hint="eastAsia" w:hAnsi="宋体"/>
          <w:b/>
          <w:bCs/>
          <w:color w:val="000000" w:themeColor="text1"/>
          <w:sz w:val="24"/>
          <w:szCs w:val="24"/>
          <w:highlight w:val="none"/>
          <w14:textFill>
            <w14:solidFill>
              <w14:schemeClr w14:val="tx1"/>
            </w14:solidFill>
          </w14:textFill>
        </w:rPr>
        <w:t>二、质疑项目基本情况：</w:t>
      </w:r>
    </w:p>
    <w:p w14:paraId="730B738F">
      <w:pPr>
        <w:pStyle w:val="24"/>
        <w:spacing w:line="360" w:lineRule="auto"/>
        <w:ind w:left="25" w:firstLine="472"/>
        <w:contextualSpacing/>
        <w:rPr>
          <w:rFonts w:hint="eastAsia" w:hAnsi="宋体"/>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质疑</w:t>
      </w:r>
      <w:r>
        <w:rPr>
          <w:rFonts w:hint="eastAsia" w:hAnsi="宋体"/>
          <w:color w:val="000000" w:themeColor="text1"/>
          <w:sz w:val="24"/>
          <w:szCs w:val="24"/>
          <w:highlight w:val="none"/>
          <w14:textFill>
            <w14:solidFill>
              <w14:schemeClr w14:val="tx1"/>
            </w14:solidFill>
          </w14:textFill>
        </w:rPr>
        <w:t>项目的名称：</w:t>
      </w:r>
      <w:r>
        <w:rPr>
          <w:rFonts w:hint="eastAsia" w:hAnsi="宋体"/>
          <w:bCs/>
          <w:color w:val="000000" w:themeColor="text1"/>
          <w:sz w:val="24"/>
          <w:szCs w:val="24"/>
          <w:highlight w:val="none"/>
          <w:u w:val="single"/>
          <w14:textFill>
            <w14:solidFill>
              <w14:schemeClr w14:val="tx1"/>
            </w14:solidFill>
          </w14:textFill>
        </w:rPr>
        <w:t xml:space="preserve">                                     </w:t>
      </w:r>
    </w:p>
    <w:p w14:paraId="6D982164">
      <w:pPr>
        <w:pStyle w:val="24"/>
        <w:spacing w:line="360" w:lineRule="auto"/>
        <w:ind w:left="25" w:firstLine="472"/>
        <w:contextualSpacing/>
        <w:rPr>
          <w:rFonts w:hint="eastAsia" w:hAnsi="宋体"/>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质疑</w:t>
      </w:r>
      <w:r>
        <w:rPr>
          <w:rFonts w:hint="eastAsia" w:hAnsi="宋体"/>
          <w:color w:val="000000" w:themeColor="text1"/>
          <w:sz w:val="24"/>
          <w:szCs w:val="24"/>
          <w:highlight w:val="none"/>
          <w14:textFill>
            <w14:solidFill>
              <w14:schemeClr w14:val="tx1"/>
            </w14:solidFill>
          </w14:textFill>
        </w:rPr>
        <w:t>项目的编号：</w:t>
      </w:r>
      <w:r>
        <w:rPr>
          <w:rFonts w:hint="eastAsia" w:hAnsi="宋体"/>
          <w:bCs/>
          <w:color w:val="000000" w:themeColor="text1"/>
          <w:sz w:val="24"/>
          <w:szCs w:val="24"/>
          <w:highlight w:val="none"/>
          <w:u w:val="single"/>
          <w14:textFill>
            <w14:solidFill>
              <w14:schemeClr w14:val="tx1"/>
            </w14:solidFill>
          </w14:textFill>
        </w:rPr>
        <w:t xml:space="preserve">                                     </w:t>
      </w:r>
    </w:p>
    <w:p w14:paraId="027AF6DB">
      <w:pPr>
        <w:pStyle w:val="24"/>
        <w:spacing w:line="360" w:lineRule="auto"/>
        <w:ind w:left="25" w:firstLine="472"/>
        <w:contextualSpacing/>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采购人名称：</w:t>
      </w:r>
      <w:r>
        <w:rPr>
          <w:rFonts w:hint="eastAsia" w:hAnsi="宋体"/>
          <w:bCs/>
          <w:color w:val="000000" w:themeColor="text1"/>
          <w:sz w:val="24"/>
          <w:szCs w:val="24"/>
          <w:highlight w:val="none"/>
          <w:u w:val="single"/>
          <w14:textFill>
            <w14:solidFill>
              <w14:schemeClr w14:val="tx1"/>
            </w14:solidFill>
          </w14:textFill>
        </w:rPr>
        <w:t xml:space="preserve">                                         </w:t>
      </w:r>
    </w:p>
    <w:p w14:paraId="42342A33">
      <w:pPr>
        <w:pStyle w:val="24"/>
        <w:spacing w:line="360" w:lineRule="auto"/>
        <w:ind w:left="25" w:firstLine="472"/>
        <w:contextualSpacing/>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质疑事项：</w:t>
      </w:r>
    </w:p>
    <w:p w14:paraId="69A41638">
      <w:pPr>
        <w:pStyle w:val="24"/>
        <w:spacing w:line="360" w:lineRule="auto"/>
        <w:ind w:left="25" w:firstLine="352"/>
        <w:contextualSpacing/>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□采购文件   采购文件获取日期：</w:t>
      </w:r>
      <w:r>
        <w:rPr>
          <w:rFonts w:hint="eastAsia" w:hAnsi="宋体"/>
          <w:bCs/>
          <w:color w:val="000000" w:themeColor="text1"/>
          <w:sz w:val="24"/>
          <w:szCs w:val="24"/>
          <w:highlight w:val="none"/>
          <w:u w:val="single"/>
          <w14:textFill>
            <w14:solidFill>
              <w14:schemeClr w14:val="tx1"/>
            </w14:solidFill>
          </w14:textFill>
        </w:rPr>
        <w:t xml:space="preserve">                                   </w:t>
      </w:r>
    </w:p>
    <w:p w14:paraId="41B16796">
      <w:pPr>
        <w:pStyle w:val="24"/>
        <w:spacing w:line="360" w:lineRule="auto"/>
        <w:ind w:left="25" w:firstLine="352"/>
        <w:contextualSpacing/>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 xml:space="preserve">□采购过程   </w:t>
      </w:r>
    </w:p>
    <w:p w14:paraId="75A877ED">
      <w:pPr>
        <w:pStyle w:val="24"/>
        <w:spacing w:line="360" w:lineRule="auto"/>
        <w:ind w:left="25" w:firstLine="352"/>
        <w:contextualSpacing/>
        <w:rPr>
          <w:rFonts w:hint="eastAsia" w:hAnsi="宋体"/>
          <w:bCs/>
          <w:color w:val="000000" w:themeColor="text1"/>
          <w:sz w:val="24"/>
          <w:szCs w:val="24"/>
          <w:highlight w:val="none"/>
          <w:u w:val="singl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 xml:space="preserve">□成交结果   </w:t>
      </w:r>
    </w:p>
    <w:p w14:paraId="11B7C91E">
      <w:pPr>
        <w:pStyle w:val="24"/>
        <w:spacing w:line="360" w:lineRule="auto"/>
        <w:ind w:left="25" w:firstLine="472"/>
        <w:contextualSpacing/>
        <w:rPr>
          <w:rFonts w:hint="eastAsia"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三、质疑事项具体内容</w:t>
      </w:r>
    </w:p>
    <w:p w14:paraId="5BBBD191">
      <w:pPr>
        <w:pStyle w:val="24"/>
        <w:spacing w:line="360" w:lineRule="auto"/>
        <w:ind w:left="25" w:firstLine="472"/>
        <w:contextualSpacing/>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质疑事项1：</w:t>
      </w:r>
      <w:r>
        <w:rPr>
          <w:rFonts w:hint="eastAsia" w:hAnsi="宋体"/>
          <w:bCs/>
          <w:color w:val="000000" w:themeColor="text1"/>
          <w:sz w:val="24"/>
          <w:szCs w:val="24"/>
          <w:highlight w:val="none"/>
          <w:u w:val="single"/>
          <w14:textFill>
            <w14:solidFill>
              <w14:schemeClr w14:val="tx1"/>
            </w14:solidFill>
          </w14:textFill>
        </w:rPr>
        <w:t xml:space="preserve">                                                                    </w:t>
      </w:r>
    </w:p>
    <w:p w14:paraId="5F0809B2">
      <w:pPr>
        <w:pStyle w:val="24"/>
        <w:spacing w:line="360" w:lineRule="auto"/>
        <w:ind w:left="25" w:firstLine="472"/>
        <w:contextualSpacing/>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事实依据：</w:t>
      </w:r>
      <w:r>
        <w:rPr>
          <w:rFonts w:hint="eastAsia" w:hAnsi="宋体"/>
          <w:bCs/>
          <w:color w:val="000000" w:themeColor="text1"/>
          <w:sz w:val="24"/>
          <w:szCs w:val="24"/>
          <w:highlight w:val="none"/>
          <w:u w:val="single"/>
          <w14:textFill>
            <w14:solidFill>
              <w14:schemeClr w14:val="tx1"/>
            </w14:solidFill>
          </w14:textFill>
        </w:rPr>
        <w:t xml:space="preserve">                                                                      </w:t>
      </w:r>
    </w:p>
    <w:p w14:paraId="1B61AB4D">
      <w:pPr>
        <w:pStyle w:val="24"/>
        <w:spacing w:line="360" w:lineRule="auto"/>
        <w:ind w:left="25" w:firstLine="472"/>
        <w:contextualSpacing/>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法律依据：</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bCs/>
          <w:color w:val="000000" w:themeColor="text1"/>
          <w:sz w:val="24"/>
          <w:szCs w:val="24"/>
          <w:highlight w:val="none"/>
          <w:u w:val="single"/>
          <w14:textFill>
            <w14:solidFill>
              <w14:schemeClr w14:val="tx1"/>
            </w14:solidFill>
          </w14:textFill>
        </w:rPr>
        <w:t xml:space="preserve">               </w:t>
      </w:r>
    </w:p>
    <w:p w14:paraId="1FCD9685">
      <w:pPr>
        <w:pStyle w:val="24"/>
        <w:spacing w:line="360" w:lineRule="auto"/>
        <w:ind w:left="25" w:firstLine="472"/>
        <w:contextualSpacing/>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质疑事项2</w:t>
      </w:r>
    </w:p>
    <w:p w14:paraId="3AFDB5A4">
      <w:pPr>
        <w:pStyle w:val="24"/>
        <w:spacing w:line="360" w:lineRule="auto"/>
        <w:ind w:left="25" w:firstLine="472"/>
        <w:contextualSpacing/>
        <w:rPr>
          <w:rFonts w:hint="eastAsia"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w:t>
      </w:r>
    </w:p>
    <w:p w14:paraId="6B327C79">
      <w:pPr>
        <w:pStyle w:val="24"/>
        <w:spacing w:line="360" w:lineRule="auto"/>
        <w:ind w:left="25" w:firstLine="472"/>
        <w:contextualSpacing/>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四、与质疑事项相关的质疑请求：</w:t>
      </w:r>
    </w:p>
    <w:p w14:paraId="7C438CE9">
      <w:pPr>
        <w:pStyle w:val="24"/>
        <w:spacing w:line="360" w:lineRule="auto"/>
        <w:ind w:left="25" w:firstLine="472"/>
        <w:contextualSpacing/>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请求：</w:t>
      </w:r>
      <w:r>
        <w:rPr>
          <w:rFonts w:hint="eastAsia" w:hAnsi="宋体"/>
          <w:bCs/>
          <w:color w:val="000000" w:themeColor="text1"/>
          <w:sz w:val="24"/>
          <w:szCs w:val="24"/>
          <w:highlight w:val="none"/>
          <w:u w:val="single"/>
          <w14:textFill>
            <w14:solidFill>
              <w14:schemeClr w14:val="tx1"/>
            </w14:solidFill>
          </w14:textFill>
        </w:rPr>
        <w:t xml:space="preserve">                                                                </w:t>
      </w:r>
    </w:p>
    <w:p w14:paraId="3AC3B07D">
      <w:pPr>
        <w:pStyle w:val="24"/>
        <w:spacing w:line="360" w:lineRule="auto"/>
        <w:ind w:left="25" w:firstLine="352"/>
        <w:contextualSpacing/>
        <w:rPr>
          <w:rFonts w:hint="eastAsia" w:hAnsi="宋体"/>
          <w:color w:val="000000" w:themeColor="text1"/>
          <w:sz w:val="24"/>
          <w:szCs w:val="24"/>
          <w:highlight w:val="none"/>
          <w14:textFill>
            <w14:solidFill>
              <w14:schemeClr w14:val="tx1"/>
            </w14:solidFill>
          </w14:textFill>
        </w:rPr>
      </w:pPr>
    </w:p>
    <w:p w14:paraId="0A69D98E">
      <w:pPr>
        <w:pStyle w:val="24"/>
        <w:spacing w:line="360" w:lineRule="auto"/>
        <w:ind w:left="25" w:firstLine="472"/>
        <w:contextualSpacing/>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签字（签章）：                                       公章：</w:t>
      </w:r>
    </w:p>
    <w:p w14:paraId="62B7DB13">
      <w:pPr>
        <w:pStyle w:val="24"/>
        <w:spacing w:line="360" w:lineRule="auto"/>
        <w:ind w:firstLine="480"/>
        <w:contextualSpacing/>
        <w:rPr>
          <w:rFonts w:hint="eastAsia" w:hAnsi="宋体"/>
          <w:b/>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日期：</w:t>
      </w:r>
    </w:p>
    <w:p w14:paraId="3D0F7A30">
      <w:pPr>
        <w:pStyle w:val="24"/>
        <w:spacing w:line="360" w:lineRule="auto"/>
        <w:contextualSpacing/>
        <w:rPr>
          <w:rFonts w:hint="eastAsia"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说明：</w:t>
      </w:r>
    </w:p>
    <w:p w14:paraId="3C6BF036">
      <w:pPr>
        <w:pStyle w:val="24"/>
        <w:spacing w:line="360" w:lineRule="auto"/>
        <w:ind w:left="25" w:firstLine="354"/>
        <w:contextualSpacing/>
        <w:rPr>
          <w:rFonts w:hint="eastAsia" w:hAnsi="宋体"/>
          <w:b/>
          <w:bCs/>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1.供应商提出质疑时，应提交质疑函和必要的证明材料</w:t>
      </w:r>
      <w:r>
        <w:rPr>
          <w:rFonts w:hint="eastAsia" w:hAnsi="宋体"/>
          <w:b/>
          <w:bCs/>
          <w:color w:val="000000" w:themeColor="text1"/>
          <w:sz w:val="24"/>
          <w:szCs w:val="24"/>
          <w:highlight w:val="none"/>
          <w14:textFill>
            <w14:solidFill>
              <w14:schemeClr w14:val="tx1"/>
            </w14:solidFill>
          </w14:textFill>
        </w:rPr>
        <w:t>。</w:t>
      </w:r>
    </w:p>
    <w:p w14:paraId="3B01219B">
      <w:pPr>
        <w:pStyle w:val="24"/>
        <w:spacing w:line="360" w:lineRule="auto"/>
        <w:ind w:left="25" w:firstLine="354"/>
        <w:contextualSpacing/>
        <w:rPr>
          <w:rFonts w:hint="eastAsia"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BAF63BC">
      <w:pPr>
        <w:pStyle w:val="24"/>
        <w:spacing w:line="360" w:lineRule="auto"/>
        <w:ind w:left="25" w:firstLine="354"/>
        <w:contextualSpacing/>
        <w:rPr>
          <w:rFonts w:hint="eastAsia"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3.质疑函的质疑事项应具体、明确，并有必要的事实依据和法律依据。</w:t>
      </w:r>
    </w:p>
    <w:p w14:paraId="57E71139">
      <w:pPr>
        <w:pStyle w:val="24"/>
        <w:spacing w:line="360" w:lineRule="auto"/>
        <w:ind w:left="25" w:firstLine="354"/>
        <w:contextualSpacing/>
        <w:rPr>
          <w:rFonts w:hint="eastAsia"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4.质疑函的质疑请求应与质疑事项相关。</w:t>
      </w:r>
    </w:p>
    <w:p w14:paraId="7B566B17">
      <w:pPr>
        <w:pStyle w:val="24"/>
        <w:spacing w:line="360" w:lineRule="auto"/>
        <w:ind w:left="25" w:firstLine="354"/>
        <w:contextualSpacing/>
        <w:rPr>
          <w:rFonts w:hint="eastAsia" w:hAnsi="宋体"/>
          <w:b/>
          <w:color w:val="000000" w:themeColor="text1"/>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5.质疑供应商为法人或者其他组织的，质疑函应由法定代表人、主要负责人，或者其授权代表签字或者盖章，并加盖公章。</w:t>
      </w:r>
    </w:p>
    <w:p w14:paraId="261BBF92">
      <w:pPr>
        <w:pStyle w:val="24"/>
        <w:rPr>
          <w:rFonts w:hint="eastAsia"/>
          <w:b/>
          <w:color w:val="000000" w:themeColor="text1"/>
          <w:sz w:val="24"/>
          <w:szCs w:val="24"/>
          <w:highlight w:val="none"/>
          <w14:textFill>
            <w14:solidFill>
              <w14:schemeClr w14:val="tx1"/>
            </w14:solidFill>
          </w14:textFill>
        </w:rPr>
      </w:pPr>
    </w:p>
    <w:p w14:paraId="651FB5F9">
      <w:pPr>
        <w:rPr>
          <w:rFonts w:hint="eastAsia"/>
          <w:color w:val="000000" w:themeColor="text1"/>
          <w:sz w:val="32"/>
          <w:szCs w:val="40"/>
          <w:highlight w:val="none"/>
          <w14:textFill>
            <w14:solidFill>
              <w14:schemeClr w14:val="tx1"/>
            </w14:solidFill>
          </w14:textFill>
        </w:rPr>
      </w:pPr>
    </w:p>
    <w:p w14:paraId="3A589AA2">
      <w:pPr>
        <w:rPr>
          <w:rFonts w:hint="eastAsia"/>
          <w:color w:val="000000" w:themeColor="text1"/>
          <w:sz w:val="32"/>
          <w:szCs w:val="40"/>
          <w:highlight w:val="none"/>
          <w14:textFill>
            <w14:solidFill>
              <w14:schemeClr w14:val="tx1"/>
            </w14:solidFill>
          </w14:textFill>
        </w:rPr>
      </w:pPr>
    </w:p>
    <w:p w14:paraId="6C97E45F">
      <w:pPr>
        <w:rPr>
          <w:rFonts w:hint="eastAsia"/>
          <w:color w:val="000000" w:themeColor="text1"/>
          <w:sz w:val="32"/>
          <w:szCs w:val="40"/>
          <w:highlight w:val="none"/>
          <w14:textFill>
            <w14:solidFill>
              <w14:schemeClr w14:val="tx1"/>
            </w14:solidFill>
          </w14:textFill>
        </w:rPr>
      </w:pPr>
    </w:p>
    <w:p w14:paraId="653D1084">
      <w:pPr>
        <w:rPr>
          <w:rFonts w:hint="eastAsia"/>
          <w:color w:val="000000" w:themeColor="text1"/>
          <w:sz w:val="32"/>
          <w:szCs w:val="40"/>
          <w:highlight w:val="none"/>
          <w14:textFill>
            <w14:solidFill>
              <w14:schemeClr w14:val="tx1"/>
            </w14:solidFill>
          </w14:textFill>
        </w:rPr>
      </w:pPr>
    </w:p>
    <w:p w14:paraId="10B608DD">
      <w:pPr>
        <w:rPr>
          <w:rFonts w:hint="eastAsia"/>
          <w:color w:val="000000" w:themeColor="text1"/>
          <w:sz w:val="32"/>
          <w:szCs w:val="40"/>
          <w:highlight w:val="none"/>
          <w14:textFill>
            <w14:solidFill>
              <w14:schemeClr w14:val="tx1"/>
            </w14:solidFill>
          </w14:textFill>
        </w:rPr>
      </w:pPr>
    </w:p>
    <w:p w14:paraId="404BF66A">
      <w:pPr>
        <w:rPr>
          <w:rFonts w:hint="eastAsia"/>
          <w:color w:val="000000" w:themeColor="text1"/>
          <w:sz w:val="32"/>
          <w:szCs w:val="40"/>
          <w:highlight w:val="none"/>
          <w14:textFill>
            <w14:solidFill>
              <w14:schemeClr w14:val="tx1"/>
            </w14:solidFill>
          </w14:textFill>
        </w:rPr>
      </w:pPr>
    </w:p>
    <w:p w14:paraId="7D6F381D">
      <w:pPr>
        <w:rPr>
          <w:rFonts w:hint="eastAsia"/>
          <w:color w:val="000000" w:themeColor="text1"/>
          <w:sz w:val="32"/>
          <w:szCs w:val="40"/>
          <w:highlight w:val="none"/>
          <w14:textFill>
            <w14:solidFill>
              <w14:schemeClr w14:val="tx1"/>
            </w14:solidFill>
          </w14:textFill>
        </w:rPr>
      </w:pPr>
    </w:p>
    <w:p w14:paraId="05C9D004">
      <w:pPr>
        <w:rPr>
          <w:rFonts w:hint="eastAsia"/>
          <w:color w:val="000000" w:themeColor="text1"/>
          <w:sz w:val="32"/>
          <w:szCs w:val="40"/>
          <w:highlight w:val="none"/>
          <w14:textFill>
            <w14:solidFill>
              <w14:schemeClr w14:val="tx1"/>
            </w14:solidFill>
          </w14:textFill>
        </w:rPr>
      </w:pPr>
    </w:p>
    <w:p w14:paraId="53B3BE2B">
      <w:pPr>
        <w:rPr>
          <w:rFonts w:hint="eastAsia"/>
          <w:color w:val="000000" w:themeColor="text1"/>
          <w:sz w:val="32"/>
          <w:szCs w:val="40"/>
          <w:highlight w:val="none"/>
          <w14:textFill>
            <w14:solidFill>
              <w14:schemeClr w14:val="tx1"/>
            </w14:solidFill>
          </w14:textFill>
        </w:rPr>
      </w:pPr>
    </w:p>
    <w:p w14:paraId="08C0335A">
      <w:pPr>
        <w:rPr>
          <w:rFonts w:hint="eastAsia"/>
          <w:color w:val="000000" w:themeColor="text1"/>
          <w:sz w:val="32"/>
          <w:szCs w:val="40"/>
          <w:highlight w:val="none"/>
          <w14:textFill>
            <w14:solidFill>
              <w14:schemeClr w14:val="tx1"/>
            </w14:solidFill>
          </w14:textFill>
        </w:rPr>
      </w:pPr>
    </w:p>
    <w:p w14:paraId="38E549A9">
      <w:pPr>
        <w:rPr>
          <w:rFonts w:hint="eastAsia"/>
          <w:color w:val="000000" w:themeColor="text1"/>
          <w:sz w:val="32"/>
          <w:szCs w:val="40"/>
          <w:highlight w:val="none"/>
          <w14:textFill>
            <w14:solidFill>
              <w14:schemeClr w14:val="tx1"/>
            </w14:solidFill>
          </w14:textFill>
        </w:rPr>
      </w:pPr>
    </w:p>
    <w:p w14:paraId="30ED238B">
      <w:pPr>
        <w:rPr>
          <w:rFonts w:hint="eastAsia"/>
          <w:color w:val="000000" w:themeColor="text1"/>
          <w:sz w:val="32"/>
          <w:szCs w:val="40"/>
          <w:highlight w:val="none"/>
          <w14:textFill>
            <w14:solidFill>
              <w14:schemeClr w14:val="tx1"/>
            </w14:solidFill>
          </w14:textFill>
        </w:rPr>
      </w:pPr>
    </w:p>
    <w:p w14:paraId="681B61C5">
      <w:pPr>
        <w:rPr>
          <w:rFonts w:hint="eastAsia"/>
          <w:color w:val="000000" w:themeColor="text1"/>
          <w:sz w:val="32"/>
          <w:szCs w:val="40"/>
          <w:highlight w:val="none"/>
          <w14:textFill>
            <w14:solidFill>
              <w14:schemeClr w14:val="tx1"/>
            </w14:solidFill>
          </w14:textFill>
        </w:rPr>
      </w:pPr>
    </w:p>
    <w:p w14:paraId="0FA34874">
      <w:pPr>
        <w:rPr>
          <w:rFonts w:hint="eastAsia"/>
          <w:color w:val="000000" w:themeColor="text1"/>
          <w:sz w:val="32"/>
          <w:szCs w:val="40"/>
          <w:highlight w:val="none"/>
          <w14:textFill>
            <w14:solidFill>
              <w14:schemeClr w14:val="tx1"/>
            </w14:solidFill>
          </w14:textFill>
        </w:rPr>
      </w:pPr>
    </w:p>
    <w:p w14:paraId="3815BD9C">
      <w:pPr>
        <w:spacing w:line="360" w:lineRule="auto"/>
        <w:jc w:val="cente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pPr>
      <w:r>
        <w:rPr>
          <w:rFonts w:ascii="方正小标宋简体" w:hAnsi="方正小标宋简体" w:eastAsia="方正小标宋简体" w:cs="方正小标宋简体"/>
          <w:color w:val="000000" w:themeColor="text1"/>
          <w:sz w:val="44"/>
          <w:szCs w:val="44"/>
          <w:highlight w:val="none"/>
          <w14:textFill>
            <w14:solidFill>
              <w14:schemeClr w14:val="tx1"/>
            </w14:solidFill>
          </w14:textFill>
        </w:rPr>
        <w:br w:type="page" w:clear="all"/>
      </w: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投诉书（格式）</w:t>
      </w:r>
    </w:p>
    <w:p w14:paraId="0A4B8AE6">
      <w:pPr>
        <w:pStyle w:val="24"/>
        <w:spacing w:line="360" w:lineRule="auto"/>
        <w:ind w:firstLine="482"/>
        <w:rPr>
          <w:rFonts w:hAnsi="宋体"/>
          <w:b/>
          <w:bCs/>
          <w:color w:val="000000" w:themeColor="text1"/>
          <w:sz w:val="24"/>
          <w:szCs w:val="24"/>
          <w:highlight w:val="none"/>
          <w14:textFill>
            <w14:solidFill>
              <w14:schemeClr w14:val="tx1"/>
            </w14:solidFill>
          </w14:textFill>
        </w:rPr>
      </w:pPr>
      <w:r>
        <w:rPr>
          <w:rFonts w:hint="eastAsia" w:hAnsi="宋体"/>
          <w:b/>
          <w:bCs/>
          <w:color w:val="000000" w:themeColor="text1"/>
          <w:sz w:val="24"/>
          <w:szCs w:val="24"/>
          <w:highlight w:val="none"/>
          <w14:textFill>
            <w14:solidFill>
              <w14:schemeClr w14:val="tx1"/>
            </w14:solidFill>
          </w14:textFill>
        </w:rPr>
        <w:t>一、投诉相关主体基本情况：</w:t>
      </w:r>
    </w:p>
    <w:p w14:paraId="3A1B48A2">
      <w:pPr>
        <w:pStyle w:val="24"/>
        <w:spacing w:line="360" w:lineRule="auto"/>
        <w:ind w:firstLine="480"/>
        <w:rPr>
          <w:rFonts w:hint="eastAsia"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供应商：</w:t>
      </w:r>
      <w:r>
        <w:rPr>
          <w:rFonts w:hint="eastAsia" w:hAnsi="宋体"/>
          <w:bCs/>
          <w:color w:val="000000" w:themeColor="text1"/>
          <w:sz w:val="24"/>
          <w:szCs w:val="24"/>
          <w:highlight w:val="none"/>
          <w:u w:val="single"/>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 xml:space="preserve">                 </w:t>
      </w:r>
    </w:p>
    <w:p w14:paraId="46EDF12D">
      <w:pPr>
        <w:pStyle w:val="24"/>
        <w:spacing w:line="360" w:lineRule="auto"/>
        <w:ind w:firstLine="480"/>
        <w:rPr>
          <w:rFonts w:hint="eastAsia"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地址</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r>
        <w:rPr>
          <w:rFonts w:hAnsi="宋体"/>
          <w:bCs/>
          <w:color w:val="000000" w:themeColor="text1"/>
          <w:sz w:val="24"/>
          <w:szCs w:val="24"/>
          <w:highlight w:val="none"/>
          <w14:textFill>
            <w14:solidFill>
              <w14:schemeClr w14:val="tx1"/>
            </w14:solidFill>
          </w14:textFill>
        </w:rPr>
        <w:t>邮编</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 xml:space="preserve">                 </w:t>
      </w:r>
    </w:p>
    <w:p w14:paraId="20002385">
      <w:pPr>
        <w:pStyle w:val="24"/>
        <w:spacing w:line="360" w:lineRule="auto"/>
        <w:ind w:firstLine="480"/>
        <w:rPr>
          <w:rFonts w:hint="eastAsia"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法定代表人/主要负责人：</w:t>
      </w:r>
      <w:r>
        <w:rPr>
          <w:rFonts w:hint="eastAsia" w:hAnsi="宋体"/>
          <w:bCs/>
          <w:color w:val="000000" w:themeColor="text1"/>
          <w:sz w:val="24"/>
          <w:szCs w:val="24"/>
          <w:highlight w:val="none"/>
          <w:u w:val="single"/>
          <w14:textFill>
            <w14:solidFill>
              <w14:schemeClr w14:val="tx1"/>
            </w14:solidFill>
          </w14:textFill>
        </w:rPr>
        <w:t xml:space="preserve">                                                         </w:t>
      </w:r>
    </w:p>
    <w:p w14:paraId="3A795611">
      <w:pPr>
        <w:pStyle w:val="24"/>
        <w:spacing w:line="360" w:lineRule="auto"/>
        <w:ind w:firstLine="480"/>
        <w:rPr>
          <w:rFonts w:hint="eastAsia"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联系电话</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p>
    <w:p w14:paraId="4FD17ED5">
      <w:pPr>
        <w:pStyle w:val="24"/>
        <w:spacing w:line="360" w:lineRule="auto"/>
        <w:ind w:firstLine="480"/>
        <w:rPr>
          <w:rFonts w:hint="eastAsia"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授权代表：</w:t>
      </w:r>
      <w:r>
        <w:rPr>
          <w:rFonts w:hint="eastAsia" w:hAnsi="宋体"/>
          <w:bCs/>
          <w:color w:val="000000" w:themeColor="text1"/>
          <w:sz w:val="24"/>
          <w:szCs w:val="24"/>
          <w:highlight w:val="none"/>
          <w:u w:val="single"/>
          <w14:textFill>
            <w14:solidFill>
              <w14:schemeClr w14:val="tx1"/>
            </w14:solidFill>
          </w14:textFill>
        </w:rPr>
        <w:t xml:space="preserve">                                         </w:t>
      </w:r>
      <w:r>
        <w:rPr>
          <w:rFonts w:hAnsi="宋体"/>
          <w:bCs/>
          <w:color w:val="000000" w:themeColor="text1"/>
          <w:sz w:val="24"/>
          <w:szCs w:val="24"/>
          <w:highlight w:val="none"/>
          <w14:textFill>
            <w14:solidFill>
              <w14:schemeClr w14:val="tx1"/>
            </w14:solidFill>
          </w14:textFill>
        </w:rPr>
        <w:t>联系</w:t>
      </w:r>
      <w:r>
        <w:rPr>
          <w:rFonts w:hint="eastAsia" w:hAnsi="宋体"/>
          <w:bCs/>
          <w:color w:val="000000" w:themeColor="text1"/>
          <w:sz w:val="24"/>
          <w:szCs w:val="24"/>
          <w:highlight w:val="none"/>
          <w14:textFill>
            <w14:solidFill>
              <w14:schemeClr w14:val="tx1"/>
            </w14:solidFill>
          </w14:textFill>
        </w:rPr>
        <w:t>电话：</w:t>
      </w:r>
      <w:r>
        <w:rPr>
          <w:rFonts w:hint="eastAsia" w:hAnsi="宋体"/>
          <w:bCs/>
          <w:color w:val="000000" w:themeColor="text1"/>
          <w:sz w:val="24"/>
          <w:szCs w:val="24"/>
          <w:highlight w:val="none"/>
          <w:u w:val="single"/>
          <w14:textFill>
            <w14:solidFill>
              <w14:schemeClr w14:val="tx1"/>
            </w14:solidFill>
          </w14:textFill>
        </w:rPr>
        <w:t xml:space="preserve">                   </w:t>
      </w:r>
    </w:p>
    <w:p w14:paraId="6A0E50D7">
      <w:pPr>
        <w:pStyle w:val="24"/>
        <w:spacing w:line="360" w:lineRule="auto"/>
        <w:ind w:firstLine="480"/>
        <w:rPr>
          <w:rFonts w:hint="eastAsia" w:hAnsi="宋体"/>
          <w:bCs/>
          <w:color w:val="000000" w:themeColor="text1"/>
          <w:sz w:val="24"/>
          <w:szCs w:val="24"/>
          <w:highlight w:val="none"/>
          <w:u w:val="single"/>
          <w14:textFill>
            <w14:solidFill>
              <w14:schemeClr w14:val="tx1"/>
            </w14:solidFill>
          </w14:textFill>
        </w:rPr>
      </w:pPr>
      <w:r>
        <w:rPr>
          <w:rFonts w:hAnsi="宋体"/>
          <w:bCs/>
          <w:color w:val="000000" w:themeColor="text1"/>
          <w:sz w:val="24"/>
          <w:szCs w:val="24"/>
          <w:highlight w:val="none"/>
          <w14:textFill>
            <w14:solidFill>
              <w14:schemeClr w14:val="tx1"/>
            </w14:solidFill>
          </w14:textFill>
        </w:rPr>
        <w:t>地址</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p>
    <w:p w14:paraId="3FECBA8C">
      <w:pPr>
        <w:pStyle w:val="24"/>
        <w:spacing w:line="360" w:lineRule="auto"/>
        <w:ind w:firstLine="480"/>
        <w:rPr>
          <w:rFonts w:hint="eastAsia"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邮编</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 xml:space="preserve">   </w:t>
      </w:r>
    </w:p>
    <w:p w14:paraId="4DFC0AE4">
      <w:pPr>
        <w:pStyle w:val="24"/>
        <w:spacing w:line="360" w:lineRule="auto"/>
        <w:ind w:firstLine="480"/>
        <w:rPr>
          <w:rFonts w:hint="eastAsia"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被投诉人1：</w:t>
      </w:r>
    </w:p>
    <w:p w14:paraId="2C507339">
      <w:pPr>
        <w:pStyle w:val="24"/>
        <w:spacing w:line="360" w:lineRule="auto"/>
        <w:ind w:firstLine="480"/>
        <w:rPr>
          <w:rFonts w:hint="eastAsia"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地址：</w:t>
      </w:r>
      <w:r>
        <w:rPr>
          <w:rFonts w:hint="eastAsia" w:hAnsi="宋体"/>
          <w:bCs/>
          <w:color w:val="000000" w:themeColor="text1"/>
          <w:sz w:val="24"/>
          <w:szCs w:val="24"/>
          <w:highlight w:val="none"/>
          <w:u w:val="single"/>
          <w14:textFill>
            <w14:solidFill>
              <w14:schemeClr w14:val="tx1"/>
            </w14:solidFill>
          </w14:textFill>
        </w:rPr>
        <w:t xml:space="preserve">                                                            </w:t>
      </w:r>
    </w:p>
    <w:p w14:paraId="68B30980">
      <w:pPr>
        <w:pStyle w:val="24"/>
        <w:spacing w:line="360" w:lineRule="auto"/>
        <w:ind w:firstLine="480"/>
        <w:rPr>
          <w:rFonts w:hint="eastAsia"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邮编</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 xml:space="preserve">  </w:t>
      </w:r>
    </w:p>
    <w:p w14:paraId="74DC2F00">
      <w:pPr>
        <w:pStyle w:val="24"/>
        <w:spacing w:line="360" w:lineRule="auto"/>
        <w:ind w:firstLine="480"/>
        <w:rPr>
          <w:rFonts w:hint="eastAsia"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联系人：</w:t>
      </w:r>
      <w:r>
        <w:rPr>
          <w:rFonts w:hint="eastAsia" w:hAnsi="宋体"/>
          <w:bCs/>
          <w:color w:val="000000" w:themeColor="text1"/>
          <w:sz w:val="24"/>
          <w:szCs w:val="24"/>
          <w:highlight w:val="none"/>
          <w:u w:val="single"/>
          <w14:textFill>
            <w14:solidFill>
              <w14:schemeClr w14:val="tx1"/>
            </w14:solidFill>
          </w14:textFill>
        </w:rPr>
        <w:t xml:space="preserve">                                                </w:t>
      </w:r>
      <w:r>
        <w:rPr>
          <w:rFonts w:hAnsi="宋体"/>
          <w:bCs/>
          <w:color w:val="000000" w:themeColor="text1"/>
          <w:sz w:val="24"/>
          <w:szCs w:val="24"/>
          <w:highlight w:val="none"/>
          <w14:textFill>
            <w14:solidFill>
              <w14:schemeClr w14:val="tx1"/>
            </w14:solidFill>
          </w14:textFill>
        </w:rPr>
        <w:t>联系</w:t>
      </w:r>
      <w:r>
        <w:rPr>
          <w:rFonts w:hint="eastAsia" w:hAnsi="宋体"/>
          <w:bCs/>
          <w:color w:val="000000" w:themeColor="text1"/>
          <w:sz w:val="24"/>
          <w:szCs w:val="24"/>
          <w:highlight w:val="none"/>
          <w14:textFill>
            <w14:solidFill>
              <w14:schemeClr w14:val="tx1"/>
            </w14:solidFill>
          </w14:textFill>
        </w:rPr>
        <w:t>电话：</w:t>
      </w:r>
      <w:r>
        <w:rPr>
          <w:rFonts w:hint="eastAsia" w:hAnsi="宋体"/>
          <w:bCs/>
          <w:color w:val="000000" w:themeColor="text1"/>
          <w:sz w:val="24"/>
          <w:szCs w:val="24"/>
          <w:highlight w:val="none"/>
          <w:u w:val="single"/>
          <w14:textFill>
            <w14:solidFill>
              <w14:schemeClr w14:val="tx1"/>
            </w14:solidFill>
          </w14:textFill>
        </w:rPr>
        <w:t xml:space="preserve">                </w:t>
      </w:r>
    </w:p>
    <w:p w14:paraId="20A6432F">
      <w:pPr>
        <w:pStyle w:val="24"/>
        <w:spacing w:line="360" w:lineRule="auto"/>
        <w:ind w:firstLine="480"/>
        <w:rPr>
          <w:rFonts w:hint="eastAsia"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被投诉人2：</w:t>
      </w:r>
    </w:p>
    <w:p w14:paraId="40152396">
      <w:pPr>
        <w:pStyle w:val="24"/>
        <w:spacing w:line="360" w:lineRule="auto"/>
        <w:ind w:firstLine="480"/>
        <w:rPr>
          <w:rFonts w:hint="eastAsia"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w:t>
      </w:r>
    </w:p>
    <w:p w14:paraId="504F107F">
      <w:pPr>
        <w:pStyle w:val="24"/>
        <w:spacing w:line="360" w:lineRule="auto"/>
        <w:ind w:firstLine="480"/>
        <w:rPr>
          <w:rFonts w:hint="eastAsia"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相关供应商：</w:t>
      </w:r>
      <w:r>
        <w:rPr>
          <w:rFonts w:hint="eastAsia" w:hAnsi="宋体"/>
          <w:bCs/>
          <w:color w:val="000000" w:themeColor="text1"/>
          <w:sz w:val="24"/>
          <w:szCs w:val="24"/>
          <w:highlight w:val="none"/>
          <w:u w:val="single"/>
          <w14:textFill>
            <w14:solidFill>
              <w14:schemeClr w14:val="tx1"/>
            </w14:solidFill>
          </w14:textFill>
        </w:rPr>
        <w:t xml:space="preserve">                                                                       </w:t>
      </w:r>
    </w:p>
    <w:p w14:paraId="28D04F2F">
      <w:pPr>
        <w:pStyle w:val="24"/>
        <w:spacing w:line="360" w:lineRule="auto"/>
        <w:ind w:firstLine="480"/>
        <w:rPr>
          <w:rFonts w:hint="eastAsia" w:hAnsi="宋体"/>
          <w:bCs/>
          <w:color w:val="000000" w:themeColor="text1"/>
          <w:sz w:val="24"/>
          <w:szCs w:val="24"/>
          <w:highlight w:val="none"/>
          <w:u w:val="single"/>
          <w14:textFill>
            <w14:solidFill>
              <w14:schemeClr w14:val="tx1"/>
            </w14:solidFill>
          </w14:textFill>
        </w:rPr>
      </w:pPr>
      <w:r>
        <w:rPr>
          <w:rFonts w:hAnsi="宋体"/>
          <w:bCs/>
          <w:color w:val="000000" w:themeColor="text1"/>
          <w:sz w:val="24"/>
          <w:szCs w:val="24"/>
          <w:highlight w:val="none"/>
          <w14:textFill>
            <w14:solidFill>
              <w14:schemeClr w14:val="tx1"/>
            </w14:solidFill>
          </w14:textFill>
        </w:rPr>
        <w:t>地址</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r>
        <w:rPr>
          <w:rFonts w:hAnsi="宋体"/>
          <w:bCs/>
          <w:color w:val="000000" w:themeColor="text1"/>
          <w:sz w:val="24"/>
          <w:szCs w:val="24"/>
          <w:highlight w:val="none"/>
          <w14:textFill>
            <w14:solidFill>
              <w14:schemeClr w14:val="tx1"/>
            </w14:solidFill>
          </w14:textFill>
        </w:rPr>
        <w:t>邮编</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p>
    <w:p w14:paraId="4E14AAF8">
      <w:pPr>
        <w:pStyle w:val="24"/>
        <w:spacing w:line="360" w:lineRule="auto"/>
        <w:ind w:firstLine="480"/>
        <w:rPr>
          <w:rFonts w:hint="eastAsia"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联系人：</w:t>
      </w:r>
      <w:r>
        <w:rPr>
          <w:rFonts w:hint="eastAsia" w:hAnsi="宋体"/>
          <w:bCs/>
          <w:color w:val="000000" w:themeColor="text1"/>
          <w:sz w:val="24"/>
          <w:szCs w:val="24"/>
          <w:highlight w:val="none"/>
          <w:u w:val="single"/>
          <w14:textFill>
            <w14:solidFill>
              <w14:schemeClr w14:val="tx1"/>
            </w14:solidFill>
          </w14:textFill>
        </w:rPr>
        <w:t xml:space="preserve">                                            </w:t>
      </w:r>
      <w:r>
        <w:rPr>
          <w:rFonts w:hAnsi="宋体"/>
          <w:bCs/>
          <w:color w:val="000000" w:themeColor="text1"/>
          <w:sz w:val="24"/>
          <w:szCs w:val="24"/>
          <w:highlight w:val="none"/>
          <w14:textFill>
            <w14:solidFill>
              <w14:schemeClr w14:val="tx1"/>
            </w14:solidFill>
          </w14:textFill>
        </w:rPr>
        <w:t>联系</w:t>
      </w:r>
      <w:r>
        <w:rPr>
          <w:rFonts w:hint="eastAsia" w:hAnsi="宋体"/>
          <w:bCs/>
          <w:color w:val="000000" w:themeColor="text1"/>
          <w:sz w:val="24"/>
          <w:szCs w:val="24"/>
          <w:highlight w:val="none"/>
          <w14:textFill>
            <w14:solidFill>
              <w14:schemeClr w14:val="tx1"/>
            </w14:solidFill>
          </w14:textFill>
        </w:rPr>
        <w:t>电话：</w:t>
      </w:r>
      <w:r>
        <w:rPr>
          <w:rFonts w:hint="eastAsia" w:hAnsi="宋体"/>
          <w:bCs/>
          <w:color w:val="000000" w:themeColor="text1"/>
          <w:sz w:val="24"/>
          <w:szCs w:val="24"/>
          <w:highlight w:val="none"/>
          <w:u w:val="single"/>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 xml:space="preserve">                </w:t>
      </w:r>
    </w:p>
    <w:p w14:paraId="7EB29992">
      <w:pPr>
        <w:pStyle w:val="24"/>
        <w:spacing w:line="360" w:lineRule="auto"/>
        <w:ind w:firstLine="482"/>
        <w:rPr>
          <w:rFonts w:hint="eastAsia" w:hAnsi="宋体"/>
          <w:b/>
          <w:bCs/>
          <w:color w:val="000000" w:themeColor="text1"/>
          <w:sz w:val="24"/>
          <w:szCs w:val="24"/>
          <w:highlight w:val="none"/>
          <w14:textFill>
            <w14:solidFill>
              <w14:schemeClr w14:val="tx1"/>
            </w14:solidFill>
          </w14:textFill>
        </w:rPr>
      </w:pPr>
      <w:r>
        <w:rPr>
          <w:rFonts w:hint="eastAsia" w:hAnsi="宋体"/>
          <w:b/>
          <w:bCs/>
          <w:color w:val="000000" w:themeColor="text1"/>
          <w:sz w:val="24"/>
          <w:szCs w:val="24"/>
          <w:highlight w:val="none"/>
          <w14:textFill>
            <w14:solidFill>
              <w14:schemeClr w14:val="tx1"/>
            </w14:solidFill>
          </w14:textFill>
        </w:rPr>
        <w:t>二、投诉项目基本情况：</w:t>
      </w:r>
    </w:p>
    <w:p w14:paraId="1E7C36A2">
      <w:pPr>
        <w:pStyle w:val="24"/>
        <w:spacing w:line="360" w:lineRule="auto"/>
        <w:ind w:left="25" w:firstLine="472"/>
        <w:rPr>
          <w:rFonts w:hint="eastAsia" w:hAnsi="宋体"/>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采购</w:t>
      </w:r>
      <w:r>
        <w:rPr>
          <w:rFonts w:hint="eastAsia" w:hAnsi="宋体"/>
          <w:color w:val="000000" w:themeColor="text1"/>
          <w:sz w:val="24"/>
          <w:szCs w:val="24"/>
          <w:highlight w:val="none"/>
          <w14:textFill>
            <w14:solidFill>
              <w14:schemeClr w14:val="tx1"/>
            </w14:solidFill>
          </w14:textFill>
        </w:rPr>
        <w:t>项目的名称：</w:t>
      </w:r>
      <w:r>
        <w:rPr>
          <w:rFonts w:hint="eastAsia" w:hAnsi="宋体"/>
          <w:bCs/>
          <w:color w:val="000000" w:themeColor="text1"/>
          <w:sz w:val="24"/>
          <w:szCs w:val="24"/>
          <w:highlight w:val="none"/>
          <w:u w:val="single"/>
          <w14:textFill>
            <w14:solidFill>
              <w14:schemeClr w14:val="tx1"/>
            </w14:solidFill>
          </w14:textFill>
        </w:rPr>
        <w:t xml:space="preserve">                                                                   </w:t>
      </w:r>
    </w:p>
    <w:p w14:paraId="2CE1FB4A">
      <w:pPr>
        <w:pStyle w:val="24"/>
        <w:spacing w:line="360" w:lineRule="auto"/>
        <w:ind w:left="25" w:firstLine="472"/>
        <w:rPr>
          <w:rFonts w:hint="eastAsia" w:hAnsi="宋体"/>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采购</w:t>
      </w:r>
      <w:r>
        <w:rPr>
          <w:rFonts w:hint="eastAsia" w:hAnsi="宋体"/>
          <w:color w:val="000000" w:themeColor="text1"/>
          <w:sz w:val="24"/>
          <w:szCs w:val="24"/>
          <w:highlight w:val="none"/>
          <w14:textFill>
            <w14:solidFill>
              <w14:schemeClr w14:val="tx1"/>
            </w14:solidFill>
          </w14:textFill>
        </w:rPr>
        <w:t>项目的编号：</w:t>
      </w:r>
      <w:r>
        <w:rPr>
          <w:rFonts w:hint="eastAsia" w:hAnsi="宋体"/>
          <w:bCs/>
          <w:color w:val="000000" w:themeColor="text1"/>
          <w:sz w:val="24"/>
          <w:szCs w:val="24"/>
          <w:highlight w:val="none"/>
          <w:u w:val="single"/>
          <w14:textFill>
            <w14:solidFill>
              <w14:schemeClr w14:val="tx1"/>
            </w14:solidFill>
          </w14:textFill>
        </w:rPr>
        <w:t xml:space="preserve">                                          </w:t>
      </w:r>
    </w:p>
    <w:p w14:paraId="6ED10BB9">
      <w:pPr>
        <w:pStyle w:val="24"/>
        <w:spacing w:line="360" w:lineRule="auto"/>
        <w:ind w:left="25" w:firstLine="472"/>
        <w:rPr>
          <w:rFonts w:hint="eastAsia" w:hAnsi="宋体"/>
          <w:bCs/>
          <w:color w:val="000000" w:themeColor="text1"/>
          <w:sz w:val="24"/>
          <w:szCs w:val="24"/>
          <w:highlight w:val="none"/>
          <w:u w:val="singl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采购人名称：</w:t>
      </w:r>
      <w:r>
        <w:rPr>
          <w:rFonts w:hint="eastAsia" w:hAnsi="宋体"/>
          <w:bCs/>
          <w:color w:val="000000" w:themeColor="text1"/>
          <w:sz w:val="24"/>
          <w:szCs w:val="24"/>
          <w:highlight w:val="none"/>
          <w:u w:val="single"/>
          <w14:textFill>
            <w14:solidFill>
              <w14:schemeClr w14:val="tx1"/>
            </w14:solidFill>
          </w14:textFill>
        </w:rPr>
        <w:t xml:space="preserve">                                                                        </w:t>
      </w:r>
    </w:p>
    <w:p w14:paraId="22F53F7A">
      <w:pPr>
        <w:pStyle w:val="24"/>
        <w:spacing w:line="360" w:lineRule="auto"/>
        <w:ind w:left="25" w:firstLine="472"/>
        <w:rPr>
          <w:rFonts w:hint="eastAsia" w:hAnsi="宋体"/>
          <w:bCs/>
          <w:color w:val="000000" w:themeColor="text1"/>
          <w:sz w:val="24"/>
          <w:szCs w:val="24"/>
          <w:highlight w:val="none"/>
          <w:u w:val="singl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代理机构名称：</w:t>
      </w:r>
      <w:r>
        <w:rPr>
          <w:rFonts w:hint="eastAsia" w:hAnsi="宋体"/>
          <w:bCs/>
          <w:color w:val="000000" w:themeColor="text1"/>
          <w:sz w:val="24"/>
          <w:szCs w:val="24"/>
          <w:highlight w:val="none"/>
          <w:u w:val="single"/>
          <w14:textFill>
            <w14:solidFill>
              <w14:schemeClr w14:val="tx1"/>
            </w14:solidFill>
          </w14:textFill>
        </w:rPr>
        <w:t xml:space="preserve">                                                                      </w:t>
      </w:r>
    </w:p>
    <w:p w14:paraId="65927B3B">
      <w:pPr>
        <w:pStyle w:val="24"/>
        <w:spacing w:line="360" w:lineRule="auto"/>
        <w:ind w:left="25" w:firstLine="472"/>
        <w:rPr>
          <w:rFonts w:hint="eastAsia"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采购文件公告：</w:t>
      </w:r>
      <w:r>
        <w:rPr>
          <w:rFonts w:hint="eastAsia" w:hAnsi="宋体"/>
          <w:bCs/>
          <w:color w:val="000000" w:themeColor="text1"/>
          <w:sz w:val="24"/>
          <w:szCs w:val="24"/>
          <w:highlight w:val="none"/>
          <w:u w:val="single"/>
          <w14:textFill>
            <w14:solidFill>
              <w14:schemeClr w14:val="tx1"/>
            </w14:solidFill>
          </w14:textFill>
        </w:rPr>
        <w:t>是/否</w:t>
      </w:r>
      <w:r>
        <w:rPr>
          <w:rFonts w:hint="eastAsia" w:hAnsi="宋体"/>
          <w:bCs/>
          <w:color w:val="000000" w:themeColor="text1"/>
          <w:sz w:val="24"/>
          <w:szCs w:val="24"/>
          <w:highlight w:val="none"/>
          <w14:textFill>
            <w14:solidFill>
              <w14:schemeClr w14:val="tx1"/>
            </w14:solidFill>
          </w14:textFill>
        </w:rPr>
        <w:t>公告期限：</w:t>
      </w:r>
      <w:r>
        <w:rPr>
          <w:rFonts w:hint="eastAsia" w:hAnsi="宋体"/>
          <w:bCs/>
          <w:color w:val="000000" w:themeColor="text1"/>
          <w:sz w:val="24"/>
          <w:szCs w:val="24"/>
          <w:highlight w:val="none"/>
          <w:u w:val="single"/>
          <w14:textFill>
            <w14:solidFill>
              <w14:schemeClr w14:val="tx1"/>
            </w14:solidFill>
          </w14:textFill>
        </w:rPr>
        <w:t xml:space="preserve">                                                       </w:t>
      </w:r>
    </w:p>
    <w:p w14:paraId="4E43779D">
      <w:pPr>
        <w:pStyle w:val="24"/>
        <w:spacing w:line="360" w:lineRule="auto"/>
        <w:ind w:left="25" w:firstLine="472"/>
        <w:rPr>
          <w:rFonts w:hint="eastAsia" w:hAnsi="宋体"/>
          <w:b/>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采购结果公告：</w:t>
      </w:r>
      <w:r>
        <w:rPr>
          <w:rFonts w:hint="eastAsia" w:hAnsi="宋体"/>
          <w:bCs/>
          <w:color w:val="000000" w:themeColor="text1"/>
          <w:sz w:val="24"/>
          <w:szCs w:val="24"/>
          <w:highlight w:val="none"/>
          <w:u w:val="single"/>
          <w14:textFill>
            <w14:solidFill>
              <w14:schemeClr w14:val="tx1"/>
            </w14:solidFill>
          </w14:textFill>
        </w:rPr>
        <w:t>是/否</w:t>
      </w:r>
      <w:r>
        <w:rPr>
          <w:rFonts w:hint="eastAsia" w:hAnsi="宋体"/>
          <w:bCs/>
          <w:color w:val="000000" w:themeColor="text1"/>
          <w:sz w:val="24"/>
          <w:szCs w:val="24"/>
          <w:highlight w:val="none"/>
          <w14:textFill>
            <w14:solidFill>
              <w14:schemeClr w14:val="tx1"/>
            </w14:solidFill>
          </w14:textFill>
        </w:rPr>
        <w:t>公告期限：</w:t>
      </w:r>
      <w:r>
        <w:rPr>
          <w:rFonts w:hint="eastAsia" w:hAnsi="宋体"/>
          <w:bCs/>
          <w:color w:val="000000" w:themeColor="text1"/>
          <w:sz w:val="24"/>
          <w:szCs w:val="24"/>
          <w:highlight w:val="none"/>
          <w:u w:val="single"/>
          <w14:textFill>
            <w14:solidFill>
              <w14:schemeClr w14:val="tx1"/>
            </w14:solidFill>
          </w14:textFill>
        </w:rPr>
        <w:t xml:space="preserve">                                                       </w:t>
      </w:r>
    </w:p>
    <w:p w14:paraId="00309B34">
      <w:pPr>
        <w:pStyle w:val="24"/>
        <w:spacing w:line="360" w:lineRule="auto"/>
        <w:ind w:left="25" w:firstLine="472"/>
        <w:rPr>
          <w:rFonts w:hint="eastAsia"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三、质疑基本情况</w:t>
      </w:r>
    </w:p>
    <w:p w14:paraId="59E98F7A">
      <w:pPr>
        <w:pStyle w:val="24"/>
        <w:spacing w:line="360" w:lineRule="auto"/>
        <w:ind w:firstLine="480"/>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投诉人于</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年</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月</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日，向</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提出质疑，质疑事项为：</w:t>
      </w:r>
    </w:p>
    <w:p w14:paraId="12012928">
      <w:pPr>
        <w:pStyle w:val="24"/>
        <w:spacing w:line="360" w:lineRule="auto"/>
        <w:ind w:firstLine="241"/>
        <w:rPr>
          <w:rFonts w:hint="eastAsia" w:hAnsi="宋体"/>
          <w:bCs/>
          <w:color w:val="000000" w:themeColor="text1"/>
          <w:sz w:val="24"/>
          <w:szCs w:val="24"/>
          <w:highlight w:val="none"/>
          <w:u w:val="singl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 xml:space="preserve">    </w:t>
      </w:r>
      <w:r>
        <w:rPr>
          <w:rFonts w:hint="eastAsia" w:hAnsi="宋体"/>
          <w:bCs/>
          <w:color w:val="000000" w:themeColor="text1"/>
          <w:sz w:val="24"/>
          <w:szCs w:val="24"/>
          <w:highlight w:val="none"/>
          <w:u w:val="single"/>
          <w14:textFill>
            <w14:solidFill>
              <w14:schemeClr w14:val="tx1"/>
            </w14:solidFill>
          </w14:textFill>
        </w:rPr>
        <w:t xml:space="preserve">                                                                                      </w:t>
      </w:r>
    </w:p>
    <w:p w14:paraId="6D2BF54D">
      <w:pPr>
        <w:pStyle w:val="24"/>
        <w:spacing w:line="360" w:lineRule="auto"/>
        <w:ind w:firstLine="241"/>
        <w:rPr>
          <w:rFonts w:hint="eastAsia"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 xml:space="preserve">    </w:t>
      </w:r>
      <w:r>
        <w:rPr>
          <w:rFonts w:hint="eastAsia" w:hAnsi="宋体"/>
          <w:bCs/>
          <w:color w:val="000000" w:themeColor="text1"/>
          <w:sz w:val="24"/>
          <w:szCs w:val="24"/>
          <w:highlight w:val="none"/>
          <w:u w:val="single"/>
          <w14:textFill>
            <w14:solidFill>
              <w14:schemeClr w14:val="tx1"/>
            </w14:solidFill>
          </w14:textFill>
        </w:rPr>
        <w:t xml:space="preserve">                                                                                      </w:t>
      </w:r>
    </w:p>
    <w:p w14:paraId="419665ED">
      <w:pPr>
        <w:pStyle w:val="24"/>
        <w:spacing w:line="360" w:lineRule="auto"/>
        <w:ind w:firstLine="480"/>
        <w:rPr>
          <w:rFonts w:hint="eastAsia" w:hAnsi="宋体"/>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u w:val="single"/>
          <w14:textFill>
            <w14:solidFill>
              <w14:schemeClr w14:val="tx1"/>
            </w14:solidFill>
          </w14:textFill>
        </w:rPr>
        <w:t>采购人/代理机构</w:t>
      </w:r>
      <w:r>
        <w:rPr>
          <w:rFonts w:hint="eastAsia" w:hAnsi="宋体"/>
          <w:bCs/>
          <w:color w:val="000000" w:themeColor="text1"/>
          <w:sz w:val="24"/>
          <w:szCs w:val="24"/>
          <w:highlight w:val="none"/>
          <w14:textFill>
            <w14:solidFill>
              <w14:schemeClr w14:val="tx1"/>
            </w14:solidFill>
          </w14:textFill>
        </w:rPr>
        <w:t>于</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年</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月</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日，</w:t>
      </w:r>
      <w:r>
        <w:rPr>
          <w:rFonts w:hint="eastAsia" w:hAnsi="宋体"/>
          <w:bCs/>
          <w:color w:val="000000" w:themeColor="text1"/>
          <w:sz w:val="24"/>
          <w:szCs w:val="24"/>
          <w:highlight w:val="none"/>
          <w14:textFill>
            <w14:solidFill>
              <w14:schemeClr w14:val="tx1"/>
            </w14:solidFill>
          </w14:textFill>
        </w:rPr>
        <w:t xml:space="preserve">就质疑事项作出了答复/没有在法定期限内作出答复。                                                                                             </w:t>
      </w:r>
    </w:p>
    <w:p w14:paraId="176FB356">
      <w:pPr>
        <w:pStyle w:val="24"/>
        <w:spacing w:line="360" w:lineRule="auto"/>
        <w:ind w:left="25" w:firstLine="472"/>
        <w:rPr>
          <w:rFonts w:hint="eastAsia"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四、投诉事项具体内容</w:t>
      </w:r>
    </w:p>
    <w:p w14:paraId="1E9A9CC4">
      <w:pPr>
        <w:pStyle w:val="24"/>
        <w:spacing w:line="360" w:lineRule="auto"/>
        <w:ind w:left="25" w:firstLine="472"/>
        <w:rPr>
          <w:rFonts w:hint="eastAsia" w:hAnsi="宋体"/>
          <w:bCs/>
          <w:color w:val="000000" w:themeColor="text1"/>
          <w:sz w:val="24"/>
          <w:szCs w:val="24"/>
          <w:highlight w:val="none"/>
          <w:u w:val="singl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投诉事项1：</w:t>
      </w:r>
      <w:r>
        <w:rPr>
          <w:rFonts w:hint="eastAsia" w:hAnsi="宋体"/>
          <w:bCs/>
          <w:color w:val="000000" w:themeColor="text1"/>
          <w:sz w:val="24"/>
          <w:szCs w:val="24"/>
          <w:highlight w:val="none"/>
          <w:u w:val="single"/>
          <w14:textFill>
            <w14:solidFill>
              <w14:schemeClr w14:val="tx1"/>
            </w14:solidFill>
          </w14:textFill>
        </w:rPr>
        <w:t xml:space="preserve">                                                                           </w:t>
      </w:r>
    </w:p>
    <w:p w14:paraId="5F7D5821">
      <w:pPr>
        <w:pStyle w:val="24"/>
        <w:spacing w:line="360" w:lineRule="auto"/>
        <w:ind w:firstLine="480"/>
        <w:rPr>
          <w:rFonts w:hint="eastAsia"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事实依据：</w:t>
      </w:r>
      <w:r>
        <w:rPr>
          <w:rFonts w:hint="eastAsia" w:hAnsi="宋体"/>
          <w:color w:val="000000" w:themeColor="text1"/>
          <w:sz w:val="24"/>
          <w:szCs w:val="24"/>
          <w:highlight w:val="none"/>
          <w14:textFill>
            <w14:solidFill>
              <w14:schemeClr w14:val="tx1"/>
            </w14:solidFill>
          </w14:textFill>
        </w:rPr>
        <w:t xml:space="preserve"> </w:t>
      </w:r>
      <w:r>
        <w:rPr>
          <w:rFonts w:hint="eastAsia" w:hAnsi="宋体"/>
          <w:bCs/>
          <w:color w:val="000000" w:themeColor="text1"/>
          <w:sz w:val="24"/>
          <w:szCs w:val="24"/>
          <w:highlight w:val="none"/>
          <w:u w:val="single"/>
          <w14:textFill>
            <w14:solidFill>
              <w14:schemeClr w14:val="tx1"/>
            </w14:solidFill>
          </w14:textFill>
        </w:rPr>
        <w:t xml:space="preserve">                                                                                      </w:t>
      </w:r>
    </w:p>
    <w:p w14:paraId="29A11816">
      <w:pPr>
        <w:pStyle w:val="24"/>
        <w:spacing w:line="360" w:lineRule="auto"/>
        <w:ind w:left="25" w:firstLine="472"/>
        <w:rPr>
          <w:rFonts w:hint="eastAsia" w:hAnsi="宋体"/>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u w:val="single"/>
          <w14:textFill>
            <w14:solidFill>
              <w14:schemeClr w14:val="tx1"/>
            </w14:solidFill>
          </w14:textFill>
        </w:rPr>
        <w:t xml:space="preserve">                                                                                        </w:t>
      </w:r>
    </w:p>
    <w:p w14:paraId="08DD9C8A">
      <w:pPr>
        <w:pStyle w:val="24"/>
        <w:spacing w:line="360" w:lineRule="auto"/>
        <w:ind w:firstLine="480"/>
        <w:rPr>
          <w:rFonts w:hint="eastAsia"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法律依据：</w:t>
      </w:r>
      <w:r>
        <w:rPr>
          <w:rFonts w:hint="eastAsia" w:hAnsi="宋体"/>
          <w:color w:val="000000" w:themeColor="text1"/>
          <w:sz w:val="24"/>
          <w:szCs w:val="24"/>
          <w:highlight w:val="none"/>
          <w14:textFill>
            <w14:solidFill>
              <w14:schemeClr w14:val="tx1"/>
            </w14:solidFill>
          </w14:textFill>
        </w:rPr>
        <w:t xml:space="preserve"> </w:t>
      </w:r>
      <w:r>
        <w:rPr>
          <w:rFonts w:hint="eastAsia" w:hAnsi="宋体"/>
          <w:bCs/>
          <w:color w:val="000000" w:themeColor="text1"/>
          <w:sz w:val="24"/>
          <w:szCs w:val="24"/>
          <w:highlight w:val="none"/>
          <w:u w:val="single"/>
          <w14:textFill>
            <w14:solidFill>
              <w14:schemeClr w14:val="tx1"/>
            </w14:solidFill>
          </w14:textFill>
        </w:rPr>
        <w:t xml:space="preserve">                                                                                      </w:t>
      </w:r>
    </w:p>
    <w:p w14:paraId="4DC4645C">
      <w:pPr>
        <w:pStyle w:val="24"/>
        <w:spacing w:line="360" w:lineRule="auto"/>
        <w:ind w:left="25" w:firstLine="352"/>
        <w:rPr>
          <w:rFonts w:hint="eastAsia"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 xml:space="preserve"> </w:t>
      </w:r>
      <w:r>
        <w:rPr>
          <w:rFonts w:hint="eastAsia" w:hAnsi="宋体"/>
          <w:bCs/>
          <w:color w:val="000000" w:themeColor="text1"/>
          <w:sz w:val="24"/>
          <w:szCs w:val="24"/>
          <w:highlight w:val="none"/>
          <w:u w:val="single"/>
          <w14:textFill>
            <w14:solidFill>
              <w14:schemeClr w14:val="tx1"/>
            </w14:solidFill>
          </w14:textFill>
        </w:rPr>
        <w:t xml:space="preserve">                                                                                        </w:t>
      </w:r>
    </w:p>
    <w:p w14:paraId="2036B169">
      <w:pPr>
        <w:pStyle w:val="24"/>
        <w:spacing w:line="360" w:lineRule="auto"/>
        <w:ind w:left="25" w:firstLine="472"/>
        <w:rPr>
          <w:rFonts w:hint="eastAsia" w:hAnsi="宋体"/>
          <w:bCs/>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 xml:space="preserve">投诉事项2  </w:t>
      </w:r>
      <w:r>
        <w:rPr>
          <w:rFonts w:hint="eastAsia" w:hAnsi="宋体"/>
          <w:bCs/>
          <w:color w:val="000000" w:themeColor="text1"/>
          <w:sz w:val="24"/>
          <w:szCs w:val="24"/>
          <w:highlight w:val="none"/>
          <w14:textFill>
            <w14:solidFill>
              <w14:schemeClr w14:val="tx1"/>
            </w14:solidFill>
          </w14:textFill>
        </w:rPr>
        <w:t xml:space="preserve">   </w:t>
      </w:r>
    </w:p>
    <w:p w14:paraId="14762AD4">
      <w:pPr>
        <w:pStyle w:val="24"/>
        <w:spacing w:line="360" w:lineRule="auto"/>
        <w:ind w:left="25" w:firstLine="472"/>
        <w:rPr>
          <w:rFonts w:hint="eastAsia"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w:t>
      </w:r>
    </w:p>
    <w:p w14:paraId="671F4F6F">
      <w:pPr>
        <w:pStyle w:val="24"/>
        <w:spacing w:line="360" w:lineRule="auto"/>
        <w:ind w:left="25" w:firstLine="472"/>
        <w:rPr>
          <w:rFonts w:hint="eastAsia"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五、与投诉事项相关的投诉请求：</w:t>
      </w:r>
    </w:p>
    <w:p w14:paraId="48192FC7">
      <w:pPr>
        <w:pStyle w:val="24"/>
        <w:spacing w:line="360" w:lineRule="auto"/>
        <w:ind w:left="25" w:firstLine="472"/>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请求：</w:t>
      </w:r>
      <w:r>
        <w:rPr>
          <w:rFonts w:hint="eastAsia" w:hAnsi="宋体"/>
          <w:bCs/>
          <w:color w:val="000000" w:themeColor="text1"/>
          <w:sz w:val="24"/>
          <w:szCs w:val="24"/>
          <w:highlight w:val="none"/>
          <w:u w:val="single"/>
          <w14:textFill>
            <w14:solidFill>
              <w14:schemeClr w14:val="tx1"/>
            </w14:solidFill>
          </w14:textFill>
        </w:rPr>
        <w:t xml:space="preserve">                                                                                 </w:t>
      </w:r>
    </w:p>
    <w:p w14:paraId="4230D25C">
      <w:pPr>
        <w:pStyle w:val="24"/>
        <w:spacing w:line="360" w:lineRule="auto"/>
        <w:ind w:left="25" w:firstLine="352"/>
        <w:rPr>
          <w:rFonts w:hint="eastAsia" w:hAnsi="宋体"/>
          <w:color w:val="000000" w:themeColor="text1"/>
          <w:sz w:val="24"/>
          <w:szCs w:val="24"/>
          <w:highlight w:val="none"/>
          <w14:textFill>
            <w14:solidFill>
              <w14:schemeClr w14:val="tx1"/>
            </w14:solidFill>
          </w14:textFill>
        </w:rPr>
      </w:pPr>
    </w:p>
    <w:p w14:paraId="4C6824D9">
      <w:pPr>
        <w:pStyle w:val="24"/>
        <w:spacing w:line="360" w:lineRule="auto"/>
        <w:ind w:left="25" w:firstLine="472"/>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签字（签章）：                                       公章：</w:t>
      </w:r>
    </w:p>
    <w:p w14:paraId="30F2A630">
      <w:pPr>
        <w:pStyle w:val="24"/>
        <w:spacing w:line="360" w:lineRule="auto"/>
        <w:ind w:left="25" w:firstLine="352"/>
        <w:rPr>
          <w:rFonts w:hint="eastAsia" w:hAnsi="宋体"/>
          <w:color w:val="000000" w:themeColor="text1"/>
          <w:sz w:val="24"/>
          <w:szCs w:val="24"/>
          <w:highlight w:val="none"/>
          <w14:textFill>
            <w14:solidFill>
              <w14:schemeClr w14:val="tx1"/>
            </w14:solidFill>
          </w14:textFill>
        </w:rPr>
      </w:pPr>
    </w:p>
    <w:p w14:paraId="51D81741">
      <w:pPr>
        <w:pStyle w:val="24"/>
        <w:spacing w:line="360" w:lineRule="auto"/>
        <w:ind w:left="25" w:firstLine="472"/>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日期：</w:t>
      </w:r>
    </w:p>
    <w:p w14:paraId="0DC79058">
      <w:pPr>
        <w:pStyle w:val="24"/>
        <w:spacing w:line="360" w:lineRule="auto"/>
        <w:ind w:left="25" w:firstLine="472"/>
        <w:rPr>
          <w:rFonts w:hint="eastAsia" w:hAnsi="宋体"/>
          <w:b/>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 xml:space="preserve">                                                                                 </w:t>
      </w:r>
    </w:p>
    <w:p w14:paraId="6CDB3559">
      <w:pPr>
        <w:pStyle w:val="24"/>
        <w:spacing w:line="360" w:lineRule="auto"/>
        <w:rPr>
          <w:rFonts w:hint="eastAsia"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说明：</w:t>
      </w:r>
    </w:p>
    <w:p w14:paraId="7808C454">
      <w:pPr>
        <w:pStyle w:val="24"/>
        <w:spacing w:line="360" w:lineRule="auto"/>
        <w:ind w:left="25" w:firstLine="354"/>
        <w:rPr>
          <w:rFonts w:hint="eastAsia" w:hAnsi="宋体"/>
          <w:b/>
          <w:bCs/>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1.投诉人提起投诉时，应当提交投诉书和必要的证明材料，并按照被投诉人和与投诉事项有关的供应商数量提供投诉书副本</w:t>
      </w:r>
      <w:r>
        <w:rPr>
          <w:rFonts w:hint="eastAsia" w:hAnsi="宋体"/>
          <w:b/>
          <w:bCs/>
          <w:color w:val="000000" w:themeColor="text1"/>
          <w:sz w:val="24"/>
          <w:szCs w:val="24"/>
          <w:highlight w:val="none"/>
          <w14:textFill>
            <w14:solidFill>
              <w14:schemeClr w14:val="tx1"/>
            </w14:solidFill>
          </w14:textFill>
        </w:rPr>
        <w:t>。</w:t>
      </w:r>
    </w:p>
    <w:p w14:paraId="047C579E">
      <w:pPr>
        <w:pStyle w:val="24"/>
        <w:spacing w:line="360" w:lineRule="auto"/>
        <w:ind w:left="25" w:firstLine="354"/>
        <w:rPr>
          <w:rFonts w:hint="eastAsia"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762E1FDF">
      <w:pPr>
        <w:pStyle w:val="24"/>
        <w:spacing w:line="360" w:lineRule="auto"/>
        <w:ind w:left="25" w:firstLine="354"/>
        <w:rPr>
          <w:rFonts w:hint="eastAsia"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3.投诉书应简要列明质疑事项，质疑函、质疑答复等作为附件材料提供。</w:t>
      </w:r>
    </w:p>
    <w:p w14:paraId="4C38B375">
      <w:pPr>
        <w:pStyle w:val="24"/>
        <w:spacing w:line="360" w:lineRule="auto"/>
        <w:ind w:left="25" w:firstLine="354"/>
        <w:rPr>
          <w:rFonts w:hint="eastAsia"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4.投诉书的投诉事项应具体、明确，并有必要的事实依据和法律依据。</w:t>
      </w:r>
    </w:p>
    <w:p w14:paraId="7DD1C1DC">
      <w:pPr>
        <w:pStyle w:val="24"/>
        <w:spacing w:line="360" w:lineRule="auto"/>
        <w:ind w:left="25" w:firstLine="354"/>
        <w:rPr>
          <w:rFonts w:hint="eastAsia"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5.投诉书的投诉请求应与投诉事项相关。</w:t>
      </w:r>
    </w:p>
    <w:p w14:paraId="46405F62">
      <w:pPr>
        <w:pStyle w:val="24"/>
        <w:spacing w:line="360" w:lineRule="auto"/>
        <w:ind w:left="25" w:firstLine="354"/>
        <w:rPr>
          <w:rFonts w:hint="eastAsia" w:hAnsi="宋体"/>
          <w:b/>
          <w:color w:val="000000" w:themeColor="text1"/>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6.投诉人为法人或者其他组织的，投诉书应由法定代表人、主要负责人，或者其授权代表签字或者盖章，并加盖公章。</w:t>
      </w:r>
    </w:p>
    <w:p w14:paraId="705F528C">
      <w:pPr>
        <w:pStyle w:val="24"/>
        <w:spacing w:line="360" w:lineRule="auto"/>
        <w:ind w:left="25" w:firstLine="295"/>
        <w:rPr>
          <w:rFonts w:hint="eastAsia" w:hAnsi="宋体"/>
          <w:b/>
          <w:color w:val="000000" w:themeColor="text1"/>
          <w:highlight w:val="none"/>
          <w14:textFill>
            <w14:solidFill>
              <w14:schemeClr w14:val="tx1"/>
            </w14:solidFill>
          </w14:textFill>
        </w:rPr>
      </w:pPr>
    </w:p>
    <w:p w14:paraId="02D333F6">
      <w:pPr>
        <w:pStyle w:val="2"/>
        <w:jc w:val="center"/>
        <w:rPr>
          <w:color w:val="000000" w:themeColor="text1"/>
          <w:highlight w:val="none"/>
          <w14:textFill>
            <w14:solidFill>
              <w14:schemeClr w14:val="tx1"/>
            </w14:solidFill>
          </w14:textFill>
        </w:rPr>
      </w:pPr>
      <w:bookmarkStart w:id="164" w:name="_Toc74323461"/>
    </w:p>
    <w:p w14:paraId="7B7D1584">
      <w:pPr>
        <w:pStyle w:val="2"/>
        <w:rPr>
          <w:color w:val="000000" w:themeColor="text1"/>
          <w:highlight w:val="none"/>
          <w14:textFill>
            <w14:solidFill>
              <w14:schemeClr w14:val="tx1"/>
            </w14:solidFill>
          </w14:textFill>
        </w:rPr>
      </w:pPr>
    </w:p>
    <w:p w14:paraId="08AF6F28">
      <w:pPr>
        <w:pStyle w:val="2"/>
        <w:jc w:val="center"/>
        <w:rPr>
          <w:color w:val="000000" w:themeColor="text1"/>
          <w:highlight w:val="none"/>
          <w14:textFill>
            <w14:solidFill>
              <w14:schemeClr w14:val="tx1"/>
            </w14:solidFill>
          </w14:textFill>
        </w:rPr>
      </w:pPr>
    </w:p>
    <w:p w14:paraId="4D4801DC">
      <w:pPr>
        <w:pStyle w:val="2"/>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第七章合同文本</w:t>
      </w:r>
      <w:bookmarkEnd w:id="164"/>
    </w:p>
    <w:p w14:paraId="5E7C34D4">
      <w:pPr>
        <w:spacing w:line="520" w:lineRule="exact"/>
        <w:rPr>
          <w:rFonts w:hint="eastAsia" w:ascii="宋体" w:hAnsi="宋体" w:cs="Courier New"/>
          <w:b/>
          <w:color w:val="000000" w:themeColor="text1"/>
          <w:sz w:val="32"/>
          <w:szCs w:val="32"/>
          <w:highlight w:val="none"/>
          <w14:textFill>
            <w14:solidFill>
              <w14:schemeClr w14:val="tx1"/>
            </w14:solidFill>
          </w14:textFill>
        </w:rPr>
      </w:pPr>
    </w:p>
    <w:p w14:paraId="6ADFF14B">
      <w:pPr>
        <w:widowControl/>
        <w:jc w:val="center"/>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br w:type="page" w:clear="all"/>
      </w:r>
    </w:p>
    <w:p w14:paraId="0E2B8150">
      <w:pPr>
        <w:widowControl/>
        <w:jc w:val="center"/>
        <w:rPr>
          <w:rFonts w:ascii="宋体" w:hAnsi="宋体" w:cs="宋体"/>
          <w:color w:val="000000" w:themeColor="text1"/>
          <w:highlight w:val="none"/>
          <w14:textFill>
            <w14:solidFill>
              <w14:schemeClr w14:val="tx1"/>
            </w14:solidFill>
          </w14:textFill>
        </w:rPr>
      </w:pPr>
    </w:p>
    <w:p w14:paraId="33E374BF">
      <w:pPr>
        <w:widowControl/>
        <w:jc w:val="center"/>
        <w:rPr>
          <w:rFonts w:ascii="宋体" w:hAnsi="宋体" w:cs="宋体"/>
          <w:color w:val="000000" w:themeColor="text1"/>
          <w:highlight w:val="none"/>
          <w14:textFill>
            <w14:solidFill>
              <w14:schemeClr w14:val="tx1"/>
            </w14:solidFill>
          </w14:textFill>
        </w:rPr>
      </w:pPr>
    </w:p>
    <w:p w14:paraId="26817FF7">
      <w:pPr>
        <w:widowControl/>
        <w:jc w:val="center"/>
        <w:rPr>
          <w:rFonts w:ascii="宋体" w:hAnsi="宋体" w:cs="宋体"/>
          <w:color w:val="000000" w:themeColor="text1"/>
          <w:highlight w:val="none"/>
          <w14:textFill>
            <w14:solidFill>
              <w14:schemeClr w14:val="tx1"/>
            </w14:solidFill>
          </w14:textFill>
        </w:rPr>
      </w:pPr>
    </w:p>
    <w:p w14:paraId="62241E23">
      <w:pPr>
        <w:widowControl/>
        <w:jc w:val="center"/>
        <w:rPr>
          <w:rFonts w:ascii="宋体" w:hAnsi="宋体" w:cs="宋体"/>
          <w:color w:val="000000" w:themeColor="text1"/>
          <w:highlight w:val="none"/>
          <w14:textFill>
            <w14:solidFill>
              <w14:schemeClr w14:val="tx1"/>
            </w14:solidFill>
          </w14:textFill>
        </w:rPr>
      </w:pPr>
    </w:p>
    <w:p w14:paraId="51FC93B3">
      <w:pPr>
        <w:widowControl/>
        <w:jc w:val="center"/>
        <w:rPr>
          <w:rFonts w:ascii="宋体" w:hAnsi="宋体" w:cs="宋体"/>
          <w:color w:val="000000" w:themeColor="text1"/>
          <w:highlight w:val="none"/>
          <w14:textFill>
            <w14:solidFill>
              <w14:schemeClr w14:val="tx1"/>
            </w14:solidFill>
          </w14:textFill>
        </w:rPr>
      </w:pPr>
    </w:p>
    <w:p w14:paraId="0FD76AFC">
      <w:pPr>
        <w:widowControl/>
        <w:jc w:val="center"/>
        <w:rPr>
          <w:rFonts w:ascii="宋体" w:hAnsi="宋体" w:cs="宋体"/>
          <w:color w:val="000000" w:themeColor="text1"/>
          <w:highlight w:val="none"/>
          <w14:textFill>
            <w14:solidFill>
              <w14:schemeClr w14:val="tx1"/>
            </w14:solidFill>
          </w14:textFill>
        </w:rPr>
      </w:pPr>
    </w:p>
    <w:p w14:paraId="4AA8D445">
      <w:pPr>
        <w:widowControl/>
        <w:jc w:val="center"/>
        <w:rPr>
          <w:rFonts w:ascii="宋体" w:hAnsi="宋体" w:cs="宋体"/>
          <w:color w:val="000000" w:themeColor="text1"/>
          <w:highlight w:val="none"/>
          <w14:textFill>
            <w14:solidFill>
              <w14:schemeClr w14:val="tx1"/>
            </w14:solidFill>
          </w14:textFill>
        </w:rPr>
      </w:pPr>
    </w:p>
    <w:p w14:paraId="5645ABF7">
      <w:pPr>
        <w:widowControl/>
        <w:jc w:val="center"/>
        <w:rPr>
          <w:rFonts w:ascii="宋体" w:hAnsi="宋体" w:cs="宋体"/>
          <w:color w:val="000000" w:themeColor="text1"/>
          <w:highlight w:val="none"/>
          <w14:textFill>
            <w14:solidFill>
              <w14:schemeClr w14:val="tx1"/>
            </w14:solidFill>
          </w14:textFill>
        </w:rPr>
      </w:pPr>
    </w:p>
    <w:p w14:paraId="6B83A59F">
      <w:pPr>
        <w:widowControl/>
        <w:jc w:val="center"/>
        <w:rPr>
          <w:rFonts w:ascii="宋体" w:hAnsi="宋体" w:cs="宋体"/>
          <w:color w:val="000000" w:themeColor="text1"/>
          <w:highlight w:val="none"/>
          <w14:textFill>
            <w14:solidFill>
              <w14:schemeClr w14:val="tx1"/>
            </w14:solidFill>
          </w14:textFill>
        </w:rPr>
      </w:pPr>
    </w:p>
    <w:p w14:paraId="1D3B1844">
      <w:pPr>
        <w:widowControl/>
        <w:jc w:val="center"/>
        <w:rPr>
          <w:rFonts w:ascii="宋体" w:hAnsi="宋体" w:cs="宋体"/>
          <w:color w:val="000000" w:themeColor="text1"/>
          <w:highlight w:val="none"/>
          <w14:textFill>
            <w14:solidFill>
              <w14:schemeClr w14:val="tx1"/>
            </w14:solidFill>
          </w14:textFill>
        </w:rPr>
      </w:pPr>
    </w:p>
    <w:p w14:paraId="01D0D91B">
      <w:pPr>
        <w:widowControl/>
        <w:jc w:val="center"/>
        <w:rPr>
          <w:rFonts w:ascii="宋体" w:hAnsi="宋体" w:cs="宋体"/>
          <w:color w:val="000000" w:themeColor="text1"/>
          <w:highlight w:val="none"/>
          <w14:textFill>
            <w14:solidFill>
              <w14:schemeClr w14:val="tx1"/>
            </w14:solidFill>
          </w14:textFill>
        </w:rPr>
      </w:pPr>
    </w:p>
    <w:p w14:paraId="3089B26C">
      <w:pPr>
        <w:widowControl/>
        <w:jc w:val="center"/>
        <w:rPr>
          <w:rFonts w:ascii="宋体" w:hAnsi="宋体" w:cs="宋体"/>
          <w:color w:val="000000" w:themeColor="text1"/>
          <w:highlight w:val="none"/>
          <w14:textFill>
            <w14:solidFill>
              <w14:schemeClr w14:val="tx1"/>
            </w14:solidFill>
          </w14:textFill>
        </w:rPr>
      </w:pPr>
    </w:p>
    <w:p w14:paraId="33744990">
      <w:pPr>
        <w:widowControl/>
        <w:jc w:val="center"/>
        <w:rPr>
          <w:rFonts w:ascii="宋体" w:hAnsi="宋体" w:cs="宋体"/>
          <w:color w:val="000000" w:themeColor="text1"/>
          <w:highlight w:val="none"/>
          <w14:textFill>
            <w14:solidFill>
              <w14:schemeClr w14:val="tx1"/>
            </w14:solidFill>
          </w14:textFill>
        </w:rPr>
      </w:pPr>
    </w:p>
    <w:p w14:paraId="4728F386">
      <w:pPr>
        <w:widowControl/>
        <w:jc w:val="center"/>
        <w:rPr>
          <w:rFonts w:ascii="宋体" w:hAnsi="宋体" w:cs="宋体"/>
          <w:color w:val="000000" w:themeColor="text1"/>
          <w:highlight w:val="none"/>
          <w14:textFill>
            <w14:solidFill>
              <w14:schemeClr w14:val="tx1"/>
            </w14:solidFill>
          </w14:textFill>
        </w:rPr>
      </w:pPr>
    </w:p>
    <w:p w14:paraId="250E44A0">
      <w:pPr>
        <w:widowControl/>
        <w:jc w:val="center"/>
        <w:rPr>
          <w:rFonts w:ascii="宋体" w:hAnsi="宋体" w:cs="宋体"/>
          <w:color w:val="000000" w:themeColor="text1"/>
          <w:highlight w:val="none"/>
          <w14:textFill>
            <w14:solidFill>
              <w14:schemeClr w14:val="tx1"/>
            </w14:solidFill>
          </w14:textFill>
        </w:rPr>
      </w:pPr>
    </w:p>
    <w:p w14:paraId="1E97E0EA">
      <w:pPr>
        <w:widowControl/>
        <w:jc w:val="center"/>
        <w:rPr>
          <w:rFonts w:ascii="宋体" w:hAnsi="宋体" w:cs="宋体"/>
          <w:color w:val="000000" w:themeColor="text1"/>
          <w:highlight w:val="none"/>
          <w14:textFill>
            <w14:solidFill>
              <w14:schemeClr w14:val="tx1"/>
            </w14:solidFill>
          </w14:textFill>
        </w:rPr>
      </w:pPr>
    </w:p>
    <w:p w14:paraId="6FE65CB2">
      <w:pPr>
        <w:widowControl/>
        <w:jc w:val="center"/>
        <w:rPr>
          <w:rFonts w:ascii="宋体" w:hAnsi="宋体" w:cs="宋体"/>
          <w:color w:val="000000" w:themeColor="text1"/>
          <w:highlight w:val="none"/>
          <w14:textFill>
            <w14:solidFill>
              <w14:schemeClr w14:val="tx1"/>
            </w14:solidFill>
          </w14:textFill>
        </w:rPr>
      </w:pPr>
    </w:p>
    <w:p w14:paraId="45ADAF6A">
      <w:pPr>
        <w:widowControl/>
        <w:jc w:val="center"/>
        <w:rPr>
          <w:rFonts w:ascii="宋体" w:hAnsi="宋体" w:cs="宋体"/>
          <w:color w:val="000000" w:themeColor="text1"/>
          <w:highlight w:val="none"/>
          <w14:textFill>
            <w14:solidFill>
              <w14:schemeClr w14:val="tx1"/>
            </w14:solidFill>
          </w14:textFill>
        </w:rPr>
      </w:pPr>
    </w:p>
    <w:p w14:paraId="0A017DD9">
      <w:pPr>
        <w:widowControl/>
        <w:jc w:val="center"/>
        <w:rPr>
          <w:rFonts w:ascii="宋体" w:hAnsi="宋体" w:cs="宋体"/>
          <w:color w:val="000000" w:themeColor="text1"/>
          <w:highlight w:val="none"/>
          <w14:textFill>
            <w14:solidFill>
              <w14:schemeClr w14:val="tx1"/>
            </w14:solidFill>
          </w14:textFill>
        </w:rPr>
      </w:pPr>
    </w:p>
    <w:p w14:paraId="26E1F00D">
      <w:pPr>
        <w:widowControl/>
        <w:jc w:val="center"/>
        <w:rPr>
          <w:rFonts w:ascii="宋体" w:hAnsi="宋体" w:cs="宋体"/>
          <w:color w:val="000000" w:themeColor="text1"/>
          <w:highlight w:val="none"/>
          <w14:textFill>
            <w14:solidFill>
              <w14:schemeClr w14:val="tx1"/>
            </w14:solidFill>
          </w14:textFill>
        </w:rPr>
      </w:pPr>
    </w:p>
    <w:p w14:paraId="1211C48C">
      <w:pPr>
        <w:widowControl/>
        <w:jc w:val="center"/>
        <w:rPr>
          <w:rFonts w:hint="eastAsia" w:ascii="宋体" w:hAnsi="宋体" w:cs="宋体"/>
          <w:b/>
          <w:color w:val="000000" w:themeColor="text1"/>
          <w:sz w:val="44"/>
          <w:szCs w:val="44"/>
          <w:highlight w:val="none"/>
          <w14:textFill>
            <w14:solidFill>
              <w14:schemeClr w14:val="tx1"/>
            </w14:solidFill>
          </w14:textFill>
        </w:rPr>
      </w:pPr>
      <w:r>
        <w:rPr>
          <w:rFonts w:hint="eastAsia" w:ascii="宋体" w:hAnsi="宋体" w:cs="宋体"/>
          <w:b/>
          <w:color w:val="000000" w:themeColor="text1"/>
          <w:sz w:val="44"/>
          <w:szCs w:val="44"/>
          <w:highlight w:val="none"/>
          <w14:textFill>
            <w14:solidFill>
              <w14:schemeClr w14:val="tx1"/>
            </w14:solidFill>
          </w14:textFill>
        </w:rPr>
        <w:t>一、建设工程施工合同</w:t>
      </w:r>
    </w:p>
    <w:p w14:paraId="02AC0825">
      <w:pPr>
        <w:pStyle w:val="2"/>
        <w:jc w:val="center"/>
        <w:rPr>
          <w:color w:val="000000" w:themeColor="text1"/>
          <w:highlight w:val="none"/>
          <w14:textFill>
            <w14:solidFill>
              <w14:schemeClr w14:val="tx1"/>
            </w14:solidFill>
          </w14:textFill>
        </w:rPr>
      </w:pPr>
      <w:bookmarkStart w:id="165" w:name="_Toc373478199"/>
      <w:bookmarkStart w:id="166" w:name="_Toc724920571"/>
      <w:bookmarkStart w:id="167" w:name="_Toc351203480"/>
      <w:bookmarkStart w:id="168" w:name="_Toc373227552"/>
      <w:bookmarkStart w:id="169" w:name="_Toc407135191"/>
      <w:bookmarkStart w:id="170" w:name="_Toc296890982"/>
      <w:bookmarkStart w:id="171" w:name="_Toc389065255"/>
      <w:bookmarkStart w:id="172" w:name="_Toc1756478213"/>
      <w:bookmarkStart w:id="173" w:name="_Toc78449777"/>
      <w:bookmarkStart w:id="174" w:name="_Toc296503025"/>
      <w:r>
        <w:rPr>
          <w:rFonts w:cs="黑体"/>
          <w:color w:val="000000" w:themeColor="text1"/>
          <w:highlight w:val="none"/>
          <w14:textFill>
            <w14:solidFill>
              <w14:schemeClr w14:val="tx1"/>
            </w14:solidFill>
          </w14:textFill>
        </w:rPr>
        <w:br w:type="page" w:clear="all"/>
      </w:r>
      <w:bookmarkStart w:id="175" w:name="_Toc122424019"/>
      <w:bookmarkStart w:id="176" w:name="_Toc122424268"/>
      <w:r>
        <w:rPr>
          <w:rFonts w:hint="eastAsia" w:cs="黑体"/>
          <w:color w:val="000000" w:themeColor="text1"/>
          <w:highlight w:val="none"/>
          <w14:textFill>
            <w14:solidFill>
              <w14:schemeClr w14:val="tx1"/>
            </w14:solidFill>
          </w14:textFill>
        </w:rPr>
        <w:t>第一部分</w:t>
      </w:r>
      <w:r>
        <w:rPr>
          <w:color w:val="000000" w:themeColor="text1"/>
          <w:highlight w:val="none"/>
          <w14:textFill>
            <w14:solidFill>
              <w14:schemeClr w14:val="tx1"/>
            </w14:solidFill>
          </w14:textFill>
        </w:rPr>
        <w:t xml:space="preserve"> </w:t>
      </w:r>
      <w:r>
        <w:rPr>
          <w:rFonts w:hint="eastAsia" w:cs="黑体"/>
          <w:color w:val="000000" w:themeColor="text1"/>
          <w:highlight w:val="none"/>
          <w14:textFill>
            <w14:solidFill>
              <w14:schemeClr w14:val="tx1"/>
            </w14:solidFill>
          </w14:textFill>
        </w:rPr>
        <w:t>合同协议书</w:t>
      </w:r>
      <w:bookmarkEnd w:id="165"/>
      <w:bookmarkEnd w:id="166"/>
      <w:bookmarkEnd w:id="167"/>
      <w:bookmarkEnd w:id="168"/>
      <w:bookmarkEnd w:id="169"/>
      <w:bookmarkEnd w:id="170"/>
      <w:bookmarkEnd w:id="171"/>
      <w:bookmarkEnd w:id="172"/>
      <w:bookmarkEnd w:id="173"/>
      <w:bookmarkEnd w:id="174"/>
      <w:bookmarkEnd w:id="175"/>
      <w:bookmarkEnd w:id="176"/>
    </w:p>
    <w:p w14:paraId="5B56C4F7">
      <w:pPr>
        <w:spacing w:line="360" w:lineRule="auto"/>
        <w:rPr>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发包人（全称）：</w:t>
      </w:r>
      <w:r>
        <w:rPr>
          <w:rFonts w:hAnsi="宋体"/>
          <w:color w:val="000000" w:themeColor="text1"/>
          <w:highlight w:val="none"/>
          <w:u w:val="single"/>
          <w14:textFill>
            <w14:solidFill>
              <w14:schemeClr w14:val="tx1"/>
            </w14:solidFill>
          </w14:textFill>
        </w:rPr>
        <w:t xml:space="preserve">                              </w:t>
      </w:r>
    </w:p>
    <w:p w14:paraId="4F3A9B85">
      <w:pPr>
        <w:spacing w:line="360" w:lineRule="auto"/>
        <w:rPr>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承包人（全称）：</w:t>
      </w:r>
      <w:r>
        <w:rPr>
          <w:rFonts w:hAnsi="宋体"/>
          <w:color w:val="000000" w:themeColor="text1"/>
          <w:highlight w:val="none"/>
          <w:u w:val="single"/>
          <w14:textFill>
            <w14:solidFill>
              <w14:schemeClr w14:val="tx1"/>
            </w14:solidFill>
          </w14:textFill>
        </w:rPr>
        <w:t xml:space="preserve">                              </w:t>
      </w:r>
    </w:p>
    <w:p w14:paraId="1908CD0C">
      <w:pPr>
        <w:spacing w:line="360" w:lineRule="auto"/>
        <w:ind w:firstLine="420"/>
        <w:rPr>
          <w:rFonts w:hAnsi="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根据《中华人民共和国民法典》、《中华人民共和国建筑法》及有关法律规定，遵循平等、自愿、公平和诚实信用的原则，双方就</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lang w:val="en-US" w:eastAsia="zh-CN"/>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施工及有关事项协商一致，共同达成如下协议：</w:t>
      </w:r>
      <w:bookmarkStart w:id="177" w:name="_Toc351203481"/>
    </w:p>
    <w:p w14:paraId="53E3F9F1">
      <w:pPr>
        <w:spacing w:line="360" w:lineRule="auto"/>
        <w:ind w:firstLine="422"/>
        <w:outlineLvl w:val="0"/>
        <w:rPr>
          <w:b/>
          <w:bCs/>
          <w:color w:val="000000" w:themeColor="text1"/>
          <w:highlight w:val="none"/>
          <w14:textFill>
            <w14:solidFill>
              <w14:schemeClr w14:val="tx1"/>
            </w14:solidFill>
          </w14:textFill>
        </w:rPr>
      </w:pPr>
      <w:bookmarkStart w:id="178" w:name="_Toc122424020"/>
      <w:bookmarkStart w:id="179" w:name="_Toc122424269"/>
      <w:r>
        <w:rPr>
          <w:rFonts w:hint="eastAsia" w:hAnsi="宋体" w:cs="宋体"/>
          <w:b/>
          <w:bCs/>
          <w:color w:val="000000" w:themeColor="text1"/>
          <w:highlight w:val="none"/>
          <w14:textFill>
            <w14:solidFill>
              <w14:schemeClr w14:val="tx1"/>
            </w14:solidFill>
          </w14:textFill>
        </w:rPr>
        <w:t>一、工程概况</w:t>
      </w:r>
      <w:bookmarkEnd w:id="177"/>
      <w:bookmarkEnd w:id="178"/>
      <w:bookmarkEnd w:id="179"/>
    </w:p>
    <w:p w14:paraId="0695929B">
      <w:pPr>
        <w:spacing w:line="360" w:lineRule="auto"/>
        <w:ind w:firstLine="411"/>
        <w:rPr>
          <w:color w:val="000000" w:themeColor="text1"/>
          <w:highlight w:val="none"/>
          <w:u w:val="single"/>
          <w14:textFill>
            <w14:solidFill>
              <w14:schemeClr w14:val="tx1"/>
            </w14:solidFill>
          </w14:textFill>
        </w:rPr>
      </w:pPr>
      <w:r>
        <w:rPr>
          <w:color w:val="000000" w:themeColor="text1"/>
          <w:highlight w:val="none"/>
          <w14:textFill>
            <w14:solidFill>
              <w14:schemeClr w14:val="tx1"/>
            </w14:solidFill>
          </w14:textFill>
        </w:rPr>
        <w:t xml:space="preserve">1. </w:t>
      </w:r>
      <w:r>
        <w:rPr>
          <w:rFonts w:hint="eastAsia" w:hAnsi="宋体" w:cs="宋体"/>
          <w:color w:val="000000" w:themeColor="text1"/>
          <w:highlight w:val="none"/>
          <w14:textFill>
            <w14:solidFill>
              <w14:schemeClr w14:val="tx1"/>
            </w14:solidFill>
          </w14:textFill>
        </w:rPr>
        <w:t>工程名称：</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w:t>
      </w:r>
    </w:p>
    <w:p w14:paraId="3CDBBB32">
      <w:pPr>
        <w:spacing w:line="360" w:lineRule="auto"/>
        <w:ind w:firstLine="411"/>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2. </w:t>
      </w:r>
      <w:r>
        <w:rPr>
          <w:rFonts w:hint="eastAsia" w:hAnsi="宋体" w:cs="宋体"/>
          <w:color w:val="000000" w:themeColor="text1"/>
          <w:highlight w:val="none"/>
          <w14:textFill>
            <w14:solidFill>
              <w14:schemeClr w14:val="tx1"/>
            </w14:solidFill>
          </w14:textFill>
        </w:rPr>
        <w:t>工程地点：</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w:t>
      </w:r>
    </w:p>
    <w:p w14:paraId="3E2DD17E">
      <w:pPr>
        <w:spacing w:line="360" w:lineRule="auto"/>
        <w:ind w:firstLine="411"/>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3. </w:t>
      </w:r>
      <w:r>
        <w:rPr>
          <w:rFonts w:hint="eastAsia" w:hAnsi="宋体" w:cs="宋体"/>
          <w:color w:val="000000" w:themeColor="text1"/>
          <w:highlight w:val="none"/>
          <w14:textFill>
            <w14:solidFill>
              <w14:schemeClr w14:val="tx1"/>
            </w14:solidFill>
          </w14:textFill>
        </w:rPr>
        <w:t>工程立项批准文号：</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w:t>
      </w:r>
    </w:p>
    <w:p w14:paraId="08CDA77A">
      <w:pPr>
        <w:spacing w:line="360" w:lineRule="auto"/>
        <w:ind w:firstLine="411"/>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4. </w:t>
      </w:r>
      <w:r>
        <w:rPr>
          <w:rFonts w:hint="eastAsia" w:hAnsi="宋体" w:cs="宋体"/>
          <w:color w:val="000000" w:themeColor="text1"/>
          <w:highlight w:val="none"/>
          <w14:textFill>
            <w14:solidFill>
              <w14:schemeClr w14:val="tx1"/>
            </w14:solidFill>
          </w14:textFill>
        </w:rPr>
        <w:t>资金来源：</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u w:val="single"/>
          <w:lang w:val="en-US" w:eastAsia="zh-CN"/>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w:t>
      </w:r>
    </w:p>
    <w:p w14:paraId="28180376">
      <w:pPr>
        <w:spacing w:line="360" w:lineRule="auto"/>
        <w:ind w:firstLine="411"/>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5. </w:t>
      </w:r>
      <w:r>
        <w:rPr>
          <w:rFonts w:hint="eastAsia" w:hAnsi="宋体" w:cs="宋体"/>
          <w:color w:val="000000" w:themeColor="text1"/>
          <w:highlight w:val="none"/>
          <w14:textFill>
            <w14:solidFill>
              <w14:schemeClr w14:val="tx1"/>
            </w14:solidFill>
          </w14:textFill>
        </w:rPr>
        <w:t>工程内容：</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w:t>
      </w:r>
    </w:p>
    <w:p w14:paraId="4AF1A876">
      <w:pPr>
        <w:spacing w:line="360" w:lineRule="auto"/>
        <w:ind w:firstLine="411"/>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6. </w:t>
      </w:r>
      <w:r>
        <w:rPr>
          <w:rFonts w:hint="eastAsia" w:hAnsi="宋体" w:cs="宋体"/>
          <w:color w:val="000000" w:themeColor="text1"/>
          <w:highlight w:val="none"/>
          <w14:textFill>
            <w14:solidFill>
              <w14:schemeClr w14:val="tx1"/>
            </w14:solidFill>
          </w14:textFill>
        </w:rPr>
        <w:t>工程承包范围：</w:t>
      </w:r>
    </w:p>
    <w:p w14:paraId="425AD299">
      <w:pPr>
        <w:spacing w:line="360" w:lineRule="auto"/>
        <w:ind w:firstLine="405"/>
        <w:rPr>
          <w:rFonts w:hAnsi="宋体"/>
          <w:color w:val="000000" w:themeColor="text1"/>
          <w:highlight w:val="none"/>
          <w14:textFill>
            <w14:solidFill>
              <w14:schemeClr w14:val="tx1"/>
            </w14:solidFill>
          </w14:textFill>
        </w:rPr>
      </w:pP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w:t>
      </w:r>
    </w:p>
    <w:p w14:paraId="0F899E2E">
      <w:pPr>
        <w:spacing w:line="360" w:lineRule="auto"/>
        <w:ind w:firstLine="407"/>
        <w:outlineLvl w:val="0"/>
        <w:rPr>
          <w:b/>
          <w:bCs/>
          <w:color w:val="000000" w:themeColor="text1"/>
          <w:highlight w:val="none"/>
          <w14:textFill>
            <w14:solidFill>
              <w14:schemeClr w14:val="tx1"/>
            </w14:solidFill>
          </w14:textFill>
        </w:rPr>
      </w:pPr>
      <w:bookmarkStart w:id="180" w:name="_Toc122424021"/>
      <w:bookmarkStart w:id="181" w:name="_Toc122424270"/>
      <w:bookmarkStart w:id="182" w:name="_Toc351203482"/>
      <w:r>
        <w:rPr>
          <w:rFonts w:hint="eastAsia" w:hAnsi="宋体" w:cs="宋体"/>
          <w:b/>
          <w:bCs/>
          <w:color w:val="000000" w:themeColor="text1"/>
          <w:highlight w:val="none"/>
          <w14:textFill>
            <w14:solidFill>
              <w14:schemeClr w14:val="tx1"/>
            </w14:solidFill>
          </w14:textFill>
        </w:rPr>
        <w:t>二、合同工期</w:t>
      </w:r>
      <w:bookmarkEnd w:id="180"/>
      <w:bookmarkEnd w:id="181"/>
      <w:bookmarkEnd w:id="182"/>
    </w:p>
    <w:p w14:paraId="23AE4DB7">
      <w:pPr>
        <w:spacing w:line="360" w:lineRule="auto"/>
        <w:ind w:firstLine="459"/>
        <w:rPr>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计划开工日期：</w:t>
      </w:r>
      <w:r>
        <w:rPr>
          <w:rFonts w:hAnsi="宋体"/>
          <w:color w:val="000000" w:themeColor="text1"/>
          <w:highlight w:val="none"/>
          <w:u w:val="single"/>
          <w14:textFill>
            <w14:solidFill>
              <w14:schemeClr w14:val="tx1"/>
            </w14:solidFill>
          </w14:textFill>
        </w:rPr>
        <w:t></w:t>
      </w:r>
      <w:r>
        <w:rPr>
          <w:rFonts w:hAnsi="宋体"/>
          <w:color w:val="000000" w:themeColor="text1"/>
          <w:highlight w:val="none"/>
          <w14:textFill>
            <w14:solidFill>
              <w14:schemeClr w14:val="tx1"/>
            </w14:solidFill>
          </w14:textFill>
        </w:rPr>
        <w:t>年</w:t>
      </w:r>
      <w:r>
        <w:rPr>
          <w:rFonts w:hAnsi="宋体"/>
          <w:color w:val="000000" w:themeColor="text1"/>
          <w:highlight w:val="none"/>
          <w:u w:val="single"/>
          <w14:textFill>
            <w14:solidFill>
              <w14:schemeClr w14:val="tx1"/>
            </w14:solidFill>
          </w14:textFill>
        </w:rPr>
        <w:t></w:t>
      </w:r>
      <w:r>
        <w:rPr>
          <w:rFonts w:hAnsi="宋体"/>
          <w:color w:val="000000" w:themeColor="text1"/>
          <w:highlight w:val="none"/>
          <w14:textFill>
            <w14:solidFill>
              <w14:schemeClr w14:val="tx1"/>
            </w14:solidFill>
          </w14:textFill>
        </w:rPr>
        <w:t>月</w:t>
      </w:r>
      <w:r>
        <w:rPr>
          <w:rFonts w:hAnsi="宋体"/>
          <w:color w:val="000000" w:themeColor="text1"/>
          <w:highlight w:val="none"/>
          <w:u w:val="single"/>
          <w14:textFill>
            <w14:solidFill>
              <w14:schemeClr w14:val="tx1"/>
            </w14:solidFill>
          </w14:textFill>
        </w:rPr>
        <w:t></w:t>
      </w:r>
      <w:r>
        <w:rPr>
          <w:rFonts w:hAnsi="宋体"/>
          <w:color w:val="000000" w:themeColor="text1"/>
          <w:highlight w:val="none"/>
          <w14:textFill>
            <w14:solidFill>
              <w14:schemeClr w14:val="tx1"/>
            </w14:solidFill>
          </w14:textFill>
        </w:rPr>
        <w:t>日。</w:t>
      </w:r>
      <w:r>
        <w:rPr>
          <w:rFonts w:hint="eastAsia" w:hAnsi="宋体" w:cs="宋体"/>
          <w:color w:val="000000" w:themeColor="text1"/>
          <w:highlight w:val="none"/>
          <w14:textFill>
            <w14:solidFill>
              <w14:schemeClr w14:val="tx1"/>
            </w14:solidFill>
          </w14:textFill>
        </w:rPr>
        <w:t>（具体以发包人书面通知为准）</w:t>
      </w:r>
    </w:p>
    <w:p w14:paraId="01437EF4">
      <w:pPr>
        <w:spacing w:line="360" w:lineRule="auto"/>
        <w:ind w:firstLine="459"/>
        <w:rPr>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计划竣工日期：</w:t>
      </w:r>
      <w:r>
        <w:rPr>
          <w:rFonts w:hAnsi="宋体"/>
          <w:color w:val="000000" w:themeColor="text1"/>
          <w:highlight w:val="none"/>
          <w:u w:val="single"/>
          <w14:textFill>
            <w14:solidFill>
              <w14:schemeClr w14:val="tx1"/>
            </w14:solidFill>
          </w14:textFill>
        </w:rPr>
        <w:t></w:t>
      </w:r>
      <w:r>
        <w:rPr>
          <w:rFonts w:hAnsi="宋体"/>
          <w:color w:val="000000" w:themeColor="text1"/>
          <w:highlight w:val="none"/>
          <w14:textFill>
            <w14:solidFill>
              <w14:schemeClr w14:val="tx1"/>
            </w14:solidFill>
          </w14:textFill>
        </w:rPr>
        <w:t>年</w:t>
      </w:r>
      <w:r>
        <w:rPr>
          <w:rFonts w:hAnsi="宋体"/>
          <w:color w:val="000000" w:themeColor="text1"/>
          <w:highlight w:val="none"/>
          <w:u w:val="single"/>
          <w14:textFill>
            <w14:solidFill>
              <w14:schemeClr w14:val="tx1"/>
            </w14:solidFill>
          </w14:textFill>
        </w:rPr>
        <w:t></w:t>
      </w:r>
      <w:r>
        <w:rPr>
          <w:rFonts w:hAnsi="宋体"/>
          <w:color w:val="000000" w:themeColor="text1"/>
          <w:highlight w:val="none"/>
          <w14:textFill>
            <w14:solidFill>
              <w14:schemeClr w14:val="tx1"/>
            </w14:solidFill>
          </w14:textFill>
        </w:rPr>
        <w:t>月</w:t>
      </w:r>
      <w:r>
        <w:rPr>
          <w:rFonts w:hAnsi="宋体"/>
          <w:color w:val="000000" w:themeColor="text1"/>
          <w:highlight w:val="none"/>
          <w:u w:val="single"/>
          <w14:textFill>
            <w14:solidFill>
              <w14:schemeClr w14:val="tx1"/>
            </w14:solidFill>
          </w14:textFill>
        </w:rPr>
        <w:t></w:t>
      </w:r>
      <w:r>
        <w:rPr>
          <w:rFonts w:hAnsi="宋体"/>
          <w:color w:val="000000" w:themeColor="text1"/>
          <w:highlight w:val="none"/>
          <w14:textFill>
            <w14:solidFill>
              <w14:schemeClr w14:val="tx1"/>
            </w14:solidFill>
          </w14:textFill>
        </w:rPr>
        <w:t>日</w:t>
      </w:r>
      <w:r>
        <w:rPr>
          <w:rFonts w:hint="eastAsia" w:hAnsi="宋体" w:cs="宋体"/>
          <w:color w:val="000000" w:themeColor="text1"/>
          <w:highlight w:val="none"/>
          <w14:textFill>
            <w14:solidFill>
              <w14:schemeClr w14:val="tx1"/>
            </w14:solidFill>
          </w14:textFill>
        </w:rPr>
        <w:t>。</w:t>
      </w:r>
    </w:p>
    <w:p w14:paraId="73DC1076">
      <w:pPr>
        <w:spacing w:line="360" w:lineRule="auto"/>
        <w:ind w:firstLine="459"/>
        <w:rPr>
          <w:rFonts w:hAnsi="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工期总日历天数：</w:t>
      </w:r>
      <w:r>
        <w:rPr>
          <w:rFonts w:hint="eastAsia" w:hAnsi="宋体" w:cs="宋体"/>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u w:val="single"/>
          <w:lang w:val="en-US" w:eastAsia="zh-CN"/>
          <w14:textFill>
            <w14:solidFill>
              <w14:schemeClr w14:val="tx1"/>
            </w14:solidFill>
          </w14:textFill>
        </w:rPr>
        <w:t xml:space="preserve"> </w:t>
      </w:r>
      <w:r>
        <w:rPr>
          <w:rFonts w:hint="eastAsia" w:hAnsi="宋体" w:cs="宋体"/>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天。工期总日历天数与根据前述计划开竣工日期计算的工期天数不一致的，以工期总日历天数为准。</w:t>
      </w:r>
    </w:p>
    <w:p w14:paraId="1FDE737A">
      <w:pPr>
        <w:spacing w:line="360" w:lineRule="auto"/>
        <w:ind w:firstLine="459"/>
        <w:outlineLvl w:val="0"/>
        <w:rPr>
          <w:b/>
          <w:bCs/>
          <w:color w:val="000000" w:themeColor="text1"/>
          <w:highlight w:val="none"/>
          <w14:textFill>
            <w14:solidFill>
              <w14:schemeClr w14:val="tx1"/>
            </w14:solidFill>
          </w14:textFill>
        </w:rPr>
      </w:pPr>
      <w:bookmarkStart w:id="183" w:name="_Toc122424022"/>
      <w:bookmarkStart w:id="184" w:name="_Toc351203483"/>
      <w:bookmarkStart w:id="185" w:name="_Toc122424271"/>
      <w:r>
        <w:rPr>
          <w:rFonts w:hint="eastAsia" w:hAnsi="宋体" w:cs="宋体"/>
          <w:b/>
          <w:bCs/>
          <w:color w:val="000000" w:themeColor="text1"/>
          <w:highlight w:val="none"/>
          <w14:textFill>
            <w14:solidFill>
              <w14:schemeClr w14:val="tx1"/>
            </w14:solidFill>
          </w14:textFill>
        </w:rPr>
        <w:t>三、质量标准</w:t>
      </w:r>
      <w:bookmarkEnd w:id="183"/>
      <w:bookmarkEnd w:id="184"/>
      <w:bookmarkEnd w:id="185"/>
    </w:p>
    <w:p w14:paraId="042FB6DA">
      <w:pPr>
        <w:spacing w:line="360" w:lineRule="auto"/>
        <w:ind w:firstLine="459"/>
        <w:rPr>
          <w:rFonts w:hAnsi="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工程质量符合</w:t>
      </w:r>
      <w:r>
        <w:rPr>
          <w:rFonts w:eastAsia="仿宋_GB2312"/>
          <w:color w:val="000000" w:themeColor="text1"/>
          <w:highlight w:val="none"/>
          <w:u w:val="single"/>
          <w14:textFill>
            <w14:solidFill>
              <w14:schemeClr w14:val="tx1"/>
            </w14:solidFill>
          </w14:textFill>
        </w:rPr>
        <w:t></w:t>
      </w:r>
      <w:r>
        <w:rPr>
          <w:rFonts w:hint="eastAsia" w:eastAsia="仿宋_GB2312"/>
          <w:color w:val="000000" w:themeColor="text1"/>
          <w:highlight w:val="none"/>
          <w:u w:val="single"/>
          <w14:textFill>
            <w14:solidFill>
              <w14:schemeClr w14:val="tx1"/>
            </w14:solidFill>
          </w14:textFill>
        </w:rPr>
        <w:t xml:space="preserve">           </w:t>
      </w:r>
      <w:r>
        <w:rPr>
          <w:rFonts w:eastAsia="仿宋_GB2312"/>
          <w:color w:val="000000" w:themeColor="text1"/>
          <w:highlight w:val="none"/>
          <w:u w:val="single"/>
          <w14:textFill>
            <w14:solidFill>
              <w14:schemeClr w14:val="tx1"/>
            </w14:solidFill>
          </w14:textFill>
        </w:rPr>
        <w:t></w:t>
      </w:r>
      <w:r>
        <w:rPr>
          <w:rFonts w:hint="eastAsia" w:hAnsi="宋体" w:cs="宋体"/>
          <w:color w:val="000000" w:themeColor="text1"/>
          <w:highlight w:val="none"/>
          <w14:textFill>
            <w14:solidFill>
              <w14:schemeClr w14:val="tx1"/>
            </w14:solidFill>
          </w14:textFill>
        </w:rPr>
        <w:t>标准。</w:t>
      </w:r>
    </w:p>
    <w:p w14:paraId="1A59E3BD">
      <w:pPr>
        <w:spacing w:line="360" w:lineRule="auto"/>
        <w:ind w:firstLine="459"/>
        <w:outlineLvl w:val="0"/>
        <w:rPr>
          <w:rFonts w:hAnsi="宋体"/>
          <w:b/>
          <w:bCs/>
          <w:color w:val="000000" w:themeColor="text1"/>
          <w:highlight w:val="none"/>
          <w14:textFill>
            <w14:solidFill>
              <w14:schemeClr w14:val="tx1"/>
            </w14:solidFill>
          </w14:textFill>
        </w:rPr>
      </w:pPr>
      <w:bookmarkStart w:id="186" w:name="_Toc122424272"/>
      <w:bookmarkStart w:id="187" w:name="_Toc122424023"/>
      <w:bookmarkStart w:id="188" w:name="_Toc351203484"/>
      <w:r>
        <w:rPr>
          <w:rFonts w:hint="eastAsia" w:hAnsi="宋体" w:cs="宋体"/>
          <w:b/>
          <w:bCs/>
          <w:color w:val="000000" w:themeColor="text1"/>
          <w:highlight w:val="none"/>
          <w14:textFill>
            <w14:solidFill>
              <w14:schemeClr w14:val="tx1"/>
            </w14:solidFill>
          </w14:textFill>
        </w:rPr>
        <w:t>四、签约合同价与合同价格形式</w:t>
      </w:r>
      <w:bookmarkEnd w:id="186"/>
      <w:bookmarkEnd w:id="187"/>
      <w:bookmarkEnd w:id="188"/>
    </w:p>
    <w:p w14:paraId="07EB3CE5">
      <w:pPr>
        <w:spacing w:line="360" w:lineRule="auto"/>
        <w:ind w:firstLine="45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 </w:t>
      </w:r>
      <w:r>
        <w:rPr>
          <w:rFonts w:hint="eastAsia" w:hAnsi="宋体" w:cs="宋体"/>
          <w:color w:val="000000" w:themeColor="text1"/>
          <w:highlight w:val="none"/>
          <w14:textFill>
            <w14:solidFill>
              <w14:schemeClr w14:val="tx1"/>
            </w14:solidFill>
          </w14:textFill>
        </w:rPr>
        <w:t>签约合同价为：</w:t>
      </w:r>
    </w:p>
    <w:p w14:paraId="32CDC306">
      <w:pPr>
        <w:spacing w:line="360" w:lineRule="auto"/>
        <w:ind w:firstLine="525"/>
        <w:rPr>
          <w:rFonts w:hAnsi="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人民币（大写）</w:t>
      </w:r>
      <w:r>
        <w:rPr>
          <w:color w:val="000000" w:themeColor="text1"/>
          <w:highlight w:val="none"/>
          <w:u w:val="singl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w:t>
      </w:r>
      <w:r>
        <w:rPr>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元</w:t>
      </w:r>
      <w:r>
        <w:rPr>
          <w:rFonts w:hint="eastAsia" w:cs="宋体"/>
          <w:color w:val="000000" w:themeColor="text1"/>
          <w:highlight w:val="none"/>
          <w14:textFill>
            <w14:solidFill>
              <w14:schemeClr w14:val="tx1"/>
            </w14:solidFill>
          </w14:textFill>
        </w:rPr>
        <w:t>）</w:t>
      </w:r>
      <w:r>
        <w:rPr>
          <w:rFonts w:hint="eastAsia" w:hAnsi="宋体" w:cs="宋体"/>
          <w:color w:val="000000" w:themeColor="text1"/>
          <w:highlight w:val="none"/>
          <w14:textFill>
            <w14:solidFill>
              <w14:schemeClr w14:val="tx1"/>
            </w14:solidFill>
          </w14:textFill>
        </w:rPr>
        <w:t>；</w:t>
      </w:r>
    </w:p>
    <w:p w14:paraId="74477009">
      <w:pPr>
        <w:spacing w:line="360" w:lineRule="auto"/>
        <w:ind w:firstLine="525"/>
        <w:rPr>
          <w:rFonts w:hAnsi="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其中：</w:t>
      </w:r>
    </w:p>
    <w:p w14:paraId="2970C39D">
      <w:pPr>
        <w:spacing w:line="360" w:lineRule="auto"/>
        <w:ind w:firstLine="420"/>
        <w:rPr>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w:t>
      </w:r>
      <w:r>
        <w:rPr>
          <w:rFonts w:hAnsi="宋体"/>
          <w:color w:val="000000" w:themeColor="text1"/>
          <w:highlight w:val="none"/>
          <w14:textFill>
            <w14:solidFill>
              <w14:schemeClr w14:val="tx1"/>
            </w14:solidFill>
          </w14:textFill>
        </w:rPr>
        <w:t>1</w:t>
      </w:r>
      <w:r>
        <w:rPr>
          <w:rFonts w:hint="eastAsia" w:hAnsi="宋体" w:cs="宋体"/>
          <w:color w:val="000000" w:themeColor="text1"/>
          <w:highlight w:val="none"/>
          <w14:textFill>
            <w14:solidFill>
              <w14:schemeClr w14:val="tx1"/>
            </w14:solidFill>
          </w14:textFill>
        </w:rPr>
        <w:t>）安全文明施工费：</w:t>
      </w:r>
    </w:p>
    <w:p w14:paraId="0254F535">
      <w:pPr>
        <w:spacing w:line="360" w:lineRule="auto"/>
        <w:ind w:left="420" w:firstLine="525"/>
        <w:rPr>
          <w:rFonts w:hAnsi="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人民币（大写）</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w:t>
      </w:r>
      <w:r>
        <w:rPr>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元</w:t>
      </w:r>
      <w:r>
        <w:rPr>
          <w:rFonts w:hint="eastAsia" w:cs="宋体"/>
          <w:color w:val="000000" w:themeColor="text1"/>
          <w:highlight w:val="none"/>
          <w14:textFill>
            <w14:solidFill>
              <w14:schemeClr w14:val="tx1"/>
            </w14:solidFill>
          </w14:textFill>
        </w:rPr>
        <w:t>）</w:t>
      </w:r>
      <w:r>
        <w:rPr>
          <w:rFonts w:hint="eastAsia" w:hAnsi="宋体" w:cs="宋体"/>
          <w:color w:val="000000" w:themeColor="text1"/>
          <w:highlight w:val="none"/>
          <w14:textFill>
            <w14:solidFill>
              <w14:schemeClr w14:val="tx1"/>
            </w14:solidFill>
          </w14:textFill>
        </w:rPr>
        <w:t>；</w:t>
      </w:r>
    </w:p>
    <w:p w14:paraId="1461C824">
      <w:pPr>
        <w:spacing w:line="360" w:lineRule="auto"/>
        <w:ind w:firstLine="420"/>
        <w:rPr>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2</w:t>
      </w:r>
      <w:r>
        <w:rPr>
          <w:rFonts w:hint="eastAsia" w:hAnsi="宋体" w:cs="宋体"/>
          <w:color w:val="000000" w:themeColor="text1"/>
          <w:highlight w:val="none"/>
          <w14:textFill>
            <w14:solidFill>
              <w14:schemeClr w14:val="tx1"/>
            </w14:solidFill>
          </w14:textFill>
        </w:rPr>
        <w:t>）材料和工程设备暂估价金额：</w:t>
      </w:r>
    </w:p>
    <w:p w14:paraId="48AF1CB9">
      <w:pPr>
        <w:spacing w:line="360" w:lineRule="auto"/>
        <w:ind w:firstLine="945"/>
        <w:rPr>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人民币（大写）</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w:t>
      </w:r>
      <w:r>
        <w:rPr>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元</w:t>
      </w:r>
      <w:r>
        <w:rPr>
          <w:rFonts w:hint="eastAsia" w:cs="宋体"/>
          <w:color w:val="000000" w:themeColor="text1"/>
          <w:highlight w:val="none"/>
          <w14:textFill>
            <w14:solidFill>
              <w14:schemeClr w14:val="tx1"/>
            </w14:solidFill>
          </w14:textFill>
        </w:rPr>
        <w:t>）</w:t>
      </w:r>
      <w:r>
        <w:rPr>
          <w:rFonts w:hint="eastAsia" w:hAnsi="宋体" w:cs="宋体"/>
          <w:color w:val="000000" w:themeColor="text1"/>
          <w:highlight w:val="none"/>
          <w14:textFill>
            <w14:solidFill>
              <w14:schemeClr w14:val="tx1"/>
            </w14:solidFill>
          </w14:textFill>
        </w:rPr>
        <w:t>；</w:t>
      </w:r>
    </w:p>
    <w:p w14:paraId="0CA1A56E">
      <w:pPr>
        <w:spacing w:line="360" w:lineRule="auto"/>
        <w:ind w:firstLine="420"/>
        <w:rPr>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3</w:t>
      </w:r>
      <w:r>
        <w:rPr>
          <w:rFonts w:hint="eastAsia" w:hAnsi="宋体" w:cs="宋体"/>
          <w:color w:val="000000" w:themeColor="text1"/>
          <w:highlight w:val="none"/>
          <w14:textFill>
            <w14:solidFill>
              <w14:schemeClr w14:val="tx1"/>
            </w14:solidFill>
          </w14:textFill>
        </w:rPr>
        <w:t>）专业工程暂估价金额：</w:t>
      </w:r>
    </w:p>
    <w:p w14:paraId="02F068EE">
      <w:pPr>
        <w:spacing w:line="360" w:lineRule="auto"/>
        <w:ind w:firstLine="945"/>
        <w:rPr>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人民币（大写）</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w:t>
      </w:r>
      <w:r>
        <w:rPr>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元</w:t>
      </w:r>
      <w:r>
        <w:rPr>
          <w:rFonts w:hint="eastAsia" w:cs="宋体"/>
          <w:color w:val="000000" w:themeColor="text1"/>
          <w:highlight w:val="none"/>
          <w14:textFill>
            <w14:solidFill>
              <w14:schemeClr w14:val="tx1"/>
            </w14:solidFill>
          </w14:textFill>
        </w:rPr>
        <w:t>）</w:t>
      </w:r>
      <w:r>
        <w:rPr>
          <w:rFonts w:hint="eastAsia" w:hAnsi="宋体" w:cs="宋体"/>
          <w:color w:val="000000" w:themeColor="text1"/>
          <w:highlight w:val="none"/>
          <w14:textFill>
            <w14:solidFill>
              <w14:schemeClr w14:val="tx1"/>
            </w14:solidFill>
          </w14:textFill>
        </w:rPr>
        <w:t>；</w:t>
      </w:r>
    </w:p>
    <w:p w14:paraId="1CF565A3">
      <w:pPr>
        <w:spacing w:line="360" w:lineRule="auto"/>
        <w:ind w:firstLine="420"/>
        <w:rPr>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4</w:t>
      </w:r>
      <w:r>
        <w:rPr>
          <w:rFonts w:hint="eastAsia" w:hAnsi="宋体" w:cs="宋体"/>
          <w:color w:val="000000" w:themeColor="text1"/>
          <w:highlight w:val="none"/>
          <w14:textFill>
            <w14:solidFill>
              <w14:schemeClr w14:val="tx1"/>
            </w14:solidFill>
          </w14:textFill>
        </w:rPr>
        <w:t>）暂列金额：</w:t>
      </w:r>
    </w:p>
    <w:p w14:paraId="5EBBDDD5">
      <w:pPr>
        <w:spacing w:line="360" w:lineRule="auto"/>
        <w:ind w:firstLine="945"/>
        <w:rPr>
          <w:rFonts w:hAnsi="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人民币（大写）</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w:t>
      </w:r>
      <w:r>
        <w:rPr>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元</w:t>
      </w:r>
      <w:r>
        <w:rPr>
          <w:rFonts w:hint="eastAsia" w:cs="宋体"/>
          <w:color w:val="000000" w:themeColor="text1"/>
          <w:highlight w:val="none"/>
          <w14:textFill>
            <w14:solidFill>
              <w14:schemeClr w14:val="tx1"/>
            </w14:solidFill>
          </w14:textFill>
        </w:rPr>
        <w:t>）</w:t>
      </w:r>
      <w:r>
        <w:rPr>
          <w:rFonts w:hint="eastAsia" w:hAnsi="宋体" w:cs="宋体"/>
          <w:color w:val="000000" w:themeColor="text1"/>
          <w:highlight w:val="none"/>
          <w14:textFill>
            <w14:solidFill>
              <w14:schemeClr w14:val="tx1"/>
            </w14:solidFill>
          </w14:textFill>
        </w:rPr>
        <w:t>。</w:t>
      </w:r>
    </w:p>
    <w:p w14:paraId="181658C8">
      <w:pPr>
        <w:spacing w:line="360" w:lineRule="auto"/>
        <w:ind w:firstLine="420"/>
        <w:rPr>
          <w:rFonts w:hint="eastAsia" w:hAnsi="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2. </w:t>
      </w:r>
      <w:r>
        <w:rPr>
          <w:rFonts w:hint="eastAsia" w:hAnsi="宋体" w:cs="宋体"/>
          <w:color w:val="000000" w:themeColor="text1"/>
          <w:highlight w:val="none"/>
          <w14:textFill>
            <w14:solidFill>
              <w14:schemeClr w14:val="tx1"/>
            </w14:solidFill>
          </w14:textFill>
        </w:rPr>
        <w:t>合同价格形式：</w:t>
      </w:r>
      <w:r>
        <w:rPr>
          <w:color w:val="000000" w:themeColor="text1"/>
          <w:highlight w:val="non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w:t>
      </w:r>
    </w:p>
    <w:p w14:paraId="48069CBB">
      <w:pPr>
        <w:spacing w:line="360" w:lineRule="auto"/>
        <w:ind w:firstLine="422"/>
        <w:outlineLvl w:val="0"/>
        <w:rPr>
          <w:b/>
          <w:bCs/>
          <w:color w:val="000000" w:themeColor="text1"/>
          <w:highlight w:val="none"/>
          <w14:textFill>
            <w14:solidFill>
              <w14:schemeClr w14:val="tx1"/>
            </w14:solidFill>
          </w14:textFill>
        </w:rPr>
      </w:pPr>
      <w:bookmarkStart w:id="189" w:name="_Toc351203485"/>
      <w:bookmarkStart w:id="190" w:name="_Toc122424273"/>
      <w:bookmarkStart w:id="191" w:name="_Toc122424024"/>
      <w:r>
        <w:rPr>
          <w:rFonts w:hint="eastAsia" w:hAnsi="宋体" w:cs="宋体"/>
          <w:b/>
          <w:bCs/>
          <w:color w:val="000000" w:themeColor="text1"/>
          <w:highlight w:val="none"/>
          <w14:textFill>
            <w14:solidFill>
              <w14:schemeClr w14:val="tx1"/>
            </w14:solidFill>
          </w14:textFill>
        </w:rPr>
        <w:t>五、</w:t>
      </w:r>
      <w:bookmarkEnd w:id="189"/>
      <w:r>
        <w:rPr>
          <w:rFonts w:hint="eastAsia" w:hAnsi="宋体" w:cs="宋体"/>
          <w:b/>
          <w:bCs/>
          <w:color w:val="000000" w:themeColor="text1"/>
          <w:highlight w:val="none"/>
          <w14:textFill>
            <w14:solidFill>
              <w14:schemeClr w14:val="tx1"/>
            </w14:solidFill>
          </w14:textFill>
        </w:rPr>
        <w:t>项目经理</w:t>
      </w:r>
      <w:bookmarkEnd w:id="190"/>
      <w:bookmarkEnd w:id="191"/>
    </w:p>
    <w:p w14:paraId="1A078888">
      <w:pPr>
        <w:spacing w:line="360" w:lineRule="auto"/>
        <w:ind w:firstLine="420"/>
        <w:rPr>
          <w:rFonts w:hAnsi="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承包人项目经理：</w:t>
      </w:r>
      <w:r>
        <w:rPr>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w:t>
      </w:r>
    </w:p>
    <w:p w14:paraId="634C0C7D">
      <w:pPr>
        <w:spacing w:line="360" w:lineRule="auto"/>
        <w:ind w:firstLine="422"/>
        <w:outlineLvl w:val="0"/>
        <w:rPr>
          <w:b/>
          <w:bCs/>
          <w:color w:val="000000" w:themeColor="text1"/>
          <w:highlight w:val="none"/>
          <w14:textFill>
            <w14:solidFill>
              <w14:schemeClr w14:val="tx1"/>
            </w14:solidFill>
          </w14:textFill>
        </w:rPr>
      </w:pPr>
      <w:bookmarkStart w:id="192" w:name="_Toc122424025"/>
      <w:bookmarkStart w:id="193" w:name="_Toc351203486"/>
      <w:bookmarkStart w:id="194" w:name="_Toc122424274"/>
      <w:r>
        <w:rPr>
          <w:rFonts w:hint="eastAsia" w:hAnsi="宋体" w:cs="宋体"/>
          <w:b/>
          <w:bCs/>
          <w:color w:val="000000" w:themeColor="text1"/>
          <w:highlight w:val="none"/>
          <w14:textFill>
            <w14:solidFill>
              <w14:schemeClr w14:val="tx1"/>
            </w14:solidFill>
          </w14:textFill>
        </w:rPr>
        <w:t>六、合同文件构成</w:t>
      </w:r>
      <w:bookmarkEnd w:id="192"/>
      <w:bookmarkEnd w:id="193"/>
      <w:bookmarkEnd w:id="194"/>
    </w:p>
    <w:p w14:paraId="65921E4D">
      <w:pPr>
        <w:spacing w:line="360" w:lineRule="auto"/>
        <w:ind w:firstLine="420"/>
        <w:rPr>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本协议书与下列文件一起构成合同文件：</w:t>
      </w:r>
    </w:p>
    <w:p w14:paraId="1E0FE73E">
      <w:pPr>
        <w:spacing w:line="360" w:lineRule="auto"/>
        <w:ind w:firstLine="420"/>
        <w:jc w:val="left"/>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（1）中标</w:t>
      </w:r>
      <w:r>
        <w:rPr>
          <w:rFonts w:hint="eastAsia" w:hAnsi="宋体" w:cs="宋体"/>
          <w:color w:val="000000" w:themeColor="text1"/>
          <w:highlight w:val="none"/>
          <w:lang w:eastAsia="zh-CN"/>
          <w14:textFill>
            <w14:solidFill>
              <w14:schemeClr w14:val="tx1"/>
            </w14:solidFill>
          </w14:textFill>
        </w:rPr>
        <w:t>（成交）</w:t>
      </w:r>
      <w:r>
        <w:rPr>
          <w:rFonts w:hint="eastAsia" w:hAnsi="宋体" w:cs="宋体"/>
          <w:color w:val="000000" w:themeColor="text1"/>
          <w:highlight w:val="none"/>
          <w14:textFill>
            <w14:solidFill>
              <w14:schemeClr w14:val="tx1"/>
            </w14:solidFill>
          </w14:textFill>
        </w:rPr>
        <w:t>通知书（如果有）；</w:t>
      </w:r>
    </w:p>
    <w:p w14:paraId="7D326AE1">
      <w:pPr>
        <w:spacing w:line="360" w:lineRule="auto"/>
        <w:ind w:firstLine="420"/>
        <w:jc w:val="left"/>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 xml:space="preserve">（2）投标函及其附录（如果有）； </w:t>
      </w:r>
    </w:p>
    <w:p w14:paraId="6EDE6466">
      <w:pPr>
        <w:spacing w:line="360" w:lineRule="auto"/>
        <w:ind w:firstLine="420"/>
        <w:jc w:val="left"/>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（3）专用合同条款及其附件；</w:t>
      </w:r>
    </w:p>
    <w:p w14:paraId="20F5B5FF">
      <w:pPr>
        <w:spacing w:line="360" w:lineRule="auto"/>
        <w:ind w:firstLine="420"/>
        <w:jc w:val="left"/>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（4）通用合同条款；</w:t>
      </w:r>
    </w:p>
    <w:p w14:paraId="517623FE">
      <w:pPr>
        <w:spacing w:line="360" w:lineRule="auto"/>
        <w:ind w:firstLine="420"/>
        <w:jc w:val="left"/>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（5）技术标准和要求；</w:t>
      </w:r>
    </w:p>
    <w:p w14:paraId="12F06E05">
      <w:pPr>
        <w:spacing w:line="360" w:lineRule="auto"/>
        <w:ind w:firstLine="420"/>
        <w:jc w:val="left"/>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w:t>
      </w:r>
      <w:r>
        <w:rPr>
          <w:rFonts w:hint="eastAsia" w:hAnsi="宋体" w:cs="宋体"/>
          <w:color w:val="000000" w:themeColor="text1"/>
          <w:highlight w:val="none"/>
          <w:lang w:val="en-US" w:eastAsia="zh-CN"/>
          <w14:textFill>
            <w14:solidFill>
              <w14:schemeClr w14:val="tx1"/>
            </w14:solidFill>
          </w14:textFill>
        </w:rPr>
        <w:t>6</w:t>
      </w:r>
      <w:r>
        <w:rPr>
          <w:rFonts w:hint="eastAsia" w:hAnsi="宋体" w:cs="宋体"/>
          <w:color w:val="000000" w:themeColor="text1"/>
          <w:highlight w:val="none"/>
          <w14:textFill>
            <w14:solidFill>
              <w14:schemeClr w14:val="tx1"/>
            </w14:solidFill>
          </w14:textFill>
        </w:rPr>
        <w:t>）已标价工程量清单或预算书；</w:t>
      </w:r>
    </w:p>
    <w:p w14:paraId="6144403D">
      <w:pPr>
        <w:spacing w:line="360" w:lineRule="auto"/>
        <w:ind w:firstLine="420"/>
        <w:jc w:val="left"/>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w:t>
      </w:r>
      <w:r>
        <w:rPr>
          <w:rFonts w:hint="eastAsia" w:hAnsi="宋体" w:cs="宋体"/>
          <w:color w:val="000000" w:themeColor="text1"/>
          <w:highlight w:val="none"/>
          <w:lang w:val="en-US" w:eastAsia="zh-CN"/>
          <w14:textFill>
            <w14:solidFill>
              <w14:schemeClr w14:val="tx1"/>
            </w14:solidFill>
          </w14:textFill>
        </w:rPr>
        <w:t>7</w:t>
      </w:r>
      <w:r>
        <w:rPr>
          <w:rFonts w:hint="eastAsia" w:hAnsi="宋体" w:cs="宋体"/>
          <w:color w:val="000000" w:themeColor="text1"/>
          <w:highlight w:val="none"/>
          <w14:textFill>
            <w14:solidFill>
              <w14:schemeClr w14:val="tx1"/>
            </w14:solidFill>
          </w14:textFill>
        </w:rPr>
        <w:t>）图纸；</w:t>
      </w:r>
    </w:p>
    <w:p w14:paraId="65EFDA3E">
      <w:pPr>
        <w:spacing w:line="360" w:lineRule="auto"/>
        <w:ind w:firstLine="420"/>
        <w:jc w:val="left"/>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lang w:val="en-US" w:eastAsia="zh-CN"/>
          <w14:textFill>
            <w14:solidFill>
              <w14:schemeClr w14:val="tx1"/>
            </w14:solidFill>
          </w14:textFill>
        </w:rPr>
        <w:t>（8）竞争性磋商</w:t>
      </w:r>
      <w:r>
        <w:rPr>
          <w:rFonts w:hint="eastAsia" w:hAnsi="宋体" w:cs="宋体"/>
          <w:color w:val="000000" w:themeColor="text1"/>
          <w:highlight w:val="none"/>
          <w14:textFill>
            <w14:solidFill>
              <w14:schemeClr w14:val="tx1"/>
            </w14:solidFill>
          </w14:textFill>
        </w:rPr>
        <w:t>文件及其附件（含所有补遗通知书和答疑）</w:t>
      </w:r>
    </w:p>
    <w:p w14:paraId="49CE6860">
      <w:pPr>
        <w:spacing w:line="360" w:lineRule="auto"/>
        <w:ind w:firstLine="420"/>
        <w:jc w:val="left"/>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w:t>
      </w:r>
      <w:r>
        <w:rPr>
          <w:rFonts w:hint="eastAsia" w:hAnsi="宋体" w:cs="宋体"/>
          <w:color w:val="000000" w:themeColor="text1"/>
          <w:highlight w:val="none"/>
          <w:lang w:val="en-US" w:eastAsia="zh-CN"/>
          <w14:textFill>
            <w14:solidFill>
              <w14:schemeClr w14:val="tx1"/>
            </w14:solidFill>
          </w14:textFill>
        </w:rPr>
        <w:t>9</w:t>
      </w:r>
      <w:r>
        <w:rPr>
          <w:rFonts w:hint="eastAsia" w:hAnsi="宋体" w:cs="宋体"/>
          <w:color w:val="000000" w:themeColor="text1"/>
          <w:highlight w:val="none"/>
          <w14:textFill>
            <w14:solidFill>
              <w14:schemeClr w14:val="tx1"/>
            </w14:solidFill>
          </w14:textFill>
        </w:rPr>
        <w:t>）其他合同文件。</w:t>
      </w:r>
    </w:p>
    <w:p w14:paraId="37CB3905">
      <w:pPr>
        <w:spacing w:line="360" w:lineRule="auto"/>
        <w:ind w:firstLine="420"/>
        <w:jc w:val="left"/>
        <w:rPr>
          <w:rFonts w:hAnsi="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上述各项合同文件包括合同当事人就该项合同文件所作出的补充和修改，属于同一类内容的文件，应以最新签署的为准（违反磋商文件</w:t>
      </w:r>
      <w:r>
        <w:rPr>
          <w:rFonts w:hAnsi="宋体" w:cs="宋体"/>
          <w:color w:val="000000" w:themeColor="text1"/>
          <w:highlight w:val="none"/>
          <w14:textFill>
            <w14:solidFill>
              <w14:schemeClr w14:val="tx1"/>
            </w14:solidFill>
          </w14:textFill>
        </w:rPr>
        <w:t>实质性内容的约定除外</w:t>
      </w:r>
      <w:r>
        <w:rPr>
          <w:rFonts w:hint="eastAsia" w:hAnsi="宋体" w:cs="宋体"/>
          <w:color w:val="000000" w:themeColor="text1"/>
          <w:highlight w:val="none"/>
          <w14:textFill>
            <w14:solidFill>
              <w14:schemeClr w14:val="tx1"/>
            </w14:solidFill>
          </w14:textFill>
        </w:rPr>
        <w:t>）。专用合同条款及其附件须经合同当事人签字或盖章。</w:t>
      </w:r>
    </w:p>
    <w:p w14:paraId="29055A68">
      <w:pPr>
        <w:spacing w:line="360" w:lineRule="auto"/>
        <w:ind w:firstLine="422"/>
        <w:jc w:val="left"/>
        <w:outlineLvl w:val="0"/>
        <w:rPr>
          <w:b/>
          <w:bCs/>
          <w:color w:val="000000" w:themeColor="text1"/>
          <w:highlight w:val="none"/>
          <w14:textFill>
            <w14:solidFill>
              <w14:schemeClr w14:val="tx1"/>
            </w14:solidFill>
          </w14:textFill>
        </w:rPr>
      </w:pPr>
      <w:bookmarkStart w:id="195" w:name="_Toc351203487"/>
      <w:bookmarkStart w:id="196" w:name="_Toc122424275"/>
      <w:bookmarkStart w:id="197" w:name="_Toc122424026"/>
      <w:r>
        <w:rPr>
          <w:rFonts w:hint="eastAsia" w:hAnsi="宋体" w:cs="宋体"/>
          <w:b/>
          <w:bCs/>
          <w:color w:val="000000" w:themeColor="text1"/>
          <w:highlight w:val="none"/>
          <w14:textFill>
            <w14:solidFill>
              <w14:schemeClr w14:val="tx1"/>
            </w14:solidFill>
          </w14:textFill>
        </w:rPr>
        <w:t>七、承诺</w:t>
      </w:r>
      <w:bookmarkEnd w:id="195"/>
      <w:bookmarkEnd w:id="196"/>
      <w:bookmarkEnd w:id="197"/>
    </w:p>
    <w:p w14:paraId="55B09BD2">
      <w:pPr>
        <w:spacing w:line="360" w:lineRule="auto"/>
        <w:ind w:firstLine="42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 </w:t>
      </w:r>
      <w:r>
        <w:rPr>
          <w:rFonts w:hint="eastAsia" w:hAnsi="宋体" w:cs="宋体"/>
          <w:color w:val="000000" w:themeColor="text1"/>
          <w:highlight w:val="none"/>
          <w14:textFill>
            <w14:solidFill>
              <w14:schemeClr w14:val="tx1"/>
            </w14:solidFill>
          </w14:textFill>
        </w:rPr>
        <w:t>发包人承诺按照法律规定履行项目审批手续、筹集工程建设资金并按照合同约定的期限和方式支付合同价款。</w:t>
      </w:r>
    </w:p>
    <w:p w14:paraId="0D88B034">
      <w:pPr>
        <w:spacing w:line="360" w:lineRule="auto"/>
        <w:ind w:firstLine="42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2. </w:t>
      </w:r>
      <w:r>
        <w:rPr>
          <w:rFonts w:hint="eastAsia" w:hAnsi="宋体" w:cs="宋体"/>
          <w:color w:val="000000" w:themeColor="text1"/>
          <w:highlight w:val="none"/>
          <w14:textFill>
            <w14:solidFill>
              <w14:schemeClr w14:val="tx1"/>
            </w14:solidFill>
          </w14:textFill>
        </w:rPr>
        <w:t>承包人承诺按照法律规定及合同约定组织完成工程施工，确保工程质量和安全，不进行转包及违法分包，并在缺陷责任期及保修期内承担相应的工程维修责任。</w:t>
      </w:r>
    </w:p>
    <w:p w14:paraId="28143AEB">
      <w:pPr>
        <w:spacing w:line="360" w:lineRule="auto"/>
        <w:ind w:firstLine="420"/>
        <w:rPr>
          <w:rFonts w:hAnsi="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3. </w:t>
      </w:r>
      <w:r>
        <w:rPr>
          <w:rFonts w:hint="eastAsia" w:hAnsi="宋体" w:cs="宋体"/>
          <w:color w:val="000000" w:themeColor="text1"/>
          <w:highlight w:val="none"/>
          <w14:textFill>
            <w14:solidFill>
              <w14:schemeClr w14:val="tx1"/>
            </w14:solidFill>
          </w14:textFill>
        </w:rPr>
        <w:t>发包人和承包人通过招投标形式签订合同的，双方理解并承诺不再就同一工程另行签订与合同实质性内容相背离的协议。</w:t>
      </w:r>
      <w:bookmarkStart w:id="198" w:name="_Toc351203488"/>
    </w:p>
    <w:p w14:paraId="09AEBABD">
      <w:pPr>
        <w:spacing w:line="360" w:lineRule="auto"/>
        <w:ind w:firstLine="422"/>
        <w:outlineLvl w:val="0"/>
        <w:rPr>
          <w:b/>
          <w:bCs/>
          <w:color w:val="000000" w:themeColor="text1"/>
          <w:highlight w:val="none"/>
          <w14:textFill>
            <w14:solidFill>
              <w14:schemeClr w14:val="tx1"/>
            </w14:solidFill>
          </w14:textFill>
        </w:rPr>
      </w:pPr>
      <w:bookmarkStart w:id="199" w:name="_Toc122424027"/>
      <w:bookmarkStart w:id="200" w:name="_Toc122424276"/>
      <w:r>
        <w:rPr>
          <w:rFonts w:hint="eastAsia" w:hAnsi="宋体" w:cs="宋体"/>
          <w:b/>
          <w:bCs/>
          <w:color w:val="000000" w:themeColor="text1"/>
          <w:highlight w:val="none"/>
          <w14:textFill>
            <w14:solidFill>
              <w14:schemeClr w14:val="tx1"/>
            </w14:solidFill>
          </w14:textFill>
        </w:rPr>
        <w:t>八、词语含义</w:t>
      </w:r>
      <w:bookmarkEnd w:id="198"/>
      <w:bookmarkEnd w:id="199"/>
      <w:bookmarkEnd w:id="200"/>
    </w:p>
    <w:p w14:paraId="73A5B978">
      <w:pPr>
        <w:spacing w:line="360" w:lineRule="auto"/>
        <w:ind w:firstLine="420"/>
        <w:rPr>
          <w:rFonts w:hAnsi="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本协议书中词语含义与第二部分通用合同条款中赋予的含义相同。</w:t>
      </w:r>
    </w:p>
    <w:p w14:paraId="224818E6">
      <w:pPr>
        <w:spacing w:line="360" w:lineRule="auto"/>
        <w:ind w:firstLine="422"/>
        <w:outlineLvl w:val="0"/>
        <w:rPr>
          <w:b/>
          <w:bCs/>
          <w:color w:val="000000" w:themeColor="text1"/>
          <w:highlight w:val="none"/>
          <w14:textFill>
            <w14:solidFill>
              <w14:schemeClr w14:val="tx1"/>
            </w14:solidFill>
          </w14:textFill>
        </w:rPr>
      </w:pPr>
      <w:bookmarkStart w:id="201" w:name="_Toc351203489"/>
      <w:bookmarkStart w:id="202" w:name="_Toc122424277"/>
      <w:bookmarkStart w:id="203" w:name="_Toc122424028"/>
      <w:r>
        <w:rPr>
          <w:rFonts w:hint="eastAsia" w:hAnsi="宋体" w:cs="宋体"/>
          <w:b/>
          <w:bCs/>
          <w:color w:val="000000" w:themeColor="text1"/>
          <w:highlight w:val="none"/>
          <w14:textFill>
            <w14:solidFill>
              <w14:schemeClr w14:val="tx1"/>
            </w14:solidFill>
          </w14:textFill>
        </w:rPr>
        <w:t>九、签订时间</w:t>
      </w:r>
      <w:bookmarkEnd w:id="201"/>
      <w:bookmarkEnd w:id="202"/>
      <w:bookmarkEnd w:id="203"/>
    </w:p>
    <w:p w14:paraId="3465CC54">
      <w:pPr>
        <w:spacing w:line="360" w:lineRule="auto"/>
        <w:ind w:firstLine="420"/>
        <w:rPr>
          <w:rFonts w:hAnsi="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本合同于</w:t>
      </w:r>
      <w:r>
        <w:rPr>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年</w:t>
      </w:r>
      <w:r>
        <w:rPr>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月</w:t>
      </w:r>
      <w:r>
        <w:rPr>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日签订。</w:t>
      </w:r>
    </w:p>
    <w:p w14:paraId="0AF555F7">
      <w:pPr>
        <w:spacing w:line="360" w:lineRule="auto"/>
        <w:ind w:firstLine="422"/>
        <w:outlineLvl w:val="0"/>
        <w:rPr>
          <w:b/>
          <w:bCs/>
          <w:color w:val="000000" w:themeColor="text1"/>
          <w:highlight w:val="none"/>
          <w14:textFill>
            <w14:solidFill>
              <w14:schemeClr w14:val="tx1"/>
            </w14:solidFill>
          </w14:textFill>
        </w:rPr>
      </w:pPr>
      <w:bookmarkStart w:id="204" w:name="_Toc122424278"/>
      <w:bookmarkStart w:id="205" w:name="_Toc351203490"/>
      <w:bookmarkStart w:id="206" w:name="_Toc122424029"/>
      <w:r>
        <w:rPr>
          <w:rFonts w:hint="eastAsia" w:hAnsi="宋体" w:cs="宋体"/>
          <w:b/>
          <w:bCs/>
          <w:color w:val="000000" w:themeColor="text1"/>
          <w:highlight w:val="none"/>
          <w14:textFill>
            <w14:solidFill>
              <w14:schemeClr w14:val="tx1"/>
            </w14:solidFill>
          </w14:textFill>
        </w:rPr>
        <w:t>十、签订地点</w:t>
      </w:r>
      <w:bookmarkEnd w:id="204"/>
      <w:bookmarkEnd w:id="205"/>
      <w:bookmarkEnd w:id="206"/>
    </w:p>
    <w:p w14:paraId="48805743">
      <w:pPr>
        <w:spacing w:line="360" w:lineRule="auto"/>
        <w:ind w:firstLine="420"/>
        <w:rPr>
          <w:rFonts w:hAnsi="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本合同在</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lang w:val="en-US" w:eastAsia="zh-CN"/>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签订。</w:t>
      </w:r>
    </w:p>
    <w:p w14:paraId="7AA10D82">
      <w:pPr>
        <w:spacing w:line="360" w:lineRule="auto"/>
        <w:ind w:firstLine="422"/>
        <w:outlineLvl w:val="0"/>
        <w:rPr>
          <w:b/>
          <w:bCs/>
          <w:color w:val="000000" w:themeColor="text1"/>
          <w:highlight w:val="none"/>
          <w14:textFill>
            <w14:solidFill>
              <w14:schemeClr w14:val="tx1"/>
            </w14:solidFill>
          </w14:textFill>
        </w:rPr>
      </w:pPr>
      <w:bookmarkStart w:id="207" w:name="_Toc122424030"/>
      <w:bookmarkStart w:id="208" w:name="_Toc351203491"/>
      <w:bookmarkStart w:id="209" w:name="_Toc122424279"/>
      <w:r>
        <w:rPr>
          <w:rFonts w:hint="eastAsia" w:hAnsi="宋体" w:cs="宋体"/>
          <w:b/>
          <w:bCs/>
          <w:color w:val="000000" w:themeColor="text1"/>
          <w:highlight w:val="none"/>
          <w14:textFill>
            <w14:solidFill>
              <w14:schemeClr w14:val="tx1"/>
            </w14:solidFill>
          </w14:textFill>
        </w:rPr>
        <w:t>十一、补充协议</w:t>
      </w:r>
      <w:bookmarkEnd w:id="207"/>
      <w:bookmarkEnd w:id="208"/>
      <w:bookmarkEnd w:id="209"/>
    </w:p>
    <w:p w14:paraId="515F4CCB">
      <w:pPr>
        <w:spacing w:line="360" w:lineRule="auto"/>
        <w:ind w:firstLine="420"/>
        <w:rPr>
          <w:rFonts w:hAnsi="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合同未尽事宜，合同当事人另行签订补充协议，补充协议是合同的组成部分。</w:t>
      </w:r>
    </w:p>
    <w:p w14:paraId="42730ABC">
      <w:pPr>
        <w:spacing w:line="360" w:lineRule="auto"/>
        <w:ind w:firstLine="422"/>
        <w:outlineLvl w:val="0"/>
        <w:rPr>
          <w:b/>
          <w:bCs/>
          <w:color w:val="000000" w:themeColor="text1"/>
          <w:highlight w:val="none"/>
          <w14:textFill>
            <w14:solidFill>
              <w14:schemeClr w14:val="tx1"/>
            </w14:solidFill>
          </w14:textFill>
        </w:rPr>
      </w:pPr>
      <w:bookmarkStart w:id="210" w:name="_Toc351203492"/>
      <w:bookmarkStart w:id="211" w:name="_Toc122424031"/>
      <w:bookmarkStart w:id="212" w:name="_Toc122424280"/>
      <w:r>
        <w:rPr>
          <w:rFonts w:hint="eastAsia" w:hAnsi="宋体" w:cs="宋体"/>
          <w:b/>
          <w:bCs/>
          <w:color w:val="000000" w:themeColor="text1"/>
          <w:highlight w:val="none"/>
          <w14:textFill>
            <w14:solidFill>
              <w14:schemeClr w14:val="tx1"/>
            </w14:solidFill>
          </w14:textFill>
        </w:rPr>
        <w:t>十二、合同生效</w:t>
      </w:r>
      <w:bookmarkEnd w:id="210"/>
      <w:bookmarkEnd w:id="211"/>
      <w:bookmarkEnd w:id="212"/>
    </w:p>
    <w:p w14:paraId="2B6D2539">
      <w:pPr>
        <w:spacing w:line="360" w:lineRule="auto"/>
        <w:ind w:firstLine="420"/>
        <w:rPr>
          <w:rFonts w:hAnsi="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本合同自</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双方签字盖章后</w:t>
      </w:r>
      <w:r>
        <w:rPr>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生效。</w:t>
      </w:r>
    </w:p>
    <w:p w14:paraId="453FC688">
      <w:pPr>
        <w:spacing w:line="360" w:lineRule="auto"/>
        <w:ind w:firstLine="422"/>
        <w:outlineLvl w:val="0"/>
        <w:rPr>
          <w:b/>
          <w:bCs/>
          <w:color w:val="000000" w:themeColor="text1"/>
          <w:highlight w:val="none"/>
          <w14:textFill>
            <w14:solidFill>
              <w14:schemeClr w14:val="tx1"/>
            </w14:solidFill>
          </w14:textFill>
        </w:rPr>
      </w:pPr>
      <w:bookmarkStart w:id="213" w:name="_Toc122424281"/>
      <w:bookmarkStart w:id="214" w:name="_Toc351203493"/>
      <w:bookmarkStart w:id="215" w:name="_Toc122424032"/>
      <w:r>
        <w:rPr>
          <w:rFonts w:hint="eastAsia" w:hAnsi="宋体" w:cs="宋体"/>
          <w:b/>
          <w:bCs/>
          <w:color w:val="000000" w:themeColor="text1"/>
          <w:highlight w:val="none"/>
          <w14:textFill>
            <w14:solidFill>
              <w14:schemeClr w14:val="tx1"/>
            </w14:solidFill>
          </w14:textFill>
        </w:rPr>
        <w:t>十三、合同份数</w:t>
      </w:r>
      <w:bookmarkEnd w:id="213"/>
      <w:bookmarkEnd w:id="214"/>
      <w:bookmarkEnd w:id="215"/>
    </w:p>
    <w:p w14:paraId="1D1B931D">
      <w:pPr>
        <w:spacing w:line="360" w:lineRule="auto"/>
        <w:ind w:firstLine="420"/>
        <w:rPr>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本合同一式拾贰份，均具有同等法律效力，发包人执陆份，承包人执陆份。</w:t>
      </w:r>
    </w:p>
    <w:p w14:paraId="631BFFAA">
      <w:pPr>
        <w:spacing w:line="360" w:lineRule="auto"/>
        <w:rPr>
          <w:color w:val="000000" w:themeColor="text1"/>
          <w:highlight w:val="none"/>
          <w14:textFill>
            <w14:solidFill>
              <w14:schemeClr w14:val="tx1"/>
            </w14:solidFill>
          </w14:textFill>
        </w:rPr>
      </w:pPr>
    </w:p>
    <w:p w14:paraId="5F2B4898">
      <w:pPr>
        <w:spacing w:line="360" w:lineRule="auto"/>
        <w:rPr>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发包人：</w:t>
      </w:r>
      <w:r>
        <w:rPr>
          <w:color w:val="000000" w:themeColor="text1"/>
          <w:highlight w:val="non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w:t>
      </w:r>
      <w:r>
        <w:rPr>
          <w:rFonts w:hint="eastAsia" w:hAnsi="宋体" w:cs="宋体"/>
          <w:color w:val="000000" w:themeColor="text1"/>
          <w:highlight w:val="none"/>
          <w14:textFill>
            <w14:solidFill>
              <w14:schemeClr w14:val="tx1"/>
            </w14:solidFill>
          </w14:textFill>
        </w:rPr>
        <w:t>公章</w:t>
      </w:r>
      <w:r>
        <w:rPr>
          <w:rFonts w:hint="eastAsia"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承包人：</w:t>
      </w:r>
      <w:r>
        <w:rPr>
          <w:color w:val="000000" w:themeColor="text1"/>
          <w:highlight w:val="non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w:t>
      </w:r>
      <w:r>
        <w:rPr>
          <w:rFonts w:hint="eastAsia" w:hAnsi="宋体" w:cs="宋体"/>
          <w:color w:val="000000" w:themeColor="text1"/>
          <w:highlight w:val="none"/>
          <w14:textFill>
            <w14:solidFill>
              <w14:schemeClr w14:val="tx1"/>
            </w14:solidFill>
          </w14:textFill>
        </w:rPr>
        <w:t>公章</w:t>
      </w:r>
      <w:r>
        <w:rPr>
          <w:rFonts w:hint="eastAsia" w:cs="宋体"/>
          <w:color w:val="000000" w:themeColor="text1"/>
          <w:highlight w:val="none"/>
          <w14:textFill>
            <w14:solidFill>
              <w14:schemeClr w14:val="tx1"/>
            </w14:solidFill>
          </w14:textFill>
        </w:rPr>
        <w:t>）</w:t>
      </w:r>
    </w:p>
    <w:p w14:paraId="1082D124">
      <w:pPr>
        <w:spacing w:line="360" w:lineRule="auto"/>
        <w:rPr>
          <w:color w:val="000000" w:themeColor="text1"/>
          <w:highlight w:val="none"/>
          <w:u w:val="single"/>
          <w14:textFill>
            <w14:solidFill>
              <w14:schemeClr w14:val="tx1"/>
            </w14:solidFill>
          </w14:textFill>
        </w:rPr>
      </w:pPr>
      <w:r>
        <w:rPr>
          <w:color w:val="000000" w:themeColor="text1"/>
          <w:highlight w:val="none"/>
          <w14:textFill>
            <w14:solidFill>
              <w14:schemeClr w14:val="tx1"/>
            </w14:solidFill>
          </w14:textFill>
        </w:rPr>
        <w:t xml:space="preserve">                                 </w:t>
      </w:r>
    </w:p>
    <w:p w14:paraId="3B0B2911">
      <w:pPr>
        <w:spacing w:line="360" w:lineRule="auto"/>
        <w:rPr>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法定代表人或其委托代理人：</w:t>
      </w:r>
      <w:r>
        <w:rPr>
          <w:color w:val="000000" w:themeColor="text1"/>
          <w:highlight w:val="non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法定代表人或其委托代理人：</w:t>
      </w:r>
    </w:p>
    <w:p w14:paraId="43669F4F">
      <w:pPr>
        <w:spacing w:line="360" w:lineRule="auto"/>
        <w:rPr>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（签字）</w:t>
      </w:r>
      <w:r>
        <w:rPr>
          <w:color w:val="000000" w:themeColor="text1"/>
          <w:highlight w:val="non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（签字）</w:t>
      </w:r>
    </w:p>
    <w:p w14:paraId="59CF05F3">
      <w:pPr>
        <w:spacing w:line="360" w:lineRule="auto"/>
        <w:rPr>
          <w:color w:val="000000" w:themeColor="text1"/>
          <w:highlight w:val="none"/>
          <w:u w:val="single"/>
          <w14:textFill>
            <w14:solidFill>
              <w14:schemeClr w14:val="tx1"/>
            </w14:solidFill>
          </w14:textFill>
        </w:rPr>
      </w:pPr>
    </w:p>
    <w:p w14:paraId="0E144C1D">
      <w:pPr>
        <w:tabs>
          <w:tab w:val="left" w:pos="4410"/>
        </w:tabs>
        <w:spacing w:line="360" w:lineRule="auto"/>
        <w:rPr>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统一社会信用代码：</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统一</w:t>
      </w:r>
      <w:r>
        <w:rPr>
          <w:rFonts w:hint="eastAsia" w:hAnsi="宋体" w:cs="宋体"/>
          <w:color w:val="000000" w:themeColor="text1"/>
          <w:highlight w:val="none"/>
          <w14:textFill>
            <w14:solidFill>
              <w14:schemeClr w14:val="tx1"/>
            </w14:solidFill>
          </w14:textFill>
        </w:rPr>
        <w:t>社会信用代码：</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w:t>
      </w:r>
    </w:p>
    <w:p w14:paraId="39F1D9A3">
      <w:pPr>
        <w:spacing w:line="360" w:lineRule="auto"/>
        <w:rPr>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地</w:t>
      </w:r>
      <w:r>
        <w:rPr>
          <w:color w:val="000000" w:themeColor="text1"/>
          <w:highlight w:val="non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址：</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地</w:t>
      </w:r>
      <w:r>
        <w:rPr>
          <w:color w:val="000000" w:themeColor="text1"/>
          <w:highlight w:val="non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址：</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p>
    <w:p w14:paraId="598E9CD9">
      <w:pPr>
        <w:spacing w:line="360" w:lineRule="auto"/>
        <w:rPr>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邮政编码：</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邮政编码：</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p>
    <w:p w14:paraId="6D252D3C">
      <w:pPr>
        <w:spacing w:line="360" w:lineRule="auto"/>
        <w:rPr>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法定代表人：</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法定代表人：</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p>
    <w:p w14:paraId="0A560051">
      <w:pPr>
        <w:spacing w:line="360" w:lineRule="auto"/>
        <w:rPr>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委托代理人：</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委托代理人：</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p>
    <w:p w14:paraId="5C328556">
      <w:pPr>
        <w:spacing w:line="360" w:lineRule="auto"/>
        <w:rPr>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电</w:t>
      </w:r>
      <w:r>
        <w:rPr>
          <w:color w:val="000000" w:themeColor="text1"/>
          <w:highlight w:val="non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话：</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电</w:t>
      </w:r>
      <w:r>
        <w:rPr>
          <w:color w:val="000000" w:themeColor="text1"/>
          <w:highlight w:val="non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话：</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p>
    <w:p w14:paraId="41A15855">
      <w:pPr>
        <w:spacing w:line="360" w:lineRule="auto"/>
        <w:rPr>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传</w:t>
      </w:r>
      <w:r>
        <w:rPr>
          <w:color w:val="000000" w:themeColor="text1"/>
          <w:highlight w:val="non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真：</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传</w:t>
      </w:r>
      <w:r>
        <w:rPr>
          <w:color w:val="000000" w:themeColor="text1"/>
          <w:highlight w:val="non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真：</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p>
    <w:p w14:paraId="50D820F8">
      <w:pPr>
        <w:spacing w:line="360" w:lineRule="auto"/>
        <w:rPr>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电子信箱：</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电子信箱：</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p>
    <w:p w14:paraId="4E19B040">
      <w:pPr>
        <w:spacing w:line="360" w:lineRule="auto"/>
        <w:rPr>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开户银行：</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开户银行：</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p>
    <w:p w14:paraId="2FD01153">
      <w:pPr>
        <w:rPr>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账</w:t>
      </w:r>
      <w:r>
        <w:rPr>
          <w:color w:val="000000" w:themeColor="text1"/>
          <w:highlight w:val="non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号：</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账</w:t>
      </w:r>
      <w:r>
        <w:rPr>
          <w:color w:val="000000" w:themeColor="text1"/>
          <w:highlight w:val="non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号：</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p>
    <w:p w14:paraId="66499614">
      <w:pPr>
        <w:pStyle w:val="2"/>
        <w:jc w:val="center"/>
        <w:rPr>
          <w:color w:val="000000" w:themeColor="text1"/>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br w:type="page" w:clear="all"/>
      </w:r>
      <w:bookmarkStart w:id="216" w:name="_Toc407135192"/>
      <w:bookmarkStart w:id="217" w:name="_Toc122424033"/>
      <w:bookmarkStart w:id="218" w:name="_Toc122424282"/>
      <w:bookmarkStart w:id="219" w:name="_Toc1714491818"/>
      <w:bookmarkStart w:id="220" w:name="_Toc389065256"/>
      <w:bookmarkStart w:id="221" w:name="_Toc78449778"/>
      <w:bookmarkStart w:id="222" w:name="_Toc86847323"/>
      <w:bookmarkStart w:id="223" w:name="_Toc373227691"/>
      <w:bookmarkStart w:id="224" w:name="_Toc351203632"/>
      <w:bookmarkStart w:id="225" w:name="_Toc373478338"/>
      <w:r>
        <w:rPr>
          <w:rFonts w:hint="eastAsia" w:cs="黑体"/>
          <w:color w:val="000000" w:themeColor="text1"/>
          <w:highlight w:val="none"/>
          <w14:textFill>
            <w14:solidFill>
              <w14:schemeClr w14:val="tx1"/>
            </w14:solidFill>
          </w14:textFill>
        </w:rPr>
        <w:t>第二部分</w:t>
      </w:r>
      <w:r>
        <w:rPr>
          <w:color w:val="000000" w:themeColor="text1"/>
          <w:highlight w:val="none"/>
          <w14:textFill>
            <w14:solidFill>
              <w14:schemeClr w14:val="tx1"/>
            </w14:solidFill>
          </w14:textFill>
        </w:rPr>
        <w:t xml:space="preserve"> </w:t>
      </w:r>
      <w:r>
        <w:rPr>
          <w:rFonts w:hint="eastAsia" w:cs="黑体"/>
          <w:color w:val="000000" w:themeColor="text1"/>
          <w:highlight w:val="none"/>
          <w14:textFill>
            <w14:solidFill>
              <w14:schemeClr w14:val="tx1"/>
            </w14:solidFill>
          </w14:textFill>
        </w:rPr>
        <w:t>通用合同条款</w:t>
      </w:r>
      <w:bookmarkEnd w:id="216"/>
      <w:bookmarkEnd w:id="217"/>
      <w:bookmarkEnd w:id="218"/>
      <w:bookmarkEnd w:id="219"/>
      <w:bookmarkEnd w:id="220"/>
      <w:bookmarkEnd w:id="221"/>
      <w:bookmarkEnd w:id="222"/>
    </w:p>
    <w:p w14:paraId="2867DE7B">
      <w:pPr>
        <w:spacing w:line="360" w:lineRule="auto"/>
        <w:ind w:firstLine="420"/>
        <w:rPr>
          <w:rFonts w:hAnsi="宋体"/>
          <w:color w:val="000000" w:themeColor="text1"/>
          <w:highlight w:val="none"/>
          <w14:textFill>
            <w14:solidFill>
              <w14:schemeClr w14:val="tx1"/>
            </w14:solidFill>
          </w14:textFill>
        </w:rPr>
      </w:pPr>
    </w:p>
    <w:p w14:paraId="11F861E8">
      <w:pPr>
        <w:spacing w:line="360" w:lineRule="auto"/>
        <w:ind w:firstLine="422"/>
        <w:rPr>
          <w:rFonts w:hAnsi="宋体"/>
          <w:b/>
          <w:bCs/>
          <w:color w:val="000000" w:themeColor="text1"/>
          <w:highlight w:val="none"/>
          <w14:textFill>
            <w14:solidFill>
              <w14:schemeClr w14:val="tx1"/>
            </w14:solidFill>
          </w14:textFill>
        </w:rPr>
      </w:pPr>
      <w:r>
        <w:rPr>
          <w:rFonts w:hint="eastAsia" w:hAnsi="宋体" w:cs="宋体"/>
          <w:b/>
          <w:bCs/>
          <w:color w:val="000000" w:themeColor="text1"/>
          <w:highlight w:val="none"/>
          <w14:textFill>
            <w14:solidFill>
              <w14:schemeClr w14:val="tx1"/>
            </w14:solidFill>
          </w14:textFill>
        </w:rPr>
        <w:t>采用《建设工程施工合同（示范文本）》（</w:t>
      </w:r>
      <w:r>
        <w:rPr>
          <w:rFonts w:hAnsi="宋体"/>
          <w:b/>
          <w:bCs/>
          <w:color w:val="000000" w:themeColor="text1"/>
          <w:highlight w:val="none"/>
          <w14:textFill>
            <w14:solidFill>
              <w14:schemeClr w14:val="tx1"/>
            </w14:solidFill>
          </w14:textFill>
        </w:rPr>
        <w:t>GF</w:t>
      </w:r>
      <w:r>
        <w:rPr>
          <w:rFonts w:hAnsi="宋体" w:cs="宋体"/>
          <w:b/>
          <w:bCs/>
          <w:color w:val="000000" w:themeColor="text1"/>
          <w:highlight w:val="none"/>
          <w14:textFill>
            <w14:solidFill>
              <w14:schemeClr w14:val="tx1"/>
            </w14:solidFill>
          </w14:textFill>
        </w:rPr>
        <w:t>—</w:t>
      </w:r>
      <w:r>
        <w:rPr>
          <w:rFonts w:hAnsi="宋体"/>
          <w:b/>
          <w:bCs/>
          <w:color w:val="000000" w:themeColor="text1"/>
          <w:highlight w:val="none"/>
          <w14:textFill>
            <w14:solidFill>
              <w14:schemeClr w14:val="tx1"/>
            </w14:solidFill>
          </w14:textFill>
        </w:rPr>
        <w:t>201</w:t>
      </w:r>
      <w:r>
        <w:rPr>
          <w:rFonts w:hint="eastAsia" w:hAnsi="宋体"/>
          <w:b/>
          <w:bCs/>
          <w:color w:val="000000" w:themeColor="text1"/>
          <w:highlight w:val="none"/>
          <w14:textFill>
            <w14:solidFill>
              <w14:schemeClr w14:val="tx1"/>
            </w14:solidFill>
          </w14:textFill>
        </w:rPr>
        <w:t>7</w:t>
      </w:r>
      <w:r>
        <w:rPr>
          <w:rFonts w:hAnsi="宋体" w:cs="宋体"/>
          <w:b/>
          <w:bCs/>
          <w:color w:val="000000" w:themeColor="text1"/>
          <w:highlight w:val="none"/>
          <w14:textFill>
            <w14:solidFill>
              <w14:schemeClr w14:val="tx1"/>
            </w14:solidFill>
          </w14:textFill>
        </w:rPr>
        <w:t>—</w:t>
      </w:r>
      <w:r>
        <w:rPr>
          <w:rFonts w:hAnsi="宋体"/>
          <w:b/>
          <w:bCs/>
          <w:color w:val="000000" w:themeColor="text1"/>
          <w:highlight w:val="none"/>
          <w14:textFill>
            <w14:solidFill>
              <w14:schemeClr w14:val="tx1"/>
            </w14:solidFill>
          </w14:textFill>
        </w:rPr>
        <w:t>0201</w:t>
      </w:r>
      <w:r>
        <w:rPr>
          <w:rFonts w:hint="eastAsia" w:hAnsi="宋体" w:cs="宋体"/>
          <w:b/>
          <w:bCs/>
          <w:color w:val="000000" w:themeColor="text1"/>
          <w:highlight w:val="none"/>
          <w14:textFill>
            <w14:solidFill>
              <w14:schemeClr w14:val="tx1"/>
            </w14:solidFill>
          </w14:textFill>
        </w:rPr>
        <w:t>）。</w:t>
      </w:r>
    </w:p>
    <w:p w14:paraId="093E2ED4">
      <w:pPr>
        <w:pStyle w:val="2"/>
        <w:keepNext w:val="0"/>
        <w:keepLines w:val="0"/>
        <w:jc w:val="center"/>
        <w:rPr>
          <w:rFonts w:hAnsi="宋体"/>
          <w:color w:val="000000" w:themeColor="text1"/>
          <w:sz w:val="30"/>
          <w:szCs w:val="30"/>
          <w:highlight w:val="none"/>
          <w14:textFill>
            <w14:solidFill>
              <w14:schemeClr w14:val="tx1"/>
            </w14:solidFill>
          </w14:textFill>
        </w:rPr>
      </w:pPr>
      <w:bookmarkStart w:id="226" w:name="_Toc78449779"/>
      <w:bookmarkStart w:id="227" w:name="_Toc407135193"/>
      <w:bookmarkStart w:id="228" w:name="_Toc1204138598"/>
      <w:bookmarkStart w:id="229" w:name="_Toc122424034"/>
      <w:bookmarkStart w:id="230" w:name="_Toc122424283"/>
      <w:bookmarkStart w:id="231" w:name="_Toc704444909"/>
      <w:bookmarkStart w:id="232" w:name="_Toc389065257"/>
      <w:r>
        <w:rPr>
          <w:rFonts w:hint="eastAsia" w:hAnsi="宋体" w:cs="黑体"/>
          <w:color w:val="000000" w:themeColor="text1"/>
          <w:sz w:val="30"/>
          <w:szCs w:val="30"/>
          <w:highlight w:val="none"/>
          <w14:textFill>
            <w14:solidFill>
              <w14:schemeClr w14:val="tx1"/>
            </w14:solidFill>
          </w14:textFill>
        </w:rPr>
        <w:t>第三部分</w:t>
      </w:r>
      <w:r>
        <w:rPr>
          <w:color w:val="000000" w:themeColor="text1"/>
          <w:sz w:val="30"/>
          <w:szCs w:val="30"/>
          <w:highlight w:val="none"/>
          <w14:textFill>
            <w14:solidFill>
              <w14:schemeClr w14:val="tx1"/>
            </w14:solidFill>
          </w14:textFill>
        </w:rPr>
        <w:t xml:space="preserve"> </w:t>
      </w:r>
      <w:r>
        <w:rPr>
          <w:rFonts w:hint="eastAsia" w:hAnsi="宋体" w:cs="黑体"/>
          <w:color w:val="000000" w:themeColor="text1"/>
          <w:sz w:val="30"/>
          <w:szCs w:val="30"/>
          <w:highlight w:val="none"/>
          <w14:textFill>
            <w14:solidFill>
              <w14:schemeClr w14:val="tx1"/>
            </w14:solidFill>
          </w14:textFill>
        </w:rPr>
        <w:t>专用合同条款</w:t>
      </w:r>
      <w:bookmarkEnd w:id="223"/>
      <w:bookmarkEnd w:id="224"/>
      <w:bookmarkEnd w:id="225"/>
      <w:bookmarkEnd w:id="226"/>
      <w:bookmarkEnd w:id="227"/>
      <w:bookmarkEnd w:id="228"/>
      <w:bookmarkEnd w:id="229"/>
      <w:bookmarkEnd w:id="230"/>
      <w:bookmarkEnd w:id="231"/>
      <w:bookmarkEnd w:id="232"/>
    </w:p>
    <w:p w14:paraId="43C6CA6F">
      <w:pPr>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 一般约定</w:t>
      </w:r>
    </w:p>
    <w:p w14:paraId="544CF112">
      <w:pPr>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 词语定义</w:t>
      </w:r>
    </w:p>
    <w:p w14:paraId="6EC71C6A">
      <w:pPr>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1.1.1 合同</w:t>
      </w:r>
    </w:p>
    <w:p w14:paraId="05F536FD">
      <w:pPr>
        <w:spacing w:line="360" w:lineRule="auto"/>
        <w:ind w:firstLine="600"/>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1.1.1.10 其他合同文件包括：</w:t>
      </w:r>
      <w:r>
        <w:rPr>
          <w:rFonts w:hint="eastAsia" w:ascii="宋体" w:hAnsi="宋体" w:cs="宋体"/>
          <w:color w:val="000000" w:themeColor="text1"/>
          <w:sz w:val="24"/>
          <w:highlight w:val="none"/>
          <w:u w:val="single"/>
          <w14:textFill>
            <w14:solidFill>
              <w14:schemeClr w14:val="tx1"/>
            </w14:solidFill>
          </w14:textFill>
        </w:rPr>
        <w:t>双方在履行合同过程中形成的双方授权代表签署的会议纪要、备忘录、补充文件、变更和洽商等书面形式的文件构成本合同的组成部分。</w:t>
      </w:r>
    </w:p>
    <w:p w14:paraId="3EC0E4D3">
      <w:pPr>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1.1.2 合同当事人及其他相关方</w:t>
      </w:r>
    </w:p>
    <w:p w14:paraId="29135328">
      <w:pPr>
        <w:spacing w:line="360" w:lineRule="auto"/>
        <w:ind w:firstLine="480"/>
        <w:outlineLvl w:val="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1.1.2.4 监理人：</w:t>
      </w:r>
    </w:p>
    <w:p w14:paraId="2A646E14">
      <w:pPr>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名    称：</w:t>
      </w:r>
      <w:r>
        <w:rPr>
          <w:rFonts w:hint="eastAsia" w:ascii="宋体" w:hAnsi="宋体" w:cs="宋体"/>
          <w:color w:val="000000" w:themeColor="text1"/>
          <w:sz w:val="24"/>
          <w:highlight w:val="none"/>
          <w:u w:val="single"/>
          <w14:textFill>
            <w14:solidFill>
              <w14:schemeClr w14:val="tx1"/>
            </w14:solidFill>
          </w14:textFill>
        </w:rPr>
        <w:t xml:space="preserve"> 详见监理合同  </w:t>
      </w:r>
      <w:r>
        <w:rPr>
          <w:rFonts w:hint="eastAsia" w:ascii="宋体" w:hAnsi="宋体" w:cs="宋体"/>
          <w:color w:val="000000" w:themeColor="text1"/>
          <w:sz w:val="24"/>
          <w:highlight w:val="none"/>
          <w14:textFill>
            <w14:solidFill>
              <w14:schemeClr w14:val="tx1"/>
            </w14:solidFill>
          </w14:textFill>
        </w:rPr>
        <w:t>；</w:t>
      </w:r>
    </w:p>
    <w:p w14:paraId="1DDAE053">
      <w:pPr>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资质类别和等级：</w:t>
      </w:r>
      <w:r>
        <w:rPr>
          <w:rFonts w:hint="eastAsia" w:ascii="宋体" w:hAnsi="宋体" w:cs="宋体"/>
          <w:color w:val="000000" w:themeColor="text1"/>
          <w:sz w:val="24"/>
          <w:highlight w:val="none"/>
          <w:u w:val="single"/>
          <w14:textFill>
            <w14:solidFill>
              <w14:schemeClr w14:val="tx1"/>
            </w14:solidFill>
          </w14:textFill>
        </w:rPr>
        <w:t xml:space="preserve">  详见监理合同  </w:t>
      </w:r>
      <w:r>
        <w:rPr>
          <w:rFonts w:hint="eastAsia" w:ascii="宋体" w:hAnsi="宋体" w:cs="宋体"/>
          <w:color w:val="000000" w:themeColor="text1"/>
          <w:sz w:val="24"/>
          <w:highlight w:val="none"/>
          <w14:textFill>
            <w14:solidFill>
              <w14:schemeClr w14:val="tx1"/>
            </w14:solidFill>
          </w14:textFill>
        </w:rPr>
        <w:t>；</w:t>
      </w:r>
    </w:p>
    <w:p w14:paraId="277B2DC4">
      <w:pPr>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联系电话：</w:t>
      </w:r>
      <w:r>
        <w:rPr>
          <w:rFonts w:hint="eastAsia" w:ascii="宋体" w:hAnsi="宋体" w:cs="宋体"/>
          <w:color w:val="000000" w:themeColor="text1"/>
          <w:sz w:val="24"/>
          <w:highlight w:val="none"/>
          <w:u w:val="single"/>
          <w14:textFill>
            <w14:solidFill>
              <w14:schemeClr w14:val="tx1"/>
            </w14:solidFill>
          </w14:textFill>
        </w:rPr>
        <w:t xml:space="preserve"> 详见监理合同  </w:t>
      </w:r>
      <w:r>
        <w:rPr>
          <w:rFonts w:hint="eastAsia" w:ascii="宋体" w:hAnsi="宋体" w:cs="宋体"/>
          <w:color w:val="000000" w:themeColor="text1"/>
          <w:sz w:val="24"/>
          <w:highlight w:val="none"/>
          <w14:textFill>
            <w14:solidFill>
              <w14:schemeClr w14:val="tx1"/>
            </w14:solidFill>
          </w14:textFill>
        </w:rPr>
        <w:t>；</w:t>
      </w:r>
    </w:p>
    <w:p w14:paraId="21F56713">
      <w:pPr>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电子信箱：</w:t>
      </w:r>
      <w:r>
        <w:rPr>
          <w:rFonts w:hint="eastAsia" w:ascii="宋体" w:hAnsi="宋体" w:cs="宋体"/>
          <w:color w:val="000000" w:themeColor="text1"/>
          <w:sz w:val="24"/>
          <w:highlight w:val="none"/>
          <w:u w:val="single"/>
          <w14:textFill>
            <w14:solidFill>
              <w14:schemeClr w14:val="tx1"/>
            </w14:solidFill>
          </w14:textFill>
        </w:rPr>
        <w:t xml:space="preserve"> 详见监理合同  </w:t>
      </w:r>
      <w:r>
        <w:rPr>
          <w:rFonts w:hint="eastAsia" w:ascii="宋体" w:hAnsi="宋体" w:cs="宋体"/>
          <w:color w:val="000000" w:themeColor="text1"/>
          <w:sz w:val="24"/>
          <w:highlight w:val="none"/>
          <w14:textFill>
            <w14:solidFill>
              <w14:schemeClr w14:val="tx1"/>
            </w14:solidFill>
          </w14:textFill>
        </w:rPr>
        <w:t>；</w:t>
      </w:r>
    </w:p>
    <w:p w14:paraId="69BE4506">
      <w:pPr>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通信地址：</w:t>
      </w:r>
      <w:r>
        <w:rPr>
          <w:rFonts w:hint="eastAsia" w:ascii="宋体" w:hAnsi="宋体" w:cs="宋体"/>
          <w:color w:val="000000" w:themeColor="text1"/>
          <w:sz w:val="24"/>
          <w:highlight w:val="none"/>
          <w:u w:val="single"/>
          <w14:textFill>
            <w14:solidFill>
              <w14:schemeClr w14:val="tx1"/>
            </w14:solidFill>
          </w14:textFill>
        </w:rPr>
        <w:t xml:space="preserve">  详见监理合同  </w:t>
      </w:r>
      <w:r>
        <w:rPr>
          <w:rFonts w:hint="eastAsia" w:ascii="宋体" w:hAnsi="宋体" w:cs="宋体"/>
          <w:color w:val="000000" w:themeColor="text1"/>
          <w:sz w:val="24"/>
          <w:highlight w:val="none"/>
          <w14:textFill>
            <w14:solidFill>
              <w14:schemeClr w14:val="tx1"/>
            </w14:solidFill>
          </w14:textFill>
        </w:rPr>
        <w:t>。</w:t>
      </w:r>
    </w:p>
    <w:p w14:paraId="5596480E">
      <w:pPr>
        <w:spacing w:line="360" w:lineRule="auto"/>
        <w:ind w:firstLine="480"/>
        <w:outlineLvl w:val="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1.1.2.5 设计人：</w:t>
      </w:r>
    </w:p>
    <w:p w14:paraId="7412176D">
      <w:pPr>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名    称：</w:t>
      </w:r>
      <w:r>
        <w:rPr>
          <w:rFonts w:hint="eastAsia" w:ascii="宋体" w:hAnsi="宋体" w:cs="宋体"/>
          <w:color w:val="000000" w:themeColor="text1"/>
          <w:sz w:val="24"/>
          <w:highlight w:val="none"/>
          <w:u w:val="single"/>
          <w14:textFill>
            <w14:solidFill>
              <w14:schemeClr w14:val="tx1"/>
            </w14:solidFill>
          </w14:textFill>
        </w:rPr>
        <w:t xml:space="preserve">  详见设计合同   </w:t>
      </w:r>
      <w:r>
        <w:rPr>
          <w:rFonts w:hint="eastAsia" w:ascii="宋体" w:hAnsi="宋体" w:cs="宋体"/>
          <w:color w:val="000000" w:themeColor="text1"/>
          <w:sz w:val="24"/>
          <w:highlight w:val="none"/>
          <w14:textFill>
            <w14:solidFill>
              <w14:schemeClr w14:val="tx1"/>
            </w14:solidFill>
          </w14:textFill>
        </w:rPr>
        <w:t>；</w:t>
      </w:r>
    </w:p>
    <w:p w14:paraId="38BA4775">
      <w:pPr>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资质类别和等级：</w:t>
      </w:r>
      <w:r>
        <w:rPr>
          <w:rFonts w:hint="eastAsia" w:ascii="宋体" w:hAnsi="宋体" w:cs="宋体"/>
          <w:color w:val="000000" w:themeColor="text1"/>
          <w:sz w:val="24"/>
          <w:highlight w:val="none"/>
          <w:u w:val="single"/>
          <w14:textFill>
            <w14:solidFill>
              <w14:schemeClr w14:val="tx1"/>
            </w14:solidFill>
          </w14:textFill>
        </w:rPr>
        <w:t xml:space="preserve">  详见设计合同  </w:t>
      </w:r>
      <w:r>
        <w:rPr>
          <w:rFonts w:hint="eastAsia" w:ascii="宋体" w:hAnsi="宋体" w:cs="宋体"/>
          <w:color w:val="000000" w:themeColor="text1"/>
          <w:sz w:val="24"/>
          <w:highlight w:val="none"/>
          <w14:textFill>
            <w14:solidFill>
              <w14:schemeClr w14:val="tx1"/>
            </w14:solidFill>
          </w14:textFill>
        </w:rPr>
        <w:t>；</w:t>
      </w:r>
    </w:p>
    <w:p w14:paraId="2C19831A">
      <w:pPr>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联系电话：</w:t>
      </w:r>
      <w:r>
        <w:rPr>
          <w:rFonts w:hint="eastAsia" w:ascii="宋体" w:hAnsi="宋体" w:cs="宋体"/>
          <w:color w:val="000000" w:themeColor="text1"/>
          <w:sz w:val="24"/>
          <w:highlight w:val="none"/>
          <w:u w:val="single"/>
          <w14:textFill>
            <w14:solidFill>
              <w14:schemeClr w14:val="tx1"/>
            </w14:solidFill>
          </w14:textFill>
        </w:rPr>
        <w:t xml:space="preserve">   详见设计合同   </w:t>
      </w:r>
      <w:r>
        <w:rPr>
          <w:rFonts w:hint="eastAsia" w:ascii="宋体" w:hAnsi="宋体" w:cs="宋体"/>
          <w:color w:val="000000" w:themeColor="text1"/>
          <w:sz w:val="24"/>
          <w:highlight w:val="none"/>
          <w14:textFill>
            <w14:solidFill>
              <w14:schemeClr w14:val="tx1"/>
            </w14:solidFill>
          </w14:textFill>
        </w:rPr>
        <w:t>；</w:t>
      </w:r>
    </w:p>
    <w:p w14:paraId="43CD32A3">
      <w:pPr>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电子信箱：</w:t>
      </w:r>
      <w:r>
        <w:rPr>
          <w:rFonts w:hint="eastAsia" w:ascii="宋体" w:hAnsi="宋体" w:cs="宋体"/>
          <w:color w:val="000000" w:themeColor="text1"/>
          <w:sz w:val="24"/>
          <w:highlight w:val="none"/>
          <w:u w:val="single"/>
          <w14:textFill>
            <w14:solidFill>
              <w14:schemeClr w14:val="tx1"/>
            </w14:solidFill>
          </w14:textFill>
        </w:rPr>
        <w:t xml:space="preserve">   详见设计合同  </w:t>
      </w:r>
      <w:r>
        <w:rPr>
          <w:rFonts w:hint="eastAsia" w:ascii="宋体" w:hAnsi="宋体" w:cs="宋体"/>
          <w:color w:val="000000" w:themeColor="text1"/>
          <w:sz w:val="24"/>
          <w:highlight w:val="none"/>
          <w14:textFill>
            <w14:solidFill>
              <w14:schemeClr w14:val="tx1"/>
            </w14:solidFill>
          </w14:textFill>
        </w:rPr>
        <w:t>；</w:t>
      </w:r>
    </w:p>
    <w:p w14:paraId="36BFE5A2">
      <w:pPr>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通信地址：</w:t>
      </w:r>
      <w:r>
        <w:rPr>
          <w:rFonts w:hint="eastAsia" w:ascii="宋体" w:hAnsi="宋体" w:cs="宋体"/>
          <w:color w:val="000000" w:themeColor="text1"/>
          <w:sz w:val="24"/>
          <w:highlight w:val="none"/>
          <w:u w:val="single"/>
          <w14:textFill>
            <w14:solidFill>
              <w14:schemeClr w14:val="tx1"/>
            </w14:solidFill>
          </w14:textFill>
        </w:rPr>
        <w:t xml:space="preserve">   详见设计合同   </w:t>
      </w:r>
      <w:r>
        <w:rPr>
          <w:rFonts w:hint="eastAsia" w:ascii="宋体" w:hAnsi="宋体" w:cs="宋体"/>
          <w:color w:val="000000" w:themeColor="text1"/>
          <w:sz w:val="24"/>
          <w:highlight w:val="none"/>
          <w14:textFill>
            <w14:solidFill>
              <w14:schemeClr w14:val="tx1"/>
            </w14:solidFill>
          </w14:textFill>
        </w:rPr>
        <w:t>。</w:t>
      </w:r>
    </w:p>
    <w:p w14:paraId="21EA7B0E">
      <w:pPr>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1.1.3 工程和设备</w:t>
      </w:r>
    </w:p>
    <w:p w14:paraId="72DC5FF3">
      <w:pPr>
        <w:spacing w:line="360" w:lineRule="auto"/>
        <w:ind w:firstLine="480"/>
        <w:outlineLvl w:val="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1.1.3.7 作为施工现场组成部分的其他场所包括：</w:t>
      </w:r>
      <w:r>
        <w:rPr>
          <w:rFonts w:hint="eastAsia" w:ascii="宋体" w:hAnsi="宋体" w:cs="宋体"/>
          <w:color w:val="000000" w:themeColor="text1"/>
          <w:sz w:val="24"/>
          <w:highlight w:val="none"/>
          <w:u w:val="single"/>
          <w14:textFill>
            <w14:solidFill>
              <w14:schemeClr w14:val="tx1"/>
            </w14:solidFill>
          </w14:textFill>
        </w:rPr>
        <w:t xml:space="preserve">项目部等    </w:t>
      </w:r>
      <w:r>
        <w:rPr>
          <w:rFonts w:hint="eastAsia" w:ascii="宋体" w:hAnsi="宋体" w:cs="宋体"/>
          <w:color w:val="000000" w:themeColor="text1"/>
          <w:sz w:val="24"/>
          <w:highlight w:val="none"/>
          <w14:textFill>
            <w14:solidFill>
              <w14:schemeClr w14:val="tx1"/>
            </w14:solidFill>
          </w14:textFill>
        </w:rPr>
        <w:t>。</w:t>
      </w:r>
    </w:p>
    <w:p w14:paraId="03F61C93">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1.1.3.9 永久占地包括：</w:t>
      </w:r>
      <w:r>
        <w:rPr>
          <w:rFonts w:hint="eastAsia" w:ascii="宋体" w:hAnsi="宋体" w:cs="宋体"/>
          <w:color w:val="000000" w:themeColor="text1"/>
          <w:sz w:val="24"/>
          <w:highlight w:val="none"/>
          <w:u w:val="single"/>
          <w14:textFill>
            <w14:solidFill>
              <w14:schemeClr w14:val="tx1"/>
            </w14:solidFill>
          </w14:textFill>
        </w:rPr>
        <w:t xml:space="preserve">本工程规划红线内需占用的土地    </w:t>
      </w:r>
      <w:r>
        <w:rPr>
          <w:rFonts w:hint="eastAsia" w:ascii="宋体" w:hAnsi="宋体" w:cs="宋体"/>
          <w:color w:val="000000" w:themeColor="text1"/>
          <w:sz w:val="24"/>
          <w:highlight w:val="none"/>
          <w14:textFill>
            <w14:solidFill>
              <w14:schemeClr w14:val="tx1"/>
            </w14:solidFill>
          </w14:textFill>
        </w:rPr>
        <w:t>。</w:t>
      </w:r>
    </w:p>
    <w:p w14:paraId="49B999B8">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1.1.3.10 临时占地包括：</w:t>
      </w:r>
      <w:r>
        <w:rPr>
          <w:rFonts w:hint="eastAsia" w:ascii="宋体" w:hAnsi="宋体" w:cs="宋体"/>
          <w:color w:val="000000" w:themeColor="text1"/>
          <w:sz w:val="24"/>
          <w:highlight w:val="none"/>
          <w:u w:val="single"/>
          <w14:textFill>
            <w14:solidFill>
              <w14:schemeClr w14:val="tx1"/>
            </w14:solidFill>
          </w14:textFill>
        </w:rPr>
        <w:t xml:space="preserve">临时工人宿舍、实验室、材料堆放场、材料加工场及施工便道用地等 </w:t>
      </w:r>
      <w:r>
        <w:rPr>
          <w:rFonts w:hint="eastAsia" w:ascii="宋体" w:hAnsi="宋体" w:cs="宋体"/>
          <w:color w:val="000000" w:themeColor="text1"/>
          <w:sz w:val="24"/>
          <w:highlight w:val="none"/>
          <w14:textFill>
            <w14:solidFill>
              <w14:schemeClr w14:val="tx1"/>
            </w14:solidFill>
          </w14:textFill>
        </w:rPr>
        <w:t>。</w:t>
      </w:r>
    </w:p>
    <w:p w14:paraId="2523FC9B">
      <w:pPr>
        <w:pStyle w:val="4"/>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1.3 法律</w:t>
      </w:r>
    </w:p>
    <w:p w14:paraId="7B1D346C">
      <w:pPr>
        <w:pStyle w:val="374"/>
        <w:spacing w:line="360" w:lineRule="auto"/>
        <w:ind w:firstLine="48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适用于合同的其他规范性文件：</w:t>
      </w:r>
      <w:r>
        <w:rPr>
          <w:rFonts w:hint="eastAsia" w:ascii="宋体" w:hAnsi="宋体" w:cs="宋体"/>
          <w:color w:val="000000" w:themeColor="text1"/>
          <w:sz w:val="24"/>
          <w:szCs w:val="24"/>
          <w:highlight w:val="none"/>
          <w:u w:val="single"/>
          <w14:textFill>
            <w14:solidFill>
              <w14:schemeClr w14:val="tx1"/>
            </w14:solidFill>
          </w14:textFill>
        </w:rPr>
        <w:t xml:space="preserve">现行《中华人民共和国建筑法》、《中华人民共和国民法典》、《中华人民共和国招标投标法》、《建设工程质量管理条例》、《建筑施工合同管理办法》《建设工程安全生产管理条例》及省市地方建设工程的法律、法规等 </w:t>
      </w:r>
      <w:r>
        <w:rPr>
          <w:rFonts w:hint="eastAsia" w:ascii="宋体" w:hAnsi="宋体" w:cs="宋体"/>
          <w:color w:val="000000" w:themeColor="text1"/>
          <w:sz w:val="24"/>
          <w:szCs w:val="24"/>
          <w:highlight w:val="none"/>
          <w14:textFill>
            <w14:solidFill>
              <w14:schemeClr w14:val="tx1"/>
            </w14:solidFill>
          </w14:textFill>
        </w:rPr>
        <w:t>。</w:t>
      </w:r>
    </w:p>
    <w:p w14:paraId="766672DA">
      <w:pPr>
        <w:pStyle w:val="4"/>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1.4 标准和规范</w:t>
      </w:r>
    </w:p>
    <w:p w14:paraId="415FC240">
      <w:pPr>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1.4.1 适用于工程的标准规范包括：</w:t>
      </w:r>
      <w:r>
        <w:rPr>
          <w:rFonts w:hint="eastAsia" w:ascii="宋体" w:hAnsi="宋体" w:cs="宋体"/>
          <w:color w:val="000000" w:themeColor="text1"/>
          <w:sz w:val="24"/>
          <w:highlight w:val="none"/>
          <w:u w:val="single"/>
          <w14:textFill>
            <w14:solidFill>
              <w14:schemeClr w14:val="tx1"/>
            </w14:solidFill>
          </w14:textFill>
        </w:rPr>
        <w:t>国家现行有效的有关建设项目管理、施工、验收及保修等规范和标准，以及项目主管部门批准的文件。发包人根据本工程具体情况，依照国家有关标准制订的施工技术规定及验收办法。</w:t>
      </w:r>
    </w:p>
    <w:p w14:paraId="1F328902">
      <w:pPr>
        <w:spacing w:line="360" w:lineRule="auto"/>
        <w:ind w:firstLine="480"/>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1.4.2 发包人提供国外标准、规范的名称：</w:t>
      </w:r>
      <w:r>
        <w:rPr>
          <w:rFonts w:hint="eastAsia" w:ascii="宋体" w:hAnsi="宋体" w:cs="宋体"/>
          <w:color w:val="000000" w:themeColor="text1"/>
          <w:sz w:val="24"/>
          <w:highlight w:val="none"/>
          <w:u w:val="single"/>
          <w14:textFill>
            <w14:solidFill>
              <w14:schemeClr w14:val="tx1"/>
            </w14:solidFill>
          </w14:textFill>
        </w:rPr>
        <w:t xml:space="preserve">            无            </w:t>
      </w:r>
    </w:p>
    <w:p w14:paraId="0F80F95B">
      <w:pPr>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发包人提供国外标准、规范的份数：</w:t>
      </w:r>
      <w:r>
        <w:rPr>
          <w:rFonts w:hint="eastAsia" w:ascii="宋体" w:hAnsi="宋体" w:cs="宋体"/>
          <w:color w:val="000000" w:themeColor="text1"/>
          <w:sz w:val="24"/>
          <w:highlight w:val="none"/>
          <w:u w:val="single"/>
          <w14:textFill>
            <w14:solidFill>
              <w14:schemeClr w14:val="tx1"/>
            </w14:solidFill>
          </w14:textFill>
        </w:rPr>
        <w:t xml:space="preserve">               无         </w:t>
      </w:r>
      <w:r>
        <w:rPr>
          <w:rFonts w:hint="eastAsia" w:ascii="宋体" w:hAnsi="宋体" w:cs="宋体"/>
          <w:color w:val="000000" w:themeColor="text1"/>
          <w:sz w:val="24"/>
          <w:highlight w:val="none"/>
          <w14:textFill>
            <w14:solidFill>
              <w14:schemeClr w14:val="tx1"/>
            </w14:solidFill>
          </w14:textFill>
        </w:rPr>
        <w:t>；</w:t>
      </w:r>
    </w:p>
    <w:p w14:paraId="2580BFA4">
      <w:pPr>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发包人提供国外标准、规范的名称：</w:t>
      </w:r>
      <w:r>
        <w:rPr>
          <w:rFonts w:hint="eastAsia" w:ascii="宋体" w:hAnsi="宋体" w:cs="宋体"/>
          <w:color w:val="000000" w:themeColor="text1"/>
          <w:sz w:val="24"/>
          <w:highlight w:val="none"/>
          <w:u w:val="single"/>
          <w14:textFill>
            <w14:solidFill>
              <w14:schemeClr w14:val="tx1"/>
            </w14:solidFill>
          </w14:textFill>
        </w:rPr>
        <w:t xml:space="preserve">            无            </w:t>
      </w:r>
      <w:r>
        <w:rPr>
          <w:rFonts w:hint="eastAsia" w:ascii="宋体" w:hAnsi="宋体" w:cs="宋体"/>
          <w:color w:val="000000" w:themeColor="text1"/>
          <w:sz w:val="24"/>
          <w:highlight w:val="none"/>
          <w14:textFill>
            <w14:solidFill>
              <w14:schemeClr w14:val="tx1"/>
            </w14:solidFill>
          </w14:textFill>
        </w:rPr>
        <w:t>。</w:t>
      </w:r>
    </w:p>
    <w:p w14:paraId="4A4737DA">
      <w:pPr>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1.4.3 发包人对工程的技术标准和功能要求的特殊要求：</w:t>
      </w:r>
      <w:r>
        <w:rPr>
          <w:rFonts w:hint="eastAsia" w:ascii="宋体" w:hAnsi="宋体" w:cs="宋体"/>
          <w:color w:val="000000" w:themeColor="text1"/>
          <w:sz w:val="24"/>
          <w:highlight w:val="none"/>
          <w:u w:val="single"/>
          <w14:textFill>
            <w14:solidFill>
              <w14:schemeClr w14:val="tx1"/>
            </w14:solidFill>
          </w14:textFill>
        </w:rPr>
        <w:t xml:space="preserve">      无     </w:t>
      </w:r>
      <w:r>
        <w:rPr>
          <w:rFonts w:hint="eastAsia" w:ascii="宋体" w:hAnsi="宋体" w:cs="宋体"/>
          <w:color w:val="000000" w:themeColor="text1"/>
          <w:sz w:val="24"/>
          <w:highlight w:val="none"/>
          <w14:textFill>
            <w14:solidFill>
              <w14:schemeClr w14:val="tx1"/>
            </w14:solidFill>
          </w14:textFill>
        </w:rPr>
        <w:t>。</w:t>
      </w:r>
    </w:p>
    <w:p w14:paraId="73BBF40C">
      <w:pPr>
        <w:pStyle w:val="4"/>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1.5 合同文件的优先顺序</w:t>
      </w:r>
    </w:p>
    <w:p w14:paraId="6A145C2E">
      <w:pPr>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合同文件组成及优先顺序为：</w:t>
      </w:r>
    </w:p>
    <w:p w14:paraId="6CA31256">
      <w:pPr>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（1）中标（成交）通知书（如果有）；</w:t>
      </w:r>
    </w:p>
    <w:p w14:paraId="5F540143">
      <w:pPr>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（2）投标函及其附录（如果有）； </w:t>
      </w:r>
    </w:p>
    <w:p w14:paraId="61282FDE">
      <w:pPr>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（3）专用合同条款及其附件；</w:t>
      </w:r>
    </w:p>
    <w:p w14:paraId="2CAE3E21">
      <w:pPr>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（4）通用合同条款；</w:t>
      </w:r>
    </w:p>
    <w:p w14:paraId="7C025617">
      <w:pPr>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（5）技术标准和要求；</w:t>
      </w:r>
    </w:p>
    <w:p w14:paraId="30BA1D5C">
      <w:pPr>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（6）已标价工程量清单或预算书；</w:t>
      </w:r>
    </w:p>
    <w:p w14:paraId="0AFC3021">
      <w:pPr>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（7）图纸；</w:t>
      </w:r>
    </w:p>
    <w:p w14:paraId="6D7D45DF">
      <w:pPr>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（8）竞争性磋商文件及其附件（含所有补遗通知书和答疑）</w:t>
      </w:r>
    </w:p>
    <w:p w14:paraId="0C72E790">
      <w:pPr>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（9）其他合同文件。</w:t>
      </w:r>
    </w:p>
    <w:p w14:paraId="5CF242A9">
      <w:pPr>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上述各项合同文件包括合同当事人就该项合同文件所作出的补充和修改，属于同一类内容的文件，应以最新签署的为准（违反招标文件实质性内容的约定除外）。专用合同条款及其附件须经合同当事人签字或盖章。</w:t>
      </w:r>
    </w:p>
    <w:p w14:paraId="417D39FA">
      <w:pPr>
        <w:pStyle w:val="4"/>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1.6 图纸和承包人文件</w:t>
      </w:r>
      <w:r>
        <w:rPr>
          <w:rFonts w:hint="eastAsia" w:ascii="宋体" w:hAnsi="宋体" w:cs="宋体"/>
          <w:color w:val="000000" w:themeColor="text1"/>
          <w:sz w:val="24"/>
          <w:szCs w:val="24"/>
          <w:highlight w:val="none"/>
          <w14:textFill>
            <w14:solidFill>
              <w14:schemeClr w14:val="tx1"/>
            </w14:solidFill>
          </w14:textFill>
        </w:rPr>
        <w:tab/>
      </w:r>
    </w:p>
    <w:p w14:paraId="60E352C9">
      <w:pPr>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1.6.1 图纸的提供</w:t>
      </w:r>
    </w:p>
    <w:p w14:paraId="48442AE4">
      <w:pPr>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发包人向承包人提供图纸的期限：</w:t>
      </w:r>
      <w:r>
        <w:rPr>
          <w:rFonts w:hint="eastAsia" w:ascii="宋体" w:hAnsi="宋体" w:cs="宋体"/>
          <w:color w:val="000000" w:themeColor="text1"/>
          <w:sz w:val="24"/>
          <w:highlight w:val="none"/>
          <w:u w:val="single"/>
          <w14:textFill>
            <w14:solidFill>
              <w14:schemeClr w14:val="tx1"/>
            </w14:solidFill>
          </w14:textFill>
        </w:rPr>
        <w:t xml:space="preserve">   签订合同后三天内      </w:t>
      </w:r>
      <w:r>
        <w:rPr>
          <w:rFonts w:hint="eastAsia" w:ascii="宋体" w:hAnsi="宋体" w:cs="宋体"/>
          <w:color w:val="000000" w:themeColor="text1"/>
          <w:sz w:val="24"/>
          <w:highlight w:val="none"/>
          <w14:textFill>
            <w14:solidFill>
              <w14:schemeClr w14:val="tx1"/>
            </w14:solidFill>
          </w14:textFill>
        </w:rPr>
        <w:t>；</w:t>
      </w:r>
    </w:p>
    <w:p w14:paraId="14999057">
      <w:pPr>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发包人向承包人提供图纸的数量：</w:t>
      </w:r>
      <w:r>
        <w:rPr>
          <w:rFonts w:hint="eastAsia" w:ascii="宋体" w:hAnsi="宋体" w:cs="宋体"/>
          <w:color w:val="000000" w:themeColor="text1"/>
          <w:sz w:val="24"/>
          <w:highlight w:val="none"/>
          <w:u w:val="single"/>
          <w14:textFill>
            <w14:solidFill>
              <w14:schemeClr w14:val="tx1"/>
            </w14:solidFill>
          </w14:textFill>
        </w:rPr>
        <w:t xml:space="preserve">  1  </w:t>
      </w:r>
      <w:r>
        <w:rPr>
          <w:rFonts w:hint="eastAsia" w:ascii="宋体" w:hAnsi="宋体" w:cs="宋体"/>
          <w:color w:val="000000" w:themeColor="text1"/>
          <w:sz w:val="24"/>
          <w:highlight w:val="none"/>
          <w14:textFill>
            <w14:solidFill>
              <w14:schemeClr w14:val="tx1"/>
            </w14:solidFill>
          </w14:textFill>
        </w:rPr>
        <w:t>套（承包人需要增加图纸套数的，自行复制）；</w:t>
      </w:r>
    </w:p>
    <w:p w14:paraId="2897A38C">
      <w:pPr>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发包人向承包人提供图纸的内容：</w:t>
      </w:r>
      <w:r>
        <w:rPr>
          <w:rFonts w:hint="eastAsia" w:ascii="宋体" w:hAnsi="宋体" w:cs="宋体"/>
          <w:color w:val="000000" w:themeColor="text1"/>
          <w:sz w:val="24"/>
          <w:highlight w:val="none"/>
          <w:u w:val="single"/>
          <w14:textFill>
            <w14:solidFill>
              <w14:schemeClr w14:val="tx1"/>
            </w14:solidFill>
          </w14:textFill>
        </w:rPr>
        <w:t xml:space="preserve">   本合同发包内容中的全部图纸      </w:t>
      </w:r>
      <w:r>
        <w:rPr>
          <w:rFonts w:hint="eastAsia" w:ascii="宋体" w:hAnsi="宋体" w:cs="宋体"/>
          <w:color w:val="000000" w:themeColor="text1"/>
          <w:sz w:val="24"/>
          <w:highlight w:val="none"/>
          <w14:textFill>
            <w14:solidFill>
              <w14:schemeClr w14:val="tx1"/>
            </w14:solidFill>
          </w14:textFill>
        </w:rPr>
        <w:t>。</w:t>
      </w:r>
    </w:p>
    <w:p w14:paraId="07A0B750">
      <w:pPr>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1.6.4 承包人文件</w:t>
      </w:r>
    </w:p>
    <w:p w14:paraId="1217BA51">
      <w:pPr>
        <w:spacing w:line="360" w:lineRule="auto"/>
        <w:ind w:firstLine="480"/>
        <w:jc w:val="left"/>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需要由承包人提供的文件，包括：</w:t>
      </w:r>
      <w:r>
        <w:rPr>
          <w:rFonts w:hint="eastAsia" w:ascii="宋体" w:hAnsi="宋体" w:cs="宋体"/>
          <w:color w:val="000000" w:themeColor="text1"/>
          <w:sz w:val="24"/>
          <w:highlight w:val="none"/>
          <w:u w:val="single"/>
          <w14:textFill>
            <w14:solidFill>
              <w14:schemeClr w14:val="tx1"/>
            </w14:solidFill>
          </w14:textFill>
        </w:rPr>
        <w:t xml:space="preserve">   施工组织设计、进度计划书        </w:t>
      </w:r>
      <w:r>
        <w:rPr>
          <w:rFonts w:hint="eastAsia" w:ascii="宋体" w:hAnsi="宋体" w:cs="宋体"/>
          <w:color w:val="000000" w:themeColor="text1"/>
          <w:sz w:val="24"/>
          <w:highlight w:val="none"/>
          <w14:textFill>
            <w14:solidFill>
              <w14:schemeClr w14:val="tx1"/>
            </w14:solidFill>
          </w14:textFill>
        </w:rPr>
        <w:t>；</w:t>
      </w:r>
    </w:p>
    <w:p w14:paraId="4C536056">
      <w:pPr>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承包人提供的文件的期限为：</w:t>
      </w:r>
      <w:r>
        <w:rPr>
          <w:rFonts w:hint="eastAsia" w:ascii="宋体" w:hAnsi="宋体" w:cs="宋体"/>
          <w:color w:val="000000" w:themeColor="text1"/>
          <w:sz w:val="24"/>
          <w:highlight w:val="none"/>
          <w:u w:val="single"/>
          <w14:textFill>
            <w14:solidFill>
              <w14:schemeClr w14:val="tx1"/>
            </w14:solidFill>
          </w14:textFill>
        </w:rPr>
        <w:t xml:space="preserve">         构件开始施工前 14 天内         </w:t>
      </w:r>
      <w:r>
        <w:rPr>
          <w:rFonts w:hint="eastAsia" w:ascii="宋体" w:hAnsi="宋体" w:cs="宋体"/>
          <w:color w:val="000000" w:themeColor="text1"/>
          <w:sz w:val="24"/>
          <w:highlight w:val="none"/>
          <w14:textFill>
            <w14:solidFill>
              <w14:schemeClr w14:val="tx1"/>
            </w14:solidFill>
          </w14:textFill>
        </w:rPr>
        <w:t>；</w:t>
      </w:r>
    </w:p>
    <w:p w14:paraId="236A2E2E">
      <w:pPr>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承包人提供的文件的数量为：</w:t>
      </w:r>
      <w:r>
        <w:rPr>
          <w:rFonts w:hint="eastAsia" w:ascii="宋体" w:hAnsi="宋体" w:cs="宋体"/>
          <w:color w:val="000000" w:themeColor="text1"/>
          <w:sz w:val="24"/>
          <w:highlight w:val="none"/>
          <w:u w:val="single"/>
          <w14:textFill>
            <w14:solidFill>
              <w14:schemeClr w14:val="tx1"/>
            </w14:solidFill>
          </w14:textFill>
        </w:rPr>
        <w:t xml:space="preserve">             6份               </w:t>
      </w:r>
      <w:r>
        <w:rPr>
          <w:rFonts w:hint="eastAsia" w:ascii="宋体" w:hAnsi="宋体" w:cs="宋体"/>
          <w:color w:val="000000" w:themeColor="text1"/>
          <w:sz w:val="24"/>
          <w:highlight w:val="none"/>
          <w14:textFill>
            <w14:solidFill>
              <w14:schemeClr w14:val="tx1"/>
            </w14:solidFill>
          </w14:textFill>
        </w:rPr>
        <w:t>；</w:t>
      </w:r>
    </w:p>
    <w:p w14:paraId="0251B45A">
      <w:pPr>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承包人提供的文件的形式为：</w:t>
      </w:r>
      <w:r>
        <w:rPr>
          <w:rFonts w:hint="eastAsia" w:ascii="宋体" w:hAnsi="宋体" w:cs="宋体"/>
          <w:color w:val="000000" w:themeColor="text1"/>
          <w:sz w:val="24"/>
          <w:highlight w:val="none"/>
          <w:u w:val="single"/>
          <w14:textFill>
            <w14:solidFill>
              <w14:schemeClr w14:val="tx1"/>
            </w14:solidFill>
          </w14:textFill>
        </w:rPr>
        <w:t xml:space="preserve">                书面              </w:t>
      </w:r>
      <w:r>
        <w:rPr>
          <w:rFonts w:hint="eastAsia" w:ascii="宋体" w:hAnsi="宋体" w:cs="宋体"/>
          <w:color w:val="000000" w:themeColor="text1"/>
          <w:sz w:val="24"/>
          <w:highlight w:val="none"/>
          <w14:textFill>
            <w14:solidFill>
              <w14:schemeClr w14:val="tx1"/>
            </w14:solidFill>
          </w14:textFill>
        </w:rPr>
        <w:t>；</w:t>
      </w:r>
    </w:p>
    <w:p w14:paraId="52306F95">
      <w:pPr>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发包人审批承包人文件的期限：</w:t>
      </w:r>
      <w:r>
        <w:rPr>
          <w:rFonts w:hint="eastAsia" w:ascii="宋体" w:hAnsi="宋体" w:cs="宋体"/>
          <w:color w:val="000000" w:themeColor="text1"/>
          <w:sz w:val="24"/>
          <w:highlight w:val="none"/>
          <w:u w:val="single"/>
          <w14:textFill>
            <w14:solidFill>
              <w14:schemeClr w14:val="tx1"/>
            </w14:solidFill>
          </w14:textFill>
        </w:rPr>
        <w:t xml:space="preserve">   在承包人提供文件后7天内审定完毕    </w:t>
      </w:r>
      <w:r>
        <w:rPr>
          <w:rFonts w:hint="eastAsia" w:ascii="宋体" w:hAnsi="宋体" w:cs="宋体"/>
          <w:color w:val="000000" w:themeColor="text1"/>
          <w:sz w:val="24"/>
          <w:highlight w:val="none"/>
          <w14:textFill>
            <w14:solidFill>
              <w14:schemeClr w14:val="tx1"/>
            </w14:solidFill>
          </w14:textFill>
        </w:rPr>
        <w:t>。</w:t>
      </w:r>
    </w:p>
    <w:p w14:paraId="4D0AC984">
      <w:pPr>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1.6.5 现场图纸准备</w:t>
      </w:r>
    </w:p>
    <w:p w14:paraId="0BA2EF09">
      <w:pPr>
        <w:pStyle w:val="374"/>
        <w:spacing w:line="360" w:lineRule="auto"/>
        <w:ind w:firstLine="48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关于现场图纸准备的约定：</w:t>
      </w:r>
      <w:r>
        <w:rPr>
          <w:rFonts w:hint="eastAsia" w:ascii="宋体" w:hAnsi="宋体" w:cs="宋体"/>
          <w:color w:val="000000" w:themeColor="text1"/>
          <w:sz w:val="24"/>
          <w:szCs w:val="24"/>
          <w:highlight w:val="none"/>
          <w:u w:val="single"/>
          <w14:textFill>
            <w14:solidFill>
              <w14:schemeClr w14:val="tx1"/>
            </w14:solidFill>
          </w14:textFill>
        </w:rPr>
        <w:t xml:space="preserve">承包人应在施工现场另外保存一套完整的图纸和承包人文件，供发包人、监理人及有关人员进行工程检查时使用 </w:t>
      </w:r>
      <w:r>
        <w:rPr>
          <w:rFonts w:hint="eastAsia" w:ascii="宋体" w:hAnsi="宋体" w:cs="宋体"/>
          <w:color w:val="000000" w:themeColor="text1"/>
          <w:sz w:val="24"/>
          <w:szCs w:val="24"/>
          <w:highlight w:val="none"/>
          <w14:textFill>
            <w14:solidFill>
              <w14:schemeClr w14:val="tx1"/>
            </w14:solidFill>
          </w14:textFill>
        </w:rPr>
        <w:t>。</w:t>
      </w:r>
    </w:p>
    <w:p w14:paraId="1B8785B8">
      <w:pPr>
        <w:pStyle w:val="4"/>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1.7 联络</w:t>
      </w:r>
    </w:p>
    <w:p w14:paraId="1C4F88AF">
      <w:pPr>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1.7.1发包人和承包人应当在</w:t>
      </w:r>
      <w:r>
        <w:rPr>
          <w:rFonts w:hint="eastAsia" w:ascii="宋体" w:hAnsi="宋体" w:cs="宋体"/>
          <w:color w:val="000000" w:themeColor="text1"/>
          <w:sz w:val="24"/>
          <w:highlight w:val="none"/>
          <w:u w:val="single"/>
          <w14:textFill>
            <w14:solidFill>
              <w14:schemeClr w14:val="tx1"/>
            </w14:solidFill>
          </w14:textFill>
        </w:rPr>
        <w:t xml:space="preserve">  3  </w:t>
      </w:r>
      <w:r>
        <w:rPr>
          <w:rFonts w:hint="eastAsia" w:ascii="宋体" w:hAnsi="宋体" w:cs="宋体"/>
          <w:color w:val="000000" w:themeColor="text1"/>
          <w:sz w:val="24"/>
          <w:highlight w:val="none"/>
          <w14:textFill>
            <w14:solidFill>
              <w14:schemeClr w14:val="tx1"/>
            </w14:solidFill>
          </w14:textFill>
        </w:rPr>
        <w:t>天内将与合同有关的通知、批准、证明、证书、指示、指令、要求、请求、同意、意见、确定和决定等书面函件送达对方当事人。</w:t>
      </w:r>
    </w:p>
    <w:p w14:paraId="283B7F72">
      <w:pPr>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1.7.2 发包人接收文件的地点：</w:t>
      </w:r>
      <w:r>
        <w:rPr>
          <w:rFonts w:hint="eastAsia" w:ascii="宋体" w:hAnsi="宋体" w:cs="宋体"/>
          <w:color w:val="000000" w:themeColor="text1"/>
          <w:sz w:val="24"/>
          <w:highlight w:val="none"/>
          <w:u w:val="single"/>
          <w14:textFill>
            <w14:solidFill>
              <w14:schemeClr w14:val="tx1"/>
            </w14:solidFill>
          </w14:textFill>
        </w:rPr>
        <w:t xml:space="preserve">       发包人办公室      </w:t>
      </w:r>
      <w:r>
        <w:rPr>
          <w:rFonts w:hint="eastAsia" w:ascii="宋体" w:hAnsi="宋体" w:cs="宋体"/>
          <w:color w:val="000000" w:themeColor="text1"/>
          <w:sz w:val="24"/>
          <w:highlight w:val="none"/>
          <w14:textFill>
            <w14:solidFill>
              <w14:schemeClr w14:val="tx1"/>
            </w14:solidFill>
          </w14:textFill>
        </w:rPr>
        <w:t>；</w:t>
      </w:r>
    </w:p>
    <w:p w14:paraId="0D2DD11B">
      <w:pPr>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发包人指定的接收人为：</w:t>
      </w:r>
      <w:r>
        <w:rPr>
          <w:rFonts w:hint="eastAsia" w:ascii="宋体" w:hAnsi="宋体" w:cs="宋体"/>
          <w:color w:val="000000" w:themeColor="text1"/>
          <w:sz w:val="24"/>
          <w:highlight w:val="none"/>
          <w:u w:val="single"/>
          <w14:textFill>
            <w14:solidFill>
              <w14:schemeClr w14:val="tx1"/>
            </w14:solidFill>
          </w14:textFill>
        </w:rPr>
        <w:t xml:space="preserve">           委派工程师            </w:t>
      </w:r>
      <w:r>
        <w:rPr>
          <w:rFonts w:hint="eastAsia" w:ascii="宋体" w:hAnsi="宋体" w:cs="宋体"/>
          <w:color w:val="000000" w:themeColor="text1"/>
          <w:sz w:val="24"/>
          <w:highlight w:val="none"/>
          <w14:textFill>
            <w14:solidFill>
              <w14:schemeClr w14:val="tx1"/>
            </w14:solidFill>
          </w14:textFill>
        </w:rPr>
        <w:t>。</w:t>
      </w:r>
    </w:p>
    <w:p w14:paraId="2EA0D115">
      <w:pPr>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承包人接收文件的地点：</w:t>
      </w:r>
      <w:r>
        <w:rPr>
          <w:rFonts w:hint="eastAsia" w:ascii="宋体" w:hAnsi="宋体" w:cs="宋体"/>
          <w:color w:val="000000" w:themeColor="text1"/>
          <w:sz w:val="24"/>
          <w:highlight w:val="none"/>
          <w:u w:val="single"/>
          <w14:textFill>
            <w14:solidFill>
              <w14:schemeClr w14:val="tx1"/>
            </w14:solidFill>
          </w14:textFill>
        </w:rPr>
        <w:t xml:space="preserve">          项目部办公室            </w:t>
      </w:r>
      <w:r>
        <w:rPr>
          <w:rFonts w:hint="eastAsia" w:ascii="宋体" w:hAnsi="宋体" w:cs="宋体"/>
          <w:color w:val="000000" w:themeColor="text1"/>
          <w:sz w:val="24"/>
          <w:highlight w:val="none"/>
          <w14:textFill>
            <w14:solidFill>
              <w14:schemeClr w14:val="tx1"/>
            </w14:solidFill>
          </w14:textFill>
        </w:rPr>
        <w:t>；</w:t>
      </w:r>
    </w:p>
    <w:p w14:paraId="0300F480">
      <w:pPr>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承包人指定的接收人为：</w:t>
      </w:r>
      <w:r>
        <w:rPr>
          <w:rFonts w:hint="eastAsia" w:ascii="宋体" w:hAnsi="宋体" w:cs="宋体"/>
          <w:color w:val="000000" w:themeColor="text1"/>
          <w:sz w:val="24"/>
          <w:highlight w:val="none"/>
          <w:u w:val="single"/>
          <w14:textFill>
            <w14:solidFill>
              <w14:schemeClr w14:val="tx1"/>
            </w14:solidFill>
          </w14:textFill>
        </w:rPr>
        <w:t xml:space="preserve">           项目经理             </w:t>
      </w:r>
      <w:r>
        <w:rPr>
          <w:rFonts w:hint="eastAsia" w:ascii="宋体" w:hAnsi="宋体" w:cs="宋体"/>
          <w:color w:val="000000" w:themeColor="text1"/>
          <w:sz w:val="24"/>
          <w:highlight w:val="none"/>
          <w14:textFill>
            <w14:solidFill>
              <w14:schemeClr w14:val="tx1"/>
            </w14:solidFill>
          </w14:textFill>
        </w:rPr>
        <w:t>。</w:t>
      </w:r>
    </w:p>
    <w:p w14:paraId="347CAE6B">
      <w:pPr>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监理人接收文件的地点：</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p>
    <w:p w14:paraId="1D89EC4A">
      <w:pPr>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监理人指定的接收人为：</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p>
    <w:p w14:paraId="03E43B2E">
      <w:pPr>
        <w:pStyle w:val="4"/>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1.10 交通运输</w:t>
      </w:r>
    </w:p>
    <w:p w14:paraId="14587431">
      <w:pPr>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1.10.1 出入现场的权利</w:t>
      </w:r>
    </w:p>
    <w:p w14:paraId="7525563A">
      <w:pPr>
        <w:spacing w:line="360" w:lineRule="auto"/>
        <w:ind w:firstLine="480"/>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关于出入现场的权利的约定：</w:t>
      </w:r>
      <w:r>
        <w:rPr>
          <w:rFonts w:hint="eastAsia" w:ascii="宋体" w:hAnsi="宋体" w:cs="宋体"/>
          <w:color w:val="000000" w:themeColor="text1"/>
          <w:sz w:val="24"/>
          <w:highlight w:val="none"/>
          <w:u w:val="single"/>
          <w14:textFill>
            <w14:solidFill>
              <w14:schemeClr w14:val="tx1"/>
            </w14:solidFill>
          </w14:textFill>
        </w:rPr>
        <w:t xml:space="preserve">发包人协助承包人取得出入施工现场所需的批准手续和全部权利，以及取得因施工所需修建道路、桥梁以及其他基础设施的权利，承包人承担相关手续费用和修建道路、桥梁以及其他基础设施的建设费用，此等费用无论承包人是否在投标报价中单独列支，发包人均认为此项费用包含在投标报价中，由承包人承担此等费用 </w:t>
      </w:r>
      <w:r>
        <w:rPr>
          <w:rFonts w:hint="eastAsia" w:ascii="宋体" w:hAnsi="宋体" w:cs="宋体"/>
          <w:color w:val="000000" w:themeColor="text1"/>
          <w:sz w:val="24"/>
          <w:highlight w:val="none"/>
          <w14:textFill>
            <w14:solidFill>
              <w14:schemeClr w14:val="tx1"/>
            </w14:solidFill>
          </w14:textFill>
        </w:rPr>
        <w:t>。</w:t>
      </w:r>
    </w:p>
    <w:p w14:paraId="17D8D7C1">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1.10.3 场内交通</w:t>
      </w:r>
    </w:p>
    <w:p w14:paraId="7BA33934">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关于场外交通和场内交通的边界的约定：</w:t>
      </w:r>
      <w:r>
        <w:rPr>
          <w:rFonts w:hint="eastAsia" w:ascii="宋体" w:hAnsi="宋体" w:cs="宋体"/>
          <w:color w:val="000000" w:themeColor="text1"/>
          <w:sz w:val="24"/>
          <w:highlight w:val="none"/>
          <w:u w:val="single"/>
          <w14:textFill>
            <w14:solidFill>
              <w14:schemeClr w14:val="tx1"/>
            </w14:solidFill>
          </w14:textFill>
        </w:rPr>
        <w:t xml:space="preserve">     以设计红线范围为界     </w:t>
      </w:r>
      <w:r>
        <w:rPr>
          <w:rFonts w:hint="eastAsia" w:ascii="宋体" w:hAnsi="宋体" w:cs="宋体"/>
          <w:color w:val="000000" w:themeColor="text1"/>
          <w:sz w:val="24"/>
          <w:highlight w:val="none"/>
          <w14:textFill>
            <w14:solidFill>
              <w14:schemeClr w14:val="tx1"/>
            </w14:solidFill>
          </w14:textFill>
        </w:rPr>
        <w:t>。</w:t>
      </w:r>
    </w:p>
    <w:p w14:paraId="281E2E61">
      <w:pPr>
        <w:pStyle w:val="374"/>
        <w:spacing w:line="360" w:lineRule="auto"/>
        <w:ind w:firstLine="48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关于发包人向承包人免费提供满足工程施工需要的场内道路和交通设施的约定：</w:t>
      </w:r>
      <w:r>
        <w:rPr>
          <w:rFonts w:hint="eastAsia" w:ascii="宋体" w:hAnsi="宋体" w:cs="宋体"/>
          <w:color w:val="000000" w:themeColor="text1"/>
          <w:sz w:val="24"/>
          <w:szCs w:val="24"/>
          <w:highlight w:val="none"/>
          <w:u w:val="single"/>
          <w14:textFill>
            <w14:solidFill>
              <w14:schemeClr w14:val="tx1"/>
            </w14:solidFill>
          </w14:textFill>
        </w:rPr>
        <w:t xml:space="preserve">由承包人负责并承担相应费用  </w:t>
      </w:r>
      <w:r>
        <w:rPr>
          <w:rFonts w:hint="eastAsia" w:ascii="宋体" w:hAnsi="宋体" w:cs="宋体"/>
          <w:color w:val="000000" w:themeColor="text1"/>
          <w:sz w:val="24"/>
          <w:szCs w:val="24"/>
          <w:highlight w:val="none"/>
          <w14:textFill>
            <w14:solidFill>
              <w14:schemeClr w14:val="tx1"/>
            </w14:solidFill>
          </w14:textFill>
        </w:rPr>
        <w:t>。</w:t>
      </w:r>
    </w:p>
    <w:p w14:paraId="13EAE31C">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1.10.4 超大件和超重件的运输</w:t>
      </w:r>
    </w:p>
    <w:p w14:paraId="742E0196">
      <w:pPr>
        <w:spacing w:line="360" w:lineRule="auto"/>
        <w:ind w:firstLine="480"/>
        <w:jc w:val="left"/>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运输超大件或超重件所需的道路和桥梁临时加固改造费用和其他有关费用由</w:t>
      </w:r>
      <w:r>
        <w:rPr>
          <w:rFonts w:hint="eastAsia" w:ascii="宋体" w:hAnsi="宋体" w:cs="宋体"/>
          <w:color w:val="000000" w:themeColor="text1"/>
          <w:sz w:val="24"/>
          <w:highlight w:val="none"/>
          <w:u w:val="single"/>
          <w14:textFill>
            <w14:solidFill>
              <w14:schemeClr w14:val="tx1"/>
            </w14:solidFill>
          </w14:textFill>
        </w:rPr>
        <w:t xml:space="preserve">  承包人 </w:t>
      </w:r>
      <w:r>
        <w:rPr>
          <w:rFonts w:hint="eastAsia" w:ascii="宋体" w:hAnsi="宋体" w:cs="宋体"/>
          <w:color w:val="000000" w:themeColor="text1"/>
          <w:sz w:val="24"/>
          <w:highlight w:val="none"/>
          <w14:textFill>
            <w14:solidFill>
              <w14:schemeClr w14:val="tx1"/>
            </w14:solidFill>
          </w14:textFill>
        </w:rPr>
        <w:t>承担。</w:t>
      </w:r>
    </w:p>
    <w:p w14:paraId="5F1E365D">
      <w:pPr>
        <w:pStyle w:val="4"/>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1.11 知识产权</w:t>
      </w:r>
    </w:p>
    <w:p w14:paraId="2A172D8F">
      <w:pPr>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1.11.1 关于发包人提供给承包人的图纸、发包人为实施工程自行编制或委托编制的技术规范以及反映发包人关于合同要求或其他类似性质的文件的著作权的归属：</w:t>
      </w:r>
      <w:r>
        <w:rPr>
          <w:rFonts w:hint="eastAsia" w:ascii="宋体" w:hAnsi="宋体" w:cs="宋体"/>
          <w:color w:val="000000" w:themeColor="text1"/>
          <w:sz w:val="24"/>
          <w:highlight w:val="none"/>
          <w:u w:val="single"/>
          <w14:textFill>
            <w14:solidFill>
              <w14:schemeClr w14:val="tx1"/>
            </w14:solidFill>
          </w14:textFill>
        </w:rPr>
        <w:t xml:space="preserve"> 发包人 </w:t>
      </w:r>
      <w:r>
        <w:rPr>
          <w:rFonts w:hint="eastAsia" w:ascii="宋体" w:hAnsi="宋体" w:cs="宋体"/>
          <w:color w:val="000000" w:themeColor="text1"/>
          <w:sz w:val="24"/>
          <w:highlight w:val="none"/>
          <w14:textFill>
            <w14:solidFill>
              <w14:schemeClr w14:val="tx1"/>
            </w14:solidFill>
          </w14:textFill>
        </w:rPr>
        <w:t>。</w:t>
      </w:r>
    </w:p>
    <w:p w14:paraId="71D24505">
      <w:pPr>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关于发包人提供的上述文件的使用限制的要求：</w:t>
      </w:r>
      <w:r>
        <w:rPr>
          <w:rFonts w:hint="eastAsia" w:ascii="宋体" w:hAnsi="宋体" w:cs="宋体"/>
          <w:color w:val="000000" w:themeColor="text1"/>
          <w:sz w:val="24"/>
          <w:highlight w:val="none"/>
          <w:u w:val="single"/>
          <w14:textFill>
            <w14:solidFill>
              <w14:schemeClr w14:val="tx1"/>
            </w14:solidFill>
          </w14:textFill>
        </w:rPr>
        <w:t xml:space="preserve"> 按《通用合同条款》1.11.1 条执行 </w:t>
      </w:r>
      <w:r>
        <w:rPr>
          <w:rFonts w:hint="eastAsia" w:ascii="宋体" w:hAnsi="宋体" w:cs="宋体"/>
          <w:color w:val="000000" w:themeColor="text1"/>
          <w:sz w:val="24"/>
          <w:highlight w:val="none"/>
          <w14:textFill>
            <w14:solidFill>
              <w14:schemeClr w14:val="tx1"/>
            </w14:solidFill>
          </w14:textFill>
        </w:rPr>
        <w:t>。</w:t>
      </w:r>
    </w:p>
    <w:p w14:paraId="1FC4916A">
      <w:pPr>
        <w:pStyle w:val="374"/>
        <w:spacing w:line="360" w:lineRule="auto"/>
        <w:ind w:firstLine="48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1.11.2 关于承包人为实施工程所编制文件的著作权的归属：</w:t>
      </w:r>
      <w:r>
        <w:rPr>
          <w:rFonts w:hint="eastAsia" w:ascii="宋体" w:hAnsi="宋体" w:cs="宋体"/>
          <w:color w:val="000000" w:themeColor="text1"/>
          <w:sz w:val="24"/>
          <w:szCs w:val="24"/>
          <w:highlight w:val="none"/>
          <w:u w:val="single"/>
          <w14:textFill>
            <w14:solidFill>
              <w14:schemeClr w14:val="tx1"/>
            </w14:solidFill>
          </w14:textFill>
        </w:rPr>
        <w:t xml:space="preserve">  除署名权以外的著作权属于发包人  </w:t>
      </w:r>
      <w:r>
        <w:rPr>
          <w:rFonts w:hint="eastAsia" w:ascii="宋体" w:hAnsi="宋体" w:cs="宋体"/>
          <w:color w:val="000000" w:themeColor="text1"/>
          <w:sz w:val="24"/>
          <w:szCs w:val="24"/>
          <w:highlight w:val="none"/>
          <w14:textFill>
            <w14:solidFill>
              <w14:schemeClr w14:val="tx1"/>
            </w14:solidFill>
          </w14:textFill>
        </w:rPr>
        <w:t>。</w:t>
      </w:r>
    </w:p>
    <w:p w14:paraId="422E5FA8">
      <w:pPr>
        <w:spacing w:line="360" w:lineRule="auto"/>
        <w:ind w:firstLine="480"/>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关于承包人提供的上述文件的使用限制的要求：</w:t>
      </w:r>
      <w:r>
        <w:rPr>
          <w:rFonts w:hint="eastAsia" w:ascii="宋体" w:hAnsi="宋体" w:cs="宋体"/>
          <w:color w:val="000000" w:themeColor="text1"/>
          <w:sz w:val="24"/>
          <w:highlight w:val="none"/>
          <w:u w:val="single"/>
          <w14:textFill>
            <w14:solidFill>
              <w14:schemeClr w14:val="tx1"/>
            </w14:solidFill>
          </w14:textFill>
        </w:rPr>
        <w:t xml:space="preserve">  按《通用合同条款》1.11.2 条执行 </w:t>
      </w:r>
      <w:r>
        <w:rPr>
          <w:rFonts w:hint="eastAsia" w:ascii="宋体" w:hAnsi="宋体" w:cs="宋体"/>
          <w:color w:val="000000" w:themeColor="text1"/>
          <w:sz w:val="24"/>
          <w:highlight w:val="none"/>
          <w14:textFill>
            <w14:solidFill>
              <w14:schemeClr w14:val="tx1"/>
            </w14:solidFill>
          </w14:textFill>
        </w:rPr>
        <w:t>。</w:t>
      </w:r>
    </w:p>
    <w:p w14:paraId="0A76A6EB">
      <w:pPr>
        <w:spacing w:line="360" w:lineRule="auto"/>
        <w:ind w:firstLine="480"/>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1.11.4 承包人在施工过程中所采用的专利、专有技术、技术秘密的使用费的承担方式：</w:t>
      </w:r>
    </w:p>
    <w:p w14:paraId="37391A07">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 xml:space="preserve">承包人在合同签订前和签订时已确定采用的专利、专有技术、技术秘密的使用费已包含在签约合同价中 </w:t>
      </w:r>
      <w:r>
        <w:rPr>
          <w:rFonts w:hint="eastAsia" w:ascii="宋体" w:hAnsi="宋体" w:cs="宋体"/>
          <w:color w:val="000000" w:themeColor="text1"/>
          <w:sz w:val="24"/>
          <w:highlight w:val="none"/>
          <w14:textFill>
            <w14:solidFill>
              <w14:schemeClr w14:val="tx1"/>
            </w14:solidFill>
          </w14:textFill>
        </w:rPr>
        <w:t>。</w:t>
      </w:r>
    </w:p>
    <w:p w14:paraId="03D87FD6">
      <w:pPr>
        <w:pStyle w:val="4"/>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1.13工程量清单错误的修正</w:t>
      </w:r>
    </w:p>
    <w:p w14:paraId="6B56EBEC">
      <w:pPr>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出现工程量清单工程量偏差时，是否调整合同价格：</w:t>
      </w:r>
      <w:r>
        <w:rPr>
          <w:rFonts w:hint="eastAsia" w:ascii="宋体" w:hAnsi="宋体" w:cs="宋体"/>
          <w:color w:val="000000" w:themeColor="text1"/>
          <w:sz w:val="24"/>
          <w:highlight w:val="none"/>
          <w:u w:val="single"/>
          <w:lang w:eastAsia="zh-CN"/>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是  </w:t>
      </w:r>
      <w:r>
        <w:rPr>
          <w:rFonts w:hint="eastAsia" w:ascii="宋体" w:hAnsi="宋体" w:cs="宋体"/>
          <w:color w:val="000000" w:themeColor="text1"/>
          <w:sz w:val="24"/>
          <w:highlight w:val="none"/>
          <w:u w:val="single"/>
          <w:lang w:eastAsia="zh-CN"/>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否</w:t>
      </w:r>
      <w:r>
        <w:rPr>
          <w:rFonts w:hint="eastAsia" w:ascii="宋体" w:hAnsi="宋体" w:cs="宋体"/>
          <w:color w:val="000000" w:themeColor="text1"/>
          <w:sz w:val="24"/>
          <w:highlight w:val="none"/>
          <w14:textFill>
            <w14:solidFill>
              <w14:schemeClr w14:val="tx1"/>
            </w14:solidFill>
          </w14:textFill>
        </w:rPr>
        <w:t>。</w:t>
      </w:r>
    </w:p>
    <w:p w14:paraId="1DDF33E5">
      <w:pPr>
        <w:spacing w:line="360" w:lineRule="auto"/>
        <w:ind w:firstLine="480"/>
        <w:rPr>
          <w:rFonts w:hint="eastAsia" w:ascii="宋体" w:hAnsi="宋体" w:eastAsia="宋体" w:cs="宋体"/>
          <w:color w:val="000000" w:themeColor="text1"/>
          <w:sz w:val="24"/>
          <w:highlight w:val="none"/>
          <w:u w:val="singl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允许调整合同价格的工程量偏差范围及其调整办法：</w:t>
      </w:r>
      <w:r>
        <w:rPr>
          <w:rFonts w:hint="eastAsia" w:ascii="宋体" w:hAnsi="宋体" w:cs="宋体"/>
          <w:color w:val="000000" w:themeColor="text1"/>
          <w:sz w:val="24"/>
          <w:highlight w:val="none"/>
          <w:u w:val="single"/>
          <w14:textFill>
            <w14:solidFill>
              <w14:schemeClr w14:val="tx1"/>
            </w14:solidFill>
          </w14:textFill>
        </w:rPr>
        <w:t>本工程采用固定</w:t>
      </w:r>
      <w:r>
        <w:rPr>
          <w:rFonts w:hint="eastAsia" w:ascii="宋体" w:hAnsi="宋体" w:cs="宋体"/>
          <w:color w:val="000000" w:themeColor="text1"/>
          <w:sz w:val="24"/>
          <w:highlight w:val="none"/>
          <w:u w:val="single"/>
          <w:lang w:eastAsia="zh-CN"/>
          <w14:textFill>
            <w14:solidFill>
              <w14:schemeClr w14:val="tx1"/>
            </w14:solidFill>
          </w14:textFill>
        </w:rPr>
        <w:t>总价。</w:t>
      </w:r>
    </w:p>
    <w:p w14:paraId="50C670E1">
      <w:pPr>
        <w:pStyle w:val="3"/>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 发包人</w:t>
      </w:r>
    </w:p>
    <w:p w14:paraId="3788EB2C">
      <w:pPr>
        <w:pStyle w:val="4"/>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2.2 发包人代表</w:t>
      </w:r>
    </w:p>
    <w:p w14:paraId="23D55D5F">
      <w:pPr>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发包人代表：</w:t>
      </w:r>
    </w:p>
    <w:p w14:paraId="3BFB5793">
      <w:pPr>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姓    名：</w:t>
      </w:r>
      <w:r>
        <w:rPr>
          <w:rFonts w:hint="eastAsia" w:ascii="宋体" w:hAnsi="宋体" w:cs="宋体"/>
          <w:color w:val="000000" w:themeColor="text1"/>
          <w:sz w:val="24"/>
          <w:highlight w:val="none"/>
          <w:u w:val="single"/>
          <w14:textFill>
            <w14:solidFill>
              <w14:schemeClr w14:val="tx1"/>
            </w14:solidFill>
          </w14:textFill>
        </w:rPr>
        <w:t>     </w:t>
      </w:r>
      <w:r>
        <w:rPr>
          <w:rFonts w:hint="eastAsia" w:ascii="宋体" w:hAnsi="宋体" w:cs="宋体"/>
          <w:color w:val="000000" w:themeColor="text1"/>
          <w:sz w:val="24"/>
          <w:highlight w:val="none"/>
          <w14:textFill>
            <w14:solidFill>
              <w14:schemeClr w14:val="tx1"/>
            </w14:solidFill>
          </w14:textFill>
        </w:rPr>
        <w:t>；</w:t>
      </w:r>
    </w:p>
    <w:p w14:paraId="08CBDFD3">
      <w:pPr>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身份证号：</w:t>
      </w:r>
      <w:r>
        <w:rPr>
          <w:rFonts w:hint="eastAsia" w:ascii="宋体" w:hAnsi="宋体" w:cs="宋体"/>
          <w:color w:val="000000" w:themeColor="text1"/>
          <w:sz w:val="24"/>
          <w:highlight w:val="none"/>
          <w:u w:val="single"/>
          <w14:textFill>
            <w14:solidFill>
              <w14:schemeClr w14:val="tx1"/>
            </w14:solidFill>
          </w14:textFill>
        </w:rPr>
        <w:t>      </w:t>
      </w:r>
      <w:r>
        <w:rPr>
          <w:rFonts w:hint="eastAsia" w:ascii="宋体" w:hAnsi="宋体" w:cs="宋体"/>
          <w:color w:val="000000" w:themeColor="text1"/>
          <w:sz w:val="24"/>
          <w:highlight w:val="none"/>
          <w14:textFill>
            <w14:solidFill>
              <w14:schemeClr w14:val="tx1"/>
            </w14:solidFill>
          </w14:textFill>
        </w:rPr>
        <w:t>；</w:t>
      </w:r>
    </w:p>
    <w:p w14:paraId="33CCB39A">
      <w:pPr>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职    务：</w:t>
      </w:r>
      <w:r>
        <w:rPr>
          <w:rFonts w:hint="eastAsia" w:ascii="宋体" w:hAnsi="宋体" w:cs="宋体"/>
          <w:color w:val="000000" w:themeColor="text1"/>
          <w:sz w:val="24"/>
          <w:highlight w:val="none"/>
          <w:u w:val="single"/>
          <w14:textFill>
            <w14:solidFill>
              <w14:schemeClr w14:val="tx1"/>
            </w14:solidFill>
          </w14:textFill>
        </w:rPr>
        <w:t>    </w:t>
      </w:r>
      <w:r>
        <w:rPr>
          <w:rFonts w:hint="eastAsia" w:ascii="宋体" w:hAnsi="宋体" w:cs="宋体"/>
          <w:color w:val="000000" w:themeColor="text1"/>
          <w:sz w:val="24"/>
          <w:highlight w:val="none"/>
          <w14:textFill>
            <w14:solidFill>
              <w14:schemeClr w14:val="tx1"/>
            </w14:solidFill>
          </w14:textFill>
        </w:rPr>
        <w:t>；</w:t>
      </w:r>
    </w:p>
    <w:p w14:paraId="584DBE11">
      <w:pPr>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联系电话：</w:t>
      </w:r>
      <w:r>
        <w:rPr>
          <w:rFonts w:hint="eastAsia" w:ascii="宋体" w:hAnsi="宋体" w:cs="宋体"/>
          <w:color w:val="000000" w:themeColor="text1"/>
          <w:sz w:val="24"/>
          <w:highlight w:val="none"/>
          <w:u w:val="single"/>
          <w14:textFill>
            <w14:solidFill>
              <w14:schemeClr w14:val="tx1"/>
            </w14:solidFill>
          </w14:textFill>
        </w:rPr>
        <w:t>     </w:t>
      </w:r>
      <w:r>
        <w:rPr>
          <w:rFonts w:hint="eastAsia" w:ascii="宋体" w:hAnsi="宋体" w:cs="宋体"/>
          <w:color w:val="000000" w:themeColor="text1"/>
          <w:sz w:val="24"/>
          <w:highlight w:val="none"/>
          <w14:textFill>
            <w14:solidFill>
              <w14:schemeClr w14:val="tx1"/>
            </w14:solidFill>
          </w14:textFill>
        </w:rPr>
        <w:t>；</w:t>
      </w:r>
    </w:p>
    <w:p w14:paraId="4D3145D6">
      <w:pPr>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电子信箱：</w:t>
      </w:r>
      <w:r>
        <w:rPr>
          <w:rFonts w:hint="eastAsia" w:ascii="宋体" w:hAnsi="宋体" w:cs="宋体"/>
          <w:color w:val="000000" w:themeColor="text1"/>
          <w:sz w:val="24"/>
          <w:highlight w:val="none"/>
          <w:u w:val="single"/>
          <w14:textFill>
            <w14:solidFill>
              <w14:schemeClr w14:val="tx1"/>
            </w14:solidFill>
          </w14:textFill>
        </w:rPr>
        <w:t>     </w:t>
      </w:r>
      <w:r>
        <w:rPr>
          <w:rFonts w:hint="eastAsia" w:ascii="宋体" w:hAnsi="宋体" w:cs="宋体"/>
          <w:color w:val="000000" w:themeColor="text1"/>
          <w:sz w:val="24"/>
          <w:highlight w:val="none"/>
          <w14:textFill>
            <w14:solidFill>
              <w14:schemeClr w14:val="tx1"/>
            </w14:solidFill>
          </w14:textFill>
        </w:rPr>
        <w:t>；</w:t>
      </w:r>
    </w:p>
    <w:p w14:paraId="6BBBCB75">
      <w:pPr>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通信地址：</w:t>
      </w:r>
      <w:r>
        <w:rPr>
          <w:rFonts w:hint="eastAsia" w:ascii="宋体" w:hAnsi="宋体" w:cs="宋体"/>
          <w:color w:val="000000" w:themeColor="text1"/>
          <w:sz w:val="24"/>
          <w:highlight w:val="none"/>
          <w:u w:val="single"/>
          <w14:textFill>
            <w14:solidFill>
              <w14:schemeClr w14:val="tx1"/>
            </w14:solidFill>
          </w14:textFill>
        </w:rPr>
        <w:t>    </w:t>
      </w:r>
      <w:r>
        <w:rPr>
          <w:rFonts w:hint="eastAsia" w:ascii="宋体" w:hAnsi="宋体" w:cs="宋体"/>
          <w:color w:val="000000" w:themeColor="text1"/>
          <w:sz w:val="24"/>
          <w:highlight w:val="none"/>
          <w14:textFill>
            <w14:solidFill>
              <w14:schemeClr w14:val="tx1"/>
            </w14:solidFill>
          </w14:textFill>
        </w:rPr>
        <w:t>。</w:t>
      </w:r>
    </w:p>
    <w:p w14:paraId="44A28081">
      <w:pPr>
        <w:spacing w:line="360" w:lineRule="auto"/>
        <w:ind w:firstLine="480"/>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发包人对发包人代表的授权范围如下：</w:t>
      </w:r>
      <w:r>
        <w:rPr>
          <w:rFonts w:hint="eastAsia" w:ascii="宋体" w:hAnsi="宋体" w:cs="宋体"/>
          <w:color w:val="000000" w:themeColor="text1"/>
          <w:sz w:val="24"/>
          <w:highlight w:val="none"/>
          <w:u w:val="single"/>
          <w14:textFill>
            <w14:solidFill>
              <w14:schemeClr w14:val="tx1"/>
            </w14:solidFill>
          </w14:textFill>
        </w:rPr>
        <w:t xml:space="preserve">（1）对承包人的工作进行监督、检查；（2）按照合同约定，代表发包人履行其权利和义务；（3）协调有关政府主管部门。 </w:t>
      </w:r>
    </w:p>
    <w:p w14:paraId="6240D9B5">
      <w:pPr>
        <w:pStyle w:val="4"/>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2.4 施工现场、施工条件和基础资料的提供</w:t>
      </w:r>
    </w:p>
    <w:p w14:paraId="2E2FB2A9">
      <w:pPr>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2.4.1 提供施工现场</w:t>
      </w:r>
    </w:p>
    <w:p w14:paraId="7ED4BE21">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关于发包人移交施工现场的期限要求：</w:t>
      </w:r>
      <w:r>
        <w:rPr>
          <w:rFonts w:hint="eastAsia" w:ascii="宋体" w:hAnsi="宋体" w:cs="宋体"/>
          <w:color w:val="000000" w:themeColor="text1"/>
          <w:sz w:val="24"/>
          <w:highlight w:val="none"/>
          <w:u w:val="single"/>
          <w14:textFill>
            <w14:solidFill>
              <w14:schemeClr w14:val="tx1"/>
            </w14:solidFill>
          </w14:textFill>
        </w:rPr>
        <w:t xml:space="preserve">     开工7日前移交         </w:t>
      </w:r>
      <w:r>
        <w:rPr>
          <w:rFonts w:hint="eastAsia" w:ascii="宋体" w:hAnsi="宋体" w:cs="宋体"/>
          <w:color w:val="000000" w:themeColor="text1"/>
          <w:sz w:val="24"/>
          <w:highlight w:val="none"/>
          <w14:textFill>
            <w14:solidFill>
              <w14:schemeClr w14:val="tx1"/>
            </w14:solidFill>
          </w14:textFill>
        </w:rPr>
        <w:t>。</w:t>
      </w:r>
    </w:p>
    <w:p w14:paraId="219E998C">
      <w:pPr>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2.4.2 提供施工条件</w:t>
      </w:r>
    </w:p>
    <w:p w14:paraId="5A68CDCE">
      <w:pPr>
        <w:spacing w:line="360" w:lineRule="auto"/>
        <w:ind w:firstLine="480"/>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关于发包人应负责提供施工所需要的条件，包括：</w:t>
      </w:r>
      <w:r>
        <w:rPr>
          <w:rFonts w:hint="eastAsia" w:ascii="宋体" w:hAnsi="宋体" w:cs="宋体"/>
          <w:color w:val="000000" w:themeColor="text1"/>
          <w:sz w:val="24"/>
          <w:highlight w:val="none"/>
          <w:u w:val="single"/>
          <w14:textFill>
            <w14:solidFill>
              <w14:schemeClr w14:val="tx1"/>
            </w14:solidFill>
          </w14:textFill>
        </w:rPr>
        <w:t xml:space="preserve">   施工所需电接点和水接点由发包人提供，接点至施工现场段管道/管线、计量设备由承包人自行解决，电讯线路的开通由承包人自行解决并承担费用；承包人使用的水、电、通讯费用由承包人负责。若供电部门的原因造成停电，承包人必须自行解决施工用电，费用由承包人负责 </w:t>
      </w:r>
      <w:r>
        <w:rPr>
          <w:rFonts w:hint="eastAsia" w:ascii="宋体" w:hAnsi="宋体" w:cs="宋体"/>
          <w:color w:val="000000" w:themeColor="text1"/>
          <w:sz w:val="24"/>
          <w:highlight w:val="none"/>
          <w14:textFill>
            <w14:solidFill>
              <w14:schemeClr w14:val="tx1"/>
            </w14:solidFill>
          </w14:textFill>
        </w:rPr>
        <w:t>。</w:t>
      </w:r>
    </w:p>
    <w:p w14:paraId="10DF778F">
      <w:pPr>
        <w:pStyle w:val="4"/>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2.5 资金来源证明及支付担保</w:t>
      </w:r>
    </w:p>
    <w:p w14:paraId="18EE19CA">
      <w:pPr>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发包人提供资金来源证明的期限要求：</w:t>
      </w:r>
      <w:r>
        <w:rPr>
          <w:rFonts w:hint="eastAsia" w:ascii="宋体" w:hAnsi="宋体" w:cs="宋体"/>
          <w:color w:val="000000" w:themeColor="text1"/>
          <w:sz w:val="24"/>
          <w:highlight w:val="none"/>
          <w:u w:val="single"/>
          <w14:textFill>
            <w14:solidFill>
              <w14:schemeClr w14:val="tx1"/>
            </w14:solidFill>
          </w14:textFill>
        </w:rPr>
        <w:t xml:space="preserve">    无           </w:t>
      </w:r>
      <w:r>
        <w:rPr>
          <w:rFonts w:hint="eastAsia" w:ascii="宋体" w:hAnsi="宋体" w:cs="宋体"/>
          <w:color w:val="000000" w:themeColor="text1"/>
          <w:sz w:val="24"/>
          <w:highlight w:val="none"/>
          <w14:textFill>
            <w14:solidFill>
              <w14:schemeClr w14:val="tx1"/>
            </w14:solidFill>
          </w14:textFill>
        </w:rPr>
        <w:t>。</w:t>
      </w:r>
    </w:p>
    <w:p w14:paraId="484E9830">
      <w:pPr>
        <w:spacing w:line="360" w:lineRule="auto"/>
        <w:ind w:firstLine="480"/>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发包人是否提供支付担保：</w:t>
      </w:r>
      <w:r>
        <w:rPr>
          <w:rFonts w:hint="eastAsia" w:ascii="宋体" w:hAnsi="宋体" w:cs="宋体"/>
          <w:color w:val="000000" w:themeColor="text1"/>
          <w:sz w:val="24"/>
          <w:highlight w:val="none"/>
          <w:u w:val="single"/>
          <w14:textFill>
            <w14:solidFill>
              <w14:schemeClr w14:val="tx1"/>
            </w14:solidFill>
          </w14:textFill>
        </w:rPr>
        <w:t xml:space="preserve">            无        </w:t>
      </w:r>
      <w:r>
        <w:rPr>
          <w:rFonts w:hint="eastAsia" w:ascii="宋体" w:hAnsi="宋体" w:cs="宋体"/>
          <w:color w:val="000000" w:themeColor="text1"/>
          <w:sz w:val="24"/>
          <w:highlight w:val="none"/>
          <w14:textFill>
            <w14:solidFill>
              <w14:schemeClr w14:val="tx1"/>
            </w14:solidFill>
          </w14:textFill>
        </w:rPr>
        <w:t xml:space="preserve"> </w:t>
      </w:r>
    </w:p>
    <w:p w14:paraId="078C5F5E">
      <w:pPr>
        <w:pStyle w:val="3"/>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 承包人</w:t>
      </w:r>
    </w:p>
    <w:p w14:paraId="2C98DE75">
      <w:pPr>
        <w:pStyle w:val="4"/>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3.1 承包人的一般义务</w:t>
      </w:r>
    </w:p>
    <w:p w14:paraId="29980924">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（9）承包人提交的竣工资料的内容：</w:t>
      </w:r>
    </w:p>
    <w:p w14:paraId="3B02F8D4">
      <w:pPr>
        <w:spacing w:line="360" w:lineRule="auto"/>
        <w:ind w:firstLine="480"/>
        <w:jc w:val="left"/>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 xml:space="preserve"> 提供符合法律规定和合同约定及工程所在地行政质检监督部门要求的竣工图及竣工资料  </w:t>
      </w:r>
      <w:r>
        <w:rPr>
          <w:rFonts w:hint="eastAsia" w:ascii="宋体" w:hAnsi="宋体" w:cs="宋体"/>
          <w:color w:val="000000" w:themeColor="text1"/>
          <w:sz w:val="24"/>
          <w:highlight w:val="none"/>
          <w14:textFill>
            <w14:solidFill>
              <w14:schemeClr w14:val="tx1"/>
            </w14:solidFill>
          </w14:textFill>
        </w:rPr>
        <w:t>。</w:t>
      </w:r>
    </w:p>
    <w:p w14:paraId="1DB687D5">
      <w:pPr>
        <w:pStyle w:val="374"/>
        <w:spacing w:line="360" w:lineRule="auto"/>
        <w:ind w:firstLine="48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承包人需要提交的竣工资料套数：</w:t>
      </w:r>
      <w:r>
        <w:rPr>
          <w:rFonts w:hint="eastAsia" w:ascii="宋体" w:hAnsi="宋体" w:cs="宋体"/>
          <w:color w:val="000000" w:themeColor="text1"/>
          <w:sz w:val="24"/>
          <w:szCs w:val="24"/>
          <w:highlight w:val="none"/>
          <w:u w:val="single"/>
          <w14:textFill>
            <w14:solidFill>
              <w14:schemeClr w14:val="tx1"/>
            </w14:solidFill>
          </w14:textFill>
        </w:rPr>
        <w:t xml:space="preserve"> 六套竣工图、六套竣工资料和电子版竣工图及资料光盘贰张</w:t>
      </w:r>
      <w:r>
        <w:rPr>
          <w:rFonts w:hint="eastAsia" w:ascii="宋体" w:hAnsi="宋体" w:cs="宋体"/>
          <w:color w:val="000000" w:themeColor="text1"/>
          <w:sz w:val="24"/>
          <w:szCs w:val="24"/>
          <w:highlight w:val="none"/>
          <w14:textFill>
            <w14:solidFill>
              <w14:schemeClr w14:val="tx1"/>
            </w14:solidFill>
          </w14:textFill>
        </w:rPr>
        <w:t>。</w:t>
      </w:r>
    </w:p>
    <w:p w14:paraId="71307BD5">
      <w:pPr>
        <w:spacing w:line="360" w:lineRule="auto"/>
        <w:ind w:left="424"/>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承包人提交的竣工资料的费用承担：</w:t>
      </w:r>
      <w:r>
        <w:rPr>
          <w:rFonts w:hint="eastAsia" w:ascii="宋体" w:hAnsi="宋体" w:cs="宋体"/>
          <w:color w:val="000000" w:themeColor="text1"/>
          <w:sz w:val="24"/>
          <w:highlight w:val="none"/>
          <w:u w:val="single"/>
          <w14:textFill>
            <w14:solidFill>
              <w14:schemeClr w14:val="tx1"/>
            </w14:solidFill>
          </w14:textFill>
        </w:rPr>
        <w:t xml:space="preserve">  由承包人承担 </w:t>
      </w:r>
      <w:r>
        <w:rPr>
          <w:rFonts w:hint="eastAsia" w:ascii="宋体" w:hAnsi="宋体" w:cs="宋体"/>
          <w:color w:val="000000" w:themeColor="text1"/>
          <w:sz w:val="24"/>
          <w:highlight w:val="none"/>
          <w14:textFill>
            <w14:solidFill>
              <w14:schemeClr w14:val="tx1"/>
            </w14:solidFill>
          </w14:textFill>
        </w:rPr>
        <w:t>。</w:t>
      </w:r>
    </w:p>
    <w:p w14:paraId="52C0E2EC">
      <w:pPr>
        <w:spacing w:line="360" w:lineRule="auto"/>
        <w:ind w:left="424"/>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承包人提交的竣工资料移交时间：</w:t>
      </w:r>
      <w:r>
        <w:rPr>
          <w:rFonts w:hint="eastAsia" w:ascii="宋体" w:hAnsi="宋体" w:cs="宋体"/>
          <w:color w:val="000000" w:themeColor="text1"/>
          <w:sz w:val="24"/>
          <w:highlight w:val="none"/>
          <w:u w:val="single"/>
          <w14:textFill>
            <w14:solidFill>
              <w14:schemeClr w14:val="tx1"/>
            </w14:solidFill>
          </w14:textFill>
        </w:rPr>
        <w:t xml:space="preserve">    竣工验收前   </w:t>
      </w:r>
      <w:r>
        <w:rPr>
          <w:rFonts w:hint="eastAsia" w:ascii="宋体" w:hAnsi="宋体" w:cs="宋体"/>
          <w:color w:val="000000" w:themeColor="text1"/>
          <w:sz w:val="24"/>
          <w:highlight w:val="none"/>
          <w14:textFill>
            <w14:solidFill>
              <w14:schemeClr w14:val="tx1"/>
            </w14:solidFill>
          </w14:textFill>
        </w:rPr>
        <w:t>。</w:t>
      </w:r>
    </w:p>
    <w:p w14:paraId="0E75A01B">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承包人提交的竣工资料形式要求：</w:t>
      </w:r>
      <w:r>
        <w:rPr>
          <w:rFonts w:hint="eastAsia" w:ascii="宋体" w:hAnsi="宋体" w:cs="宋体"/>
          <w:color w:val="000000" w:themeColor="text1"/>
          <w:sz w:val="24"/>
          <w:highlight w:val="none"/>
          <w:u w:val="single"/>
          <w14:textFill>
            <w14:solidFill>
              <w14:schemeClr w14:val="tx1"/>
            </w14:solidFill>
          </w14:textFill>
        </w:rPr>
        <w:t xml:space="preserve">        书面形式和电子文件    </w:t>
      </w:r>
      <w:r>
        <w:rPr>
          <w:rFonts w:hint="eastAsia" w:ascii="宋体" w:hAnsi="宋体" w:cs="宋体"/>
          <w:color w:val="000000" w:themeColor="text1"/>
          <w:sz w:val="24"/>
          <w:highlight w:val="none"/>
          <w14:textFill>
            <w14:solidFill>
              <w14:schemeClr w14:val="tx1"/>
            </w14:solidFill>
          </w14:textFill>
        </w:rPr>
        <w:t>。</w:t>
      </w:r>
    </w:p>
    <w:p w14:paraId="02C0CB9D">
      <w:pPr>
        <w:pStyle w:val="374"/>
        <w:spacing w:line="360" w:lineRule="auto"/>
        <w:ind w:firstLine="480"/>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（10）承包人应履行的其他义务：</w:t>
      </w:r>
      <w:r>
        <w:rPr>
          <w:rFonts w:hint="eastAsia" w:ascii="宋体" w:hAnsi="宋体" w:cs="宋体"/>
          <w:color w:val="000000" w:themeColor="text1"/>
          <w:sz w:val="24"/>
          <w:szCs w:val="24"/>
          <w:highlight w:val="none"/>
          <w:u w:val="single"/>
          <w14:textFill>
            <w14:solidFill>
              <w14:schemeClr w14:val="tx1"/>
            </w14:solidFill>
          </w14:textFill>
        </w:rPr>
        <w:t xml:space="preserve"> ①承包人应按发包人的指令，完成发包人要求的对工程内容的任何增加和删减。③承包人应按照政府相关规定，建立健全的雇员工资发放和劳动保障制度。如因雇员的工资发放和劳动保障制度不健全而引发纠纷，导致民工围堵发包人等的，发包人有权解除合同，并要求承包人退场并赔偿发包人的经济损失。④承包人使用的临时用水、临时用电等设施在合同执行期间，如发包人要求为与本合同相关的其他承包人提供分表接口的，承包人应予无条件同意。⑤如承包人进入居民住宅区施工，做好现场安全文明施工及已有成品保护工作。现场运输材料、堆放材料等造成的路面的污染，承包人应该有专人负责跟踪打扫；居民住宅区的绿化、市政等公用设施做好施工期间的保护工作；现场施工及生活产生的垃圾应该每天有人清除；不允许在园区道路上搅拌砼及砂浆。⑥必须遵守居民社区的相关制度,服从工程所在地行业行政主管部门对施工现场生活区、作业区、办公区的市政管理、施工现场管理、卫生管理等规定。</w:t>
      </w:r>
    </w:p>
    <w:p w14:paraId="08763466">
      <w:pPr>
        <w:pStyle w:val="4"/>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3.2 项目经理</w:t>
      </w:r>
    </w:p>
    <w:p w14:paraId="73E3DBE4">
      <w:pPr>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3.2.1 项目经理：</w:t>
      </w:r>
    </w:p>
    <w:p w14:paraId="0BCF1892">
      <w:pPr>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姓    名：</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s="宋体"/>
          <w:color w:val="000000" w:themeColor="text1"/>
          <w:sz w:val="24"/>
          <w:highlight w:val="none"/>
          <w14:textFill>
            <w14:solidFill>
              <w14:schemeClr w14:val="tx1"/>
            </w14:solidFill>
          </w14:textFill>
        </w:rPr>
        <w:t>；</w:t>
      </w:r>
    </w:p>
    <w:p w14:paraId="020EFC1C">
      <w:pPr>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身份证号：</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s="宋体"/>
          <w:color w:val="000000" w:themeColor="text1"/>
          <w:sz w:val="24"/>
          <w:highlight w:val="none"/>
          <w14:textFill>
            <w14:solidFill>
              <w14:schemeClr w14:val="tx1"/>
            </w14:solidFill>
          </w14:textFill>
        </w:rPr>
        <w:t>；</w:t>
      </w:r>
    </w:p>
    <w:p w14:paraId="07FDC961">
      <w:pPr>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建造师执业资格等级：</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s="宋体"/>
          <w:color w:val="000000" w:themeColor="text1"/>
          <w:sz w:val="24"/>
          <w:highlight w:val="none"/>
          <w14:textFill>
            <w14:solidFill>
              <w14:schemeClr w14:val="tx1"/>
            </w14:solidFill>
          </w14:textFill>
        </w:rPr>
        <w:t>；</w:t>
      </w:r>
    </w:p>
    <w:p w14:paraId="2364B98A">
      <w:pPr>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建造师注册证书号：</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s="宋体"/>
          <w:color w:val="000000" w:themeColor="text1"/>
          <w:sz w:val="24"/>
          <w:highlight w:val="none"/>
          <w14:textFill>
            <w14:solidFill>
              <w14:schemeClr w14:val="tx1"/>
            </w14:solidFill>
          </w14:textFill>
        </w:rPr>
        <w:t>；</w:t>
      </w:r>
    </w:p>
    <w:p w14:paraId="560B068A">
      <w:pPr>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安全生产考核合格证书号：</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s="宋体"/>
          <w:color w:val="000000" w:themeColor="text1"/>
          <w:sz w:val="24"/>
          <w:highlight w:val="none"/>
          <w14:textFill>
            <w14:solidFill>
              <w14:schemeClr w14:val="tx1"/>
            </w14:solidFill>
          </w14:textFill>
        </w:rPr>
        <w:t>；</w:t>
      </w:r>
    </w:p>
    <w:p w14:paraId="17E45B79">
      <w:pPr>
        <w:pStyle w:val="388"/>
        <w:spacing w:line="360" w:lineRule="auto"/>
        <w:ind w:firstLine="48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联系电话：</w:t>
      </w:r>
      <w:r>
        <w:rPr>
          <w:rFonts w:hint="eastAsia" w:ascii="宋体" w:hAnsi="宋体" w:cs="宋体"/>
          <w:color w:val="000000" w:themeColor="text1"/>
          <w:sz w:val="24"/>
          <w:szCs w:val="24"/>
          <w:highlight w:val="none"/>
          <w:u w:val="single"/>
          <w14:textFill>
            <w14:solidFill>
              <w14:schemeClr w14:val="tx1"/>
            </w14:solidFill>
          </w14:textFill>
        </w:rPr>
        <w:t> </w:t>
      </w:r>
      <w:r>
        <w:rPr>
          <w:rFonts w:hint="eastAsia" w:ascii="宋体" w:hAnsi="宋体" w:cs="宋体"/>
          <w:color w:val="000000" w:themeColor="text1"/>
          <w:sz w:val="24"/>
          <w:szCs w:val="24"/>
          <w:highlight w:val="none"/>
          <w14:textFill>
            <w14:solidFill>
              <w14:schemeClr w14:val="tx1"/>
            </w14:solidFill>
          </w14:textFill>
        </w:rPr>
        <w:t>；</w:t>
      </w:r>
    </w:p>
    <w:p w14:paraId="59B3E7A9">
      <w:pPr>
        <w:pStyle w:val="388"/>
        <w:spacing w:line="360" w:lineRule="auto"/>
        <w:ind w:firstLine="48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电子信箱：</w:t>
      </w:r>
      <w:r>
        <w:rPr>
          <w:rFonts w:hint="eastAsia" w:ascii="宋体" w:hAnsi="宋体" w:cs="宋体"/>
          <w:color w:val="000000" w:themeColor="text1"/>
          <w:sz w:val="24"/>
          <w:szCs w:val="24"/>
          <w:highlight w:val="none"/>
          <w:u w:val="single"/>
          <w14:textFill>
            <w14:solidFill>
              <w14:schemeClr w14:val="tx1"/>
            </w14:solidFill>
          </w14:textFill>
        </w:rPr>
        <w:t> </w:t>
      </w:r>
      <w:r>
        <w:rPr>
          <w:rFonts w:hint="eastAsia" w:ascii="宋体" w:hAnsi="宋体" w:cs="宋体"/>
          <w:color w:val="000000" w:themeColor="text1"/>
          <w:sz w:val="24"/>
          <w:szCs w:val="24"/>
          <w:highlight w:val="none"/>
          <w14:textFill>
            <w14:solidFill>
              <w14:schemeClr w14:val="tx1"/>
            </w14:solidFill>
          </w14:textFill>
        </w:rPr>
        <w:t>；</w:t>
      </w:r>
    </w:p>
    <w:p w14:paraId="65528383">
      <w:pPr>
        <w:pStyle w:val="374"/>
        <w:spacing w:line="360" w:lineRule="auto"/>
        <w:ind w:firstLine="48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通信地址：</w:t>
      </w:r>
      <w:r>
        <w:rPr>
          <w:rFonts w:hint="eastAsia" w:ascii="宋体" w:hAnsi="宋体" w:cs="宋体"/>
          <w:color w:val="000000" w:themeColor="text1"/>
          <w:sz w:val="24"/>
          <w:szCs w:val="24"/>
          <w:highlight w:val="none"/>
          <w:u w:val="single"/>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w:t>
      </w:r>
    </w:p>
    <w:p w14:paraId="1EF8F7DE">
      <w:pPr>
        <w:pStyle w:val="374"/>
        <w:spacing w:line="360" w:lineRule="auto"/>
        <w:ind w:firstLine="48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承包人对项目经理的授权范围如下：  </w:t>
      </w:r>
      <w:r>
        <w:rPr>
          <w:rFonts w:hint="eastAsia" w:ascii="宋体" w:hAnsi="宋体" w:cs="宋体"/>
          <w:color w:val="000000" w:themeColor="text1"/>
          <w:sz w:val="24"/>
          <w:szCs w:val="24"/>
          <w:highlight w:val="none"/>
          <w:u w:val="single"/>
          <w14:textFill>
            <w14:solidFill>
              <w14:schemeClr w14:val="tx1"/>
            </w14:solidFill>
          </w14:textFill>
        </w:rPr>
        <w:t>项目经理为承包人法定代表人在该项目上的代表人，负责本工程施工过程</w:t>
      </w:r>
      <w:r>
        <w:rPr>
          <w:rFonts w:hint="eastAsia" w:ascii="宋体" w:hAnsi="宋体" w:cs="宋体"/>
          <w:color w:val="000000" w:themeColor="text1"/>
          <w:sz w:val="24"/>
          <w:szCs w:val="24"/>
          <w:highlight w:val="none"/>
          <w:u w:val="single"/>
          <w:lang w:eastAsia="zh-CN"/>
          <w14:textFill>
            <w14:solidFill>
              <w14:schemeClr w14:val="tx1"/>
            </w14:solidFill>
          </w14:textFill>
        </w:rPr>
        <w:t>中</w:t>
      </w:r>
      <w:r>
        <w:rPr>
          <w:rFonts w:hint="eastAsia" w:ascii="宋体" w:hAnsi="宋体" w:cs="宋体"/>
          <w:color w:val="000000" w:themeColor="text1"/>
          <w:sz w:val="24"/>
          <w:szCs w:val="24"/>
          <w:highlight w:val="none"/>
          <w:u w:val="single"/>
          <w14:textFill>
            <w14:solidFill>
              <w14:schemeClr w14:val="tx1"/>
            </w14:solidFill>
          </w14:textFill>
        </w:rPr>
        <w:t xml:space="preserve">的一切事务，项目经理仅限于本工程的现场施工管理，未经承包人签字盖章同意不得以承包人名义代收工程款、变更合同约定、向外采购材料设备、租用建筑周围材料、雇佣劳动力、签订分包合同等一切为承包人设立义务或责任的行为 </w:t>
      </w:r>
      <w:r>
        <w:rPr>
          <w:rFonts w:hint="eastAsia" w:ascii="宋体" w:hAnsi="宋体" w:cs="宋体"/>
          <w:color w:val="000000" w:themeColor="text1"/>
          <w:sz w:val="24"/>
          <w:szCs w:val="24"/>
          <w:highlight w:val="none"/>
          <w14:textFill>
            <w14:solidFill>
              <w14:schemeClr w14:val="tx1"/>
            </w14:solidFill>
          </w14:textFill>
        </w:rPr>
        <w:t>。</w:t>
      </w:r>
    </w:p>
    <w:p w14:paraId="2FBCF357">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关于项目经理每月在施工现场的时间要求：</w:t>
      </w:r>
      <w:r>
        <w:rPr>
          <w:rFonts w:hint="eastAsia" w:ascii="宋体" w:hAnsi="宋体" w:cs="宋体"/>
          <w:color w:val="000000" w:themeColor="text1"/>
          <w:sz w:val="24"/>
          <w:highlight w:val="none"/>
          <w:u w:val="single"/>
          <w14:textFill>
            <w14:solidFill>
              <w14:schemeClr w14:val="tx1"/>
            </w14:solidFill>
          </w14:textFill>
        </w:rPr>
        <w:t>项目经理不少于 24 日历天，未达到的每少一天罚1000元，按月考核， 发包人可从应向承包人支付的款项中扣除此项违约金或其他方式回收此款；项目经理不到位累计达 5 天的，发包人及监理人给予警告，累计达 10 天及以上的，发包人有权终止合同，由此引起的损失由承包人承担</w:t>
      </w:r>
      <w:r>
        <w:rPr>
          <w:rFonts w:hint="eastAsia" w:ascii="宋体" w:hAnsi="宋体" w:cs="宋体"/>
          <w:color w:val="000000" w:themeColor="text1"/>
          <w:sz w:val="24"/>
          <w:highlight w:val="none"/>
          <w14:textFill>
            <w14:solidFill>
              <w14:schemeClr w14:val="tx1"/>
            </w14:solidFill>
          </w14:textFill>
        </w:rPr>
        <w:t>。</w:t>
      </w:r>
    </w:p>
    <w:p w14:paraId="68790C5D">
      <w:pPr>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承包人未提交劳动合同，以及没有为项目经理缴纳社会保险证明的违约责任：</w:t>
      </w:r>
      <w:r>
        <w:rPr>
          <w:rFonts w:hint="eastAsia" w:ascii="宋体" w:hAnsi="宋体" w:cs="宋体"/>
          <w:color w:val="000000" w:themeColor="text1"/>
          <w:sz w:val="24"/>
          <w:highlight w:val="none"/>
          <w:u w:val="single"/>
          <w14:textFill>
            <w14:solidFill>
              <w14:schemeClr w14:val="tx1"/>
            </w14:solidFill>
          </w14:textFill>
        </w:rPr>
        <w:t xml:space="preserve"> 由承包人自行承担相关责任</w:t>
      </w:r>
      <w:r>
        <w:rPr>
          <w:rFonts w:hint="eastAsia" w:ascii="宋体" w:hAnsi="宋体" w:cs="宋体"/>
          <w:color w:val="000000" w:themeColor="text1"/>
          <w:sz w:val="24"/>
          <w:highlight w:val="none"/>
          <w14:textFill>
            <w14:solidFill>
              <w14:schemeClr w14:val="tx1"/>
            </w14:solidFill>
          </w14:textFill>
        </w:rPr>
        <w:t>。</w:t>
      </w:r>
    </w:p>
    <w:p w14:paraId="386354B8">
      <w:pPr>
        <w:spacing w:line="360" w:lineRule="auto"/>
        <w:ind w:firstLine="480"/>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项目经理未经批准，擅自离开施工现场的违约责任：</w:t>
      </w:r>
      <w:r>
        <w:rPr>
          <w:rFonts w:hint="eastAsia" w:ascii="宋体" w:hAnsi="宋体" w:cs="宋体"/>
          <w:color w:val="000000" w:themeColor="text1"/>
          <w:sz w:val="24"/>
          <w:highlight w:val="none"/>
          <w:u w:val="single"/>
          <w14:textFill>
            <w14:solidFill>
              <w14:schemeClr w14:val="tx1"/>
            </w14:solidFill>
          </w14:textFill>
        </w:rPr>
        <w:t xml:space="preserve">项目经理每月在岗带班时间不得少于当月施工时间的80%。未经发包人同意或正当理由，项目经理每月在岗带班时间少于当月施工时间80%的，少在岗带班一天，发包人有权处违约金1000元/日（人民币）  </w:t>
      </w:r>
      <w:r>
        <w:rPr>
          <w:rFonts w:hint="eastAsia" w:ascii="宋体" w:hAnsi="宋体" w:cs="宋体"/>
          <w:color w:val="000000" w:themeColor="text1"/>
          <w:sz w:val="24"/>
          <w:highlight w:val="none"/>
          <w14:textFill>
            <w14:solidFill>
              <w14:schemeClr w14:val="tx1"/>
            </w14:solidFill>
          </w14:textFill>
        </w:rPr>
        <w:t>。</w:t>
      </w:r>
    </w:p>
    <w:p w14:paraId="36C1C402">
      <w:pPr>
        <w:spacing w:line="360" w:lineRule="auto"/>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3.2.3 承包人擅自更换项目经理的违约责任：</w:t>
      </w:r>
      <w:r>
        <w:rPr>
          <w:rFonts w:hint="eastAsia" w:ascii="宋体" w:hAnsi="宋体" w:cs="宋体"/>
          <w:color w:val="000000" w:themeColor="text1"/>
          <w:sz w:val="24"/>
          <w:highlight w:val="none"/>
          <w:u w:val="single"/>
          <w14:textFill>
            <w14:solidFill>
              <w14:schemeClr w14:val="tx1"/>
            </w14:solidFill>
          </w14:textFill>
        </w:rPr>
        <w:t>承包人项目经理必须与承包人投标时所承诺的人员一致，并在开工日期前到</w:t>
      </w:r>
      <w:r>
        <w:rPr>
          <w:rFonts w:hint="eastAsia" w:ascii="宋体" w:hAnsi="宋体" w:cs="宋体"/>
          <w:color w:val="000000" w:themeColor="text1"/>
          <w:sz w:val="24"/>
          <w:highlight w:val="none"/>
          <w14:textFill>
            <w14:solidFill>
              <w14:schemeClr w14:val="tx1"/>
            </w14:solidFill>
          </w14:textFill>
        </w:rPr>
        <w:t xml:space="preserve">任。在监理人向承包人颁发 </w:t>
      </w:r>
      <w:r>
        <w:rPr>
          <w:rFonts w:hint="eastAsia" w:ascii="宋体" w:hAnsi="宋体" w:cs="宋体"/>
          <w:color w:val="000000" w:themeColor="text1"/>
          <w:sz w:val="24"/>
          <w:highlight w:val="none"/>
          <w:u w:val="single"/>
          <w14:textFill>
            <w14:solidFill>
              <w14:schemeClr w14:val="tx1"/>
            </w14:solidFill>
          </w14:textFill>
        </w:rPr>
        <w:t xml:space="preserve">   （竣工证明材料名称）   </w:t>
      </w:r>
      <w:r>
        <w:rPr>
          <w:rFonts w:hint="eastAsia" w:ascii="宋体" w:hAnsi="宋体" w:cs="宋体"/>
          <w:color w:val="000000" w:themeColor="text1"/>
          <w:sz w:val="24"/>
          <w:highlight w:val="none"/>
          <w14:textFill>
            <w14:solidFill>
              <w14:schemeClr w14:val="tx1"/>
            </w14:solidFill>
          </w14:textFill>
        </w:rPr>
        <w:t xml:space="preserve"> 前，项目经理不得同时兼任其他任何项目的项目经理（符合《广西壮族自治区建筑市场诚信卡管理暂行办法》第十六条第一款及桂建管﹝2016﹞70号、桂建管〔2020〕11号文除外）。未经发包人书面同意，承包人擅自更换项目经理的视为违约，违约金处</w:t>
      </w:r>
      <w:r>
        <w:rPr>
          <w:rFonts w:hint="eastAsia" w:ascii="宋体" w:hAnsi="宋体" w:cs="宋体"/>
          <w:color w:val="000000" w:themeColor="text1"/>
          <w:sz w:val="24"/>
          <w:highlight w:val="none"/>
          <w:u w:val="single"/>
          <w14:textFill>
            <w14:solidFill>
              <w14:schemeClr w14:val="tx1"/>
            </w14:solidFill>
          </w14:textFill>
        </w:rPr>
        <w:t xml:space="preserve"> 1000</w:t>
      </w:r>
      <w:r>
        <w:rPr>
          <w:rFonts w:hint="eastAsia" w:ascii="宋体" w:hAnsi="宋体" w:cs="宋体"/>
          <w:color w:val="000000" w:themeColor="text1"/>
          <w:sz w:val="24"/>
          <w:highlight w:val="none"/>
          <w14:textFill>
            <w14:solidFill>
              <w14:schemeClr w14:val="tx1"/>
            </w14:solidFill>
          </w14:textFill>
        </w:rPr>
        <w:t>元/人•次（人民币）。</w:t>
      </w:r>
    </w:p>
    <w:p w14:paraId="21D48DC8">
      <w:pPr>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3.2.4 承包人无正当理由拒绝更换项目经理的违约责任：</w:t>
      </w:r>
      <w:r>
        <w:rPr>
          <w:rFonts w:hint="eastAsia" w:ascii="宋体" w:hAnsi="宋体" w:cs="宋体"/>
          <w:color w:val="000000" w:themeColor="text1"/>
          <w:sz w:val="24"/>
          <w:highlight w:val="none"/>
          <w:u w:val="single"/>
          <w14:textFill>
            <w14:solidFill>
              <w14:schemeClr w14:val="tx1"/>
            </w14:solidFill>
          </w14:textFill>
        </w:rPr>
        <w:t>因承包人项目经理不称职，发包人要求调换而未及时调换的（超过5天不更换到位），视为承包人违约，必须向发包人交纳处罚金1000元/人•次（人民币）</w:t>
      </w:r>
      <w:r>
        <w:rPr>
          <w:rFonts w:hint="eastAsia" w:ascii="宋体" w:hAnsi="宋体" w:cs="宋体"/>
          <w:color w:val="000000" w:themeColor="text1"/>
          <w:sz w:val="24"/>
          <w:highlight w:val="none"/>
          <w14:textFill>
            <w14:solidFill>
              <w14:schemeClr w14:val="tx1"/>
            </w14:solidFill>
          </w14:textFill>
        </w:rPr>
        <w:t>。</w:t>
      </w:r>
    </w:p>
    <w:p w14:paraId="1E8FC3A3">
      <w:pPr>
        <w:pStyle w:val="4"/>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3.3 承包人人员</w:t>
      </w:r>
    </w:p>
    <w:p w14:paraId="6026B8D3">
      <w:pPr>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3.3.1 承包人提交项目管理机构及施工现场管理人员安排报告（格式见合同附件5）的期限：</w:t>
      </w:r>
      <w:r>
        <w:rPr>
          <w:rFonts w:hint="eastAsia" w:ascii="宋体" w:hAnsi="宋体" w:cs="宋体"/>
          <w:color w:val="000000" w:themeColor="text1"/>
          <w:sz w:val="24"/>
          <w:highlight w:val="none"/>
          <w:u w:val="single"/>
          <w14:textFill>
            <w14:solidFill>
              <w14:schemeClr w14:val="tx1"/>
            </w14:solidFill>
          </w14:textFill>
        </w:rPr>
        <w:t xml:space="preserve"> 开工日期前 7 天   </w:t>
      </w:r>
      <w:r>
        <w:rPr>
          <w:rFonts w:hint="eastAsia" w:ascii="宋体" w:hAnsi="宋体" w:cs="宋体"/>
          <w:color w:val="000000" w:themeColor="text1"/>
          <w:sz w:val="24"/>
          <w:highlight w:val="none"/>
          <w14:textFill>
            <w14:solidFill>
              <w14:schemeClr w14:val="tx1"/>
            </w14:solidFill>
          </w14:textFill>
        </w:rPr>
        <w:t>。</w:t>
      </w:r>
    </w:p>
    <w:p w14:paraId="7C2AF6D4">
      <w:pPr>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3.3.3 承包人无正当理由拒绝撤换主要施工管理人员的违约责任：</w:t>
      </w:r>
      <w:r>
        <w:rPr>
          <w:rFonts w:hint="eastAsia" w:ascii="宋体" w:hAnsi="宋体" w:cs="宋体"/>
          <w:color w:val="000000" w:themeColor="text1"/>
          <w:sz w:val="24"/>
          <w:highlight w:val="none"/>
          <w:u w:val="single"/>
          <w14:textFill>
            <w14:solidFill>
              <w14:schemeClr w14:val="tx1"/>
            </w14:solidFill>
          </w14:textFill>
        </w:rPr>
        <w:t>因承包人主要施工管理人员不称职，发包人要求调换而无正当理由拒绝撤换或未及时调换的，视为承包人违约，必须向发包人交纳处罚金，处罚标准：技术负责人 1000元/人•次（人民币）；专业工程师 1000 元/人•次（人民币）</w:t>
      </w:r>
      <w:r>
        <w:rPr>
          <w:rFonts w:hint="eastAsia" w:ascii="宋体" w:hAnsi="宋体" w:cs="宋体"/>
          <w:color w:val="000000" w:themeColor="text1"/>
          <w:sz w:val="24"/>
          <w:highlight w:val="none"/>
          <w14:textFill>
            <w14:solidFill>
              <w14:schemeClr w14:val="tx1"/>
            </w14:solidFill>
          </w14:textFill>
        </w:rPr>
        <w:t>。</w:t>
      </w:r>
    </w:p>
    <w:p w14:paraId="75B3AC40">
      <w:pPr>
        <w:pStyle w:val="374"/>
        <w:spacing w:line="360" w:lineRule="auto"/>
        <w:ind w:firstLine="480"/>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3.3.4 承包人主要施工管理人员离开施工现场的批准要求：</w:t>
      </w:r>
      <w:r>
        <w:rPr>
          <w:rFonts w:hint="eastAsia" w:ascii="宋体" w:hAnsi="宋体" w:cs="宋体"/>
          <w:color w:val="000000" w:themeColor="text1"/>
          <w:sz w:val="24"/>
          <w:szCs w:val="24"/>
          <w:highlight w:val="none"/>
          <w:u w:val="single"/>
          <w14:textFill>
            <w14:solidFill>
              <w14:schemeClr w14:val="tx1"/>
            </w14:solidFill>
          </w14:textFill>
        </w:rPr>
        <w:t xml:space="preserve">承包人的主要施工管理人员（五大员）每人每月到位率不少于 24 日历天，未经发包人同意或正当理由，少在岗一天，发包人有权处违约金1000元/日（人民币） </w:t>
      </w:r>
      <w:r>
        <w:rPr>
          <w:rFonts w:hint="eastAsia" w:ascii="宋体" w:hAnsi="宋体" w:cs="宋体"/>
          <w:color w:val="000000" w:themeColor="text1"/>
          <w:sz w:val="24"/>
          <w:szCs w:val="24"/>
          <w:highlight w:val="none"/>
          <w14:textFill>
            <w14:solidFill>
              <w14:schemeClr w14:val="tx1"/>
            </w14:solidFill>
          </w14:textFill>
        </w:rPr>
        <w:t>。</w:t>
      </w:r>
    </w:p>
    <w:p w14:paraId="1C5C97BD">
      <w:pPr>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3.3.5 承包人擅自更换主要施工管理人员的违约责任：</w:t>
      </w:r>
      <w:r>
        <w:rPr>
          <w:rFonts w:hint="eastAsia" w:ascii="宋体" w:hAnsi="宋体" w:cs="宋体"/>
          <w:color w:val="000000" w:themeColor="text1"/>
          <w:sz w:val="24"/>
          <w:highlight w:val="none"/>
          <w:u w:val="single"/>
          <w14:textFill>
            <w14:solidFill>
              <w14:schemeClr w14:val="tx1"/>
            </w14:solidFill>
          </w14:textFill>
        </w:rPr>
        <w:t>项目技术负责人、专职安全生产管理人员及其承诺的其它在场管理人员未经发包人书面同意不准擅自更换，擅自更换项目技术负责人处1000元/人•次（人民币）违约金；擅自更换专职安全生产管理人员处 1000   元/人•次（人民币）违约金；擅自更换其它在场管理人员处 1000元/人•次（人民币）违约金</w:t>
      </w:r>
      <w:r>
        <w:rPr>
          <w:rFonts w:hint="eastAsia" w:ascii="宋体" w:hAnsi="宋体" w:cs="宋体"/>
          <w:color w:val="000000" w:themeColor="text1"/>
          <w:sz w:val="24"/>
          <w:highlight w:val="none"/>
          <w14:textFill>
            <w14:solidFill>
              <w14:schemeClr w14:val="tx1"/>
            </w14:solidFill>
          </w14:textFill>
        </w:rPr>
        <w:t>。</w:t>
      </w:r>
    </w:p>
    <w:p w14:paraId="5D98E015">
      <w:pPr>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承包人主要施工管理人员擅自离开施工现场的违约责任：</w:t>
      </w:r>
      <w:r>
        <w:rPr>
          <w:rFonts w:hint="eastAsia" w:ascii="宋体" w:hAnsi="宋体" w:cs="宋体"/>
          <w:color w:val="000000" w:themeColor="text1"/>
          <w:sz w:val="24"/>
          <w:highlight w:val="none"/>
          <w:u w:val="single"/>
          <w14:textFill>
            <w14:solidFill>
              <w14:schemeClr w14:val="tx1"/>
            </w14:solidFill>
          </w14:textFill>
        </w:rPr>
        <w:t>未经发包人同意，项目技术负责人擅自离岗的，视为承包人违约，发包人有权处违约金500元/人•次（人民币）；未经发包人同意，专职安全生产管理人员擅自离岗的，视为承包人违约，发包人有权处违约金 500元/人•次（人民币）；其它在场管理人员擅自离岗的，视为承包人违约，发包人有权处违约金500 元/人•次（人民币）</w:t>
      </w:r>
      <w:r>
        <w:rPr>
          <w:rFonts w:hint="eastAsia" w:ascii="宋体" w:hAnsi="宋体" w:cs="宋体"/>
          <w:color w:val="000000" w:themeColor="text1"/>
          <w:sz w:val="24"/>
          <w:highlight w:val="none"/>
          <w14:textFill>
            <w14:solidFill>
              <w14:schemeClr w14:val="tx1"/>
            </w14:solidFill>
          </w14:textFill>
        </w:rPr>
        <w:t>。</w:t>
      </w:r>
    </w:p>
    <w:p w14:paraId="75C6403E">
      <w:pPr>
        <w:pStyle w:val="4"/>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3.5 分包</w:t>
      </w:r>
    </w:p>
    <w:p w14:paraId="1B338BDE">
      <w:pPr>
        <w:spacing w:line="360" w:lineRule="auto"/>
        <w:ind w:firstLine="480"/>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lang w:eastAsia="zh-CN"/>
          <w14:textFill>
            <w14:solidFill>
              <w14:schemeClr w14:val="tx1"/>
            </w14:solidFill>
          </w14:textFill>
        </w:rPr>
        <w:t>本项目不允许分包</w:t>
      </w:r>
    </w:p>
    <w:p w14:paraId="5BF1A613">
      <w:pPr>
        <w:pStyle w:val="4"/>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3.6 工程照管与成品、半成品保护</w:t>
      </w:r>
    </w:p>
    <w:p w14:paraId="726B2A25">
      <w:pPr>
        <w:spacing w:line="360" w:lineRule="auto"/>
        <w:ind w:firstLine="480"/>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承包人负责照管工程及工程相关的材料、工程设备的起始时间：</w:t>
      </w:r>
      <w:r>
        <w:rPr>
          <w:rFonts w:hint="eastAsia" w:ascii="宋体" w:hAnsi="宋体" w:cs="宋体"/>
          <w:color w:val="000000" w:themeColor="text1"/>
          <w:sz w:val="24"/>
          <w:highlight w:val="none"/>
          <w:u w:val="single"/>
          <w14:textFill>
            <w14:solidFill>
              <w14:schemeClr w14:val="tx1"/>
            </w14:solidFill>
          </w14:textFill>
        </w:rPr>
        <w:t>自发包人向承包人移交施工现场之日起，至承包人向发包人交付工程之日止</w:t>
      </w:r>
      <w:r>
        <w:rPr>
          <w:rFonts w:hint="eastAsia" w:ascii="宋体" w:hAnsi="宋体" w:cs="宋体"/>
          <w:color w:val="000000" w:themeColor="text1"/>
          <w:sz w:val="24"/>
          <w:highlight w:val="none"/>
          <w14:textFill>
            <w14:solidFill>
              <w14:schemeClr w14:val="tx1"/>
            </w14:solidFill>
          </w14:textFill>
        </w:rPr>
        <w:t>。</w:t>
      </w:r>
    </w:p>
    <w:p w14:paraId="1425E0E4">
      <w:pPr>
        <w:pStyle w:val="4"/>
        <w:spacing w:line="360" w:lineRule="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3.7 履约保证金</w:t>
      </w:r>
      <w:r>
        <w:rPr>
          <w:rFonts w:hint="eastAsia" w:ascii="宋体" w:hAnsi="宋体" w:cs="宋体"/>
          <w:color w:val="000000" w:themeColor="text1"/>
          <w:sz w:val="24"/>
          <w:szCs w:val="24"/>
          <w:highlight w:val="none"/>
          <w:lang w:eastAsia="zh-CN"/>
          <w14:textFill>
            <w14:solidFill>
              <w14:schemeClr w14:val="tx1"/>
            </w14:solidFill>
          </w14:textFill>
        </w:rPr>
        <w:t>：本项目无履约保证金要求。</w:t>
      </w:r>
    </w:p>
    <w:p w14:paraId="002C506D">
      <w:pPr>
        <w:pStyle w:val="3"/>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 监理人</w:t>
      </w:r>
    </w:p>
    <w:p w14:paraId="458D904C">
      <w:pPr>
        <w:pStyle w:val="4"/>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4.1 监理人的一般规定</w:t>
      </w:r>
    </w:p>
    <w:p w14:paraId="1E48E2A4">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关于监理人的监理内容：</w:t>
      </w:r>
      <w:r>
        <w:rPr>
          <w:rFonts w:hint="eastAsia" w:ascii="宋体" w:hAnsi="宋体" w:cs="宋体"/>
          <w:color w:val="000000" w:themeColor="text1"/>
          <w:sz w:val="24"/>
          <w:highlight w:val="none"/>
          <w:u w:val="single"/>
          <w14:textFill>
            <w14:solidFill>
              <w14:schemeClr w14:val="tx1"/>
            </w14:solidFill>
          </w14:textFill>
        </w:rPr>
        <w:t>根据发包人与监理人签订的《监理合同》及工程实际需要确定</w:t>
      </w:r>
      <w:r>
        <w:rPr>
          <w:rFonts w:hint="eastAsia" w:ascii="宋体" w:hAnsi="宋体" w:cs="宋体"/>
          <w:color w:val="000000" w:themeColor="text1"/>
          <w:sz w:val="24"/>
          <w:highlight w:val="none"/>
          <w14:textFill>
            <w14:solidFill>
              <w14:schemeClr w14:val="tx1"/>
            </w14:solidFill>
          </w14:textFill>
        </w:rPr>
        <w:t>。关于监理人的监理权限：</w:t>
      </w:r>
      <w:r>
        <w:rPr>
          <w:rFonts w:hint="eastAsia" w:ascii="宋体" w:hAnsi="宋体" w:cs="宋体"/>
          <w:color w:val="000000" w:themeColor="text1"/>
          <w:sz w:val="24"/>
          <w:highlight w:val="none"/>
          <w:u w:val="single"/>
          <w14:textFill>
            <w14:solidFill>
              <w14:schemeClr w14:val="tx1"/>
            </w14:solidFill>
          </w14:textFill>
        </w:rPr>
        <w:t xml:space="preserve">根据监理合同、施工承包合同和法律法规规定的事项代表发包人进行工程前期协调、施工现场协调、工程监理      </w:t>
      </w:r>
      <w:r>
        <w:rPr>
          <w:rFonts w:hint="eastAsia" w:ascii="宋体" w:hAnsi="宋体" w:cs="宋体"/>
          <w:color w:val="000000" w:themeColor="text1"/>
          <w:sz w:val="24"/>
          <w:highlight w:val="none"/>
          <w14:textFill>
            <w14:solidFill>
              <w14:schemeClr w14:val="tx1"/>
            </w14:solidFill>
          </w14:textFill>
        </w:rPr>
        <w:t xml:space="preserve">。 </w:t>
      </w:r>
    </w:p>
    <w:p w14:paraId="339D34A8">
      <w:pPr>
        <w:pStyle w:val="374"/>
        <w:spacing w:line="360" w:lineRule="auto"/>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关于监理人在施工现场的办公场所、生活场所的提供和费用承担的约定：</w:t>
      </w:r>
      <w:r>
        <w:rPr>
          <w:rFonts w:hint="eastAsia" w:ascii="宋体" w:hAnsi="宋体" w:cs="宋体"/>
          <w:color w:val="000000" w:themeColor="text1"/>
          <w:sz w:val="24"/>
          <w:szCs w:val="24"/>
          <w:highlight w:val="none"/>
          <w:u w:val="single"/>
          <w14:textFill>
            <w14:solidFill>
              <w14:schemeClr w14:val="tx1"/>
            </w14:solidFill>
          </w14:textFill>
        </w:rPr>
        <w:t xml:space="preserve"> 监理人在施工现</w:t>
      </w:r>
    </w:p>
    <w:p w14:paraId="2F397A19">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 xml:space="preserve">场的办公场所、生活场所由承包人提供，所发生的费用由承包人承担  </w:t>
      </w:r>
      <w:r>
        <w:rPr>
          <w:rFonts w:hint="eastAsia" w:ascii="宋体" w:hAnsi="宋体" w:cs="宋体"/>
          <w:color w:val="000000" w:themeColor="text1"/>
          <w:sz w:val="24"/>
          <w:highlight w:val="none"/>
          <w14:textFill>
            <w14:solidFill>
              <w14:schemeClr w14:val="tx1"/>
            </w14:solidFill>
          </w14:textFill>
        </w:rPr>
        <w:t>。</w:t>
      </w:r>
    </w:p>
    <w:p w14:paraId="4C773D8A">
      <w:pPr>
        <w:pStyle w:val="4"/>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4.2 监理人员</w:t>
      </w:r>
    </w:p>
    <w:p w14:paraId="666199A0">
      <w:pPr>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总监理工程师：</w:t>
      </w:r>
    </w:p>
    <w:p w14:paraId="53E9241F">
      <w:pPr>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姓    名：</w:t>
      </w:r>
      <w:r>
        <w:rPr>
          <w:rFonts w:hint="eastAsia" w:ascii="宋体" w:hAnsi="宋体" w:cs="宋体"/>
          <w:color w:val="000000" w:themeColor="text1"/>
          <w:sz w:val="24"/>
          <w:highlight w:val="none"/>
          <w:u w:val="single"/>
          <w14:textFill>
            <w14:solidFill>
              <w14:schemeClr w14:val="tx1"/>
            </w14:solidFill>
          </w14:textFill>
        </w:rPr>
        <w:t>详见监理合同 </w:t>
      </w:r>
      <w:r>
        <w:rPr>
          <w:rFonts w:hint="eastAsia" w:ascii="宋体" w:hAnsi="宋体" w:cs="宋体"/>
          <w:color w:val="000000" w:themeColor="text1"/>
          <w:sz w:val="24"/>
          <w:highlight w:val="none"/>
          <w14:textFill>
            <w14:solidFill>
              <w14:schemeClr w14:val="tx1"/>
            </w14:solidFill>
          </w14:textFill>
        </w:rPr>
        <w:t>；</w:t>
      </w:r>
    </w:p>
    <w:p w14:paraId="09794870">
      <w:pPr>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职    务：</w:t>
      </w:r>
      <w:r>
        <w:rPr>
          <w:rFonts w:hint="eastAsia" w:ascii="宋体" w:hAnsi="宋体" w:cs="宋体"/>
          <w:color w:val="000000" w:themeColor="text1"/>
          <w:sz w:val="24"/>
          <w:highlight w:val="none"/>
          <w:u w:val="single"/>
          <w14:textFill>
            <w14:solidFill>
              <w14:schemeClr w14:val="tx1"/>
            </w14:solidFill>
          </w14:textFill>
        </w:rPr>
        <w:t>详见监理合同 </w:t>
      </w:r>
      <w:r>
        <w:rPr>
          <w:rFonts w:hint="eastAsia" w:ascii="宋体" w:hAnsi="宋体" w:cs="宋体"/>
          <w:color w:val="000000" w:themeColor="text1"/>
          <w:sz w:val="24"/>
          <w:highlight w:val="none"/>
          <w14:textFill>
            <w14:solidFill>
              <w14:schemeClr w14:val="tx1"/>
            </w14:solidFill>
          </w14:textFill>
        </w:rPr>
        <w:t>；</w:t>
      </w:r>
    </w:p>
    <w:p w14:paraId="7BC5A353">
      <w:pPr>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监理工程师注册证书号：</w:t>
      </w:r>
      <w:r>
        <w:rPr>
          <w:rFonts w:hint="eastAsia" w:ascii="宋体" w:hAnsi="宋体" w:cs="宋体"/>
          <w:color w:val="000000" w:themeColor="text1"/>
          <w:sz w:val="24"/>
          <w:highlight w:val="none"/>
          <w:u w:val="single"/>
          <w14:textFill>
            <w14:solidFill>
              <w14:schemeClr w14:val="tx1"/>
            </w14:solidFill>
          </w14:textFill>
        </w:rPr>
        <w:t>详见监理合同</w:t>
      </w:r>
      <w:r>
        <w:rPr>
          <w:rFonts w:hint="eastAsia" w:ascii="宋体" w:hAnsi="宋体" w:cs="宋体"/>
          <w:color w:val="000000" w:themeColor="text1"/>
          <w:sz w:val="24"/>
          <w:highlight w:val="none"/>
          <w14:textFill>
            <w14:solidFill>
              <w14:schemeClr w14:val="tx1"/>
            </w14:solidFill>
          </w14:textFill>
        </w:rPr>
        <w:t>；</w:t>
      </w:r>
    </w:p>
    <w:p w14:paraId="65374900">
      <w:pPr>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联系电话：</w:t>
      </w:r>
      <w:r>
        <w:rPr>
          <w:rFonts w:hint="eastAsia" w:ascii="宋体" w:hAnsi="宋体" w:cs="宋体"/>
          <w:color w:val="000000" w:themeColor="text1"/>
          <w:sz w:val="24"/>
          <w:highlight w:val="none"/>
          <w:u w:val="single"/>
          <w14:textFill>
            <w14:solidFill>
              <w14:schemeClr w14:val="tx1"/>
            </w14:solidFill>
          </w14:textFill>
        </w:rPr>
        <w:t>详见监理合同 </w:t>
      </w:r>
      <w:r>
        <w:rPr>
          <w:rFonts w:hint="eastAsia" w:ascii="宋体" w:hAnsi="宋体" w:cs="宋体"/>
          <w:color w:val="000000" w:themeColor="text1"/>
          <w:sz w:val="24"/>
          <w:highlight w:val="none"/>
          <w14:textFill>
            <w14:solidFill>
              <w14:schemeClr w14:val="tx1"/>
            </w14:solidFill>
          </w14:textFill>
        </w:rPr>
        <w:t>；</w:t>
      </w:r>
    </w:p>
    <w:p w14:paraId="7EB26B4F">
      <w:pPr>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电子信箱：</w:t>
      </w:r>
      <w:r>
        <w:rPr>
          <w:rFonts w:hint="eastAsia" w:ascii="宋体" w:hAnsi="宋体" w:cs="宋体"/>
          <w:color w:val="000000" w:themeColor="text1"/>
          <w:sz w:val="24"/>
          <w:highlight w:val="none"/>
          <w:u w:val="single"/>
          <w14:textFill>
            <w14:solidFill>
              <w14:schemeClr w14:val="tx1"/>
            </w14:solidFill>
          </w14:textFill>
        </w:rPr>
        <w:t>详见监理合同</w:t>
      </w:r>
      <w:r>
        <w:rPr>
          <w:rFonts w:hint="eastAsia" w:ascii="宋体" w:hAnsi="宋体" w:cs="宋体"/>
          <w:color w:val="000000" w:themeColor="text1"/>
          <w:sz w:val="24"/>
          <w:highlight w:val="none"/>
          <w14:textFill>
            <w14:solidFill>
              <w14:schemeClr w14:val="tx1"/>
            </w14:solidFill>
          </w14:textFill>
        </w:rPr>
        <w:t>；</w:t>
      </w:r>
    </w:p>
    <w:p w14:paraId="3DEAEDEC">
      <w:pPr>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通信地址：</w:t>
      </w:r>
      <w:r>
        <w:rPr>
          <w:rFonts w:hint="eastAsia" w:ascii="宋体" w:hAnsi="宋体" w:cs="宋体"/>
          <w:color w:val="000000" w:themeColor="text1"/>
          <w:sz w:val="24"/>
          <w:highlight w:val="none"/>
          <w:u w:val="single"/>
          <w14:textFill>
            <w14:solidFill>
              <w14:schemeClr w14:val="tx1"/>
            </w14:solidFill>
          </w14:textFill>
        </w:rPr>
        <w:t>详见监理合同</w:t>
      </w:r>
      <w:r>
        <w:rPr>
          <w:rFonts w:hint="eastAsia" w:ascii="宋体" w:hAnsi="宋体" w:cs="宋体"/>
          <w:color w:val="000000" w:themeColor="text1"/>
          <w:sz w:val="24"/>
          <w:highlight w:val="none"/>
          <w14:textFill>
            <w14:solidFill>
              <w14:schemeClr w14:val="tx1"/>
            </w14:solidFill>
          </w14:textFill>
        </w:rPr>
        <w:t>；</w:t>
      </w:r>
    </w:p>
    <w:p w14:paraId="3CB0359D">
      <w:pPr>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关于监理人的其他约定：</w:t>
      </w:r>
      <w:r>
        <w:rPr>
          <w:rFonts w:hint="eastAsia" w:ascii="宋体" w:hAnsi="宋体" w:cs="宋体"/>
          <w:color w:val="000000" w:themeColor="text1"/>
          <w:sz w:val="24"/>
          <w:highlight w:val="none"/>
          <w:u w:val="single"/>
          <w14:textFill>
            <w14:solidFill>
              <w14:schemeClr w14:val="tx1"/>
            </w14:solidFill>
          </w14:textFill>
        </w:rPr>
        <w:t>按《通用合同条款》执行</w:t>
      </w:r>
      <w:r>
        <w:rPr>
          <w:rFonts w:hint="eastAsia" w:ascii="宋体" w:hAnsi="宋体" w:cs="宋体"/>
          <w:color w:val="000000" w:themeColor="text1"/>
          <w:sz w:val="24"/>
          <w:highlight w:val="none"/>
          <w14:textFill>
            <w14:solidFill>
              <w14:schemeClr w14:val="tx1"/>
            </w14:solidFill>
          </w14:textFill>
        </w:rPr>
        <w:t>。</w:t>
      </w:r>
    </w:p>
    <w:p w14:paraId="431BF85F">
      <w:pPr>
        <w:pStyle w:val="4"/>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4.4 商定或确定</w:t>
      </w:r>
    </w:p>
    <w:p w14:paraId="73D3C987">
      <w:pPr>
        <w:spacing w:line="360" w:lineRule="auto"/>
        <w:ind w:firstLine="480"/>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在发包人和承包人不能通过协商达成一致意见时，发包人授权监理人对以下事项进行确定：</w:t>
      </w:r>
      <w:r>
        <w:rPr>
          <w:rFonts w:hint="eastAsia" w:ascii="宋体" w:hAnsi="宋体" w:cs="宋体"/>
          <w:color w:val="000000" w:themeColor="text1"/>
          <w:sz w:val="24"/>
          <w:highlight w:val="none"/>
          <w:u w:val="single"/>
          <w14:textFill>
            <w14:solidFill>
              <w14:schemeClr w14:val="tx1"/>
            </w14:solidFill>
          </w14:textFill>
        </w:rPr>
        <w:t>/。</w:t>
      </w:r>
    </w:p>
    <w:p w14:paraId="09556061">
      <w:pPr>
        <w:pStyle w:val="3"/>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 工程质量</w:t>
      </w:r>
    </w:p>
    <w:p w14:paraId="0D3550E0">
      <w:pPr>
        <w:pStyle w:val="4"/>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5.1 质量要求</w:t>
      </w:r>
    </w:p>
    <w:p w14:paraId="7E2EA2A3">
      <w:pPr>
        <w:spacing w:line="360" w:lineRule="auto"/>
        <w:ind w:firstLine="480"/>
        <w:jc w:val="left"/>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5.1.1 特殊质量标准和要求：</w:t>
      </w:r>
      <w:r>
        <w:rPr>
          <w:rFonts w:hint="eastAsia" w:ascii="宋体" w:hAnsi="宋体" w:cs="宋体"/>
          <w:color w:val="000000" w:themeColor="text1"/>
          <w:sz w:val="24"/>
          <w:highlight w:val="none"/>
          <w:u w:val="single"/>
          <w14:textFill>
            <w14:solidFill>
              <w14:schemeClr w14:val="tx1"/>
            </w14:solidFill>
          </w14:textFill>
        </w:rPr>
        <w:t>严格执行广西住房和城乡自治区住建厅《关于严格实行房屋建筑和市政基础设施工程质量终身责任承诺、永久性质量责任标牌、终身责任信息档案等制度 的通知》（桂建管【2014】96 号），落实建设工程质量终身责任</w:t>
      </w:r>
      <w:r>
        <w:rPr>
          <w:rFonts w:hint="eastAsia" w:ascii="宋体" w:hAnsi="宋体" w:cs="宋体"/>
          <w:color w:val="000000" w:themeColor="text1"/>
          <w:sz w:val="24"/>
          <w:highlight w:val="none"/>
          <w14:textFill>
            <w14:solidFill>
              <w14:schemeClr w14:val="tx1"/>
            </w14:solidFill>
          </w14:textFill>
        </w:rPr>
        <w:t>。</w:t>
      </w:r>
    </w:p>
    <w:p w14:paraId="69F4B5A5">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关于工程奖项的约定： 如果工程获得</w:t>
      </w:r>
      <w:r>
        <w:rPr>
          <w:rFonts w:hint="eastAsia" w:ascii="宋体" w:hAnsi="宋体" w:cs="宋体"/>
          <w:color w:val="000000" w:themeColor="text1"/>
          <w:sz w:val="24"/>
          <w:highlight w:val="none"/>
          <w:u w:val="single"/>
          <w14:textFill>
            <w14:solidFill>
              <w14:schemeClr w14:val="tx1"/>
            </w14:solidFill>
          </w14:textFill>
        </w:rPr>
        <w:t xml:space="preserve">     /        （奖项名称）</w:t>
      </w:r>
      <w:r>
        <w:rPr>
          <w:rFonts w:hint="eastAsia" w:ascii="宋体" w:hAnsi="宋体" w:cs="宋体"/>
          <w:color w:val="000000" w:themeColor="text1"/>
          <w:sz w:val="24"/>
          <w:highlight w:val="none"/>
          <w14:textFill>
            <w14:solidFill>
              <w14:schemeClr w14:val="tx1"/>
            </w14:solidFill>
          </w14:textFill>
        </w:rPr>
        <w:t>，给予承包人合同价</w:t>
      </w:r>
      <w:r>
        <w:rPr>
          <w:rFonts w:hint="eastAsia" w:ascii="宋体" w:hAnsi="宋体" w:cs="宋体"/>
          <w:color w:val="000000" w:themeColor="text1"/>
          <w:sz w:val="24"/>
          <w:highlight w:val="none"/>
          <w:u w:val="single"/>
          <w14:textFill>
            <w14:solidFill>
              <w14:schemeClr w14:val="tx1"/>
            </w14:solidFill>
          </w14:textFill>
        </w:rPr>
        <w:t xml:space="preserve"> /  </w:t>
      </w:r>
      <w:r>
        <w:rPr>
          <w:rFonts w:hint="eastAsia" w:ascii="宋体" w:hAnsi="宋体" w:cs="宋体"/>
          <w:color w:val="000000" w:themeColor="text1"/>
          <w:sz w:val="24"/>
          <w:highlight w:val="none"/>
          <w14:textFill>
            <w14:solidFill>
              <w14:schemeClr w14:val="tx1"/>
            </w14:solidFill>
          </w14:textFill>
        </w:rPr>
        <w:t>%的奖励。（建设单位创建优质工程的，鼓励在招标控制价和预算中按我区工程建设定额规定计列工程优质费，并在招标文件中明确工程优质费不可竞争。）</w:t>
      </w:r>
    </w:p>
    <w:p w14:paraId="1A1EA1AA">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5.3 隐蔽工程检查</w:t>
      </w:r>
    </w:p>
    <w:p w14:paraId="08B2F9A0">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5.3.2承包人提前通知监理人隐蔽工程检查的期限的约定：工程隐蔽或中间验收前12小时以书面形式通知发包人和监理工程师验收的内容、时间、地点，承包人准备验收记录单（最好是印制的表格）由双方签证。验收合格，承包人可进行隐蔽和继续施工；如验收不合格,双方商订时限内整改后按上述顺序重新验收,并视隐蔽工程或中间验收的关键部位和重要性处500元至20000元的罚款，并有权拒绝支付该部分工程款。</w:t>
      </w:r>
    </w:p>
    <w:p w14:paraId="1015BC31">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监理人不能按时进行检查时，应提前</w:t>
      </w:r>
      <w:r>
        <w:rPr>
          <w:rFonts w:hint="eastAsia" w:ascii="宋体" w:hAnsi="宋体" w:cs="宋体"/>
          <w:color w:val="000000" w:themeColor="text1"/>
          <w:sz w:val="24"/>
          <w:highlight w:val="none"/>
          <w:u w:val="single"/>
          <w14:textFill>
            <w14:solidFill>
              <w14:schemeClr w14:val="tx1"/>
            </w14:solidFill>
          </w14:textFill>
        </w:rPr>
        <w:t xml:space="preserve">    12   </w:t>
      </w:r>
      <w:r>
        <w:rPr>
          <w:rFonts w:hint="eastAsia" w:ascii="宋体" w:hAnsi="宋体" w:cs="宋体"/>
          <w:color w:val="000000" w:themeColor="text1"/>
          <w:sz w:val="24"/>
          <w:highlight w:val="none"/>
          <w14:textFill>
            <w14:solidFill>
              <w14:schemeClr w14:val="tx1"/>
            </w14:solidFill>
          </w14:textFill>
        </w:rPr>
        <w:t>小时提交书面延期要求。</w:t>
      </w:r>
    </w:p>
    <w:p w14:paraId="252C6B23">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关于延期最长不得超过：</w:t>
      </w:r>
      <w:r>
        <w:rPr>
          <w:rFonts w:hint="eastAsia" w:ascii="宋体" w:hAnsi="宋体" w:cs="宋体"/>
          <w:color w:val="000000" w:themeColor="text1"/>
          <w:sz w:val="24"/>
          <w:highlight w:val="none"/>
          <w:u w:val="single"/>
          <w14:textFill>
            <w14:solidFill>
              <w14:schemeClr w14:val="tx1"/>
            </w14:solidFill>
          </w14:textFill>
        </w:rPr>
        <w:t xml:space="preserve">    24     </w:t>
      </w:r>
      <w:r>
        <w:rPr>
          <w:rFonts w:hint="eastAsia" w:ascii="宋体" w:hAnsi="宋体" w:cs="宋体"/>
          <w:color w:val="000000" w:themeColor="text1"/>
          <w:sz w:val="24"/>
          <w:highlight w:val="none"/>
          <w14:textFill>
            <w14:solidFill>
              <w14:schemeClr w14:val="tx1"/>
            </w14:solidFill>
          </w14:textFill>
        </w:rPr>
        <w:t>小时。</w:t>
      </w:r>
    </w:p>
    <w:p w14:paraId="7F2C4CE1">
      <w:pPr>
        <w:pStyle w:val="3"/>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 安全文明施工与环境保护</w:t>
      </w:r>
    </w:p>
    <w:p w14:paraId="0E455AC7">
      <w:pPr>
        <w:pStyle w:val="4"/>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6.1 安全文明施工</w:t>
      </w:r>
    </w:p>
    <w:p w14:paraId="614A3FAC">
      <w:pPr>
        <w:widowControl/>
        <w:spacing w:line="360" w:lineRule="auto"/>
        <w:ind w:firstLine="42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6.1.1 项目安全生产的达标目标及相应事项的约定：</w:t>
      </w:r>
      <w:r>
        <w:rPr>
          <w:rFonts w:hint="eastAsia" w:ascii="宋体" w:hAnsi="宋体" w:cs="宋体"/>
          <w:color w:val="000000" w:themeColor="text1"/>
          <w:sz w:val="24"/>
          <w:highlight w:val="none"/>
          <w:u w:val="single"/>
          <w14:textFill>
            <w14:solidFill>
              <w14:schemeClr w14:val="tx1"/>
            </w14:solidFill>
          </w14:textFill>
        </w:rPr>
        <w:t xml:space="preserve">承包人应遵守国家安全生产法律、法规的规定及国家和工程所在地工程建设安全生产有关管理规定，严格按现行安全标准组织施工，并随时服从和接受发包人、监理人和行业安全检查人员依法实施的监督检查，采取必要的安全防护措施，消除事故隐患。其安全施工防护费用已经含在合同价款内。本工程在整个施工期间杜绝一切人身伤亡和重大质量安全事故，如发生上述事故，则发包人视为承包人违约，在施工期间每发生一起人身损害（不包括死亡）事故，承包人除了接受政府相关部门处罚外，承包人须向发包人支付违约金 2 万元，每发生一起人身死亡事故，承包人除了接受政府相关部门处罚外，承包人须向发包人支付违约金 3 万元。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如经政府相关部门调查发现因承包人过失造成事故的发生，发包人有权解除合同，由此造成的一切经济损失和法律责任由承包人承担 。未尽事宜按《通用合同条款》6.1.1 条执行 </w:t>
      </w:r>
      <w:r>
        <w:rPr>
          <w:rFonts w:hint="eastAsia" w:ascii="宋体" w:hAnsi="宋体" w:cs="宋体"/>
          <w:color w:val="000000" w:themeColor="text1"/>
          <w:sz w:val="24"/>
          <w:highlight w:val="none"/>
          <w14:textFill>
            <w14:solidFill>
              <w14:schemeClr w14:val="tx1"/>
            </w14:solidFill>
          </w14:textFill>
        </w:rPr>
        <w:t>。</w:t>
      </w:r>
    </w:p>
    <w:p w14:paraId="638AED43">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关于安全文明施工奖项的约定：</w:t>
      </w:r>
      <w:r>
        <w:rPr>
          <w:rFonts w:hint="eastAsia" w:ascii="宋体" w:hAnsi="宋体" w:cs="宋体"/>
          <w:color w:val="000000" w:themeColor="text1"/>
          <w:sz w:val="24"/>
          <w:highlight w:val="none"/>
          <w:u w:val="single"/>
          <w14:textFill>
            <w14:solidFill>
              <w14:schemeClr w14:val="tx1"/>
            </w14:solidFill>
          </w14:textFill>
        </w:rPr>
        <w:t xml:space="preserve">           /       </w:t>
      </w:r>
      <w:r>
        <w:rPr>
          <w:rFonts w:hint="eastAsia" w:ascii="宋体" w:hAnsi="宋体" w:cs="宋体"/>
          <w:color w:val="000000" w:themeColor="text1"/>
          <w:sz w:val="24"/>
          <w:highlight w:val="none"/>
          <w14:textFill>
            <w14:solidFill>
              <w14:schemeClr w14:val="tx1"/>
            </w14:solidFill>
          </w14:textFill>
        </w:rPr>
        <w:t>。</w:t>
      </w:r>
    </w:p>
    <w:p w14:paraId="1AAC3214">
      <w:pPr>
        <w:spacing w:line="360" w:lineRule="auto"/>
        <w:ind w:firstLine="480"/>
        <w:jc w:val="left"/>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6.1.4 关于治安保卫的特别约定：</w:t>
      </w:r>
      <w:r>
        <w:rPr>
          <w:rFonts w:hint="eastAsia" w:ascii="宋体" w:hAnsi="宋体" w:cs="宋体"/>
          <w:color w:val="000000" w:themeColor="text1"/>
          <w:sz w:val="24"/>
          <w:highlight w:val="none"/>
          <w:u w:val="single"/>
          <w14:textFill>
            <w14:solidFill>
              <w14:schemeClr w14:val="tx1"/>
            </w14:solidFill>
          </w14:textFill>
        </w:rPr>
        <w:t>承包人应承担施工安全保卫工作及非夜间施工照明的责任，承包人应采取一切合理的预防措施，防止人员伤亡、财产损失事故，费用由承包人承担。承包人生活设施及施工</w:t>
      </w:r>
      <w:r>
        <w:rPr>
          <w:rFonts w:hint="eastAsia" w:ascii="宋体" w:hAnsi="宋体" w:cs="宋体"/>
          <w:color w:val="000000" w:themeColor="text1"/>
          <w:sz w:val="24"/>
          <w:highlight w:val="none"/>
          <w:u w:val="single"/>
          <w:lang w:eastAsia="zh-CN"/>
          <w14:textFill>
            <w14:solidFill>
              <w14:schemeClr w14:val="tx1"/>
            </w14:solidFill>
          </w14:textFill>
        </w:rPr>
        <w:t>现场</w:t>
      </w:r>
      <w:r>
        <w:rPr>
          <w:rFonts w:hint="eastAsia" w:ascii="宋体" w:hAnsi="宋体" w:cs="宋体"/>
          <w:color w:val="000000" w:themeColor="text1"/>
          <w:sz w:val="24"/>
          <w:highlight w:val="none"/>
          <w:u w:val="single"/>
          <w14:textFill>
            <w14:solidFill>
              <w14:schemeClr w14:val="tx1"/>
            </w14:solidFill>
          </w14:textFill>
        </w:rPr>
        <w:t>应自费配备消防设备，防止火灾发生。</w:t>
      </w:r>
    </w:p>
    <w:p w14:paraId="32F80110">
      <w:pPr>
        <w:pStyle w:val="374"/>
        <w:spacing w:line="360" w:lineRule="auto"/>
        <w:ind w:firstLine="48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关于编制施工场地治安管理计划的约定：</w:t>
      </w:r>
      <w:r>
        <w:rPr>
          <w:rFonts w:hint="eastAsia" w:ascii="宋体" w:hAnsi="宋体" w:cs="宋体"/>
          <w:color w:val="000000" w:themeColor="text1"/>
          <w:sz w:val="24"/>
          <w:szCs w:val="24"/>
          <w:highlight w:val="none"/>
          <w:u w:val="single"/>
          <w14:textFill>
            <w14:solidFill>
              <w14:schemeClr w14:val="tx1"/>
            </w14:solidFill>
          </w14:textFill>
        </w:rPr>
        <w:t xml:space="preserve"> 承包人应在工程开工后 7 天内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r>
        <w:rPr>
          <w:rFonts w:hint="eastAsia" w:ascii="宋体" w:hAnsi="宋体" w:cs="宋体"/>
          <w:color w:val="000000" w:themeColor="text1"/>
          <w:sz w:val="24"/>
          <w:szCs w:val="24"/>
          <w:highlight w:val="none"/>
          <w14:textFill>
            <w14:solidFill>
              <w14:schemeClr w14:val="tx1"/>
            </w14:solidFill>
          </w14:textFill>
        </w:rPr>
        <w:t>。</w:t>
      </w:r>
    </w:p>
    <w:p w14:paraId="6D8886B8">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6.1.5 文明施工</w:t>
      </w:r>
    </w:p>
    <w:p w14:paraId="36B4137D">
      <w:pPr>
        <w:spacing w:line="360" w:lineRule="auto"/>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合同当事人对文明施工的要求：</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bCs/>
          <w:color w:val="000000" w:themeColor="text1"/>
          <w:sz w:val="24"/>
          <w:highlight w:val="none"/>
          <w:u w:val="single"/>
          <w14:textFill>
            <w14:solidFill>
              <w14:schemeClr w14:val="tx1"/>
            </w14:solidFill>
          </w14:textFill>
        </w:rPr>
        <w:t>严格执行《中华人民共和国大气污染防治法》（主席令第三十一号）的有关规定确保建设工程各项安全防护、文明施工措施及其费用在工地一线按标准落实到位。</w:t>
      </w:r>
      <w:r>
        <w:rPr>
          <w:rFonts w:hint="eastAsia" w:ascii="宋体" w:hAnsi="宋体" w:cs="宋体"/>
          <w:color w:val="000000" w:themeColor="text1"/>
          <w:sz w:val="24"/>
          <w:highlight w:val="none"/>
          <w:u w:val="single"/>
          <w14:textFill>
            <w14:solidFill>
              <w14:schemeClr w14:val="tx1"/>
            </w14:solidFill>
          </w14:textFill>
        </w:rPr>
        <w:t xml:space="preserve"> </w:t>
      </w:r>
    </w:p>
    <w:p w14:paraId="2945CB05">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6.1.6关于安全生产费总额、支付比例、支付期限、转入和结余收回的约定：</w:t>
      </w:r>
    </w:p>
    <w:p w14:paraId="7EC89A9A">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（1）本合同价款已包含安全文明施工费</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b/>
          <w:bCs/>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元。</w:t>
      </w:r>
    </w:p>
    <w:p w14:paraId="62E93A45">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（2）使用要求：专款专用，不得用于其他用途。具体按</w:t>
      </w:r>
      <w:r>
        <w:rPr>
          <w:rFonts w:hint="eastAsia" w:ascii="宋体" w:hAnsi="宋体" w:cs="宋体"/>
          <w:color w:val="000000" w:themeColor="text1"/>
          <w:sz w:val="24"/>
          <w:highlight w:val="none"/>
          <w:u w:val="single"/>
          <w14:textFill>
            <w14:solidFill>
              <w14:schemeClr w14:val="tx1"/>
            </w14:solidFill>
          </w14:textFill>
        </w:rPr>
        <w:t>《广西壮族自治区建设工程安全文明施工费使用管理细则》（桂建质〔2015〕16号）</w:t>
      </w:r>
      <w:r>
        <w:rPr>
          <w:rFonts w:hint="eastAsia" w:ascii="宋体" w:hAnsi="宋体" w:cs="宋体"/>
          <w:color w:val="000000" w:themeColor="text1"/>
          <w:sz w:val="24"/>
          <w:highlight w:val="none"/>
          <w14:textFill>
            <w14:solidFill>
              <w14:schemeClr w14:val="tx1"/>
            </w14:solidFill>
          </w14:textFill>
        </w:rPr>
        <w:t>相关规定执行。</w:t>
      </w:r>
    </w:p>
    <w:p w14:paraId="2C90096E">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（3）支付约定：在本合同签订后</w:t>
      </w:r>
      <w:r>
        <w:rPr>
          <w:rFonts w:hint="eastAsia" w:ascii="宋体" w:hAnsi="宋体" w:cs="宋体"/>
          <w:color w:val="000000" w:themeColor="text1"/>
          <w:sz w:val="24"/>
          <w:highlight w:val="none"/>
          <w:u w:val="single"/>
          <w14:textFill>
            <w14:solidFill>
              <w14:schemeClr w14:val="tx1"/>
            </w14:solidFill>
          </w14:textFill>
        </w:rPr>
        <w:t xml:space="preserve">  30 </w:t>
      </w:r>
      <w:r>
        <w:rPr>
          <w:rFonts w:hint="eastAsia" w:ascii="宋体" w:hAnsi="宋体" w:cs="宋体"/>
          <w:color w:val="000000" w:themeColor="text1"/>
          <w:sz w:val="24"/>
          <w:highlight w:val="none"/>
          <w14:textFill>
            <w14:solidFill>
              <w14:schemeClr w14:val="tx1"/>
            </w14:solidFill>
          </w14:textFill>
        </w:rPr>
        <w:t>个工作日内，预付安全文明施工费总额的</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5</w:t>
      </w:r>
      <w:r>
        <w:rPr>
          <w:rFonts w:hint="eastAsia" w:ascii="宋体" w:hAnsi="宋体" w:cs="宋体"/>
          <w:color w:val="000000" w:themeColor="text1"/>
          <w:sz w:val="24"/>
          <w:highlight w:val="none"/>
          <w:u w:val="single"/>
          <w14:textFill>
            <w14:solidFill>
              <w14:schemeClr w14:val="tx1"/>
            </w14:solidFill>
          </w14:textFill>
        </w:rPr>
        <w:t xml:space="preserve">0 </w:t>
      </w:r>
      <w:r>
        <w:rPr>
          <w:rFonts w:hint="eastAsia" w:ascii="宋体" w:hAnsi="宋体" w:cs="宋体"/>
          <w:color w:val="000000" w:themeColor="text1"/>
          <w:sz w:val="24"/>
          <w:highlight w:val="none"/>
          <w14:textFill>
            <w14:solidFill>
              <w14:schemeClr w14:val="tx1"/>
            </w14:solidFill>
          </w14:textFill>
        </w:rPr>
        <w:t xml:space="preserve"> %，其余部分待检查合格后与进度款同期支付，安全文明施工费预付款在工程进度款累计金额超过合同价的 </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5</w:t>
      </w:r>
      <w:r>
        <w:rPr>
          <w:rFonts w:hint="eastAsia" w:ascii="宋体" w:hAnsi="宋体" w:cs="宋体"/>
          <w:color w:val="000000" w:themeColor="text1"/>
          <w:sz w:val="24"/>
          <w:highlight w:val="none"/>
          <w:u w:val="single"/>
          <w14:textFill>
            <w14:solidFill>
              <w14:schemeClr w14:val="tx1"/>
            </w14:solidFill>
          </w14:textFill>
        </w:rPr>
        <w:t>0 %</w:t>
      </w:r>
      <w:r>
        <w:rPr>
          <w:rFonts w:hint="eastAsia" w:ascii="宋体" w:hAnsi="宋体" w:cs="宋体"/>
          <w:color w:val="000000" w:themeColor="text1"/>
          <w:sz w:val="24"/>
          <w:highlight w:val="none"/>
          <w14:textFill>
            <w14:solidFill>
              <w14:schemeClr w14:val="tx1"/>
            </w14:solidFill>
          </w14:textFill>
        </w:rPr>
        <w:t>时开始起扣，每月从支付给承包商的工程款内按安全文明预付款占合同总价的同一百分比扣回。</w:t>
      </w:r>
    </w:p>
    <w:p w14:paraId="62010A75">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（4）建设单位按规定将安全生产费用转入施工单位设立的安全生产费用专户。</w:t>
      </w:r>
    </w:p>
    <w:p w14:paraId="7E139B00">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（5）施工单位将安全生产费用使用情况定期报告建设单位和监理单位，并提供相应的材料接受建设行政主管部门对此事项监管。</w:t>
      </w:r>
    </w:p>
    <w:p w14:paraId="1FB91145">
      <w:pPr>
        <w:spacing w:line="360" w:lineRule="auto"/>
        <w:ind w:firstLine="480"/>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w:t>
      </w:r>
      <w:r>
        <w:rPr>
          <w:rFonts w:hint="eastAsia" w:ascii="宋体" w:hAnsi="宋体" w:cs="宋体"/>
          <w:b/>
          <w:bCs/>
          <w:color w:val="000000" w:themeColor="text1"/>
          <w:sz w:val="24"/>
          <w:highlight w:val="none"/>
          <w14:textFill>
            <w14:solidFill>
              <w14:schemeClr w14:val="tx1"/>
            </w14:solidFill>
          </w14:textFill>
        </w:rPr>
        <w:t>安全生产费用专户</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b/>
          <w:bCs/>
          <w:color w:val="000000" w:themeColor="text1"/>
          <w:sz w:val="24"/>
          <w:highlight w:val="none"/>
          <w:u w:val="single"/>
          <w14:textFill>
            <w14:solidFill>
              <w14:schemeClr w14:val="tx1"/>
            </w14:solidFill>
          </w14:textFill>
        </w:rPr>
        <w:t xml:space="preserve">       </w:t>
      </w:r>
      <w:r>
        <w:rPr>
          <w:rFonts w:hint="eastAsia" w:ascii="宋体" w:hAnsi="宋体" w:cs="宋体"/>
          <w:b/>
          <w:bCs/>
          <w:color w:val="000000" w:themeColor="text1"/>
          <w:sz w:val="24"/>
          <w:highlight w:val="none"/>
          <w14:textFill>
            <w14:solidFill>
              <w14:schemeClr w14:val="tx1"/>
            </w14:solidFill>
          </w14:textFill>
        </w:rPr>
        <w:t>。</w:t>
      </w:r>
    </w:p>
    <w:p w14:paraId="01B3C3B5">
      <w:pPr>
        <w:spacing w:line="360" w:lineRule="auto"/>
        <w:ind w:firstLine="2409"/>
        <w:jc w:val="left"/>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账号:</w:t>
      </w:r>
      <w:r>
        <w:rPr>
          <w:rFonts w:hint="eastAsia" w:ascii="宋体" w:hAnsi="宋体" w:cs="宋体"/>
          <w:b/>
          <w:bCs/>
          <w:color w:val="000000" w:themeColor="text1"/>
          <w:sz w:val="24"/>
          <w:highlight w:val="none"/>
          <w:u w:val="single"/>
          <w14:textFill>
            <w14:solidFill>
              <w14:schemeClr w14:val="tx1"/>
            </w14:solidFill>
          </w14:textFill>
        </w:rPr>
        <w:t xml:space="preserve">          </w:t>
      </w:r>
      <w:r>
        <w:rPr>
          <w:rFonts w:hint="eastAsia" w:ascii="宋体" w:hAnsi="宋体" w:cs="宋体"/>
          <w:b/>
          <w:bCs/>
          <w:color w:val="000000" w:themeColor="text1"/>
          <w:sz w:val="24"/>
          <w:highlight w:val="none"/>
          <w14:textFill>
            <w14:solidFill>
              <w14:schemeClr w14:val="tx1"/>
            </w14:solidFill>
          </w14:textFill>
        </w:rPr>
        <w:t>。</w:t>
      </w:r>
    </w:p>
    <w:p w14:paraId="5E361EB7">
      <w:pPr>
        <w:spacing w:line="360" w:lineRule="auto"/>
        <w:ind w:firstLine="1928"/>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开户银行：</w:t>
      </w:r>
      <w:r>
        <w:rPr>
          <w:rFonts w:hint="eastAsia" w:ascii="宋体" w:hAnsi="宋体" w:cs="宋体"/>
          <w:b/>
          <w:bCs/>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p>
    <w:p w14:paraId="7EF78BE6">
      <w:pPr>
        <w:pStyle w:val="4"/>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6.3 环境保护</w:t>
      </w:r>
    </w:p>
    <w:p w14:paraId="7B9E31C8">
      <w:pPr>
        <w:spacing w:line="360" w:lineRule="auto"/>
        <w:ind w:firstLine="480"/>
        <w:jc w:val="left"/>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因施工需要，经发包人批准，由承包人办理有关施工场地交通、环卫和施工噪音管理等手续，费用由承包人负责。</w:t>
      </w:r>
    </w:p>
    <w:p w14:paraId="43EFAB62">
      <w:pPr>
        <w:spacing w:line="360" w:lineRule="auto"/>
        <w:ind w:firstLine="480"/>
        <w:jc w:val="left"/>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经过城市道路的施工车辆，必须按交警、城管、运输等部门相关规定执行。由于施工车辆造成的道路、环境等污染，其责任和费用均由承包人承担。</w:t>
      </w:r>
    </w:p>
    <w:p w14:paraId="025F2C67">
      <w:pPr>
        <w:pStyle w:val="3"/>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 工期和进度</w:t>
      </w:r>
    </w:p>
    <w:p w14:paraId="660B4C85">
      <w:pPr>
        <w:pStyle w:val="4"/>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7.1 施工组织设计</w:t>
      </w:r>
    </w:p>
    <w:p w14:paraId="3111AC7D">
      <w:pPr>
        <w:pStyle w:val="374"/>
        <w:spacing w:line="360" w:lineRule="auto"/>
        <w:ind w:firstLine="480"/>
        <w:jc w:val="left"/>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7.1.1 合同当事人约定的施工组织设计应包括的其他内容：</w:t>
      </w:r>
      <w:r>
        <w:rPr>
          <w:rFonts w:hint="eastAsia" w:ascii="宋体" w:hAnsi="宋体" w:cs="宋体"/>
          <w:color w:val="000000" w:themeColor="text1"/>
          <w:sz w:val="24"/>
          <w:szCs w:val="24"/>
          <w:highlight w:val="none"/>
          <w:u w:val="single"/>
          <w14:textFill>
            <w14:solidFill>
              <w14:schemeClr w14:val="tx1"/>
            </w14:solidFill>
          </w14:textFill>
        </w:rPr>
        <w:t xml:space="preserve">按《通用合同条款》7.1.1条执行 </w:t>
      </w:r>
      <w:r>
        <w:rPr>
          <w:rFonts w:hint="eastAsia" w:ascii="宋体" w:hAnsi="宋体" w:cs="宋体"/>
          <w:color w:val="000000" w:themeColor="text1"/>
          <w:sz w:val="24"/>
          <w:szCs w:val="24"/>
          <w:highlight w:val="none"/>
          <w14:textFill>
            <w14:solidFill>
              <w14:schemeClr w14:val="tx1"/>
            </w14:solidFill>
          </w14:textFill>
        </w:rPr>
        <w:t>。</w:t>
      </w:r>
    </w:p>
    <w:p w14:paraId="69AB16CC">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7.1.2 施工组织设计的提交和修改</w:t>
      </w:r>
    </w:p>
    <w:p w14:paraId="0D89D3D9">
      <w:pPr>
        <w:spacing w:line="360" w:lineRule="auto"/>
        <w:ind w:firstLine="480"/>
        <w:jc w:val="left"/>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承包人提交详细施工组织设计的期限的约定：</w:t>
      </w:r>
      <w:r>
        <w:rPr>
          <w:rFonts w:hint="eastAsia" w:ascii="宋体" w:hAnsi="宋体" w:cs="宋体"/>
          <w:color w:val="000000" w:themeColor="text1"/>
          <w:sz w:val="24"/>
          <w:highlight w:val="none"/>
          <w:u w:val="single"/>
          <w14:textFill>
            <w14:solidFill>
              <w14:schemeClr w14:val="tx1"/>
            </w14:solidFill>
          </w14:textFill>
        </w:rPr>
        <w:t xml:space="preserve">   承包人应在合同签订后3天内   </w:t>
      </w:r>
      <w:r>
        <w:rPr>
          <w:rFonts w:hint="eastAsia" w:ascii="宋体" w:hAnsi="宋体" w:cs="宋体"/>
          <w:color w:val="000000" w:themeColor="text1"/>
          <w:sz w:val="24"/>
          <w:highlight w:val="none"/>
          <w14:textFill>
            <w14:solidFill>
              <w14:schemeClr w14:val="tx1"/>
            </w14:solidFill>
          </w14:textFill>
        </w:rPr>
        <w:t>。</w:t>
      </w:r>
    </w:p>
    <w:p w14:paraId="5A74EA52">
      <w:pPr>
        <w:pStyle w:val="374"/>
        <w:spacing w:line="360" w:lineRule="auto"/>
        <w:ind w:firstLine="48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发包人和监理人在收到详细的施工组织设计后确认或提出修改意见的期限：</w:t>
      </w:r>
      <w:r>
        <w:rPr>
          <w:rFonts w:hint="eastAsia" w:ascii="宋体" w:hAnsi="宋体" w:cs="宋体"/>
          <w:color w:val="000000" w:themeColor="text1"/>
          <w:sz w:val="24"/>
          <w:szCs w:val="24"/>
          <w:highlight w:val="none"/>
          <w:u w:val="single"/>
          <w14:textFill>
            <w14:solidFill>
              <w14:schemeClr w14:val="tx1"/>
            </w14:solidFill>
          </w14:textFill>
        </w:rPr>
        <w:t xml:space="preserve"> 收到施工组织设计后 2 天内确认或提出修改意见</w:t>
      </w:r>
      <w:r>
        <w:rPr>
          <w:rFonts w:hint="eastAsia" w:ascii="宋体" w:hAnsi="宋体" w:cs="宋体"/>
          <w:color w:val="000000" w:themeColor="text1"/>
          <w:sz w:val="24"/>
          <w:szCs w:val="24"/>
          <w:highlight w:val="none"/>
          <w14:textFill>
            <w14:solidFill>
              <w14:schemeClr w14:val="tx1"/>
            </w14:solidFill>
          </w14:textFill>
        </w:rPr>
        <w:t>。</w:t>
      </w:r>
    </w:p>
    <w:p w14:paraId="2589709C">
      <w:pPr>
        <w:pStyle w:val="4"/>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7.2 施工进度计划</w:t>
      </w:r>
    </w:p>
    <w:p w14:paraId="584FE01F">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7.2.2 施工进度计划的修订</w:t>
      </w:r>
    </w:p>
    <w:p w14:paraId="0C778532">
      <w:pPr>
        <w:pStyle w:val="374"/>
        <w:spacing w:line="360" w:lineRule="auto"/>
        <w:ind w:firstLine="48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发包人和监理人在收到修订的施工进度计划后确认或提出修改意见的期限：</w:t>
      </w:r>
      <w:r>
        <w:rPr>
          <w:rFonts w:hint="eastAsia" w:ascii="宋体" w:hAnsi="宋体" w:cs="宋体"/>
          <w:color w:val="000000" w:themeColor="text1"/>
          <w:sz w:val="24"/>
          <w:szCs w:val="24"/>
          <w:highlight w:val="none"/>
          <w:u w:val="single"/>
          <w14:textFill>
            <w14:solidFill>
              <w14:schemeClr w14:val="tx1"/>
            </w14:solidFill>
          </w14:textFill>
        </w:rPr>
        <w:t xml:space="preserve">到修订的施工进度计划后 2 天内确认或提出修改意见 </w:t>
      </w:r>
      <w:r>
        <w:rPr>
          <w:rFonts w:hint="eastAsia" w:ascii="宋体" w:hAnsi="宋体" w:cs="宋体"/>
          <w:color w:val="000000" w:themeColor="text1"/>
          <w:sz w:val="24"/>
          <w:szCs w:val="24"/>
          <w:highlight w:val="none"/>
          <w14:textFill>
            <w14:solidFill>
              <w14:schemeClr w14:val="tx1"/>
            </w14:solidFill>
          </w14:textFill>
        </w:rPr>
        <w:t>。</w:t>
      </w:r>
    </w:p>
    <w:p w14:paraId="41CBEE57">
      <w:pPr>
        <w:pStyle w:val="4"/>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7.3 开工</w:t>
      </w:r>
    </w:p>
    <w:p w14:paraId="635EA352">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7.3.1 开工准备</w:t>
      </w:r>
    </w:p>
    <w:p w14:paraId="77913C9F">
      <w:pPr>
        <w:spacing w:line="360" w:lineRule="auto"/>
        <w:ind w:firstLine="426"/>
        <w:jc w:val="left"/>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关于承包人提交工程开工报审表的期限：</w:t>
      </w:r>
      <w:r>
        <w:rPr>
          <w:rFonts w:hint="eastAsia" w:ascii="宋体" w:hAnsi="宋体" w:cs="宋体"/>
          <w:color w:val="000000" w:themeColor="text1"/>
          <w:sz w:val="24"/>
          <w:highlight w:val="none"/>
          <w:u w:val="single"/>
          <w14:textFill>
            <w14:solidFill>
              <w14:schemeClr w14:val="tx1"/>
            </w14:solidFill>
          </w14:textFill>
        </w:rPr>
        <w:t xml:space="preserve">   开工日期前 7 天    </w:t>
      </w:r>
      <w:r>
        <w:rPr>
          <w:rFonts w:hint="eastAsia" w:ascii="宋体" w:hAnsi="宋体" w:cs="宋体"/>
          <w:color w:val="000000" w:themeColor="text1"/>
          <w:sz w:val="24"/>
          <w:highlight w:val="none"/>
          <w14:textFill>
            <w14:solidFill>
              <w14:schemeClr w14:val="tx1"/>
            </w14:solidFill>
          </w14:textFill>
        </w:rPr>
        <w:t>。</w:t>
      </w:r>
    </w:p>
    <w:p w14:paraId="7E08A12B">
      <w:pPr>
        <w:spacing w:line="360" w:lineRule="auto"/>
        <w:ind w:firstLine="426"/>
        <w:jc w:val="left"/>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关于发包人应完成的其他开工准备工作及期限：</w:t>
      </w:r>
      <w:r>
        <w:rPr>
          <w:rFonts w:hint="eastAsia" w:ascii="宋体" w:hAnsi="宋体" w:cs="宋体"/>
          <w:color w:val="000000" w:themeColor="text1"/>
          <w:sz w:val="24"/>
          <w:highlight w:val="none"/>
          <w:u w:val="single"/>
          <w14:textFill>
            <w14:solidFill>
              <w14:schemeClr w14:val="tx1"/>
            </w14:solidFill>
          </w14:textFill>
        </w:rPr>
        <w:t xml:space="preserve">  按《通用合同条款》执行</w:t>
      </w:r>
      <w:r>
        <w:rPr>
          <w:rFonts w:hint="eastAsia" w:ascii="宋体" w:hAnsi="宋体" w:cs="宋体"/>
          <w:color w:val="000000" w:themeColor="text1"/>
          <w:sz w:val="24"/>
          <w:highlight w:val="none"/>
          <w14:textFill>
            <w14:solidFill>
              <w14:schemeClr w14:val="tx1"/>
            </w14:solidFill>
          </w14:textFill>
        </w:rPr>
        <w:t>。</w:t>
      </w:r>
    </w:p>
    <w:p w14:paraId="6FD2D94E">
      <w:pPr>
        <w:spacing w:line="360" w:lineRule="auto"/>
        <w:ind w:firstLine="480"/>
        <w:jc w:val="left"/>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关于承包人应完成的其他开工准备工作及期限：</w:t>
      </w:r>
      <w:r>
        <w:rPr>
          <w:rFonts w:hint="eastAsia" w:ascii="宋体" w:hAnsi="宋体" w:cs="宋体"/>
          <w:color w:val="000000" w:themeColor="text1"/>
          <w:sz w:val="24"/>
          <w:highlight w:val="none"/>
          <w:u w:val="single"/>
          <w14:textFill>
            <w14:solidFill>
              <w14:schemeClr w14:val="tx1"/>
            </w14:solidFill>
          </w14:textFill>
        </w:rPr>
        <w:t xml:space="preserve">   开工日期前 7 天 </w:t>
      </w:r>
      <w:r>
        <w:rPr>
          <w:rFonts w:hint="eastAsia" w:ascii="宋体" w:hAnsi="宋体" w:cs="宋体"/>
          <w:color w:val="000000" w:themeColor="text1"/>
          <w:sz w:val="24"/>
          <w:highlight w:val="none"/>
          <w14:textFill>
            <w14:solidFill>
              <w14:schemeClr w14:val="tx1"/>
            </w14:solidFill>
          </w14:textFill>
        </w:rPr>
        <w:t>。</w:t>
      </w:r>
    </w:p>
    <w:p w14:paraId="45141A63">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7.3.2 开工通知</w:t>
      </w:r>
    </w:p>
    <w:p w14:paraId="28C5CE65">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因发包人原因造成监理人未能在计划开工日期之日起</w:t>
      </w:r>
      <w:r>
        <w:rPr>
          <w:rFonts w:hint="eastAsia" w:ascii="宋体" w:hAnsi="宋体" w:cs="宋体"/>
          <w:color w:val="000000" w:themeColor="text1"/>
          <w:sz w:val="24"/>
          <w:highlight w:val="none"/>
          <w:u w:val="single"/>
          <w14:textFill>
            <w14:solidFill>
              <w14:schemeClr w14:val="tx1"/>
            </w14:solidFill>
          </w14:textFill>
        </w:rPr>
        <w:t xml:space="preserve">   90  </w:t>
      </w:r>
      <w:r>
        <w:rPr>
          <w:rFonts w:hint="eastAsia" w:ascii="宋体" w:hAnsi="宋体" w:cs="宋体"/>
          <w:color w:val="000000" w:themeColor="text1"/>
          <w:sz w:val="24"/>
          <w:highlight w:val="none"/>
          <w14:textFill>
            <w14:solidFill>
              <w14:schemeClr w14:val="tx1"/>
            </w14:solidFill>
          </w14:textFill>
        </w:rPr>
        <w:t>天内发出开工通知的，承包人有权提出价格调整要求，或者解除合同。</w:t>
      </w:r>
    </w:p>
    <w:p w14:paraId="76EDE8D1">
      <w:pPr>
        <w:pStyle w:val="4"/>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7.4 测量放线</w:t>
      </w:r>
    </w:p>
    <w:p w14:paraId="38C20F3E">
      <w:pPr>
        <w:spacing w:line="360" w:lineRule="auto"/>
        <w:ind w:firstLine="480"/>
        <w:jc w:val="left"/>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7.4.1发包人通过监理人向承包人提供测量基准点、基准线和水准点及其书面资料的期限：</w:t>
      </w:r>
      <w:r>
        <w:rPr>
          <w:rFonts w:hint="eastAsia" w:ascii="宋体" w:hAnsi="宋体" w:cs="宋体"/>
          <w:color w:val="000000" w:themeColor="text1"/>
          <w:sz w:val="24"/>
          <w:highlight w:val="none"/>
          <w:u w:val="single"/>
          <w14:textFill>
            <w14:solidFill>
              <w14:schemeClr w14:val="tx1"/>
            </w14:solidFill>
          </w14:textFill>
        </w:rPr>
        <w:t xml:space="preserve">        开工前7天        </w:t>
      </w:r>
      <w:r>
        <w:rPr>
          <w:rFonts w:hint="eastAsia" w:ascii="宋体" w:hAnsi="宋体" w:cs="宋体"/>
          <w:color w:val="000000" w:themeColor="text1"/>
          <w:sz w:val="24"/>
          <w:highlight w:val="none"/>
          <w14:textFill>
            <w14:solidFill>
              <w14:schemeClr w14:val="tx1"/>
            </w14:solidFill>
          </w14:textFill>
        </w:rPr>
        <w:t>。</w:t>
      </w:r>
    </w:p>
    <w:p w14:paraId="4CB4467C">
      <w:pPr>
        <w:pStyle w:val="4"/>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7.5 工期延误</w:t>
      </w:r>
    </w:p>
    <w:p w14:paraId="5F4A32C3">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7.5.1 因发包人原因导致工期延误</w:t>
      </w:r>
    </w:p>
    <w:p w14:paraId="11D93D03">
      <w:pPr>
        <w:spacing w:line="360" w:lineRule="auto"/>
        <w:ind w:firstLine="480"/>
        <w:jc w:val="left"/>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（7）因发包人原因导致工期延误的其他情形：</w:t>
      </w:r>
      <w:r>
        <w:rPr>
          <w:rFonts w:hint="eastAsia" w:ascii="宋体" w:hAnsi="宋体" w:cs="宋体"/>
          <w:color w:val="000000" w:themeColor="text1"/>
          <w:sz w:val="24"/>
          <w:highlight w:val="none"/>
          <w:u w:val="single"/>
          <w14:textFill>
            <w14:solidFill>
              <w14:schemeClr w14:val="tx1"/>
            </w14:solidFill>
          </w14:textFill>
        </w:rPr>
        <w:t>①重大图纸变更影响</w:t>
      </w:r>
      <w:r>
        <w:rPr>
          <w:rFonts w:hint="eastAsia" w:ascii="宋体" w:hAnsi="宋体" w:cs="宋体"/>
          <w:color w:val="000000" w:themeColor="text1"/>
          <w:sz w:val="24"/>
          <w:highlight w:val="none"/>
          <w:u w:val="single"/>
          <w:lang w:eastAsia="zh-CN"/>
          <w14:textFill>
            <w14:solidFill>
              <w14:schemeClr w14:val="tx1"/>
            </w14:solidFill>
          </w14:textFill>
        </w:rPr>
        <w:t>关键</w:t>
      </w:r>
      <w:r>
        <w:rPr>
          <w:rFonts w:hint="eastAsia" w:ascii="宋体" w:hAnsi="宋体" w:cs="宋体"/>
          <w:color w:val="000000" w:themeColor="text1"/>
          <w:sz w:val="24"/>
          <w:highlight w:val="none"/>
          <w:u w:val="single"/>
          <w14:textFill>
            <w14:solidFill>
              <w14:schemeClr w14:val="tx1"/>
            </w14:solidFill>
          </w14:textFill>
        </w:rPr>
        <w:t>线路工序施工；②施工期间如因停电、停水连续8小时以上或一周内间歇性停水、停电累计8小时（含8小时）影响正常施工的。③政府指令性停工。④在施工过程中遇到地下障碍物、溶洞、岩石、文物或地下管线的。⑤因发包人未能及时确认变更价格或甲供材料提供延误的。⑥非承包人的责任造成的工期延误其他情形</w:t>
      </w:r>
      <w:r>
        <w:rPr>
          <w:rFonts w:hint="eastAsia" w:ascii="宋体" w:hAnsi="宋体" w:cs="宋体"/>
          <w:color w:val="000000" w:themeColor="text1"/>
          <w:sz w:val="24"/>
          <w:highlight w:val="none"/>
          <w14:textFill>
            <w14:solidFill>
              <w14:schemeClr w14:val="tx1"/>
            </w14:solidFill>
          </w14:textFill>
        </w:rPr>
        <w:t xml:space="preserve"> 。</w:t>
      </w:r>
    </w:p>
    <w:p w14:paraId="478A67FC">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7.5.2 因承包人原因导致工期延误</w:t>
      </w:r>
    </w:p>
    <w:p w14:paraId="614971FE">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因承包人原因造成工期延误，逾期竣工违约金的计算方法为：</w:t>
      </w:r>
      <w:r>
        <w:rPr>
          <w:rFonts w:hint="eastAsia" w:ascii="宋体" w:hAnsi="宋体" w:cs="宋体"/>
          <w:color w:val="000000" w:themeColor="text1"/>
          <w:sz w:val="24"/>
          <w:highlight w:val="none"/>
          <w:u w:val="single"/>
          <w14:textFill>
            <w14:solidFill>
              <w14:schemeClr w14:val="tx1"/>
            </w14:solidFill>
          </w14:textFill>
        </w:rPr>
        <w:t>按逾期竣工的单项工程罚款，每延误一天,按单项工程应支付给承包人的结算造价的万分之一处罚,罚款直接从结算款中扣除。误期时间从规定竣工日期起直到实际竣工日期的天数（扣除发包人批准顺延的工期）。</w:t>
      </w:r>
      <w:r>
        <w:rPr>
          <w:rFonts w:hint="eastAsia" w:ascii="宋体" w:hAnsi="宋体" w:cs="宋体"/>
          <w:color w:val="000000" w:themeColor="text1"/>
          <w:sz w:val="24"/>
          <w:highlight w:val="none"/>
          <w14:textFill>
            <w14:solidFill>
              <w14:schemeClr w14:val="tx1"/>
            </w14:solidFill>
          </w14:textFill>
        </w:rPr>
        <w:t>因承包人原因造成工期延误，逾期竣工违约金的上限：</w:t>
      </w:r>
      <w:r>
        <w:rPr>
          <w:rFonts w:hint="eastAsia" w:ascii="宋体" w:hAnsi="宋体" w:cs="宋体"/>
          <w:color w:val="000000" w:themeColor="text1"/>
          <w:sz w:val="24"/>
          <w:highlight w:val="none"/>
          <w:u w:val="single"/>
          <w14:textFill>
            <w14:solidFill>
              <w14:schemeClr w14:val="tx1"/>
            </w14:solidFill>
          </w14:textFill>
        </w:rPr>
        <w:t>合同价的1%</w:t>
      </w:r>
      <w:r>
        <w:rPr>
          <w:rFonts w:hint="eastAsia" w:ascii="宋体" w:hAnsi="宋体" w:cs="宋体"/>
          <w:color w:val="000000" w:themeColor="text1"/>
          <w:sz w:val="24"/>
          <w:highlight w:val="none"/>
          <w14:textFill>
            <w14:solidFill>
              <w14:schemeClr w14:val="tx1"/>
            </w14:solidFill>
          </w14:textFill>
        </w:rPr>
        <w:t>。</w:t>
      </w:r>
    </w:p>
    <w:p w14:paraId="1BB45BA5">
      <w:pPr>
        <w:pStyle w:val="370"/>
        <w:spacing w:line="360" w:lineRule="auto"/>
        <w:ind w:firstLine="48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7.5.3因其他原因导致的工期延误</w:t>
      </w:r>
    </w:p>
    <w:p w14:paraId="69FC34F3">
      <w:pPr>
        <w:pStyle w:val="389"/>
        <w:spacing w:before="0" w:after="0" w:line="360" w:lineRule="auto"/>
        <w:ind w:firstLine="480"/>
        <w:jc w:val="both"/>
        <w:rPr>
          <w:rFonts w:hint="eastAsia" w:hAnsi="宋体"/>
          <w:color w:val="000000" w:themeColor="text1"/>
          <w:highlight w:val="none"/>
          <w:u w:val="single"/>
          <w14:textFill>
            <w14:solidFill>
              <w14:schemeClr w14:val="tx1"/>
            </w14:solidFill>
          </w14:textFill>
        </w:rPr>
      </w:pPr>
      <w:r>
        <w:rPr>
          <w:rFonts w:hint="eastAsia" w:hAnsi="宋体"/>
          <w:color w:val="000000" w:themeColor="text1"/>
          <w:highlight w:val="none"/>
          <w14:textFill>
            <w14:solidFill>
              <w14:schemeClr w14:val="tx1"/>
            </w14:solidFill>
          </w14:textFill>
        </w:rPr>
        <w:t>由于以下原因之一在施工关键节点线路上及控制工期推迟的延误，工期顺延：</w:t>
      </w:r>
    </w:p>
    <w:p w14:paraId="36025FF5">
      <w:pPr>
        <w:pStyle w:val="370"/>
        <w:spacing w:line="360" w:lineRule="auto"/>
        <w:ind w:firstLine="480"/>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（1）因政府指令性要求停工的（国家法定节假日、“三月三”、中考、高考及“两会一节”等能合理</w:t>
      </w:r>
      <w:r>
        <w:rPr>
          <w:rFonts w:hint="eastAsia" w:ascii="宋体" w:hAnsi="宋体" w:cs="宋体"/>
          <w:color w:val="000000" w:themeColor="text1"/>
          <w:sz w:val="24"/>
          <w:szCs w:val="24"/>
          <w:highlight w:val="none"/>
          <w:u w:val="single"/>
          <w:lang w:eastAsia="zh-CN"/>
          <w14:textFill>
            <w14:solidFill>
              <w14:schemeClr w14:val="tx1"/>
            </w14:solidFill>
          </w14:textFill>
        </w:rPr>
        <w:t>预见</w:t>
      </w:r>
      <w:r>
        <w:rPr>
          <w:rFonts w:hint="eastAsia" w:ascii="宋体" w:hAnsi="宋体" w:cs="宋体"/>
          <w:color w:val="000000" w:themeColor="text1"/>
          <w:sz w:val="24"/>
          <w:szCs w:val="24"/>
          <w:highlight w:val="none"/>
          <w:u w:val="single"/>
          <w14:textFill>
            <w14:solidFill>
              <w14:schemeClr w14:val="tx1"/>
            </w14:solidFill>
          </w14:textFill>
        </w:rPr>
        <w:t>的情形除外）。</w:t>
      </w:r>
    </w:p>
    <w:p w14:paraId="12FB1F33">
      <w:pPr>
        <w:pStyle w:val="370"/>
        <w:spacing w:line="360" w:lineRule="auto"/>
        <w:ind w:firstLine="480"/>
        <w:jc w:val="left"/>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（2）非承包人的责任造成的工期延误或承包人提供证据证明的可顺延工期且经发包人同意的其他情况。</w:t>
      </w:r>
    </w:p>
    <w:p w14:paraId="75998760">
      <w:pPr>
        <w:pStyle w:val="370"/>
        <w:spacing w:line="360" w:lineRule="auto"/>
        <w:ind w:firstLine="48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7.5.4 工期延误签证程序</w:t>
      </w:r>
    </w:p>
    <w:p w14:paraId="69766D76">
      <w:pPr>
        <w:pStyle w:val="370"/>
        <w:spacing w:line="360" w:lineRule="auto"/>
        <w:ind w:firstLine="48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承包人在关键节点延误事件发生之日起2天内，应就工期以书面形式向发包人提出意向，并在此延误事件结束之日起5天内提出报告。发包人在收到报告之日起14天内予以确认或答复，</w:t>
      </w:r>
      <w:r>
        <w:rPr>
          <w:rFonts w:hint="eastAsia" w:ascii="宋体" w:hAnsi="宋体" w:cs="宋体"/>
          <w:color w:val="000000" w:themeColor="text1"/>
          <w:sz w:val="24"/>
          <w:szCs w:val="24"/>
          <w:highlight w:val="none"/>
          <w:u w:val="single"/>
          <w14:textFill>
            <w14:solidFill>
              <w14:schemeClr w14:val="tx1"/>
            </w14:solidFill>
          </w14:textFill>
        </w:rPr>
        <w:t>逾期不批复确认也不提出书面意见的，视为同意。</w:t>
      </w:r>
      <w:r>
        <w:rPr>
          <w:rFonts w:hint="eastAsia" w:ascii="宋体" w:hAnsi="宋体" w:cs="宋体"/>
          <w:color w:val="000000" w:themeColor="text1"/>
          <w:sz w:val="24"/>
          <w:szCs w:val="24"/>
          <w:highlight w:val="none"/>
          <w14:textFill>
            <w14:solidFill>
              <w14:schemeClr w14:val="tx1"/>
            </w14:solidFill>
          </w14:textFill>
        </w:rPr>
        <w:t>如承包人未在上述时间内提出申请，视为工期不受影响。</w:t>
      </w:r>
    </w:p>
    <w:p w14:paraId="4B51AED7">
      <w:pPr>
        <w:pStyle w:val="370"/>
        <w:spacing w:line="360" w:lineRule="auto"/>
        <w:ind w:firstLine="48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双方约定本工程属下列情况者，工期不予顺延：</w:t>
      </w:r>
    </w:p>
    <w:p w14:paraId="5E37A618">
      <w:pPr>
        <w:pStyle w:val="370"/>
        <w:spacing w:line="360" w:lineRule="auto"/>
        <w:ind w:firstLine="480"/>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（1） 因承包人违反规范或任何工程质量不合格而进行返工、重建、修建的施工工期或以伪劣材料充抵合同规定的品牌、型号、质量等级、或没有按投标时报送样品进行采购供货或不按本合同规定的人员进行配置时，经发包人代表或监理工程师下达停工令的停工日期的；</w:t>
      </w:r>
    </w:p>
    <w:p w14:paraId="35DDEF56">
      <w:pPr>
        <w:pStyle w:val="370"/>
        <w:spacing w:line="360" w:lineRule="auto"/>
        <w:ind w:firstLine="480"/>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（2）承包人未按设计要求进行施工、或因施工组织方案不可行导致发包人未能按时审批影响开工的；</w:t>
      </w:r>
    </w:p>
    <w:p w14:paraId="69D95E05">
      <w:pPr>
        <w:pStyle w:val="370"/>
        <w:spacing w:line="360" w:lineRule="auto"/>
        <w:ind w:firstLine="480"/>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 xml:space="preserve">（3）工程实施期间或完工后接受有关部门检查发现存在质量问题、或技术问题需作整改的； </w:t>
      </w:r>
    </w:p>
    <w:p w14:paraId="754AC74D">
      <w:pPr>
        <w:pStyle w:val="370"/>
        <w:spacing w:line="360" w:lineRule="auto"/>
        <w:ind w:firstLine="480"/>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（4）承包人自身原因的待工待料的；</w:t>
      </w:r>
    </w:p>
    <w:p w14:paraId="1B08D97E">
      <w:pPr>
        <w:pStyle w:val="370"/>
        <w:spacing w:line="360" w:lineRule="auto"/>
        <w:ind w:firstLine="48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（5）工程质量未达到等级标准要求，发包人要求承包人返工的。</w:t>
      </w:r>
    </w:p>
    <w:p w14:paraId="52FFB487">
      <w:pPr>
        <w:pStyle w:val="4"/>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7.6 不利物质条件</w:t>
      </w:r>
    </w:p>
    <w:p w14:paraId="4E42A4C8">
      <w:pPr>
        <w:spacing w:line="360" w:lineRule="auto"/>
        <w:ind w:firstLine="480"/>
        <w:jc w:val="left"/>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不利物质条件的其他情形和有关约定：</w:t>
      </w:r>
      <w:r>
        <w:rPr>
          <w:rFonts w:hint="eastAsia" w:ascii="宋体" w:hAnsi="宋体" w:cs="宋体"/>
          <w:color w:val="000000" w:themeColor="text1"/>
          <w:sz w:val="24"/>
          <w:highlight w:val="none"/>
          <w:u w:val="single"/>
          <w14:textFill>
            <w14:solidFill>
              <w14:schemeClr w14:val="tx1"/>
            </w14:solidFill>
          </w14:textFill>
        </w:rPr>
        <w:t xml:space="preserve">  按《通用合同条款》7.6 条执行    </w:t>
      </w:r>
      <w:r>
        <w:rPr>
          <w:rFonts w:hint="eastAsia" w:ascii="宋体" w:hAnsi="宋体" w:cs="宋体"/>
          <w:color w:val="000000" w:themeColor="text1"/>
          <w:sz w:val="24"/>
          <w:highlight w:val="none"/>
          <w14:textFill>
            <w14:solidFill>
              <w14:schemeClr w14:val="tx1"/>
            </w14:solidFill>
          </w14:textFill>
        </w:rPr>
        <w:t>。</w:t>
      </w:r>
    </w:p>
    <w:p w14:paraId="3C517146">
      <w:pPr>
        <w:pStyle w:val="4"/>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7.7 异常恶劣的气候条件</w:t>
      </w:r>
    </w:p>
    <w:p w14:paraId="531B96DC">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发包人和承包人同意以下情形视为异常恶劣的气候条件：</w:t>
      </w:r>
    </w:p>
    <w:p w14:paraId="0D91CFEB">
      <w:pPr>
        <w:pStyle w:val="374"/>
        <w:spacing w:line="360" w:lineRule="auto"/>
        <w:ind w:firstLine="48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u w:val="single"/>
          <w14:textFill>
            <w14:solidFill>
              <w14:schemeClr w14:val="tx1"/>
            </w14:solidFill>
          </w14:textFill>
        </w:rPr>
        <w:t xml:space="preserve">  5 年一遇强度的降水   </w:t>
      </w:r>
      <w:r>
        <w:rPr>
          <w:rFonts w:hint="eastAsia" w:ascii="宋体" w:hAnsi="宋体" w:cs="宋体"/>
          <w:color w:val="000000" w:themeColor="text1"/>
          <w:sz w:val="24"/>
          <w:szCs w:val="24"/>
          <w:highlight w:val="none"/>
          <w14:textFill>
            <w14:solidFill>
              <w14:schemeClr w14:val="tx1"/>
            </w14:solidFill>
          </w14:textFill>
        </w:rPr>
        <w:t>；</w:t>
      </w:r>
    </w:p>
    <w:p w14:paraId="67022E98">
      <w:pPr>
        <w:pStyle w:val="374"/>
        <w:spacing w:line="360" w:lineRule="auto"/>
        <w:ind w:firstLine="48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w:t>
      </w:r>
      <w:r>
        <w:rPr>
          <w:rFonts w:hint="eastAsia" w:ascii="宋体" w:hAnsi="宋体" w:cs="宋体"/>
          <w:color w:val="000000" w:themeColor="text1"/>
          <w:sz w:val="24"/>
          <w:szCs w:val="24"/>
          <w:highlight w:val="none"/>
          <w:u w:val="single"/>
          <w14:textFill>
            <w14:solidFill>
              <w14:schemeClr w14:val="tx1"/>
            </w14:solidFill>
          </w14:textFill>
        </w:rPr>
        <w:t xml:space="preserve">    6 级以上大风     </w:t>
      </w:r>
      <w:r>
        <w:rPr>
          <w:rFonts w:hint="eastAsia" w:ascii="宋体" w:hAnsi="宋体" w:cs="宋体"/>
          <w:color w:val="000000" w:themeColor="text1"/>
          <w:sz w:val="24"/>
          <w:szCs w:val="24"/>
          <w:highlight w:val="none"/>
          <w14:textFill>
            <w14:solidFill>
              <w14:schemeClr w14:val="tx1"/>
            </w14:solidFill>
          </w14:textFill>
        </w:rPr>
        <w:t>；</w:t>
      </w:r>
    </w:p>
    <w:p w14:paraId="780F4866">
      <w:pPr>
        <w:pStyle w:val="374"/>
        <w:spacing w:line="360" w:lineRule="auto"/>
        <w:ind w:firstLine="48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w:t>
      </w:r>
      <w:r>
        <w:rPr>
          <w:rFonts w:hint="eastAsia" w:ascii="宋体" w:hAnsi="宋体" w:cs="宋体"/>
          <w:color w:val="000000" w:themeColor="text1"/>
          <w:sz w:val="24"/>
          <w:szCs w:val="24"/>
          <w:highlight w:val="none"/>
          <w:u w:val="single"/>
          <w14:textFill>
            <w14:solidFill>
              <w14:schemeClr w14:val="tx1"/>
            </w14:solidFill>
          </w14:textFill>
        </w:rPr>
        <w:t xml:space="preserve">   室内气温 40℃及以上</w:t>
      </w:r>
      <w:r>
        <w:rPr>
          <w:rFonts w:hint="eastAsia" w:ascii="宋体" w:hAnsi="宋体" w:cs="宋体"/>
          <w:color w:val="000000" w:themeColor="text1"/>
          <w:sz w:val="24"/>
          <w:szCs w:val="24"/>
          <w:highlight w:val="none"/>
          <w14:textFill>
            <w14:solidFill>
              <w14:schemeClr w14:val="tx1"/>
            </w14:solidFill>
          </w14:textFill>
        </w:rPr>
        <w:t>。</w:t>
      </w:r>
    </w:p>
    <w:p w14:paraId="50075FF7">
      <w:pPr>
        <w:pStyle w:val="4"/>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7.9 提前竣工</w:t>
      </w:r>
    </w:p>
    <w:p w14:paraId="58701A57">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7.9.2提前竣工（赶工）增加费的计算方法：</w:t>
      </w:r>
      <w:r>
        <w:rPr>
          <w:rFonts w:hint="eastAsia" w:ascii="宋体" w:hAnsi="宋体" w:cs="宋体"/>
          <w:color w:val="000000" w:themeColor="text1"/>
          <w:sz w:val="24"/>
          <w:highlight w:val="none"/>
          <w:u w:val="single"/>
          <w14:textFill>
            <w14:solidFill>
              <w14:schemeClr w14:val="tx1"/>
            </w14:solidFill>
          </w14:textFill>
        </w:rPr>
        <w:t xml:space="preserve">       无          </w:t>
      </w:r>
      <w:r>
        <w:rPr>
          <w:rFonts w:hint="eastAsia" w:ascii="宋体" w:hAnsi="宋体" w:cs="宋体"/>
          <w:color w:val="000000" w:themeColor="text1"/>
          <w:sz w:val="24"/>
          <w:highlight w:val="none"/>
          <w14:textFill>
            <w14:solidFill>
              <w14:schemeClr w14:val="tx1"/>
            </w14:solidFill>
          </w14:textFill>
        </w:rPr>
        <w:t>。</w:t>
      </w:r>
    </w:p>
    <w:p w14:paraId="548FCEF6">
      <w:pPr>
        <w:pStyle w:val="3"/>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 材料与设备</w:t>
      </w:r>
    </w:p>
    <w:p w14:paraId="74D13F3C">
      <w:pPr>
        <w:pStyle w:val="4"/>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8.2 承包人采购材料与工程设备</w:t>
      </w:r>
    </w:p>
    <w:p w14:paraId="2046FD31">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除已标价工程量清单《发包人提供主要材料和工程设备一览表》（表-21）中明确的材料、工程设备外，由承包人负责材料和工程设备的采购、运输和保管。</w:t>
      </w:r>
    </w:p>
    <w:p w14:paraId="6D05351E">
      <w:pPr>
        <w:pStyle w:val="372"/>
        <w:spacing w:line="360" w:lineRule="auto"/>
        <w:ind w:firstLine="48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承包人负责采购材料、工程设备的，应按照设计和有关标准要求采购，并提供产品合格证明及出厂证明，对材料、工程设备质量负责。</w:t>
      </w:r>
    </w:p>
    <w:p w14:paraId="47EE1433">
      <w:pPr>
        <w:pStyle w:val="370"/>
        <w:spacing w:line="360" w:lineRule="auto"/>
        <w:ind w:firstLine="48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建筑、装修及安装的材料，承包人应选择相当于或优于工程量清单描述品牌。如实际采购与其不符，承包人收集有关材料上报，报发包人项目管理部及监理工程师确定后方可采购。严禁承包人采购小型钢厂且不符合冶金类行业标准的钢筋。在施工前，承包人须将材料样板送监理单位及发包人确认封板后方可使用。施工期间该部分材料或设备如未超过招标约定的风险幅度的，结算时按投标单价支付，不得调整。</w:t>
      </w:r>
    </w:p>
    <w:p w14:paraId="2B70F6F5">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对发包人在招标时有“参照或相当于**品牌、级别”约定的材料或设备，承包人采购时必须按类似于或优于所约定品牌、等级进行采购，施工期间该部分材料或设备如未超过招标约定的风险幅度的，结算时按投标单价支付，不得调整。</w:t>
      </w:r>
    </w:p>
    <w:p w14:paraId="00893FDF">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禁止使用松木、松木包装材料设备、种子、苗木、花卉及繁殖材料。</w:t>
      </w:r>
    </w:p>
    <w:p w14:paraId="7F1502E6">
      <w:pPr>
        <w:pStyle w:val="4"/>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8.4 材料与工程设备的保管与使用</w:t>
      </w:r>
    </w:p>
    <w:p w14:paraId="6F5B51E7">
      <w:pPr>
        <w:pStyle w:val="374"/>
        <w:spacing w:line="360" w:lineRule="auto"/>
        <w:ind w:firstLine="480"/>
        <w:jc w:val="left"/>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8.4.1发包人供应的材料设备的保管费用的承担：</w:t>
      </w:r>
      <w:r>
        <w:rPr>
          <w:rFonts w:hint="eastAsia" w:ascii="宋体" w:hAnsi="宋体" w:cs="宋体"/>
          <w:color w:val="000000" w:themeColor="text1"/>
          <w:sz w:val="24"/>
          <w:szCs w:val="24"/>
          <w:highlight w:val="none"/>
          <w:u w:val="single"/>
          <w14:textFill>
            <w14:solidFill>
              <w14:schemeClr w14:val="tx1"/>
            </w14:solidFill>
          </w14:textFill>
        </w:rPr>
        <w:t xml:space="preserve">由承包人在投标报价中考虑并承担相应费用  </w:t>
      </w:r>
      <w:r>
        <w:rPr>
          <w:rFonts w:hint="eastAsia" w:ascii="宋体" w:hAnsi="宋体" w:cs="宋体"/>
          <w:color w:val="000000" w:themeColor="text1"/>
          <w:sz w:val="24"/>
          <w:szCs w:val="24"/>
          <w:highlight w:val="none"/>
          <w14:textFill>
            <w14:solidFill>
              <w14:schemeClr w14:val="tx1"/>
            </w14:solidFill>
          </w14:textFill>
        </w:rPr>
        <w:t>。</w:t>
      </w:r>
    </w:p>
    <w:p w14:paraId="62D64B59">
      <w:pPr>
        <w:pStyle w:val="4"/>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8.6 样品</w:t>
      </w:r>
    </w:p>
    <w:p w14:paraId="40EC7B92">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8.6.1 样品的报送与封存</w:t>
      </w:r>
    </w:p>
    <w:p w14:paraId="2288F59C">
      <w:pPr>
        <w:spacing w:line="360" w:lineRule="auto"/>
        <w:ind w:firstLine="480"/>
        <w:jc w:val="left"/>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需要承包人报送样品的材料或工程设备，样品的种类、名称、规格、数量要求：</w:t>
      </w:r>
      <w:r>
        <w:rPr>
          <w:rFonts w:hint="eastAsia" w:ascii="宋体" w:hAnsi="宋体" w:cs="宋体"/>
          <w:color w:val="000000" w:themeColor="text1"/>
          <w:sz w:val="24"/>
          <w:highlight w:val="none"/>
          <w:u w:val="single"/>
          <w14:textFill>
            <w14:solidFill>
              <w14:schemeClr w14:val="tx1"/>
            </w14:solidFill>
          </w14:textFill>
        </w:rPr>
        <w:t>主要材料涉及品种、款式、颜色等方面内容的，承包人应提交准备合格的材料样品送发包人选定。</w:t>
      </w:r>
    </w:p>
    <w:p w14:paraId="5685CD6D">
      <w:pPr>
        <w:pStyle w:val="4"/>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8.8 施工设备和临时设施</w:t>
      </w:r>
    </w:p>
    <w:p w14:paraId="53E7B6E2">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8.8.1 承包人提供的施工设备和临时设施</w:t>
      </w:r>
    </w:p>
    <w:p w14:paraId="3DBB3C9E">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除专用合同条款另有约定的其他独立承包人和监理人指示的他人提供条件外，承包人运入施工场地的所有施工设备以及在施工场地建设的临时设施仅限于用于合同工程。承包人用于本工程的主要机械设备清单见合同附件4。</w:t>
      </w:r>
    </w:p>
    <w:p w14:paraId="5A7F19FB">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关于修建临时设施费用承担的约定：</w:t>
      </w:r>
    </w:p>
    <w:p w14:paraId="191593E9">
      <w:pPr>
        <w:pStyle w:val="374"/>
        <w:spacing w:line="360" w:lineRule="auto"/>
        <w:ind w:firstLine="480"/>
        <w:jc w:val="left"/>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 xml:space="preserve"> ①承包人的临时用地（含项目部驻地等）租用费（含拆迁补偿）、临时用地的环保、恢复、临时用地的青苗补偿及地面附着物拆除等费用均由承包人负责，以上费用在投标报价中综合考虑。</w:t>
      </w:r>
    </w:p>
    <w:p w14:paraId="129F0A71">
      <w:pPr>
        <w:pStyle w:val="374"/>
        <w:spacing w:line="360" w:lineRule="auto"/>
        <w:ind w:firstLine="480"/>
        <w:jc w:val="left"/>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②承包人负责合同实施期间其合同段内临时交通道路（含场内外连接公共交通道路）和交通设施的修建、维修、养护和交通管理工作，并承担一切费用。</w:t>
      </w:r>
    </w:p>
    <w:p w14:paraId="0A1FBC1F">
      <w:pPr>
        <w:pStyle w:val="374"/>
        <w:spacing w:line="360" w:lineRule="auto"/>
        <w:jc w:val="left"/>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③承包人修建的临时道路和交通设施，应免费提供给发包人、监理工程师使用。</w:t>
      </w:r>
    </w:p>
    <w:p w14:paraId="12350B2E">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8.8.2 发包人提供的施工设备和临时设施</w:t>
      </w:r>
    </w:p>
    <w:p w14:paraId="3C5448B5">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发包人提供的施工设备和临时设施：</w:t>
      </w:r>
      <w:r>
        <w:rPr>
          <w:rFonts w:hint="eastAsia" w:ascii="宋体" w:hAnsi="宋体" w:cs="宋体"/>
          <w:color w:val="000000" w:themeColor="text1"/>
          <w:sz w:val="24"/>
          <w:highlight w:val="none"/>
          <w:u w:val="single"/>
          <w14:textFill>
            <w14:solidFill>
              <w14:schemeClr w14:val="tx1"/>
            </w14:solidFill>
          </w14:textFill>
        </w:rPr>
        <w:t xml:space="preserve">      按《通用合同合同条款》条执行     </w:t>
      </w:r>
      <w:r>
        <w:rPr>
          <w:rFonts w:hint="eastAsia" w:ascii="宋体" w:hAnsi="宋体" w:cs="宋体"/>
          <w:color w:val="000000" w:themeColor="text1"/>
          <w:sz w:val="24"/>
          <w:highlight w:val="none"/>
          <w14:textFill>
            <w14:solidFill>
              <w14:schemeClr w14:val="tx1"/>
            </w14:solidFill>
          </w14:textFill>
        </w:rPr>
        <w:t>。</w:t>
      </w:r>
    </w:p>
    <w:p w14:paraId="31303371">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发包人提供的施工设备和临时设施的运行、维护、拆除、清运费用的承担人：</w:t>
      </w:r>
      <w:r>
        <w:rPr>
          <w:rFonts w:hint="eastAsia" w:ascii="宋体" w:hAnsi="宋体" w:cs="宋体"/>
          <w:color w:val="000000" w:themeColor="text1"/>
          <w:sz w:val="24"/>
          <w:highlight w:val="none"/>
          <w:u w:val="single"/>
          <w14:textFill>
            <w14:solidFill>
              <w14:schemeClr w14:val="tx1"/>
            </w14:solidFill>
          </w14:textFill>
        </w:rPr>
        <w:t xml:space="preserve"> 由承包人承担相应费用</w:t>
      </w:r>
      <w:r>
        <w:rPr>
          <w:rFonts w:hint="eastAsia" w:ascii="宋体" w:hAnsi="宋体" w:cs="宋体"/>
          <w:color w:val="000000" w:themeColor="text1"/>
          <w:sz w:val="24"/>
          <w:highlight w:val="none"/>
          <w14:textFill>
            <w14:solidFill>
              <w14:schemeClr w14:val="tx1"/>
            </w14:solidFill>
          </w14:textFill>
        </w:rPr>
        <w:t>。</w:t>
      </w:r>
    </w:p>
    <w:p w14:paraId="03019DC4">
      <w:pPr>
        <w:pStyle w:val="3"/>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 试验与检验</w:t>
      </w:r>
    </w:p>
    <w:p w14:paraId="1AD7A877">
      <w:pPr>
        <w:pStyle w:val="4"/>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9.1 试验设备与试验人员</w:t>
      </w:r>
    </w:p>
    <w:p w14:paraId="6E50C635">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9.1.2 试验设备</w:t>
      </w:r>
    </w:p>
    <w:p w14:paraId="254F8492">
      <w:pPr>
        <w:spacing w:line="360" w:lineRule="auto"/>
        <w:ind w:firstLine="480"/>
        <w:jc w:val="left"/>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施工现场需要配置的试验场所：</w:t>
      </w:r>
      <w:r>
        <w:rPr>
          <w:rFonts w:hint="eastAsia" w:ascii="宋体" w:hAnsi="宋体" w:cs="宋体"/>
          <w:color w:val="000000" w:themeColor="text1"/>
          <w:sz w:val="24"/>
          <w:highlight w:val="none"/>
          <w:u w:val="single"/>
          <w14:textFill>
            <w14:solidFill>
              <w14:schemeClr w14:val="tx1"/>
            </w14:solidFill>
          </w14:textFill>
        </w:rPr>
        <w:t xml:space="preserve">  按相关规定执行，由承包人提供   </w:t>
      </w:r>
      <w:r>
        <w:rPr>
          <w:rFonts w:hint="eastAsia" w:ascii="宋体" w:hAnsi="宋体" w:cs="宋体"/>
          <w:color w:val="000000" w:themeColor="text1"/>
          <w:sz w:val="24"/>
          <w:highlight w:val="none"/>
          <w14:textFill>
            <w14:solidFill>
              <w14:schemeClr w14:val="tx1"/>
            </w14:solidFill>
          </w14:textFill>
        </w:rPr>
        <w:t>。</w:t>
      </w:r>
    </w:p>
    <w:p w14:paraId="584A2AFF">
      <w:pPr>
        <w:spacing w:line="360" w:lineRule="auto"/>
        <w:ind w:firstLine="480"/>
        <w:jc w:val="left"/>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施工现场需要配备的试验设备：</w:t>
      </w:r>
      <w:r>
        <w:rPr>
          <w:rFonts w:hint="eastAsia" w:ascii="宋体" w:hAnsi="宋体" w:cs="宋体"/>
          <w:color w:val="000000" w:themeColor="text1"/>
          <w:sz w:val="24"/>
          <w:highlight w:val="none"/>
          <w:u w:val="single"/>
          <w14:textFill>
            <w14:solidFill>
              <w14:schemeClr w14:val="tx1"/>
            </w14:solidFill>
          </w14:textFill>
        </w:rPr>
        <w:t xml:space="preserve">    按相关规定执行，由承包人提供    </w:t>
      </w:r>
      <w:r>
        <w:rPr>
          <w:rFonts w:hint="eastAsia" w:ascii="宋体" w:hAnsi="宋体" w:cs="宋体"/>
          <w:color w:val="000000" w:themeColor="text1"/>
          <w:sz w:val="24"/>
          <w:highlight w:val="none"/>
          <w14:textFill>
            <w14:solidFill>
              <w14:schemeClr w14:val="tx1"/>
            </w14:solidFill>
          </w14:textFill>
        </w:rPr>
        <w:t>。</w:t>
      </w:r>
    </w:p>
    <w:p w14:paraId="77188765">
      <w:pPr>
        <w:spacing w:line="360" w:lineRule="auto"/>
        <w:ind w:firstLine="480"/>
        <w:jc w:val="left"/>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施工现场需要具备的其他试验条件：</w:t>
      </w:r>
      <w:r>
        <w:rPr>
          <w:rFonts w:hint="eastAsia" w:ascii="宋体" w:hAnsi="宋体" w:cs="宋体"/>
          <w:color w:val="000000" w:themeColor="text1"/>
          <w:sz w:val="24"/>
          <w:highlight w:val="none"/>
          <w:u w:val="single"/>
          <w14:textFill>
            <w14:solidFill>
              <w14:schemeClr w14:val="tx1"/>
            </w14:solidFill>
          </w14:textFill>
        </w:rPr>
        <w:t xml:space="preserve">   按相关规定执行，由承包人提供    </w:t>
      </w:r>
      <w:r>
        <w:rPr>
          <w:rFonts w:hint="eastAsia" w:ascii="宋体" w:hAnsi="宋体" w:cs="宋体"/>
          <w:color w:val="000000" w:themeColor="text1"/>
          <w:sz w:val="24"/>
          <w:highlight w:val="none"/>
          <w14:textFill>
            <w14:solidFill>
              <w14:schemeClr w14:val="tx1"/>
            </w14:solidFill>
          </w14:textFill>
        </w:rPr>
        <w:t>。</w:t>
      </w:r>
    </w:p>
    <w:p w14:paraId="48B60CC7">
      <w:pPr>
        <w:pStyle w:val="4"/>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9.4 现场工艺试验 </w:t>
      </w:r>
    </w:p>
    <w:p w14:paraId="23346643">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现场工艺试验的有关约定：</w:t>
      </w:r>
      <w:r>
        <w:rPr>
          <w:rFonts w:hint="eastAsia" w:ascii="宋体" w:hAnsi="宋体" w:cs="宋体"/>
          <w:color w:val="000000" w:themeColor="text1"/>
          <w:sz w:val="24"/>
          <w:highlight w:val="none"/>
          <w:u w:val="single"/>
          <w14:textFill>
            <w14:solidFill>
              <w14:schemeClr w14:val="tx1"/>
            </w14:solidFill>
          </w14:textFill>
        </w:rPr>
        <w:t xml:space="preserve">    按《通用合同条款》9.4 条执行 </w:t>
      </w:r>
      <w:r>
        <w:rPr>
          <w:rFonts w:hint="eastAsia" w:ascii="宋体" w:hAnsi="宋体" w:cs="宋体"/>
          <w:color w:val="000000" w:themeColor="text1"/>
          <w:sz w:val="24"/>
          <w:highlight w:val="none"/>
          <w14:textFill>
            <w14:solidFill>
              <w14:schemeClr w14:val="tx1"/>
            </w14:solidFill>
          </w14:textFill>
        </w:rPr>
        <w:t>。</w:t>
      </w:r>
    </w:p>
    <w:p w14:paraId="7881CE9D">
      <w:pPr>
        <w:pStyle w:val="4"/>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9.5 检验费用</w:t>
      </w:r>
    </w:p>
    <w:p w14:paraId="4E7EDF56">
      <w:pPr>
        <w:spacing w:line="360" w:lineRule="auto"/>
        <w:ind w:firstLine="47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根据《建设工程质量检测管理办法》（中华人民共和国住房和城乡建设部令第57号）规定，工程质量检测业务由发包人委托有相应资质的检测机构检测。费用从发包人的项目建设经费中支出并直接支付给检测机构，不计入合同价款内。</w:t>
      </w:r>
    </w:p>
    <w:p w14:paraId="44916E58">
      <w:pPr>
        <w:pStyle w:val="3"/>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 变更</w:t>
      </w:r>
    </w:p>
    <w:p w14:paraId="40AB4E19">
      <w:pPr>
        <w:pStyle w:val="4"/>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10.1 变更的范围</w:t>
      </w:r>
    </w:p>
    <w:p w14:paraId="661443F4">
      <w:pPr>
        <w:pStyle w:val="390"/>
        <w:spacing w:line="360" w:lineRule="auto"/>
        <w:ind w:firstLine="48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关于变更的范围的约定：包括工程设计变更和其他变更。</w:t>
      </w:r>
    </w:p>
    <w:p w14:paraId="3BE563CC">
      <w:pPr>
        <w:pStyle w:val="370"/>
        <w:spacing w:line="360" w:lineRule="auto"/>
        <w:ind w:firstLine="48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（1）增加或减少合同中任何工作，或追加额外的工作；</w:t>
      </w:r>
    </w:p>
    <w:p w14:paraId="4F4B68C7">
      <w:pPr>
        <w:pStyle w:val="370"/>
        <w:spacing w:line="360" w:lineRule="auto"/>
        <w:ind w:firstLine="48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（2）取消合同中任何工作，但转由他人实施的工作除外；</w:t>
      </w:r>
    </w:p>
    <w:p w14:paraId="33D859FA">
      <w:pPr>
        <w:pStyle w:val="370"/>
        <w:spacing w:line="360" w:lineRule="auto"/>
        <w:ind w:firstLine="48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（3）改变合同中任何工作的质量标准或其他特性；</w:t>
      </w:r>
    </w:p>
    <w:p w14:paraId="6A205275">
      <w:pPr>
        <w:pStyle w:val="370"/>
        <w:spacing w:line="360" w:lineRule="auto"/>
        <w:ind w:firstLine="48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（4）改变工程的基线、标高、位置和尺寸；</w:t>
      </w:r>
    </w:p>
    <w:p w14:paraId="47EC2D44">
      <w:pPr>
        <w:pStyle w:val="372"/>
        <w:spacing w:line="360" w:lineRule="auto"/>
        <w:ind w:firstLine="48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（5）改变工程的时间安排或实施顺序。</w:t>
      </w:r>
    </w:p>
    <w:p w14:paraId="7219532B">
      <w:pPr>
        <w:pStyle w:val="391"/>
        <w:spacing w:before="0" w:after="0" w:line="360" w:lineRule="auto"/>
        <w:outlineLvl w:val="0"/>
        <w:rPr>
          <w:rFonts w:hint="eastAsia" w:ascii="宋体" w:hAnsi="宋体" w:cs="宋体"/>
          <w:color w:val="000000" w:themeColor="text1"/>
          <w:sz w:val="24"/>
          <w:szCs w:val="24"/>
          <w:highlight w:val="none"/>
          <w14:textFill>
            <w14:solidFill>
              <w14:schemeClr w14:val="tx1"/>
            </w14:solidFill>
          </w14:textFill>
        </w:rPr>
      </w:pPr>
      <w:bookmarkStart w:id="233" w:name="_Toc12609400"/>
      <w:bookmarkStart w:id="234" w:name="_Toc389065308"/>
      <w:bookmarkStart w:id="235" w:name="_Toc373478389"/>
      <w:bookmarkStart w:id="236" w:name="_Toc407135245"/>
      <w:bookmarkStart w:id="237" w:name="_Toc373227742"/>
      <w:r>
        <w:rPr>
          <w:rFonts w:hint="eastAsia" w:ascii="宋体" w:hAnsi="宋体" w:cs="宋体"/>
          <w:color w:val="000000" w:themeColor="text1"/>
          <w:sz w:val="24"/>
          <w:szCs w:val="24"/>
          <w:highlight w:val="none"/>
          <w14:textFill>
            <w14:solidFill>
              <w14:schemeClr w14:val="tx1"/>
            </w14:solidFill>
          </w14:textFill>
        </w:rPr>
        <w:t>10.2 变更估价</w:t>
      </w:r>
      <w:bookmarkEnd w:id="233"/>
      <w:bookmarkEnd w:id="234"/>
      <w:bookmarkEnd w:id="235"/>
      <w:bookmarkEnd w:id="236"/>
      <w:bookmarkEnd w:id="237"/>
    </w:p>
    <w:p w14:paraId="08A08FBE">
      <w:pPr>
        <w:pStyle w:val="372"/>
        <w:spacing w:line="360" w:lineRule="auto"/>
        <w:ind w:firstLine="48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变更估价原则</w:t>
      </w:r>
    </w:p>
    <w:p w14:paraId="5F527B6E">
      <w:pPr>
        <w:pStyle w:val="370"/>
        <w:spacing w:line="360" w:lineRule="auto"/>
        <w:ind w:firstLine="48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关于变更估价按本款约定处理: </w:t>
      </w:r>
    </w:p>
    <w:p w14:paraId="7998E7C7">
      <w:pPr>
        <w:pStyle w:val="370"/>
        <w:spacing w:line="360" w:lineRule="auto"/>
        <w:ind w:firstLine="48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（1）合同工程量清单中有相同细目的，按该相同细目合同综合单价计算；</w:t>
      </w:r>
    </w:p>
    <w:p w14:paraId="497AEB40">
      <w:pPr>
        <w:pStyle w:val="370"/>
        <w:spacing w:line="360" w:lineRule="auto"/>
        <w:ind w:firstLine="48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（2）如无相同细目，但合同工程量清单中有类似细目的，参照类似细目合同综合单价计算；</w:t>
      </w:r>
    </w:p>
    <w:p w14:paraId="5C32BD3A">
      <w:pPr>
        <w:pStyle w:val="370"/>
        <w:spacing w:line="360" w:lineRule="auto"/>
        <w:ind w:firstLine="48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无类似细目的新增项目，有定额的套定额，并乘以下浮系数计算，下浮系数为投标报价/招标控制价。其中材料价格按施工期《贵港市建设工程造价信息》相应材料除税信息价计取，无信息价的，由发包人、承包人、监理单位共同根据市场调查确定；无定额可套的，根据市场价格协商确定，单价按市场价格结算。新增项目的单价必须经发包人审定。</w:t>
      </w:r>
    </w:p>
    <w:p w14:paraId="440FB23A">
      <w:pPr>
        <w:pStyle w:val="370"/>
        <w:keepNext/>
        <w:keepLines/>
        <w:spacing w:line="360" w:lineRule="auto"/>
        <w:ind w:firstLine="480"/>
        <w:outlineLvl w:val="2"/>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工程变更必须经监理人代表、发包人代表共同签字并经发包人确认后方可实施，否则所发生的费用和相关责任均由承包人自行承担。任何未经发包人确认的工程变更均视为无效，发包人有权不予支付。</w:t>
      </w:r>
    </w:p>
    <w:p w14:paraId="0BD1349D">
      <w:pPr>
        <w:pStyle w:val="4"/>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10.3 变更程序</w:t>
      </w:r>
    </w:p>
    <w:p w14:paraId="7803A00D">
      <w:pPr>
        <w:pStyle w:val="24"/>
        <w:spacing w:line="360" w:lineRule="auto"/>
        <w:ind w:firstLine="504"/>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10.3.1国有投资项目：</w:t>
      </w:r>
    </w:p>
    <w:p w14:paraId="5F987146">
      <w:pPr>
        <w:pStyle w:val="24"/>
        <w:spacing w:line="360" w:lineRule="auto"/>
        <w:ind w:firstLine="504"/>
        <w:rPr>
          <w:rFonts w:hint="eastAsia"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⑴设计变更和工程签证，按各市政府或相关部门的规定办理。属不可抗力（自然灾害、突发事件等）造成变更的，按特事特办原则予以办理。</w:t>
      </w:r>
    </w:p>
    <w:p w14:paraId="4071B3ED">
      <w:pPr>
        <w:pStyle w:val="24"/>
        <w:spacing w:line="360" w:lineRule="auto"/>
        <w:ind w:firstLine="504"/>
        <w:rPr>
          <w:rFonts w:hint="eastAsia"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⑵建设单位在实施项目过程中，若发生单价变动，由发包人、承包人、监理或造价咨询等单位共同商定并签字确认。</w:t>
      </w:r>
    </w:p>
    <w:p w14:paraId="1A76BA2E">
      <w:pPr>
        <w:pStyle w:val="24"/>
        <w:spacing w:line="360" w:lineRule="auto"/>
        <w:ind w:firstLine="504"/>
        <w:rPr>
          <w:rFonts w:hint="eastAsia"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⑶ 当合同规定的合同价款调整情况发生后，承包人未在规定时间内通知发包人，或者未在规定时间内提出调整报告，发包人可以根据有关资料，决定是否调整和调整的金额，并书面通知承包人。</w:t>
      </w:r>
    </w:p>
    <w:p w14:paraId="356480E8">
      <w:pPr>
        <w:pStyle w:val="4"/>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10.4 变更估价</w:t>
      </w:r>
    </w:p>
    <w:p w14:paraId="1FCEA2FC">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10.4.1 变更估价原则</w:t>
      </w:r>
    </w:p>
    <w:p w14:paraId="21BB4C75">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关于变更估价的约定: </w:t>
      </w:r>
      <w:r>
        <w:rPr>
          <w:rFonts w:hint="eastAsia" w:ascii="宋体" w:hAnsi="宋体" w:cs="宋体"/>
          <w:color w:val="000000" w:themeColor="text1"/>
          <w:sz w:val="24"/>
          <w:highlight w:val="none"/>
          <w:u w:val="single"/>
          <w14:textFill>
            <w14:solidFill>
              <w14:schemeClr w14:val="tx1"/>
            </w14:solidFill>
          </w14:textFill>
        </w:rPr>
        <w:t>工程变更合同价款按下列方法进行：（1）合同中已有相同清单项目的，按合同该清单项目价格进行计算；（2）合同中只有类似清单项目的，参照该类似清单项目价格进行计算；（3）合同中没有适用或类似清单项目的价格计算方法：有定额的套定额，并（</w:t>
      </w:r>
      <w:r>
        <w:rPr>
          <w:rFonts w:hint="eastAsia" w:ascii="宋体" w:hAnsi="宋体" w:cs="宋体"/>
          <w:b/>
          <w:bCs/>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乘以中标下浮系数      %，</w:t>
      </w:r>
      <w:r>
        <w:rPr>
          <w:rFonts w:hint="eastAsia" w:ascii="宋体" w:hAnsi="宋体" w:cs="宋体"/>
          <w:b/>
          <w:bCs/>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不乘下浮系数）计算，其中：材料设备价格按施工期间的《贵港 市建设工程造价信息》相应信息价的加权平均值计算，《贵港市建设工程造价信息》没有相应信息价的，由建设单位、施工单位、监理单位或造价咨询单位根据市场行情协商确定；无定额可套的，由建设单位、施工单位、监理单位或造价咨询单位根据市场行情协商确定包含除税金以外所有费用的税前综合价格</w:t>
      </w:r>
      <w:r>
        <w:rPr>
          <w:rFonts w:hint="eastAsia" w:ascii="宋体" w:hAnsi="宋体" w:cs="宋体"/>
          <w:color w:val="000000" w:themeColor="text1"/>
          <w:sz w:val="24"/>
          <w:highlight w:val="none"/>
          <w14:textFill>
            <w14:solidFill>
              <w14:schemeClr w14:val="tx1"/>
            </w14:solidFill>
          </w14:textFill>
        </w:rPr>
        <w:t>。以上约定同时适用于招标工程量清单缺项以及工程量清单项目特征与图纸不符时的价款确定。</w:t>
      </w:r>
    </w:p>
    <w:p w14:paraId="6F179D6C">
      <w:pPr>
        <w:spacing w:line="360" w:lineRule="auto"/>
        <w:ind w:firstLine="480"/>
        <w:jc w:val="left"/>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工程变更导致实际完成的变更工程量与已标价清单或预算书中列明的该项目工程量有偏差时，其综合单价的确定按专用条款“11.1工程量清单错误的修正”执行。</w:t>
      </w:r>
    </w:p>
    <w:p w14:paraId="4FCBC571">
      <w:pPr>
        <w:pStyle w:val="4"/>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10.5 承包人的合理化建议</w:t>
      </w:r>
    </w:p>
    <w:p w14:paraId="31A74929">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监理人审查承包人合理化建议的期限：</w:t>
      </w:r>
      <w:r>
        <w:rPr>
          <w:rFonts w:hint="eastAsia" w:ascii="宋体" w:hAnsi="宋体" w:cs="宋体"/>
          <w:color w:val="000000" w:themeColor="text1"/>
          <w:sz w:val="24"/>
          <w:highlight w:val="none"/>
          <w:u w:val="single"/>
          <w14:textFill>
            <w14:solidFill>
              <w14:schemeClr w14:val="tx1"/>
            </w14:solidFill>
          </w14:textFill>
        </w:rPr>
        <w:t xml:space="preserve">  3 天内审查完毕并报发包人</w:t>
      </w:r>
      <w:r>
        <w:rPr>
          <w:rFonts w:hint="eastAsia" w:ascii="宋体" w:hAnsi="宋体" w:cs="宋体"/>
          <w:color w:val="000000" w:themeColor="text1"/>
          <w:sz w:val="24"/>
          <w:highlight w:val="none"/>
          <w14:textFill>
            <w14:solidFill>
              <w14:schemeClr w14:val="tx1"/>
            </w14:solidFill>
          </w14:textFill>
        </w:rPr>
        <w:t>。</w:t>
      </w:r>
    </w:p>
    <w:p w14:paraId="6CEADAA6">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发包人审批承包人合理化建议的期限：</w:t>
      </w:r>
      <w:r>
        <w:rPr>
          <w:rFonts w:hint="eastAsia" w:ascii="宋体" w:hAnsi="宋体" w:cs="宋体"/>
          <w:color w:val="000000" w:themeColor="text1"/>
          <w:sz w:val="24"/>
          <w:highlight w:val="none"/>
          <w:u w:val="single"/>
          <w14:textFill>
            <w14:solidFill>
              <w14:schemeClr w14:val="tx1"/>
            </w14:solidFill>
          </w14:textFill>
        </w:rPr>
        <w:t xml:space="preserve">  收到监理人报送的合理化建议后 7 天内审批完毕 </w:t>
      </w:r>
      <w:r>
        <w:rPr>
          <w:rFonts w:hint="eastAsia" w:ascii="宋体" w:hAnsi="宋体" w:cs="宋体"/>
          <w:color w:val="000000" w:themeColor="text1"/>
          <w:sz w:val="24"/>
          <w:highlight w:val="none"/>
          <w14:textFill>
            <w14:solidFill>
              <w14:schemeClr w14:val="tx1"/>
            </w14:solidFill>
          </w14:textFill>
        </w:rPr>
        <w:t>。</w:t>
      </w:r>
    </w:p>
    <w:p w14:paraId="7669850F">
      <w:pPr>
        <w:spacing w:line="360" w:lineRule="auto"/>
        <w:ind w:firstLine="480"/>
        <w:jc w:val="left"/>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承包人提出的合理化建议降低了合同价格或者提高了工程经济效益的奖励的方法和金额为：</w:t>
      </w:r>
      <w:r>
        <w:rPr>
          <w:rFonts w:hint="eastAsia" w:ascii="宋体" w:hAnsi="宋体" w:cs="宋体"/>
          <w:color w:val="000000" w:themeColor="text1"/>
          <w:sz w:val="24"/>
          <w:highlight w:val="none"/>
          <w:u w:val="single"/>
          <w14:textFill>
            <w14:solidFill>
              <w14:schemeClr w14:val="tx1"/>
            </w14:solidFill>
          </w14:textFill>
        </w:rPr>
        <w:t xml:space="preserve">       无             </w:t>
      </w:r>
      <w:r>
        <w:rPr>
          <w:rFonts w:hint="eastAsia" w:ascii="宋体" w:hAnsi="宋体" w:cs="宋体"/>
          <w:color w:val="000000" w:themeColor="text1"/>
          <w:sz w:val="24"/>
          <w:highlight w:val="none"/>
          <w14:textFill>
            <w14:solidFill>
              <w14:schemeClr w14:val="tx1"/>
            </w14:solidFill>
          </w14:textFill>
        </w:rPr>
        <w:t>。</w:t>
      </w:r>
    </w:p>
    <w:p w14:paraId="368B8F1B">
      <w:pPr>
        <w:pStyle w:val="4"/>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10.7 暂估价</w:t>
      </w:r>
    </w:p>
    <w:p w14:paraId="13741785">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暂估价材料和工程设备的明细详见已标价工程量清单《材料（工程设备）暂估价格及调整表》（表12-2）和《专业工程暂估价表》（表12-3）。</w:t>
      </w:r>
    </w:p>
    <w:p w14:paraId="57E66734">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10.7.1 依法必须招标的暂估价项目</w:t>
      </w:r>
    </w:p>
    <w:p w14:paraId="1887DFD1">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对于依法必须招标的暂估价项目的确认和批准采取第</w:t>
      </w:r>
      <w:r>
        <w:rPr>
          <w:rFonts w:hint="eastAsia" w:ascii="宋体" w:hAnsi="宋体" w:cs="宋体"/>
          <w:color w:val="000000" w:themeColor="text1"/>
          <w:sz w:val="24"/>
          <w:highlight w:val="none"/>
          <w:u w:val="single"/>
          <w14:textFill>
            <w14:solidFill>
              <w14:schemeClr w14:val="tx1"/>
            </w14:solidFill>
          </w14:textFill>
        </w:rPr>
        <w:t xml:space="preserve">  /  </w:t>
      </w:r>
      <w:r>
        <w:rPr>
          <w:rFonts w:hint="eastAsia" w:ascii="宋体" w:hAnsi="宋体" w:cs="宋体"/>
          <w:color w:val="000000" w:themeColor="text1"/>
          <w:sz w:val="24"/>
          <w:highlight w:val="none"/>
          <w14:textFill>
            <w14:solidFill>
              <w14:schemeClr w14:val="tx1"/>
            </w14:solidFill>
          </w14:textFill>
        </w:rPr>
        <w:t>种方式确定。</w:t>
      </w:r>
    </w:p>
    <w:p w14:paraId="3A4028D5">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10.7.2 不属于依法必须招标的暂估价项目</w:t>
      </w:r>
    </w:p>
    <w:p w14:paraId="13661820">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对于不属于依法必须招标的暂估价项目的确认和批准采取第</w:t>
      </w:r>
      <w:r>
        <w:rPr>
          <w:rFonts w:hint="eastAsia" w:ascii="宋体" w:hAnsi="宋体" w:cs="宋体"/>
          <w:color w:val="000000" w:themeColor="text1"/>
          <w:sz w:val="24"/>
          <w:highlight w:val="none"/>
          <w:u w:val="single"/>
          <w14:textFill>
            <w14:solidFill>
              <w14:schemeClr w14:val="tx1"/>
            </w14:solidFill>
          </w14:textFill>
        </w:rPr>
        <w:t xml:space="preserve">  / </w:t>
      </w:r>
      <w:r>
        <w:rPr>
          <w:rFonts w:hint="eastAsia" w:ascii="宋体" w:hAnsi="宋体" w:cs="宋体"/>
          <w:color w:val="000000" w:themeColor="text1"/>
          <w:sz w:val="24"/>
          <w:highlight w:val="none"/>
          <w14:textFill>
            <w14:solidFill>
              <w14:schemeClr w14:val="tx1"/>
            </w14:solidFill>
          </w14:textFill>
        </w:rPr>
        <w:t xml:space="preserve"> 种方式确定。</w:t>
      </w:r>
    </w:p>
    <w:p w14:paraId="024427B8">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第3种方式：承包人直接实施的暂估价项目</w:t>
      </w:r>
    </w:p>
    <w:p w14:paraId="440D3710">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承包人直接实施的暂估价项目的约定：</w:t>
      </w:r>
      <w:r>
        <w:rPr>
          <w:rFonts w:hint="eastAsia" w:ascii="宋体" w:hAnsi="宋体" w:cs="宋体"/>
          <w:color w:val="000000" w:themeColor="text1"/>
          <w:sz w:val="24"/>
          <w:highlight w:val="none"/>
          <w:u w:val="single"/>
          <w14:textFill>
            <w14:solidFill>
              <w14:schemeClr w14:val="tx1"/>
            </w14:solidFill>
          </w14:textFill>
        </w:rPr>
        <w:t xml:space="preserve">        无       </w:t>
      </w:r>
      <w:r>
        <w:rPr>
          <w:rFonts w:hint="eastAsia" w:ascii="宋体" w:hAnsi="宋体" w:cs="宋体"/>
          <w:color w:val="000000" w:themeColor="text1"/>
          <w:sz w:val="24"/>
          <w:highlight w:val="none"/>
          <w14:textFill>
            <w14:solidFill>
              <w14:schemeClr w14:val="tx1"/>
            </w14:solidFill>
          </w14:textFill>
        </w:rPr>
        <w:t>。</w:t>
      </w:r>
    </w:p>
    <w:p w14:paraId="2E0E1F9E">
      <w:pPr>
        <w:pStyle w:val="4"/>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10.8 暂列金额</w:t>
      </w:r>
    </w:p>
    <w:p w14:paraId="7FADBF00">
      <w:pPr>
        <w:spacing w:line="360" w:lineRule="auto"/>
        <w:ind w:firstLine="480"/>
        <w:jc w:val="left"/>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合同当事人关于暂列金额使用的约定：</w:t>
      </w:r>
      <w:r>
        <w:rPr>
          <w:rFonts w:hint="eastAsia" w:ascii="宋体" w:hAnsi="宋体" w:cs="宋体"/>
          <w:color w:val="000000" w:themeColor="text1"/>
          <w:sz w:val="24"/>
          <w:highlight w:val="none"/>
          <w:u w:val="single"/>
          <w14:textFill>
            <w14:solidFill>
              <w14:schemeClr w14:val="tx1"/>
            </w14:solidFill>
          </w14:textFill>
        </w:rPr>
        <w:t xml:space="preserve">     调整       </w:t>
      </w:r>
      <w:r>
        <w:rPr>
          <w:rFonts w:hint="eastAsia" w:ascii="宋体" w:hAnsi="宋体" w:cs="宋体"/>
          <w:color w:val="000000" w:themeColor="text1"/>
          <w:sz w:val="24"/>
          <w:highlight w:val="none"/>
          <w14:textFill>
            <w14:solidFill>
              <w14:schemeClr w14:val="tx1"/>
            </w14:solidFill>
          </w14:textFill>
        </w:rPr>
        <w:t>。</w:t>
      </w:r>
    </w:p>
    <w:p w14:paraId="198A7050">
      <w:pPr>
        <w:pStyle w:val="3"/>
        <w:numPr>
          <w:ilvl w:val="0"/>
          <w:numId w:val="4"/>
        </w:numPr>
        <w:spacing w:line="360" w:lineRule="auto"/>
        <w:ind w:left="885" w:hanging="36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价格调整</w:t>
      </w:r>
    </w:p>
    <w:p w14:paraId="30AECC9C">
      <w:pPr>
        <w:pStyle w:val="4"/>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11.1 市场价格波动引起的调整</w:t>
      </w:r>
    </w:p>
    <w:p w14:paraId="32E0DE09">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市场价格波动是否调整合同价格的约定：</w:t>
      </w:r>
      <w:r>
        <w:rPr>
          <w:rFonts w:hint="eastAsia" w:ascii="宋体" w:hAnsi="宋体" w:cs="宋体"/>
          <w:color w:val="000000" w:themeColor="text1"/>
          <w:sz w:val="24"/>
          <w:highlight w:val="none"/>
          <w:u w:val="single"/>
          <w14:textFill>
            <w14:solidFill>
              <w14:schemeClr w14:val="tx1"/>
            </w14:solidFill>
          </w14:textFill>
        </w:rPr>
        <w:t>钢筋、钢材、商品混凝土、沥青、商品砂浆、水泥、砂、石、砖、砌块、电线电缆主要材料市场价格涨跌超过5%予以调整</w:t>
      </w:r>
      <w:r>
        <w:rPr>
          <w:rFonts w:hint="eastAsia" w:ascii="宋体" w:hAnsi="宋体" w:cs="宋体"/>
          <w:color w:val="000000" w:themeColor="text1"/>
          <w:sz w:val="24"/>
          <w:highlight w:val="none"/>
          <w14:textFill>
            <w14:solidFill>
              <w14:schemeClr w14:val="tx1"/>
            </w14:solidFill>
          </w14:textFill>
        </w:rPr>
        <w:t>。</w:t>
      </w:r>
    </w:p>
    <w:p w14:paraId="61D50721">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因市场价格波动调整合同价格，采用以下第</w:t>
      </w:r>
      <w:r>
        <w:rPr>
          <w:rFonts w:hint="eastAsia" w:ascii="宋体" w:hAnsi="宋体" w:cs="宋体"/>
          <w:color w:val="000000" w:themeColor="text1"/>
          <w:sz w:val="24"/>
          <w:highlight w:val="none"/>
          <w:u w:val="single"/>
          <w14:textFill>
            <w14:solidFill>
              <w14:schemeClr w14:val="tx1"/>
            </w14:solidFill>
          </w14:textFill>
        </w:rPr>
        <w:t xml:space="preserve">  2  </w:t>
      </w:r>
      <w:r>
        <w:rPr>
          <w:rFonts w:hint="eastAsia" w:ascii="宋体" w:hAnsi="宋体" w:cs="宋体"/>
          <w:color w:val="000000" w:themeColor="text1"/>
          <w:sz w:val="24"/>
          <w:highlight w:val="none"/>
          <w14:textFill>
            <w14:solidFill>
              <w14:schemeClr w14:val="tx1"/>
            </w14:solidFill>
          </w14:textFill>
        </w:rPr>
        <w:t>种方式对合同价格进行调整：</w:t>
      </w:r>
    </w:p>
    <w:p w14:paraId="7D055FC5">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第1种方式：采用价格指数进行价格调整。</w:t>
      </w:r>
    </w:p>
    <w:p w14:paraId="0B58E7C2">
      <w:pPr>
        <w:spacing w:line="360" w:lineRule="auto"/>
        <w:ind w:firstLine="480"/>
        <w:jc w:val="left"/>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关于各可调因子、定值和变值权重，以及基本价格指数及其来源的约定：</w:t>
      </w:r>
      <w:r>
        <w:rPr>
          <w:rFonts w:hint="eastAsia" w:ascii="宋体" w:hAnsi="宋体" w:cs="宋体"/>
          <w:color w:val="000000" w:themeColor="text1"/>
          <w:sz w:val="24"/>
          <w:highlight w:val="none"/>
          <w:u w:val="single"/>
          <w14:textFill>
            <w14:solidFill>
              <w14:schemeClr w14:val="tx1"/>
            </w14:solidFill>
          </w14:textFill>
        </w:rPr>
        <w:t xml:space="preserve"> /   </w:t>
      </w:r>
      <w:r>
        <w:rPr>
          <w:rFonts w:hint="eastAsia" w:ascii="宋体" w:hAnsi="宋体" w:cs="宋体"/>
          <w:color w:val="000000" w:themeColor="text1"/>
          <w:sz w:val="24"/>
          <w:highlight w:val="none"/>
          <w14:textFill>
            <w14:solidFill>
              <w14:schemeClr w14:val="tx1"/>
            </w14:solidFill>
          </w14:textFill>
        </w:rPr>
        <w:t xml:space="preserve">；  </w:t>
      </w:r>
    </w:p>
    <w:p w14:paraId="4CC582CE">
      <w:pPr>
        <w:pStyle w:val="370"/>
        <w:spacing w:line="360" w:lineRule="auto"/>
        <w:ind w:firstLine="48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关于基准价格的约定：</w:t>
      </w:r>
      <w:r>
        <w:rPr>
          <w:rFonts w:hint="eastAsia" w:ascii="宋体" w:hAnsi="宋体" w:cs="宋体"/>
          <w:color w:val="000000" w:themeColor="text1"/>
          <w:sz w:val="24"/>
          <w:szCs w:val="24"/>
          <w:highlight w:val="none"/>
          <w:u w:val="single"/>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w:t>
      </w:r>
    </w:p>
    <w:p w14:paraId="2E7D0CF3">
      <w:pPr>
        <w:spacing w:line="360" w:lineRule="auto"/>
        <w:ind w:firstLine="456"/>
        <w:jc w:val="left"/>
        <w:rPr>
          <w:rFonts w:hAnsi="宋体"/>
          <w:color w:val="000000" w:themeColor="text1"/>
          <w:sz w:val="24"/>
          <w:highlight w:val="none"/>
          <w14:textFill>
            <w14:solidFill>
              <w14:schemeClr w14:val="tx1"/>
            </w14:solidFill>
          </w14:textFill>
        </w:rPr>
      </w:pPr>
      <w:r>
        <w:rPr>
          <w:rFonts w:hint="eastAsia" w:ascii="宋体" w:hAnsi="宋体" w:cs="宋体"/>
          <w:color w:val="000000" w:themeColor="text1"/>
          <w:spacing w:val="-6"/>
          <w:sz w:val="24"/>
          <w:highlight w:val="none"/>
          <w14:textFill>
            <w14:solidFill>
              <w14:schemeClr w14:val="tx1"/>
            </w14:solidFill>
          </w14:textFill>
        </w:rPr>
        <w:t>第2种方式：</w:t>
      </w:r>
      <w:r>
        <w:rPr>
          <w:rFonts w:hint="eastAsia" w:hAnsi="宋体" w:cs="宋体"/>
          <w:color w:val="000000" w:themeColor="text1"/>
          <w:sz w:val="24"/>
          <w:highlight w:val="none"/>
          <w14:textFill>
            <w14:solidFill>
              <w14:schemeClr w14:val="tx1"/>
            </w14:solidFill>
          </w14:textFill>
        </w:rPr>
        <w:t>采用造价信息进行价格调整。</w:t>
      </w:r>
    </w:p>
    <w:p w14:paraId="1EE10847">
      <w:pPr>
        <w:spacing w:line="360" w:lineRule="auto"/>
        <w:ind w:firstLine="480"/>
        <w:jc w:val="left"/>
        <w:rPr>
          <w:rFonts w:hAnsi="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1</w:t>
      </w:r>
      <w:r>
        <w:rPr>
          <w:rFonts w:hint="eastAsia" w:hAnsi="宋体" w:cs="宋体"/>
          <w:color w:val="000000" w:themeColor="text1"/>
          <w:sz w:val="24"/>
          <w:highlight w:val="none"/>
          <w14:textFill>
            <w14:solidFill>
              <w14:schemeClr w14:val="tx1"/>
            </w14:solidFill>
          </w14:textFill>
        </w:rPr>
        <w:t>）允许调整主要材料和</w:t>
      </w:r>
      <w:r>
        <w:rPr>
          <w:rFonts w:hAnsi="宋体" w:cs="宋体"/>
          <w:color w:val="000000" w:themeColor="text1"/>
          <w:sz w:val="24"/>
          <w:highlight w:val="none"/>
          <w:lang w:val="en"/>
          <w14:textFill>
            <w14:solidFill>
              <w14:schemeClr w14:val="tx1"/>
            </w14:solidFill>
          </w14:textFill>
        </w:rPr>
        <w:t>工程</w:t>
      </w:r>
      <w:r>
        <w:rPr>
          <w:rFonts w:hint="eastAsia" w:hAnsi="宋体" w:cs="宋体"/>
          <w:color w:val="000000" w:themeColor="text1"/>
          <w:sz w:val="24"/>
          <w:highlight w:val="none"/>
          <w14:textFill>
            <w14:solidFill>
              <w14:schemeClr w14:val="tx1"/>
            </w14:solidFill>
          </w14:textFill>
        </w:rPr>
        <w:t>设备、基期价格、风险系数、投标报价详见《</w:t>
      </w:r>
      <w:r>
        <w:rPr>
          <w:rFonts w:hAnsi="宋体" w:cs="宋体"/>
          <w:color w:val="000000" w:themeColor="text1"/>
          <w:sz w:val="24"/>
          <w:highlight w:val="none"/>
          <w:lang w:val="en"/>
          <w14:textFill>
            <w14:solidFill>
              <w14:schemeClr w14:val="tx1"/>
            </w14:solidFill>
          </w14:textFill>
        </w:rPr>
        <w:t>允许调整</w:t>
      </w:r>
      <w:r>
        <w:rPr>
          <w:rFonts w:hint="eastAsia" w:hAnsi="宋体" w:cs="宋体"/>
          <w:color w:val="000000" w:themeColor="text1"/>
          <w:sz w:val="24"/>
          <w:highlight w:val="none"/>
          <w14:textFill>
            <w14:solidFill>
              <w14:schemeClr w14:val="tx1"/>
            </w14:solidFill>
          </w14:textFill>
        </w:rPr>
        <w:t>主要材料和</w:t>
      </w:r>
      <w:r>
        <w:rPr>
          <w:rFonts w:hAnsi="宋体" w:cs="宋体"/>
          <w:color w:val="000000" w:themeColor="text1"/>
          <w:sz w:val="24"/>
          <w:highlight w:val="none"/>
          <w:lang w:val="en"/>
          <w14:textFill>
            <w14:solidFill>
              <w14:schemeClr w14:val="tx1"/>
            </w14:solidFill>
          </w14:textFill>
        </w:rPr>
        <w:t>工程</w:t>
      </w:r>
      <w:r>
        <w:rPr>
          <w:rFonts w:hint="eastAsia" w:hAnsi="宋体" w:cs="宋体"/>
          <w:color w:val="000000" w:themeColor="text1"/>
          <w:sz w:val="24"/>
          <w:highlight w:val="none"/>
          <w14:textFill>
            <w14:solidFill>
              <w14:schemeClr w14:val="tx1"/>
            </w14:solidFill>
          </w14:textFill>
        </w:rPr>
        <w:t>设备一览表》</w:t>
      </w:r>
      <w:r>
        <w:rPr>
          <w:rFonts w:hint="eastAsia" w:ascii="宋体" w:hAnsi="宋体"/>
          <w:color w:val="000000" w:themeColor="text1"/>
          <w:sz w:val="24"/>
          <w:highlight w:val="none"/>
          <w14:textFill>
            <w14:solidFill>
              <w14:schemeClr w14:val="tx1"/>
            </w14:solidFill>
          </w14:textFill>
        </w:rPr>
        <w:t>（表</w:t>
      </w:r>
      <w:r>
        <w:rPr>
          <w:rFonts w:ascii="宋体" w:hAnsi="宋体"/>
          <w:color w:val="000000" w:themeColor="text1"/>
          <w:sz w:val="24"/>
          <w:highlight w:val="none"/>
          <w14:textFill>
            <w14:solidFill>
              <w14:schemeClr w14:val="tx1"/>
            </w14:solidFill>
          </w14:textFill>
        </w:rPr>
        <w:t>-22</w:t>
      </w:r>
      <w:r>
        <w:rPr>
          <w:rFonts w:hint="eastAsia" w:ascii="宋体" w:hAnsi="宋体"/>
          <w:color w:val="000000" w:themeColor="text1"/>
          <w:sz w:val="24"/>
          <w:highlight w:val="none"/>
          <w14:textFill>
            <w14:solidFill>
              <w14:schemeClr w14:val="tx1"/>
            </w14:solidFill>
          </w14:textFill>
        </w:rPr>
        <w:t>）</w:t>
      </w:r>
      <w:r>
        <w:rPr>
          <w:rFonts w:hint="eastAsia" w:hAnsi="宋体" w:cs="宋体"/>
          <w:color w:val="000000" w:themeColor="text1"/>
          <w:sz w:val="24"/>
          <w:highlight w:val="none"/>
          <w14:textFill>
            <w14:solidFill>
              <w14:schemeClr w14:val="tx1"/>
            </w14:solidFill>
          </w14:textFill>
        </w:rPr>
        <w:t>,价</w:t>
      </w:r>
      <w:r>
        <w:rPr>
          <w:rFonts w:hAnsi="宋体" w:cs="宋体"/>
          <w:color w:val="000000" w:themeColor="text1"/>
          <w:sz w:val="24"/>
          <w:highlight w:val="none"/>
          <w14:textFill>
            <w14:solidFill>
              <w14:schemeClr w14:val="tx1"/>
            </w14:solidFill>
          </w14:textFill>
        </w:rPr>
        <w:t>差</w:t>
      </w:r>
      <w:r>
        <w:rPr>
          <w:rFonts w:hint="eastAsia" w:ascii="Calibri" w:hAnsi="宋体" w:cs="宋体"/>
          <w:color w:val="000000" w:themeColor="text1"/>
          <w:sz w:val="24"/>
          <w:highlight w:val="none"/>
          <w14:textFill>
            <w14:solidFill>
              <w14:schemeClr w14:val="tx1"/>
            </w14:solidFill>
          </w14:textFill>
        </w:rPr>
        <w:t>调整部分仅计算税金，除此表列明的材料、设备外，其余材料设备价差原则上不予调整。</w:t>
      </w:r>
    </w:p>
    <w:p w14:paraId="4211EE35">
      <w:pPr>
        <w:spacing w:line="360" w:lineRule="auto"/>
        <w:ind w:firstLine="480"/>
        <w:jc w:val="left"/>
        <w:rPr>
          <w:rFonts w:hAnsi="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2</w:t>
      </w:r>
      <w:r>
        <w:rPr>
          <w:rFonts w:hint="eastAsia" w:hAnsi="宋体" w:cs="宋体"/>
          <w:color w:val="000000" w:themeColor="text1"/>
          <w:sz w:val="24"/>
          <w:highlight w:val="none"/>
          <w14:textFill>
            <w14:solidFill>
              <w14:schemeClr w14:val="tx1"/>
            </w14:solidFill>
          </w14:textFill>
        </w:rPr>
        <w:t>）主要材料和</w:t>
      </w:r>
      <w:r>
        <w:rPr>
          <w:rFonts w:hAnsi="宋体" w:cs="宋体"/>
          <w:color w:val="000000" w:themeColor="text1"/>
          <w:sz w:val="24"/>
          <w:highlight w:val="none"/>
          <w:lang w:val="en"/>
          <w14:textFill>
            <w14:solidFill>
              <w14:schemeClr w14:val="tx1"/>
            </w14:solidFill>
          </w14:textFill>
        </w:rPr>
        <w:t>工程</w:t>
      </w:r>
      <w:r>
        <w:rPr>
          <w:rFonts w:hint="eastAsia" w:hAnsi="宋体" w:cs="宋体"/>
          <w:color w:val="000000" w:themeColor="text1"/>
          <w:sz w:val="24"/>
          <w:highlight w:val="none"/>
          <w14:textFill>
            <w14:solidFill>
              <w14:schemeClr w14:val="tx1"/>
            </w14:solidFill>
          </w14:textFill>
        </w:rPr>
        <w:t>设备确认价：</w:t>
      </w:r>
    </w:p>
    <w:p w14:paraId="1F71CCCE">
      <w:pPr>
        <w:spacing w:line="360" w:lineRule="auto"/>
        <w:ind w:firstLine="480"/>
        <w:jc w:val="left"/>
        <w:rPr>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按施工期间《</w:t>
      </w:r>
      <w:r>
        <w:rPr>
          <w:color w:val="000000" w:themeColor="text1"/>
          <w:sz w:val="24"/>
          <w:highlight w:val="none"/>
          <w:u w:val="single"/>
          <w14:textFill>
            <w14:solidFill>
              <w14:schemeClr w14:val="tx1"/>
            </w14:solidFill>
          </w14:textFill>
        </w:rPr>
        <w:t xml:space="preserve"> </w:t>
      </w:r>
      <w:r>
        <w:rPr>
          <w:rFonts w:hint="eastAsia"/>
          <w:color w:val="000000" w:themeColor="text1"/>
          <w:sz w:val="24"/>
          <w:highlight w:val="none"/>
          <w:u w:val="single"/>
          <w14:textFill>
            <w14:solidFill>
              <w14:schemeClr w14:val="tx1"/>
            </w14:solidFill>
          </w14:textFill>
        </w:rPr>
        <w:t>贵港</w:t>
      </w:r>
      <w:r>
        <w:rPr>
          <w:color w:val="000000" w:themeColor="text1"/>
          <w:sz w:val="24"/>
          <w:highlight w:val="none"/>
          <w:u w:val="single"/>
          <w14:textFill>
            <w14:solidFill>
              <w14:schemeClr w14:val="tx1"/>
            </w14:solidFill>
          </w14:textFill>
        </w:rPr>
        <w:t xml:space="preserve"> </w:t>
      </w:r>
      <w:r>
        <w:rPr>
          <w:rFonts w:hint="eastAsia" w:hAnsi="宋体" w:cs="宋体"/>
          <w:color w:val="000000" w:themeColor="text1"/>
          <w:sz w:val="24"/>
          <w:highlight w:val="none"/>
          <w14:textFill>
            <w14:solidFill>
              <w14:schemeClr w14:val="tx1"/>
            </w14:solidFill>
          </w14:textFill>
        </w:rPr>
        <w:t>市建设工程造价信息》材料信息价的加权平均价计算，信息价没有的按通用条款规定确定。</w:t>
      </w:r>
    </w:p>
    <w:p w14:paraId="62C783FF">
      <w:pPr>
        <w:spacing w:line="360" w:lineRule="auto"/>
        <w:ind w:firstLine="480"/>
        <w:jc w:val="left"/>
        <w:rPr>
          <w:rFonts w:hAnsi="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3</w:t>
      </w:r>
      <w:r>
        <w:rPr>
          <w:rFonts w:hint="eastAsia" w:hAnsi="宋体" w:cs="宋体"/>
          <w:color w:val="000000" w:themeColor="text1"/>
          <w:sz w:val="24"/>
          <w:highlight w:val="none"/>
          <w14:textFill>
            <w14:solidFill>
              <w14:schemeClr w14:val="tx1"/>
            </w14:solidFill>
          </w14:textFill>
        </w:rPr>
        <w:t>）价差计算方法：</w:t>
      </w:r>
    </w:p>
    <w:p w14:paraId="53A20918">
      <w:pPr>
        <w:spacing w:line="360" w:lineRule="auto"/>
        <w:ind w:firstLine="480"/>
        <w:jc w:val="left"/>
        <w:rPr>
          <w:rFonts w:hAnsi="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①《</w:t>
      </w:r>
      <w:r>
        <w:rPr>
          <w:rFonts w:hAnsi="宋体" w:cs="宋体"/>
          <w:color w:val="000000" w:themeColor="text1"/>
          <w:sz w:val="24"/>
          <w:highlight w:val="none"/>
          <w:lang w:val="en"/>
          <w14:textFill>
            <w14:solidFill>
              <w14:schemeClr w14:val="tx1"/>
            </w14:solidFill>
          </w14:textFill>
        </w:rPr>
        <w:t>允许调整</w:t>
      </w:r>
      <w:r>
        <w:rPr>
          <w:rFonts w:hint="eastAsia" w:hAnsi="宋体" w:cs="宋体"/>
          <w:color w:val="000000" w:themeColor="text1"/>
          <w:sz w:val="24"/>
          <w:highlight w:val="none"/>
          <w14:textFill>
            <w14:solidFill>
              <w14:schemeClr w14:val="tx1"/>
            </w14:solidFill>
          </w14:textFill>
        </w:rPr>
        <w:t>主要材料和工程设备一览表》中载明的材料和设备投标报价低于基准价格的：合同履行期间材料和设备单价涨幅以基准价格为基础超过约定的风险范围时，或材料和设备单价跌幅以投标报价为基础超过约定的风险范围时，对其超过部分进行价差调整，价差计算公式：价格上涨价差=确认价-基准价*（1+风险系数），价格下跌价差=确认价-投标报价*（1+风险系数）。</w:t>
      </w:r>
    </w:p>
    <w:p w14:paraId="6163B97E">
      <w:pPr>
        <w:spacing w:line="360" w:lineRule="auto"/>
        <w:ind w:firstLine="480"/>
        <w:jc w:val="left"/>
        <w:rPr>
          <w:rFonts w:hAnsi="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②承包人在《</w:t>
      </w:r>
      <w:r>
        <w:rPr>
          <w:rFonts w:hAnsi="宋体" w:cs="宋体"/>
          <w:color w:val="000000" w:themeColor="text1"/>
          <w:sz w:val="24"/>
          <w:highlight w:val="none"/>
          <w:lang w:val="en"/>
          <w14:textFill>
            <w14:solidFill>
              <w14:schemeClr w14:val="tx1"/>
            </w14:solidFill>
          </w14:textFill>
        </w:rPr>
        <w:t>允许调整</w:t>
      </w:r>
      <w:r>
        <w:rPr>
          <w:rFonts w:hint="eastAsia" w:hAnsi="宋体" w:cs="宋体"/>
          <w:color w:val="000000" w:themeColor="text1"/>
          <w:sz w:val="24"/>
          <w:highlight w:val="none"/>
          <w14:textFill>
            <w14:solidFill>
              <w14:schemeClr w14:val="tx1"/>
            </w14:solidFill>
          </w14:textFill>
        </w:rPr>
        <w:t>主要材料和工程设备一览表》中载明的材料和设备投标报价高于基准价格的：合同履行期间材料和设备单价跌幅以基准价格为基础超过约定的风险范围时，或材料和设备单价涨幅以投标报价为基础超过约定的风险范围时，对其超过部分进行价差调整。价差计算公式：价格上涨价差=确认价-投标报价*（1+风险系数），价格下跌价差=确认价-基准价*（1+风险系数）。</w:t>
      </w:r>
    </w:p>
    <w:p w14:paraId="3BE4D216">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③承包人在《</w:t>
      </w:r>
      <w:r>
        <w:rPr>
          <w:rFonts w:hAnsi="宋体" w:cs="宋体"/>
          <w:color w:val="000000" w:themeColor="text1"/>
          <w:sz w:val="24"/>
          <w:highlight w:val="none"/>
          <w:lang w:val="en"/>
          <w14:textFill>
            <w14:solidFill>
              <w14:schemeClr w14:val="tx1"/>
            </w14:solidFill>
          </w14:textFill>
        </w:rPr>
        <w:t>允许调整</w:t>
      </w:r>
      <w:r>
        <w:rPr>
          <w:rFonts w:hint="eastAsia" w:hAnsi="宋体" w:cs="宋体"/>
          <w:color w:val="000000" w:themeColor="text1"/>
          <w:sz w:val="24"/>
          <w:highlight w:val="none"/>
          <w14:textFill>
            <w14:solidFill>
              <w14:schemeClr w14:val="tx1"/>
            </w14:solidFill>
          </w14:textFill>
        </w:rPr>
        <w:t>主要材料和工程设备一览表》中载明的材料和设备单价等于基准单价的：合同履行期间材料和设备单价涨跌幅以基准单价为基础超过约定的风险范围时，对其超过部分进行价差调整。价差计算公式：上涨或下跌价差=确认价-基准单价*（1+风险系数））</w:t>
      </w:r>
    </w:p>
    <w:p w14:paraId="7EFF9608">
      <w:pPr>
        <w:pStyle w:val="3"/>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 合同价格、计量与支付</w:t>
      </w:r>
    </w:p>
    <w:p w14:paraId="5CF106EA">
      <w:pPr>
        <w:pStyle w:val="4"/>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12.1 合同价格形式</w:t>
      </w:r>
    </w:p>
    <w:p w14:paraId="0B8DC6A7">
      <w:pPr>
        <w:spacing w:line="360" w:lineRule="auto"/>
        <w:ind w:firstLine="480"/>
        <w:jc w:val="left"/>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本工程采用</w:t>
      </w:r>
      <w:r>
        <w:rPr>
          <w:rFonts w:hint="eastAsia" w:ascii="宋体" w:hAnsi="宋体" w:cs="宋体"/>
          <w:color w:val="000000" w:themeColor="text1"/>
          <w:sz w:val="24"/>
          <w:highlight w:val="none"/>
          <w:u w:val="single"/>
          <w14:textFill>
            <w14:solidFill>
              <w14:schemeClr w14:val="tx1"/>
            </w14:solidFill>
          </w14:textFill>
        </w:rPr>
        <w:t xml:space="preserve">  固定总价    </w:t>
      </w:r>
      <w:r>
        <w:rPr>
          <w:rFonts w:hint="eastAsia" w:ascii="宋体" w:hAnsi="宋体" w:cs="宋体"/>
          <w:color w:val="000000" w:themeColor="text1"/>
          <w:sz w:val="24"/>
          <w:highlight w:val="none"/>
          <w14:textFill>
            <w14:solidFill>
              <w14:schemeClr w14:val="tx1"/>
            </w14:solidFill>
          </w14:textFill>
        </w:rPr>
        <w:t>合同价格形式，合同价格包含增值税，本工程计价时采用的增值税计税方法为：一般计税法</w:t>
      </w:r>
      <w:r>
        <w:rPr>
          <w:rFonts w:hint="eastAsia" w:ascii="宋体" w:hAnsi="宋体" w:cs="宋体"/>
          <w:color w:val="000000" w:themeColor="text1"/>
          <w:sz w:val="24"/>
          <w:highlight w:val="none"/>
          <w:lang w:eastAsia="zh-CN"/>
          <w14:textFill>
            <w14:solidFill>
              <w14:schemeClr w14:val="tx1"/>
            </w14:solidFill>
          </w14:textFill>
        </w:rPr>
        <w:t>。</w:t>
      </w:r>
    </w:p>
    <w:p w14:paraId="4845C26D">
      <w:pPr>
        <w:spacing w:line="360" w:lineRule="auto"/>
        <w:ind w:firstLine="48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总价包含的风险范围：</w:t>
      </w:r>
      <w:r>
        <w:rPr>
          <w:rFonts w:hint="eastAsia" w:ascii="宋体" w:hAnsi="宋体" w:eastAsia="宋体" w:cs="宋体"/>
          <w:color w:val="000000" w:themeColor="text1"/>
          <w:sz w:val="24"/>
          <w:szCs w:val="24"/>
          <w:highlight w:val="none"/>
          <w:u w:val="single"/>
          <w14:textFill>
            <w14:solidFill>
              <w14:schemeClr w14:val="tx1"/>
            </w14:solidFill>
          </w14:textFill>
        </w:rPr>
        <w:t>包含除政策性调整、市场价格波动</w:t>
      </w:r>
      <w:r>
        <w:rPr>
          <w:rFonts w:hint="eastAsia" w:ascii="宋体" w:hAnsi="宋体" w:eastAsia="宋体" w:cs="宋体"/>
          <w:color w:val="000000" w:themeColor="text1"/>
          <w:sz w:val="24"/>
          <w:szCs w:val="24"/>
          <w:highlight w:val="none"/>
          <w14:textFill>
            <w14:solidFill>
              <w14:schemeClr w14:val="tx1"/>
            </w14:solidFill>
          </w14:textFill>
        </w:rPr>
        <w:t>。</w:t>
      </w:r>
    </w:p>
    <w:p w14:paraId="3F66C032">
      <w:pPr>
        <w:spacing w:line="360" w:lineRule="auto"/>
        <w:ind w:firstLine="48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①</w:t>
      </w:r>
      <w:r>
        <w:rPr>
          <w:rFonts w:hint="eastAsia" w:ascii="宋体" w:hAnsi="宋体" w:eastAsia="宋体" w:cs="宋体"/>
          <w:color w:val="000000" w:themeColor="text1"/>
          <w:sz w:val="24"/>
          <w:szCs w:val="24"/>
          <w:highlight w:val="none"/>
          <w14:textFill>
            <w14:solidFill>
              <w14:schemeClr w14:val="tx1"/>
            </w14:solidFill>
          </w14:textFill>
        </w:rPr>
        <w:t>风险范围以外合同价格的调整方法：</w:t>
      </w:r>
    </w:p>
    <w:p w14:paraId="624AE725">
      <w:pPr>
        <w:numPr>
          <w:ilvl w:val="0"/>
          <w:numId w:val="0"/>
        </w:numPr>
        <w:spacing w:line="360" w:lineRule="auto"/>
        <w:ind w:firstLine="48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工程变更：按10.4.1变更估价原则的约定调整。</w:t>
      </w:r>
    </w:p>
    <w:p w14:paraId="48D40FB5">
      <w:pPr>
        <w:spacing w:line="360" w:lineRule="auto"/>
        <w:ind w:firstLine="48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②政策性调整：按国家、</w:t>
      </w:r>
      <w:r>
        <w:rPr>
          <w:rFonts w:hint="eastAsia" w:ascii="宋体" w:hAnsi="宋体" w:eastAsia="宋体" w:cs="宋体"/>
          <w:color w:val="000000" w:themeColor="text1"/>
          <w:sz w:val="24"/>
          <w:szCs w:val="24"/>
          <w:highlight w:val="none"/>
          <w:lang w:eastAsia="zh-CN"/>
          <w14:textFill>
            <w14:solidFill>
              <w14:schemeClr w14:val="tx1"/>
            </w14:solidFill>
          </w14:textFill>
        </w:rPr>
        <w:t>广西壮族</w:t>
      </w:r>
      <w:r>
        <w:rPr>
          <w:rFonts w:hint="eastAsia" w:ascii="宋体" w:hAnsi="宋体" w:eastAsia="宋体" w:cs="宋体"/>
          <w:color w:val="000000" w:themeColor="text1"/>
          <w:sz w:val="24"/>
          <w:szCs w:val="24"/>
          <w:highlight w:val="none"/>
          <w14:textFill>
            <w14:solidFill>
              <w14:schemeClr w14:val="tx1"/>
            </w14:solidFill>
          </w14:textFill>
        </w:rPr>
        <w:t>自治区住房城乡建设厅或工程所在地市级住房城乡建设主管部门颁布的文件执行。</w:t>
      </w:r>
    </w:p>
    <w:p w14:paraId="171C4F0B">
      <w:pPr>
        <w:spacing w:line="360" w:lineRule="auto"/>
        <w:ind w:firstLine="48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③市场波动引起的调整：按11.1的约定调整。</w:t>
      </w:r>
    </w:p>
    <w:p w14:paraId="2B7F8866">
      <w:pPr>
        <w:spacing w:line="360" w:lineRule="auto"/>
        <w:ind w:firstLine="48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 4 \* GB3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④</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t>其它：</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37AE0697">
      <w:pPr>
        <w:spacing w:line="360" w:lineRule="auto"/>
        <w:ind w:firstLine="48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（3）其他价格方式：</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77B086E1">
      <w:pPr>
        <w:pStyle w:val="4"/>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12.2 预付款</w:t>
      </w:r>
    </w:p>
    <w:p w14:paraId="69DB1B80">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12.2.1 预付款的支付</w:t>
      </w:r>
    </w:p>
    <w:p w14:paraId="712C1B18">
      <w:pPr>
        <w:spacing w:line="360" w:lineRule="auto"/>
        <w:ind w:firstLine="480"/>
        <w:jc w:val="left"/>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预付款支付比例或金额：</w:t>
      </w:r>
      <w:r>
        <w:rPr>
          <w:rFonts w:hint="eastAsia" w:ascii="宋体" w:hAnsi="宋体" w:cs="宋体"/>
          <w:color w:val="000000" w:themeColor="text1"/>
          <w:sz w:val="24"/>
          <w:highlight w:val="none"/>
          <w:u w:val="single"/>
          <w14:textFill>
            <w14:solidFill>
              <w14:schemeClr w14:val="tx1"/>
            </w14:solidFill>
          </w14:textFill>
        </w:rPr>
        <w:t xml:space="preserve"> 支付合同价款的30%作为工程预付款（扣除安全文明施工费）</w:t>
      </w:r>
    </w:p>
    <w:p w14:paraId="23A3E0E2">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预付款支付期限：</w:t>
      </w:r>
      <w:r>
        <w:rPr>
          <w:rFonts w:hint="eastAsia" w:ascii="宋体" w:hAnsi="宋体" w:cs="宋体"/>
          <w:color w:val="000000" w:themeColor="text1"/>
          <w:sz w:val="24"/>
          <w:highlight w:val="none"/>
          <w:u w:val="single"/>
          <w14:textFill>
            <w14:solidFill>
              <w14:schemeClr w14:val="tx1"/>
            </w14:solidFill>
          </w14:textFill>
        </w:rPr>
        <w:t xml:space="preserve"> 合同签订后 30天之内  </w:t>
      </w:r>
      <w:r>
        <w:rPr>
          <w:rFonts w:hint="eastAsia" w:ascii="宋体" w:hAnsi="宋体" w:cs="宋体"/>
          <w:color w:val="000000" w:themeColor="text1"/>
          <w:sz w:val="24"/>
          <w:highlight w:val="none"/>
          <w14:textFill>
            <w14:solidFill>
              <w14:schemeClr w14:val="tx1"/>
            </w14:solidFill>
          </w14:textFill>
        </w:rPr>
        <w:t>。</w:t>
      </w:r>
    </w:p>
    <w:p w14:paraId="71CB275D">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预付款扣回的方式：</w:t>
      </w:r>
      <w:r>
        <w:rPr>
          <w:rFonts w:hint="eastAsia" w:ascii="宋体" w:hAnsi="宋体" w:cs="宋体"/>
          <w:color w:val="000000" w:themeColor="text1"/>
          <w:sz w:val="24"/>
          <w:highlight w:val="none"/>
          <w:u w:val="single"/>
          <w14:textFill>
            <w14:solidFill>
              <w14:schemeClr w14:val="tx1"/>
            </w14:solidFill>
          </w14:textFill>
        </w:rPr>
        <w:t>工程量达到60%时工程进度款一次性拨付至合同价款的50%（扣除前期支付的30%工程预付款，本次实际支付进度款为合同金额的20%）。</w:t>
      </w:r>
    </w:p>
    <w:p w14:paraId="378E4988">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12.2.2 预付款担保</w:t>
      </w:r>
    </w:p>
    <w:p w14:paraId="66265E59">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承包人提交预付款担保的期限：</w:t>
      </w:r>
      <w:r>
        <w:rPr>
          <w:rFonts w:hint="eastAsia" w:ascii="宋体" w:hAnsi="宋体" w:cs="宋体"/>
          <w:color w:val="000000" w:themeColor="text1"/>
          <w:sz w:val="24"/>
          <w:highlight w:val="none"/>
          <w:u w:val="single"/>
          <w14:textFill>
            <w14:solidFill>
              <w14:schemeClr w14:val="tx1"/>
            </w14:solidFill>
          </w14:textFill>
        </w:rPr>
        <w:t xml:space="preserve">  /  </w:t>
      </w:r>
      <w:r>
        <w:rPr>
          <w:rFonts w:hint="eastAsia" w:ascii="宋体" w:hAnsi="宋体" w:cs="宋体"/>
          <w:color w:val="000000" w:themeColor="text1"/>
          <w:sz w:val="24"/>
          <w:highlight w:val="none"/>
          <w14:textFill>
            <w14:solidFill>
              <w14:schemeClr w14:val="tx1"/>
            </w14:solidFill>
          </w14:textFill>
        </w:rPr>
        <w:t>。</w:t>
      </w:r>
    </w:p>
    <w:p w14:paraId="0999EC80">
      <w:pPr>
        <w:pStyle w:val="4"/>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12.3 计量</w:t>
      </w:r>
    </w:p>
    <w:p w14:paraId="2C19598E">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12.3.1 计量原则</w:t>
      </w:r>
    </w:p>
    <w:p w14:paraId="70A80D05">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工程量计算规则：</w:t>
      </w:r>
      <w:r>
        <w:rPr>
          <w:rFonts w:hint="eastAsia" w:ascii="宋体" w:hAnsi="宋体" w:cs="宋体"/>
          <w:color w:val="000000" w:themeColor="text1"/>
          <w:sz w:val="24"/>
          <w:highlight w:val="none"/>
          <w:u w:val="single"/>
          <w14:textFill>
            <w14:solidFill>
              <w14:schemeClr w14:val="tx1"/>
            </w14:solidFill>
          </w14:textFill>
        </w:rPr>
        <w:t>工程的计量均以《建设工程工程量清单计价规范》（GB50500－2013）及广西壮族自治区实施细则、《建设工程工程量清单计算规范》（GB50854~50862－2013）及广西实施细则、本工程补充项目清单为准。</w:t>
      </w:r>
    </w:p>
    <w:p w14:paraId="020E938A">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12.3.2 计量周期</w:t>
      </w:r>
    </w:p>
    <w:p w14:paraId="082C4F91">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关于计量周期的约定：</w:t>
      </w:r>
      <w:r>
        <w:rPr>
          <w:rFonts w:hint="eastAsia" w:ascii="宋体" w:hAnsi="宋体" w:cs="宋体"/>
          <w:color w:val="000000" w:themeColor="text1"/>
          <w:sz w:val="24"/>
          <w:highlight w:val="none"/>
          <w:u w:val="single"/>
          <w14:textFill>
            <w14:solidFill>
              <w14:schemeClr w14:val="tx1"/>
            </w14:solidFill>
          </w14:textFill>
        </w:rPr>
        <w:t>每月25日前</w:t>
      </w:r>
      <w:r>
        <w:rPr>
          <w:rFonts w:hint="eastAsia" w:ascii="宋体" w:hAnsi="宋体" w:cs="宋体"/>
          <w:color w:val="000000" w:themeColor="text1"/>
          <w:sz w:val="24"/>
          <w:highlight w:val="none"/>
          <w14:textFill>
            <w14:solidFill>
              <w14:schemeClr w14:val="tx1"/>
            </w14:solidFill>
          </w14:textFill>
        </w:rPr>
        <w:t>。</w:t>
      </w:r>
    </w:p>
    <w:p w14:paraId="4E3941F2">
      <w:pPr>
        <w:spacing w:line="360" w:lineRule="auto"/>
        <w:ind w:firstLine="480"/>
        <w:jc w:val="left"/>
        <w:outlineLvl w:val="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12.3.3 单价合同的计量</w:t>
      </w:r>
    </w:p>
    <w:p w14:paraId="595C2BAC">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关于单价合同计量的约定：</w:t>
      </w:r>
    </w:p>
    <w:p w14:paraId="622C1904">
      <w:pPr>
        <w:spacing w:line="360" w:lineRule="auto"/>
        <w:ind w:firstLine="504"/>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 工程量清单所列的工程量，不能作为承包人按合同履行其责任依据，实际施工中发生的工程量增加或减少并不影响承包人履行合同的责任，工程结算以完成的实际工程量为准。</w:t>
      </w:r>
    </w:p>
    <w:p w14:paraId="622FB310">
      <w:pPr>
        <w:spacing w:line="360" w:lineRule="auto"/>
        <w:ind w:firstLine="504"/>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 除另有规定外，工程师应按照合同通过计量来核实确定已完成的工程量和价款，承包人应得到该价款扣除保留金后的金额。当工程师要对已完工的工程量进行计量时，应适时地通知承包人参加。</w:t>
      </w:r>
    </w:p>
    <w:p w14:paraId="7DA5B12E">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12.3.4 总价合同的计量</w:t>
      </w:r>
    </w:p>
    <w:p w14:paraId="258CF7EE">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（1）总价合同计量约定：进度款按支付分解表支付，支付分解表在招标完成后签合同之前制定，具体详见本专用合同条款12.4.6。</w:t>
      </w:r>
    </w:p>
    <w:p w14:paraId="6CB51641">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12.3.6 其他价格形式合同的计量</w:t>
      </w:r>
    </w:p>
    <w:p w14:paraId="26E735FF">
      <w:pPr>
        <w:spacing w:line="360" w:lineRule="auto"/>
        <w:ind w:firstLine="480"/>
        <w:jc w:val="left"/>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其他价格形式的计量方式和程序：</w:t>
      </w:r>
      <w:r>
        <w:rPr>
          <w:rFonts w:hint="eastAsia" w:ascii="宋体" w:hAnsi="宋体" w:cs="宋体"/>
          <w:color w:val="000000" w:themeColor="text1"/>
          <w:sz w:val="24"/>
          <w:highlight w:val="none"/>
          <w:u w:val="single"/>
          <w14:textFill>
            <w14:solidFill>
              <w14:schemeClr w14:val="tx1"/>
            </w14:solidFill>
          </w14:textFill>
        </w:rPr>
        <w:t xml:space="preserve">     /     </w:t>
      </w:r>
      <w:r>
        <w:rPr>
          <w:rFonts w:hint="eastAsia" w:ascii="宋体" w:hAnsi="宋体" w:cs="宋体"/>
          <w:color w:val="000000" w:themeColor="text1"/>
          <w:sz w:val="24"/>
          <w:highlight w:val="none"/>
          <w14:textFill>
            <w14:solidFill>
              <w14:schemeClr w14:val="tx1"/>
            </w14:solidFill>
          </w14:textFill>
        </w:rPr>
        <w:t>。</w:t>
      </w:r>
    </w:p>
    <w:p w14:paraId="256A79AF">
      <w:pPr>
        <w:pStyle w:val="4"/>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12.4 工程进度款支付</w:t>
      </w:r>
    </w:p>
    <w:p w14:paraId="37B5B3F3">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12.4.1 付款周期</w:t>
      </w:r>
    </w:p>
    <w:p w14:paraId="6ACEA67F">
      <w:pPr>
        <w:spacing w:line="360" w:lineRule="auto"/>
        <w:ind w:firstLine="480"/>
        <w:jc w:val="left"/>
        <w:rPr>
          <w:rFonts w:hint="eastAsia" w:ascii="宋体" w:hAnsi="宋体" w:eastAsia="宋体" w:cs="宋体"/>
          <w:color w:val="000000" w:themeColor="text1"/>
          <w:sz w:val="24"/>
          <w:highlight w:val="none"/>
          <w:u w:val="single"/>
          <w:lang w:eastAsia="zh-CN"/>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①合同签订后，按工程进度拨付工程进度款，工程量达到60%时工程进度款拨付至合同价款的50%（扣除前期支付的30%工程预付款，本次实际支付进度款为合同金额的20%），工程完工后支付至合同价款的</w:t>
      </w:r>
      <w:r>
        <w:rPr>
          <w:rFonts w:hint="eastAsia" w:ascii="宋体" w:hAnsi="宋体" w:cs="宋体"/>
          <w:color w:val="000000" w:themeColor="text1"/>
          <w:sz w:val="24"/>
          <w:highlight w:val="none"/>
          <w:u w:val="single"/>
          <w:lang w:eastAsia="zh-CN"/>
          <w14:textFill>
            <w14:solidFill>
              <w14:schemeClr w14:val="tx1"/>
            </w14:solidFill>
          </w14:textFill>
        </w:rPr>
        <w:t>80%</w:t>
      </w:r>
      <w:r>
        <w:rPr>
          <w:rFonts w:hint="eastAsia" w:ascii="宋体" w:hAnsi="宋体" w:cs="宋体"/>
          <w:color w:val="000000" w:themeColor="text1"/>
          <w:sz w:val="24"/>
          <w:highlight w:val="none"/>
          <w:u w:val="single"/>
          <w14:textFill>
            <w14:solidFill>
              <w14:schemeClr w14:val="tx1"/>
            </w14:solidFill>
          </w14:textFill>
        </w:rPr>
        <w:t>，经结算审计后支付至</w:t>
      </w:r>
      <w:r>
        <w:rPr>
          <w:rFonts w:hint="eastAsia" w:ascii="宋体" w:hAnsi="宋体" w:cs="宋体"/>
          <w:color w:val="000000" w:themeColor="text1"/>
          <w:sz w:val="24"/>
          <w:highlight w:val="none"/>
          <w:u w:val="single"/>
          <w:lang w:eastAsia="zh-CN"/>
          <w14:textFill>
            <w14:solidFill>
              <w14:schemeClr w14:val="tx1"/>
            </w14:solidFill>
          </w14:textFill>
        </w:rPr>
        <w:t>结算总价</w:t>
      </w:r>
      <w:r>
        <w:rPr>
          <w:rFonts w:hint="eastAsia" w:ascii="宋体" w:hAnsi="宋体" w:eastAsia="宋体" w:cs="宋体"/>
          <w:color w:val="000000" w:themeColor="text1"/>
          <w:sz w:val="24"/>
          <w:highlight w:val="none"/>
          <w:u w:val="single"/>
          <w:lang w:eastAsia="zh-CN"/>
          <w14:textFill>
            <w14:solidFill>
              <w14:schemeClr w14:val="tx1"/>
            </w14:solidFill>
          </w14:textFill>
        </w:rPr>
        <w:t>的100%。质量保证金总额为结算总价的3%，承包人可按照结算总价的3%提供质保保函或缴纳质量保证金到发包人指定的账户后工程款可支付至100%，质量保证金待工程缺陷责任期满后承包人无违约行为发生的情况下，由承包人提出申请，发包人在7个工作日内无息返还。</w:t>
      </w:r>
    </w:p>
    <w:p w14:paraId="6AD67FA9">
      <w:pPr>
        <w:spacing w:line="360" w:lineRule="auto"/>
        <w:ind w:firstLine="480"/>
        <w:jc w:val="left"/>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 xml:space="preserve">②合同约定的工程质量缺陷责任期（最长不超过 2 年）满后由承包人向发包人提出返还保证金的申请，逾期未返还的，依法承担违约责任。发包人在接到承包人返还保证金申请后 14 天内不予答复，经催告后 14 天内仍不予答复，视同认可承包人的返还保证金申请。 </w:t>
      </w:r>
    </w:p>
    <w:p w14:paraId="6282CB4F">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12.4.2 进度付款申请单的编制</w:t>
      </w:r>
    </w:p>
    <w:p w14:paraId="682AB444">
      <w:pPr>
        <w:spacing w:line="360" w:lineRule="auto"/>
        <w:ind w:firstLine="480"/>
        <w:jc w:val="left"/>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关于进度付款申请单编制的约定：</w:t>
      </w:r>
      <w:r>
        <w:rPr>
          <w:rFonts w:hint="eastAsia" w:ascii="宋体" w:hAnsi="宋体" w:cs="宋体"/>
          <w:color w:val="000000" w:themeColor="text1"/>
          <w:sz w:val="24"/>
          <w:highlight w:val="none"/>
          <w:u w:val="single"/>
          <w14:textFill>
            <w14:solidFill>
              <w14:schemeClr w14:val="tx1"/>
            </w14:solidFill>
          </w14:textFill>
        </w:rPr>
        <w:t xml:space="preserve">      每月 25 日前     </w:t>
      </w:r>
      <w:r>
        <w:rPr>
          <w:rFonts w:hint="eastAsia" w:ascii="宋体" w:hAnsi="宋体" w:cs="宋体"/>
          <w:color w:val="000000" w:themeColor="text1"/>
          <w:sz w:val="24"/>
          <w:highlight w:val="none"/>
          <w14:textFill>
            <w14:solidFill>
              <w14:schemeClr w14:val="tx1"/>
            </w14:solidFill>
          </w14:textFill>
        </w:rPr>
        <w:t>。</w:t>
      </w:r>
    </w:p>
    <w:p w14:paraId="56E9CCF4">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12.4.3 进度付款申请单的提交</w:t>
      </w:r>
    </w:p>
    <w:p w14:paraId="217FA80D">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（1）单价合同进度付款申请单提交的约定：</w:t>
      </w:r>
      <w:r>
        <w:rPr>
          <w:rFonts w:hint="eastAsia" w:ascii="宋体" w:hAnsi="宋体" w:cs="宋体"/>
          <w:color w:val="000000" w:themeColor="text1"/>
          <w:sz w:val="24"/>
          <w:highlight w:val="none"/>
          <w:u w:val="single"/>
          <w14:textFill>
            <w14:solidFill>
              <w14:schemeClr w14:val="tx1"/>
            </w14:solidFill>
          </w14:textFill>
        </w:rPr>
        <w:t xml:space="preserve">   承包人每月 25 日，向发包人递交当月已完工程量工程进度款申请，并附已完成工程量报表   </w:t>
      </w:r>
      <w:r>
        <w:rPr>
          <w:rFonts w:hint="eastAsia" w:ascii="宋体" w:hAnsi="宋体" w:cs="宋体"/>
          <w:color w:val="000000" w:themeColor="text1"/>
          <w:sz w:val="24"/>
          <w:highlight w:val="none"/>
          <w14:textFill>
            <w14:solidFill>
              <w14:schemeClr w14:val="tx1"/>
            </w14:solidFill>
          </w14:textFill>
        </w:rPr>
        <w:t>。</w:t>
      </w:r>
    </w:p>
    <w:p w14:paraId="11B52544">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（2）总价合同进度付款申请单提交的约定：</w:t>
      </w:r>
      <w:r>
        <w:rPr>
          <w:rFonts w:hint="eastAsia" w:ascii="宋体" w:hAnsi="宋体" w:cs="宋体"/>
          <w:color w:val="000000" w:themeColor="text1"/>
          <w:sz w:val="24"/>
          <w:highlight w:val="none"/>
          <w:u w:val="single"/>
          <w14:textFill>
            <w14:solidFill>
              <w14:schemeClr w14:val="tx1"/>
            </w14:solidFill>
          </w14:textFill>
        </w:rPr>
        <w:t xml:space="preserve"> 承包人应在每个计量周期到期后的 7 天内向发包人提交已完工程进度款支付申请一式六份，详细说明此周期自己认为有权得到的款额，包括分包人已完工程的价款   </w:t>
      </w:r>
      <w:r>
        <w:rPr>
          <w:rFonts w:hint="eastAsia" w:ascii="宋体" w:hAnsi="宋体" w:cs="宋体"/>
          <w:color w:val="000000" w:themeColor="text1"/>
          <w:sz w:val="24"/>
          <w:highlight w:val="none"/>
          <w14:textFill>
            <w14:solidFill>
              <w14:schemeClr w14:val="tx1"/>
            </w14:solidFill>
          </w14:textFill>
        </w:rPr>
        <w:t>。</w:t>
      </w:r>
    </w:p>
    <w:p w14:paraId="1980CD88">
      <w:pPr>
        <w:spacing w:line="360" w:lineRule="auto"/>
        <w:ind w:firstLine="480"/>
        <w:jc w:val="left"/>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（3）其他价格形式合同进度付款申请单提交的约定：</w:t>
      </w:r>
      <w:r>
        <w:rPr>
          <w:rFonts w:hint="eastAsia" w:ascii="宋体" w:hAnsi="宋体" w:cs="宋体"/>
          <w:color w:val="000000" w:themeColor="text1"/>
          <w:sz w:val="24"/>
          <w:highlight w:val="none"/>
          <w:u w:val="single"/>
          <w14:textFill>
            <w14:solidFill>
              <w14:schemeClr w14:val="tx1"/>
            </w14:solidFill>
          </w14:textFill>
        </w:rPr>
        <w:t xml:space="preserve">     每月 25 日前    </w:t>
      </w:r>
      <w:r>
        <w:rPr>
          <w:rFonts w:hint="eastAsia" w:ascii="宋体" w:hAnsi="宋体" w:cs="宋体"/>
          <w:color w:val="000000" w:themeColor="text1"/>
          <w:sz w:val="24"/>
          <w:highlight w:val="none"/>
          <w14:textFill>
            <w14:solidFill>
              <w14:schemeClr w14:val="tx1"/>
            </w14:solidFill>
          </w14:textFill>
        </w:rPr>
        <w:t>。</w:t>
      </w:r>
    </w:p>
    <w:p w14:paraId="18CEDBA1">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12.4.4 进度款审核和支付</w:t>
      </w:r>
    </w:p>
    <w:p w14:paraId="19500C79">
      <w:pPr>
        <w:spacing w:line="360" w:lineRule="auto"/>
        <w:ind w:firstLine="480"/>
        <w:jc w:val="left"/>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（1）监理人审查并报送发包人的期限：</w:t>
      </w:r>
      <w:r>
        <w:rPr>
          <w:rFonts w:hint="eastAsia" w:ascii="宋体" w:hAnsi="宋体" w:cs="宋体"/>
          <w:color w:val="000000" w:themeColor="text1"/>
          <w:sz w:val="24"/>
          <w:highlight w:val="none"/>
          <w:u w:val="single"/>
          <w14:textFill>
            <w14:solidFill>
              <w14:schemeClr w14:val="tx1"/>
            </w14:solidFill>
          </w14:textFill>
        </w:rPr>
        <w:t xml:space="preserve"> 监理人应在收到承包人进度付款申请单以及相关资料后 7 天内完成审查并报送发包人   </w:t>
      </w:r>
      <w:r>
        <w:rPr>
          <w:rFonts w:hint="eastAsia" w:ascii="宋体" w:hAnsi="宋体" w:cs="宋体"/>
          <w:color w:val="000000" w:themeColor="text1"/>
          <w:sz w:val="24"/>
          <w:highlight w:val="none"/>
          <w14:textFill>
            <w14:solidFill>
              <w14:schemeClr w14:val="tx1"/>
            </w14:solidFill>
          </w14:textFill>
        </w:rPr>
        <w:t>。</w:t>
      </w:r>
    </w:p>
    <w:p w14:paraId="4964CD3A">
      <w:pPr>
        <w:spacing w:line="360" w:lineRule="auto"/>
        <w:ind w:firstLine="480"/>
        <w:jc w:val="left"/>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发包人完成审批并签发进度款支付证书的期限：</w:t>
      </w:r>
      <w:r>
        <w:rPr>
          <w:rFonts w:hint="eastAsia" w:ascii="宋体" w:hAnsi="宋体" w:cs="宋体"/>
          <w:color w:val="000000" w:themeColor="text1"/>
          <w:sz w:val="24"/>
          <w:highlight w:val="none"/>
          <w:u w:val="single"/>
          <w14:textFill>
            <w14:solidFill>
              <w14:schemeClr w14:val="tx1"/>
            </w14:solidFill>
          </w14:textFill>
        </w:rPr>
        <w:t xml:space="preserve">发包人应在收到后 7 天内完成审批并签发进度款支付证书       </w:t>
      </w:r>
      <w:r>
        <w:rPr>
          <w:rFonts w:hint="eastAsia" w:ascii="宋体" w:hAnsi="宋体" w:cs="宋体"/>
          <w:color w:val="000000" w:themeColor="text1"/>
          <w:sz w:val="24"/>
          <w:highlight w:val="none"/>
          <w14:textFill>
            <w14:solidFill>
              <w14:schemeClr w14:val="tx1"/>
            </w14:solidFill>
          </w14:textFill>
        </w:rPr>
        <w:t>。</w:t>
      </w:r>
    </w:p>
    <w:p w14:paraId="11D91FE6">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（2）发包人支付进度款的期限：</w:t>
      </w:r>
      <w:r>
        <w:rPr>
          <w:rFonts w:hint="eastAsia" w:ascii="宋体" w:hAnsi="宋体" w:cs="宋体"/>
          <w:color w:val="000000" w:themeColor="text1"/>
          <w:sz w:val="24"/>
          <w:highlight w:val="none"/>
          <w:u w:val="single"/>
          <w14:textFill>
            <w14:solidFill>
              <w14:schemeClr w14:val="tx1"/>
            </w14:solidFill>
          </w14:textFill>
        </w:rPr>
        <w:t xml:space="preserve">  进度款支付证书签发后 7 天内  </w:t>
      </w:r>
      <w:r>
        <w:rPr>
          <w:rFonts w:hint="eastAsia" w:ascii="宋体" w:hAnsi="宋体" w:cs="宋体"/>
          <w:color w:val="000000" w:themeColor="text1"/>
          <w:sz w:val="24"/>
          <w:highlight w:val="none"/>
          <w14:textFill>
            <w14:solidFill>
              <w14:schemeClr w14:val="tx1"/>
            </w14:solidFill>
          </w14:textFill>
        </w:rPr>
        <w:t>。</w:t>
      </w:r>
    </w:p>
    <w:p w14:paraId="3D0443BE">
      <w:pPr>
        <w:spacing w:line="360" w:lineRule="auto"/>
        <w:ind w:firstLine="6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发包人逾期支付进度款的违约金的计算方式：</w:t>
      </w:r>
      <w:r>
        <w:rPr>
          <w:rFonts w:hint="eastAsia" w:ascii="宋体" w:hAnsi="宋体" w:cs="宋体"/>
          <w:color w:val="000000" w:themeColor="text1"/>
          <w:sz w:val="24"/>
          <w:highlight w:val="none"/>
          <w:u w:val="single"/>
          <w14:textFill>
            <w14:solidFill>
              <w14:schemeClr w14:val="tx1"/>
            </w14:solidFill>
          </w14:textFill>
        </w:rPr>
        <w:t xml:space="preserve">   按《通用合同条款》执行 </w:t>
      </w:r>
      <w:r>
        <w:rPr>
          <w:rFonts w:hint="eastAsia" w:ascii="宋体" w:hAnsi="宋体" w:cs="宋体"/>
          <w:color w:val="000000" w:themeColor="text1"/>
          <w:sz w:val="24"/>
          <w:highlight w:val="none"/>
          <w14:textFill>
            <w14:solidFill>
              <w14:schemeClr w14:val="tx1"/>
            </w14:solidFill>
          </w14:textFill>
        </w:rPr>
        <w:t>。</w:t>
      </w:r>
    </w:p>
    <w:p w14:paraId="1BA4C0F9">
      <w:pPr>
        <w:spacing w:line="360" w:lineRule="auto"/>
        <w:ind w:firstLine="72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进度款支付方式：</w:t>
      </w:r>
      <w:r>
        <w:rPr>
          <w:rFonts w:hint="eastAsia" w:ascii="宋体" w:hAnsi="宋体" w:cs="宋体"/>
          <w:color w:val="000000" w:themeColor="text1"/>
          <w:sz w:val="24"/>
          <w:highlight w:val="none"/>
          <w:u w:val="single"/>
          <w14:textFill>
            <w14:solidFill>
              <w14:schemeClr w14:val="tx1"/>
            </w14:solidFill>
          </w14:textFill>
        </w:rPr>
        <w:t>银行转账</w:t>
      </w:r>
      <w:r>
        <w:rPr>
          <w:rFonts w:hint="eastAsia" w:ascii="宋体" w:hAnsi="宋体" w:cs="宋体"/>
          <w:color w:val="000000" w:themeColor="text1"/>
          <w:sz w:val="24"/>
          <w:highlight w:val="none"/>
          <w14:textFill>
            <w14:solidFill>
              <w14:schemeClr w14:val="tx1"/>
            </w14:solidFill>
          </w14:textFill>
        </w:rPr>
        <w:t>。进度款支付申请（核准）表见合同附件11。</w:t>
      </w:r>
    </w:p>
    <w:p w14:paraId="1F1B2B5A">
      <w:pPr>
        <w:spacing w:line="360" w:lineRule="auto"/>
        <w:ind w:firstLine="6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 农民工工资支付</w:t>
      </w:r>
    </w:p>
    <w:p w14:paraId="7931DACA">
      <w:pPr>
        <w:spacing w:line="360" w:lineRule="auto"/>
        <w:ind w:firstLine="6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人工费用是指发包人向承包人专用账户拨付的专项用于支付农民工工资的工程款。农民工工资专用账户是指承包人在工程建设项目所在地银行业金融机构（简称银行）开立的，专项用于支付农民工工资的专用存款账户。</w:t>
      </w:r>
    </w:p>
    <w:p w14:paraId="459C2A6F">
      <w:pPr>
        <w:spacing w:line="360" w:lineRule="auto"/>
        <w:ind w:firstLine="6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2）人工费应与工程进度款分</w:t>
      </w:r>
      <w:r>
        <w:rPr>
          <w:rFonts w:hint="eastAsia" w:ascii="宋体" w:hAnsi="宋体" w:cs="宋体"/>
          <w:color w:val="000000" w:themeColor="text1"/>
          <w:sz w:val="24"/>
          <w:highlight w:val="none"/>
          <w:lang w:eastAsia="zh-CN"/>
          <w14:textFill>
            <w14:solidFill>
              <w14:schemeClr w14:val="tx1"/>
            </w14:solidFill>
          </w14:textFill>
        </w:rPr>
        <w:t>账</w:t>
      </w:r>
      <w:r>
        <w:rPr>
          <w:rFonts w:hint="eastAsia" w:ascii="宋体" w:hAnsi="宋体" w:cs="宋体"/>
          <w:color w:val="000000" w:themeColor="text1"/>
          <w:sz w:val="24"/>
          <w:highlight w:val="none"/>
          <w14:textFill>
            <w14:solidFill>
              <w14:schemeClr w14:val="tx1"/>
            </w14:solidFill>
          </w14:textFill>
        </w:rPr>
        <w:t>管理。必须按时足额支付，人工费拨付周期不得超过1个月，最少每月支付一次，无工程款申请的月份，承包人单独上报人工费划拨申请；若因发包人未按照合同约定划拨工程款项导致拖欠工资的，由发包人以未结清的工程款项为限先行垫付所拖欠的工资；承包人向发包人申请工程进度款时必须把农民工工资部分单独列明，如果未单独列明，监理单位不得签支付证书等支付工程款的手续，发包人单位不得审批和支付工程款。发包人必须把工程款分</w:t>
      </w:r>
      <w:r>
        <w:rPr>
          <w:rFonts w:hint="eastAsia" w:ascii="宋体" w:hAnsi="宋体" w:cs="宋体"/>
          <w:color w:val="000000" w:themeColor="text1"/>
          <w:sz w:val="24"/>
          <w:highlight w:val="none"/>
          <w:lang w:eastAsia="zh-CN"/>
          <w14:textFill>
            <w14:solidFill>
              <w14:schemeClr w14:val="tx1"/>
            </w14:solidFill>
          </w14:textFill>
        </w:rPr>
        <w:t>账</w:t>
      </w:r>
      <w:r>
        <w:rPr>
          <w:rFonts w:hint="eastAsia" w:ascii="宋体" w:hAnsi="宋体" w:cs="宋体"/>
          <w:color w:val="000000" w:themeColor="text1"/>
          <w:sz w:val="24"/>
          <w:highlight w:val="none"/>
          <w14:textFill>
            <w14:solidFill>
              <w14:schemeClr w14:val="tx1"/>
            </w14:solidFill>
          </w14:textFill>
        </w:rPr>
        <w:t>出来的人工费转入承包人农民工工资支付专用账户，转入农民工工资支付专用账户环节必须有银行流水凭证。</w:t>
      </w:r>
    </w:p>
    <w:p w14:paraId="354D3E8D">
      <w:pPr>
        <w:spacing w:line="360" w:lineRule="auto"/>
        <w:ind w:firstLine="6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3）发包人依据工程进度，审核承包人申报的工程进度款，按照与承包人约定的人工费支付比例</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%（房建项目不少于20%，市政项目不少于15%），将人工费及时足额拨付至承包人的农民工工资专用账户，其余工程进度款项由发包人支付到承包人的单位基本户。</w:t>
      </w:r>
    </w:p>
    <w:p w14:paraId="4A5D682D">
      <w:pPr>
        <w:spacing w:line="360" w:lineRule="auto"/>
        <w:ind w:firstLine="6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4）工程建设领域总包单位对农民工工资支付负总责，推行分包单位农民工工资委托总包单位代发制度（以下简称总包代发制度）。工程建设项目施行总包代发制度的，总包单位与分包单位签订委托工资支付协议。 </w:t>
      </w:r>
    </w:p>
    <w:p w14:paraId="0ECC5EAC">
      <w:pPr>
        <w:spacing w:line="360" w:lineRule="auto"/>
        <w:ind w:firstLine="6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5）凡未向付款单位提供农民工工资专用账户的，或者请款单位在申请工程进度款时未将人工费单列的，付款单位有权拒绝支付工程进度款。</w:t>
      </w:r>
    </w:p>
    <w:p w14:paraId="37DCB487">
      <w:pPr>
        <w:spacing w:line="360" w:lineRule="auto"/>
        <w:ind w:firstLine="6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6）人工费使用要求：专款专用，除发放农民工工资外，不得用于其他用途。</w:t>
      </w:r>
    </w:p>
    <w:p w14:paraId="2D3EFEDC">
      <w:pPr>
        <w:spacing w:line="360" w:lineRule="auto"/>
        <w:ind w:firstLine="6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7）承包人将人工费支付情况定期报告发包人和监理单位，并提供相应的材料接受建设行政主管部门和劳动保障行政主管部门对此事项监管。</w:t>
      </w:r>
    </w:p>
    <w:p w14:paraId="7880BF43">
      <w:pPr>
        <w:spacing w:line="360" w:lineRule="auto"/>
        <w:ind w:firstLine="480"/>
        <w:jc w:val="left"/>
        <w:rPr>
          <w:rFonts w:hint="eastAsia" w:ascii="宋体" w:hAnsi="宋体" w:cs="宋体"/>
          <w:b/>
          <w:bCs/>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w:t>
      </w:r>
      <w:r>
        <w:rPr>
          <w:rFonts w:hint="eastAsia" w:ascii="宋体" w:hAnsi="宋体" w:cs="宋体"/>
          <w:b/>
          <w:bCs/>
          <w:color w:val="000000" w:themeColor="text1"/>
          <w:sz w:val="24"/>
          <w:highlight w:val="none"/>
          <w14:textFill>
            <w14:solidFill>
              <w14:schemeClr w14:val="tx1"/>
            </w14:solidFill>
          </w14:textFill>
        </w:rPr>
        <w:t>人工费支付专用账户</w:t>
      </w:r>
      <w:r>
        <w:rPr>
          <w:rFonts w:hint="eastAsia" w:ascii="宋体" w:hAnsi="宋体" w:cs="宋体"/>
          <w:b/>
          <w:bCs/>
          <w:color w:val="000000" w:themeColor="text1"/>
          <w:spacing w:val="-6"/>
          <w:sz w:val="24"/>
          <w:highlight w:val="none"/>
          <w14:textFill>
            <w14:solidFill>
              <w14:schemeClr w14:val="tx1"/>
            </w14:solidFill>
          </w14:textFill>
        </w:rPr>
        <w:t>：</w:t>
      </w:r>
      <w:r>
        <w:rPr>
          <w:rFonts w:hint="eastAsia" w:ascii="宋体" w:hAnsi="宋体" w:cs="宋体"/>
          <w:b/>
          <w:bCs/>
          <w:color w:val="000000" w:themeColor="text1"/>
          <w:spacing w:val="-6"/>
          <w:sz w:val="24"/>
          <w:highlight w:val="none"/>
          <w:u w:val="single"/>
          <w14:textFill>
            <w14:solidFill>
              <w14:schemeClr w14:val="tx1"/>
            </w14:solidFill>
          </w14:textFill>
        </w:rPr>
        <w:t xml:space="preserve">      </w:t>
      </w:r>
      <w:r>
        <w:rPr>
          <w:rFonts w:hint="eastAsia" w:ascii="宋体" w:hAnsi="宋体" w:cs="宋体"/>
          <w:b/>
          <w:bCs/>
          <w:color w:val="000000" w:themeColor="text1"/>
          <w:spacing w:val="-6"/>
          <w:sz w:val="24"/>
          <w:highlight w:val="none"/>
          <w14:textFill>
            <w14:solidFill>
              <w14:schemeClr w14:val="tx1"/>
            </w14:solidFill>
          </w14:textFill>
        </w:rPr>
        <w:t>。</w:t>
      </w:r>
    </w:p>
    <w:p w14:paraId="5D1F769E">
      <w:pPr>
        <w:spacing w:line="360" w:lineRule="auto"/>
        <w:ind w:firstLine="723"/>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账号：</w:t>
      </w:r>
      <w:r>
        <w:rPr>
          <w:rFonts w:hint="eastAsia" w:ascii="宋体" w:hAnsi="宋体" w:cs="宋体"/>
          <w:b/>
          <w:bCs/>
          <w:color w:val="000000" w:themeColor="text1"/>
          <w:sz w:val="24"/>
          <w:highlight w:val="none"/>
          <w:u w:val="single"/>
          <w14:textFill>
            <w14:solidFill>
              <w14:schemeClr w14:val="tx1"/>
            </w14:solidFill>
          </w14:textFill>
        </w:rPr>
        <w:t xml:space="preserve">      </w:t>
      </w:r>
      <w:r>
        <w:rPr>
          <w:rFonts w:hint="eastAsia" w:ascii="宋体" w:hAnsi="宋体" w:cs="宋体"/>
          <w:b/>
          <w:bCs/>
          <w:color w:val="000000" w:themeColor="text1"/>
          <w:sz w:val="24"/>
          <w:highlight w:val="none"/>
          <w14:textFill>
            <w14:solidFill>
              <w14:schemeClr w14:val="tx1"/>
            </w14:solidFill>
          </w14:textFill>
        </w:rPr>
        <w:t>。</w:t>
      </w:r>
    </w:p>
    <w:p w14:paraId="3179B331">
      <w:pPr>
        <w:pStyle w:val="374"/>
        <w:spacing w:line="360" w:lineRule="auto"/>
        <w:ind w:firstLine="723"/>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开户银行：</w:t>
      </w:r>
      <w:r>
        <w:rPr>
          <w:rFonts w:hint="eastAsia" w:ascii="宋体" w:hAnsi="宋体" w:cs="宋体"/>
          <w:b/>
          <w:bCs/>
          <w:color w:val="000000" w:themeColor="text1"/>
          <w:sz w:val="24"/>
          <w:szCs w:val="24"/>
          <w:highlight w:val="none"/>
          <w:u w:val="single"/>
          <w14:textFill>
            <w14:solidFill>
              <w14:schemeClr w14:val="tx1"/>
            </w14:solidFill>
          </w14:textFill>
        </w:rPr>
        <w:t xml:space="preserve">      </w:t>
      </w:r>
      <w:r>
        <w:rPr>
          <w:rFonts w:hint="eastAsia" w:ascii="宋体" w:hAnsi="宋体" w:cs="宋体"/>
          <w:b/>
          <w:bCs/>
          <w:color w:val="000000" w:themeColor="text1"/>
          <w:sz w:val="24"/>
          <w:szCs w:val="24"/>
          <w:highlight w:val="none"/>
          <w14:textFill>
            <w14:solidFill>
              <w14:schemeClr w14:val="tx1"/>
            </w14:solidFill>
          </w14:textFill>
        </w:rPr>
        <w:t>。</w:t>
      </w:r>
    </w:p>
    <w:p w14:paraId="02FC0655">
      <w:pPr>
        <w:spacing w:line="360" w:lineRule="auto"/>
        <w:ind w:firstLine="482"/>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（4）农民工工资保证金：</w:t>
      </w:r>
    </w:p>
    <w:p w14:paraId="6CA87CDF">
      <w:pPr>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农民工工资</w:t>
      </w:r>
      <w:r>
        <w:rPr>
          <w:rFonts w:hint="eastAsia" w:ascii="宋体" w:hAnsi="宋体" w:cs="宋体"/>
          <w:color w:val="000000" w:themeColor="text1"/>
          <w:sz w:val="24"/>
          <w:highlight w:val="none"/>
          <w14:textFill>
            <w14:solidFill>
              <w14:schemeClr w14:val="tx1"/>
            </w14:solidFill>
          </w14:textFill>
        </w:rPr>
        <w:t>保证金的方式、金额及期限:</w:t>
      </w:r>
    </w:p>
    <w:p w14:paraId="7D588C2A">
      <w:pPr>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根据《工程建设领域农民工工资保证金规定》第二章工资保证金存储、第六条规定“施工总承包单位应当在工程所在地的银行存储工资保证金或申请开立银行保函”，</w:t>
      </w:r>
      <w:r>
        <w:rPr>
          <w:rFonts w:hint="eastAsia" w:ascii="宋体" w:hAnsi="宋体" w:cs="宋体"/>
          <w:color w:val="000000" w:themeColor="text1"/>
          <w:sz w:val="24"/>
          <w:highlight w:val="none"/>
          <w:lang w:eastAsia="zh-CN"/>
          <w14:textFill>
            <w14:solidFill>
              <w14:schemeClr w14:val="tx1"/>
            </w14:solidFill>
          </w14:textFill>
        </w:rPr>
        <w:t>农民工工资</w:t>
      </w:r>
      <w:r>
        <w:rPr>
          <w:rFonts w:hint="eastAsia" w:ascii="宋体" w:hAnsi="宋体" w:cs="宋体"/>
          <w:color w:val="000000" w:themeColor="text1"/>
          <w:sz w:val="24"/>
          <w:highlight w:val="none"/>
          <w14:textFill>
            <w14:solidFill>
              <w14:schemeClr w14:val="tx1"/>
            </w14:solidFill>
          </w14:textFill>
        </w:rPr>
        <w:t>保证金的提交形式为银行保函、现金、工程担保或保证保险等形式，金额为合同价的1.5% 。</w:t>
      </w:r>
      <w:r>
        <w:rPr>
          <w:rFonts w:hint="eastAsia" w:ascii="宋体" w:hAnsi="宋体" w:cs="宋体"/>
          <w:color w:val="000000" w:themeColor="text1"/>
          <w:sz w:val="24"/>
          <w:highlight w:val="none"/>
          <w:lang w:eastAsia="zh-CN"/>
          <w14:textFill>
            <w14:solidFill>
              <w14:schemeClr w14:val="tx1"/>
            </w14:solidFill>
          </w14:textFill>
        </w:rPr>
        <w:t>成交</w:t>
      </w:r>
      <w:r>
        <w:rPr>
          <w:rFonts w:hint="eastAsia" w:ascii="宋体" w:hAnsi="宋体" w:cs="宋体"/>
          <w:color w:val="000000" w:themeColor="text1"/>
          <w:sz w:val="24"/>
          <w:highlight w:val="none"/>
          <w14:textFill>
            <w14:solidFill>
              <w14:schemeClr w14:val="tx1"/>
            </w14:solidFill>
          </w14:textFill>
        </w:rPr>
        <w:t>后30日内向发包人提交</w:t>
      </w:r>
      <w:r>
        <w:rPr>
          <w:rFonts w:hint="eastAsia" w:ascii="宋体" w:hAnsi="宋体" w:cs="宋体"/>
          <w:color w:val="000000" w:themeColor="text1"/>
          <w:sz w:val="24"/>
          <w:highlight w:val="none"/>
          <w:lang w:eastAsia="zh-CN"/>
          <w14:textFill>
            <w14:solidFill>
              <w14:schemeClr w14:val="tx1"/>
            </w14:solidFill>
          </w14:textFill>
        </w:rPr>
        <w:t>农民工工资</w:t>
      </w:r>
      <w:r>
        <w:rPr>
          <w:rFonts w:hint="eastAsia" w:ascii="宋体" w:hAnsi="宋体" w:cs="宋体"/>
          <w:color w:val="000000" w:themeColor="text1"/>
          <w:sz w:val="24"/>
          <w:highlight w:val="none"/>
          <w14:textFill>
            <w14:solidFill>
              <w14:schemeClr w14:val="tx1"/>
            </w14:solidFill>
          </w14:textFill>
        </w:rPr>
        <w:t>保证金，</w:t>
      </w:r>
      <w:r>
        <w:rPr>
          <w:rFonts w:hint="eastAsia" w:ascii="宋体" w:hAnsi="宋体" w:cs="宋体"/>
          <w:color w:val="000000" w:themeColor="text1"/>
          <w:sz w:val="24"/>
          <w:highlight w:val="none"/>
          <w:lang w:eastAsia="zh-CN"/>
          <w14:textFill>
            <w14:solidFill>
              <w14:schemeClr w14:val="tx1"/>
            </w14:solidFill>
          </w14:textFill>
        </w:rPr>
        <w:t>农民工工资</w:t>
      </w:r>
      <w:r>
        <w:rPr>
          <w:rFonts w:hint="eastAsia" w:ascii="宋体" w:hAnsi="宋体" w:cs="宋体"/>
          <w:color w:val="000000" w:themeColor="text1"/>
          <w:sz w:val="24"/>
          <w:highlight w:val="none"/>
          <w14:textFill>
            <w14:solidFill>
              <w14:schemeClr w14:val="tx1"/>
            </w14:solidFill>
          </w14:textFill>
        </w:rPr>
        <w:t>保证金的有效期必须涵盖工程竣工验收合格并对验收发现的问题完成整改后且承包人向发包人完成竣工资料手续时间内。</w:t>
      </w:r>
    </w:p>
    <w:p w14:paraId="08760927">
      <w:pPr>
        <w:spacing w:line="360" w:lineRule="auto"/>
        <w:ind w:firstLine="6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工程竣工验收合格并对验收发现的问题完成整改且承包人向发包人完成竣工资料移交手续后，经发包人同意，承包人可申请退还</w:t>
      </w:r>
      <w:r>
        <w:rPr>
          <w:rFonts w:hint="eastAsia" w:ascii="宋体" w:hAnsi="宋体" w:cs="宋体"/>
          <w:color w:val="000000" w:themeColor="text1"/>
          <w:sz w:val="24"/>
          <w:highlight w:val="none"/>
          <w:lang w:eastAsia="zh-CN"/>
          <w14:textFill>
            <w14:solidFill>
              <w14:schemeClr w14:val="tx1"/>
            </w14:solidFill>
          </w14:textFill>
        </w:rPr>
        <w:t>农民工工资</w:t>
      </w:r>
      <w:r>
        <w:rPr>
          <w:rFonts w:hint="eastAsia" w:ascii="宋体" w:hAnsi="宋体" w:cs="宋体"/>
          <w:color w:val="000000" w:themeColor="text1"/>
          <w:sz w:val="24"/>
          <w:highlight w:val="none"/>
          <w14:textFill>
            <w14:solidFill>
              <w14:schemeClr w14:val="tx1"/>
            </w14:solidFill>
          </w14:textFill>
        </w:rPr>
        <w:t>保证金，发包人在收到承包人的申请之日起28个日历天内将农民工工资保证金退还给承包人（无息）。</w:t>
      </w:r>
    </w:p>
    <w:p w14:paraId="3900B017">
      <w:pPr>
        <w:spacing w:line="360" w:lineRule="auto"/>
        <w:ind w:firstLine="6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12.4.6 支付分解表的编制</w:t>
      </w:r>
    </w:p>
    <w:p w14:paraId="309E949D">
      <w:pPr>
        <w:spacing w:line="360" w:lineRule="auto"/>
        <w:ind w:firstLine="600"/>
        <w:jc w:val="left"/>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 总价合同支付分解表的编制与审批：</w:t>
      </w:r>
      <w:r>
        <w:rPr>
          <w:rFonts w:hint="eastAsia" w:ascii="宋体" w:hAnsi="宋体" w:cs="宋体"/>
          <w:color w:val="000000" w:themeColor="text1"/>
          <w:sz w:val="24"/>
          <w:highlight w:val="none"/>
          <w:u w:val="single"/>
          <w14:textFill>
            <w14:solidFill>
              <w14:schemeClr w14:val="tx1"/>
            </w14:solidFill>
          </w14:textFill>
        </w:rPr>
        <w:t xml:space="preserve"> 总价合同支付分解表在招标完成后由发包人和承包人共同编制，发包人审批，并作为本合同内容，具体详见合同附件14。</w:t>
      </w:r>
    </w:p>
    <w:p w14:paraId="5434EA85">
      <w:pPr>
        <w:spacing w:line="360" w:lineRule="auto"/>
        <w:ind w:firstLine="600"/>
        <w:jc w:val="left"/>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（2）单价合同的总价项目支付分解表的编制与审批：总价项目不采用支付分解表的方式计算，而按《建设工程工程量清单计价规范（GB50500-2013）广西壮族自治区实施细则》的规定执行。</w:t>
      </w:r>
    </w:p>
    <w:p w14:paraId="167AD3DD">
      <w:pPr>
        <w:pStyle w:val="3"/>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13. 验收和工程试车</w:t>
      </w:r>
    </w:p>
    <w:p w14:paraId="61EF7810">
      <w:pPr>
        <w:pStyle w:val="4"/>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13.1 分部分项工程验收</w:t>
      </w:r>
    </w:p>
    <w:p w14:paraId="5A1A7336">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13.1.2监理人不能按时进行验收时，应提前</w:t>
      </w:r>
      <w:r>
        <w:rPr>
          <w:rFonts w:hint="eastAsia" w:ascii="宋体" w:hAnsi="宋体" w:cs="宋体"/>
          <w:color w:val="000000" w:themeColor="text1"/>
          <w:sz w:val="24"/>
          <w:highlight w:val="none"/>
          <w:u w:val="single"/>
          <w14:textFill>
            <w14:solidFill>
              <w14:schemeClr w14:val="tx1"/>
            </w14:solidFill>
          </w14:textFill>
        </w:rPr>
        <w:t xml:space="preserve">  24  </w:t>
      </w:r>
      <w:r>
        <w:rPr>
          <w:rFonts w:hint="eastAsia" w:ascii="宋体" w:hAnsi="宋体" w:cs="宋体"/>
          <w:color w:val="000000" w:themeColor="text1"/>
          <w:sz w:val="24"/>
          <w:highlight w:val="none"/>
          <w14:textFill>
            <w14:solidFill>
              <w14:schemeClr w14:val="tx1"/>
            </w14:solidFill>
          </w14:textFill>
        </w:rPr>
        <w:t>小时提交书面延期要求。</w:t>
      </w:r>
    </w:p>
    <w:p w14:paraId="387C693F">
      <w:pPr>
        <w:spacing w:line="360" w:lineRule="auto"/>
        <w:ind w:firstLine="480"/>
        <w:jc w:val="left"/>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关于延期最长不得超过：</w:t>
      </w:r>
      <w:r>
        <w:rPr>
          <w:rFonts w:hint="eastAsia" w:ascii="宋体" w:hAnsi="宋体" w:cs="宋体"/>
          <w:color w:val="000000" w:themeColor="text1"/>
          <w:sz w:val="24"/>
          <w:highlight w:val="none"/>
          <w:u w:val="single"/>
          <w14:textFill>
            <w14:solidFill>
              <w14:schemeClr w14:val="tx1"/>
            </w14:solidFill>
          </w14:textFill>
        </w:rPr>
        <w:t xml:space="preserve">   48   </w:t>
      </w:r>
      <w:r>
        <w:rPr>
          <w:rFonts w:hint="eastAsia" w:ascii="宋体" w:hAnsi="宋体" w:cs="宋体"/>
          <w:color w:val="000000" w:themeColor="text1"/>
          <w:sz w:val="24"/>
          <w:highlight w:val="none"/>
          <w14:textFill>
            <w14:solidFill>
              <w14:schemeClr w14:val="tx1"/>
            </w14:solidFill>
          </w14:textFill>
        </w:rPr>
        <w:t>小时。</w:t>
      </w:r>
    </w:p>
    <w:p w14:paraId="74AD23E2">
      <w:pPr>
        <w:pStyle w:val="4"/>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13.2 竣工验收</w:t>
      </w:r>
    </w:p>
    <w:p w14:paraId="40E42535">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13.2.1竣工验收条件</w:t>
      </w:r>
    </w:p>
    <w:p w14:paraId="606E282A">
      <w:pPr>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（3）承包人负责整理和提交的竣工验收资料应当符合工程所在地建设行政主管部门和(或)城市建设档案管理机构有关施工资料的要求，具体内容包括：</w:t>
      </w:r>
      <w:r>
        <w:rPr>
          <w:rFonts w:hint="eastAsia" w:ascii="宋体" w:hAnsi="宋体" w:cs="宋体"/>
          <w:color w:val="000000" w:themeColor="text1"/>
          <w:sz w:val="24"/>
          <w:highlight w:val="none"/>
          <w:u w:val="single"/>
          <w14:textFill>
            <w14:solidFill>
              <w14:schemeClr w14:val="tx1"/>
            </w14:solidFill>
          </w14:textFill>
        </w:rPr>
        <w:t xml:space="preserve"> 工程竣工报验单、施工单位工程竣工报告、建设工程竣工验收报告、监理单位工程竣工质量评价报告、市政基础设施工程质量保修书、竣工图等工程所在地建设行政主管部门和城市建设档案管理机构要求提交竣工验收资料  </w:t>
      </w:r>
      <w:r>
        <w:rPr>
          <w:rFonts w:hint="eastAsia" w:ascii="宋体" w:hAnsi="宋体" w:cs="宋体"/>
          <w:color w:val="000000" w:themeColor="text1"/>
          <w:sz w:val="24"/>
          <w:highlight w:val="none"/>
          <w14:textFill>
            <w14:solidFill>
              <w14:schemeClr w14:val="tx1"/>
            </w14:solidFill>
          </w14:textFill>
        </w:rPr>
        <w:t>。</w:t>
      </w:r>
    </w:p>
    <w:p w14:paraId="1523FD50">
      <w:pPr>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竣工验收资料的份数：</w:t>
      </w:r>
      <w:r>
        <w:rPr>
          <w:rFonts w:hint="eastAsia" w:ascii="宋体" w:hAnsi="宋体" w:cs="宋体"/>
          <w:color w:val="000000" w:themeColor="text1"/>
          <w:sz w:val="24"/>
          <w:highlight w:val="none"/>
          <w:u w:val="single"/>
          <w14:textFill>
            <w14:solidFill>
              <w14:schemeClr w14:val="tx1"/>
            </w14:solidFill>
          </w14:textFill>
        </w:rPr>
        <w:t xml:space="preserve"> 一式陆份及电子版贰份 </w:t>
      </w:r>
      <w:r>
        <w:rPr>
          <w:rFonts w:hint="eastAsia" w:ascii="宋体" w:hAnsi="宋体" w:cs="宋体"/>
          <w:color w:val="000000" w:themeColor="text1"/>
          <w:sz w:val="24"/>
          <w:highlight w:val="none"/>
          <w14:textFill>
            <w14:solidFill>
              <w14:schemeClr w14:val="tx1"/>
            </w14:solidFill>
          </w14:textFill>
        </w:rPr>
        <w:t>。</w:t>
      </w:r>
    </w:p>
    <w:p w14:paraId="607212A2">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承包人提供竣工图的约定：</w:t>
      </w:r>
      <w:r>
        <w:rPr>
          <w:rFonts w:hint="eastAsia" w:ascii="宋体" w:hAnsi="宋体" w:cs="宋体"/>
          <w:color w:val="000000" w:themeColor="text1"/>
          <w:sz w:val="24"/>
          <w:highlight w:val="none"/>
          <w:u w:val="single"/>
          <w14:textFill>
            <w14:solidFill>
              <w14:schemeClr w14:val="tx1"/>
            </w14:solidFill>
          </w14:textFill>
        </w:rPr>
        <w:t>竣工验收正式通过后5天（工程造价在500万元以下含500万元）、10天（工程造价在500万元至1000万元之间含1000万元）、15天（工程造价在1000万元以上），提供竣工图的数量分别为2套、4套、6套。</w:t>
      </w:r>
    </w:p>
    <w:p w14:paraId="175AB924">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13.2.2竣工验收程序</w:t>
      </w:r>
    </w:p>
    <w:p w14:paraId="084BB281">
      <w:pPr>
        <w:pStyle w:val="374"/>
        <w:spacing w:line="360" w:lineRule="auto"/>
        <w:ind w:firstLine="480"/>
        <w:jc w:val="left"/>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关于竣工验收程序的约定：</w:t>
      </w:r>
      <w:r>
        <w:rPr>
          <w:rFonts w:hint="eastAsia" w:ascii="宋体" w:hAnsi="宋体" w:cs="宋体"/>
          <w:color w:val="000000" w:themeColor="text1"/>
          <w:sz w:val="24"/>
          <w:szCs w:val="24"/>
          <w:highlight w:val="none"/>
          <w:u w:val="single"/>
          <w14:textFill>
            <w14:solidFill>
              <w14:schemeClr w14:val="tx1"/>
            </w14:solidFill>
          </w14:textFill>
        </w:rPr>
        <w:t>按工程所在地建设行政主管部门和城市建设档案管理机构有关验收程序的要求进行</w:t>
      </w:r>
      <w:r>
        <w:rPr>
          <w:rFonts w:hint="eastAsia" w:ascii="宋体" w:hAnsi="宋体" w:cs="宋体"/>
          <w:color w:val="000000" w:themeColor="text1"/>
          <w:sz w:val="24"/>
          <w:szCs w:val="24"/>
          <w:highlight w:val="none"/>
          <w14:textFill>
            <w14:solidFill>
              <w14:schemeClr w14:val="tx1"/>
            </w14:solidFill>
          </w14:textFill>
        </w:rPr>
        <w:t>。</w:t>
      </w:r>
    </w:p>
    <w:p w14:paraId="5A683EAE">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发包人不按照本项约定组织竣工验收、颁发工程接收证书的违约金的计算方法：</w:t>
      </w:r>
      <w:r>
        <w:rPr>
          <w:rFonts w:hint="eastAsia" w:ascii="宋体" w:hAnsi="宋体" w:cs="宋体"/>
          <w:color w:val="000000" w:themeColor="text1"/>
          <w:sz w:val="24"/>
          <w:highlight w:val="none"/>
          <w:u w:val="single"/>
          <w14:textFill>
            <w14:solidFill>
              <w14:schemeClr w14:val="tx1"/>
            </w14:solidFill>
          </w14:textFill>
        </w:rPr>
        <w:t xml:space="preserve"> 无 </w:t>
      </w:r>
      <w:r>
        <w:rPr>
          <w:rFonts w:hint="eastAsia" w:ascii="宋体" w:hAnsi="宋体" w:cs="宋体"/>
          <w:color w:val="000000" w:themeColor="text1"/>
          <w:sz w:val="24"/>
          <w:highlight w:val="none"/>
          <w14:textFill>
            <w14:solidFill>
              <w14:schemeClr w14:val="tx1"/>
            </w14:solidFill>
          </w14:textFill>
        </w:rPr>
        <w:t>。</w:t>
      </w:r>
    </w:p>
    <w:p w14:paraId="4E53D527">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13.2.5移交、接收全部与部分工程</w:t>
      </w:r>
    </w:p>
    <w:p w14:paraId="6E44C572">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承包人向发包人移交工程的期限：</w:t>
      </w:r>
      <w:r>
        <w:rPr>
          <w:rFonts w:hint="eastAsia" w:ascii="宋体" w:hAnsi="宋体" w:cs="宋体"/>
          <w:color w:val="000000" w:themeColor="text1"/>
          <w:sz w:val="24"/>
          <w:highlight w:val="none"/>
          <w:u w:val="single"/>
          <w14:textFill>
            <w14:solidFill>
              <w14:schemeClr w14:val="tx1"/>
            </w14:solidFill>
          </w14:textFill>
        </w:rPr>
        <w:t xml:space="preserve"> 颁发工程接收证书后 14 天内完成工程的移交 </w:t>
      </w:r>
      <w:r>
        <w:rPr>
          <w:rFonts w:hint="eastAsia" w:ascii="宋体" w:hAnsi="宋体" w:cs="宋体"/>
          <w:color w:val="000000" w:themeColor="text1"/>
          <w:sz w:val="24"/>
          <w:highlight w:val="none"/>
          <w14:textFill>
            <w14:solidFill>
              <w14:schemeClr w14:val="tx1"/>
            </w14:solidFill>
          </w14:textFill>
        </w:rPr>
        <w:t>。</w:t>
      </w:r>
    </w:p>
    <w:p w14:paraId="52CDE5C6">
      <w:pPr>
        <w:spacing w:line="360" w:lineRule="auto"/>
        <w:ind w:firstLine="480"/>
        <w:jc w:val="left"/>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发包人未按本合同约定接收全部或部分工程的，违约金的计算方法为：</w:t>
      </w:r>
      <w:r>
        <w:rPr>
          <w:rFonts w:hint="eastAsia" w:ascii="宋体" w:hAnsi="宋体" w:cs="宋体"/>
          <w:color w:val="000000" w:themeColor="text1"/>
          <w:sz w:val="24"/>
          <w:highlight w:val="none"/>
          <w:u w:val="single"/>
          <w14:textFill>
            <w14:solidFill>
              <w14:schemeClr w14:val="tx1"/>
            </w14:solidFill>
          </w14:textFill>
        </w:rPr>
        <w:t xml:space="preserve">   无    </w:t>
      </w:r>
      <w:r>
        <w:rPr>
          <w:rFonts w:hint="eastAsia" w:ascii="宋体" w:hAnsi="宋体" w:cs="宋体"/>
          <w:color w:val="000000" w:themeColor="text1"/>
          <w:sz w:val="24"/>
          <w:highlight w:val="none"/>
          <w14:textFill>
            <w14:solidFill>
              <w14:schemeClr w14:val="tx1"/>
            </w14:solidFill>
          </w14:textFill>
        </w:rPr>
        <w:t>。</w:t>
      </w:r>
    </w:p>
    <w:p w14:paraId="53E07A92">
      <w:pPr>
        <w:pStyle w:val="374"/>
        <w:spacing w:line="360" w:lineRule="auto"/>
        <w:ind w:firstLine="480"/>
        <w:jc w:val="left"/>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承包人未按时移交工程的，违约金的计算方法为：</w:t>
      </w:r>
      <w:r>
        <w:rPr>
          <w:rFonts w:hint="eastAsia" w:ascii="宋体" w:hAnsi="宋体" w:cs="宋体"/>
          <w:color w:val="000000" w:themeColor="text1"/>
          <w:sz w:val="24"/>
          <w:szCs w:val="24"/>
          <w:highlight w:val="none"/>
          <w:u w:val="single"/>
          <w14:textFill>
            <w14:solidFill>
              <w14:schemeClr w14:val="tx1"/>
            </w14:solidFill>
          </w14:textFill>
        </w:rPr>
        <w:t xml:space="preserve">    因承包人原因未按时移交工程的，承包人应采取措施确保相关工程的正常使用，承包人应承担工程照管、成品保护、保管等与工程有关的各项费用，且每延误一天，扣除 150 元/天的质保金</w:t>
      </w:r>
      <w:r>
        <w:rPr>
          <w:rFonts w:hint="eastAsia" w:ascii="宋体" w:hAnsi="宋体" w:cs="宋体"/>
          <w:color w:val="000000" w:themeColor="text1"/>
          <w:sz w:val="24"/>
          <w:szCs w:val="24"/>
          <w:highlight w:val="none"/>
          <w14:textFill>
            <w14:solidFill>
              <w14:schemeClr w14:val="tx1"/>
            </w14:solidFill>
          </w14:textFill>
        </w:rPr>
        <w:t>。</w:t>
      </w:r>
    </w:p>
    <w:p w14:paraId="4E144E51">
      <w:pPr>
        <w:pStyle w:val="4"/>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13.3 工程试车</w:t>
      </w:r>
    </w:p>
    <w:p w14:paraId="527786E0">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13.3.1 试车程序</w:t>
      </w:r>
    </w:p>
    <w:p w14:paraId="0989094B">
      <w:pPr>
        <w:spacing w:line="360" w:lineRule="auto"/>
        <w:ind w:firstLine="480"/>
        <w:jc w:val="left"/>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工程试车内容：</w:t>
      </w:r>
      <w:r>
        <w:rPr>
          <w:rFonts w:hint="eastAsia" w:ascii="宋体" w:hAnsi="宋体" w:cs="宋体"/>
          <w:color w:val="000000" w:themeColor="text1"/>
          <w:sz w:val="24"/>
          <w:highlight w:val="none"/>
          <w:u w:val="single"/>
          <w14:textFill>
            <w14:solidFill>
              <w14:schemeClr w14:val="tx1"/>
            </w14:solidFill>
          </w14:textFill>
        </w:rPr>
        <w:t xml:space="preserve">     按《通用合同条款》执行     </w:t>
      </w:r>
      <w:r>
        <w:rPr>
          <w:rFonts w:hint="eastAsia" w:ascii="宋体" w:hAnsi="宋体" w:cs="宋体"/>
          <w:color w:val="000000" w:themeColor="text1"/>
          <w:sz w:val="24"/>
          <w:highlight w:val="none"/>
          <w14:textFill>
            <w14:solidFill>
              <w14:schemeClr w14:val="tx1"/>
            </w14:solidFill>
          </w14:textFill>
        </w:rPr>
        <w:t>。</w:t>
      </w:r>
    </w:p>
    <w:p w14:paraId="5D54383F">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（1）单机无负荷试车费用由</w:t>
      </w:r>
      <w:r>
        <w:rPr>
          <w:rFonts w:hint="eastAsia" w:ascii="宋体" w:hAnsi="宋体" w:cs="宋体"/>
          <w:color w:val="000000" w:themeColor="text1"/>
          <w:sz w:val="24"/>
          <w:highlight w:val="none"/>
          <w:u w:val="single"/>
          <w14:textFill>
            <w14:solidFill>
              <w14:schemeClr w14:val="tx1"/>
            </w14:solidFill>
          </w14:textFill>
        </w:rPr>
        <w:t xml:space="preserve">   按《通用合同条款》执行   </w:t>
      </w:r>
      <w:r>
        <w:rPr>
          <w:rFonts w:hint="eastAsia" w:ascii="宋体" w:hAnsi="宋体" w:cs="宋体"/>
          <w:color w:val="000000" w:themeColor="text1"/>
          <w:sz w:val="24"/>
          <w:highlight w:val="none"/>
          <w14:textFill>
            <w14:solidFill>
              <w14:schemeClr w14:val="tx1"/>
            </w14:solidFill>
          </w14:textFill>
        </w:rPr>
        <w:t>承担；</w:t>
      </w:r>
    </w:p>
    <w:p w14:paraId="27F1CF96">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（2）无负荷联动试车费用由</w:t>
      </w:r>
      <w:r>
        <w:rPr>
          <w:rFonts w:hint="eastAsia" w:ascii="宋体" w:hAnsi="宋体" w:cs="宋体"/>
          <w:color w:val="000000" w:themeColor="text1"/>
          <w:sz w:val="24"/>
          <w:highlight w:val="none"/>
          <w:u w:val="single"/>
          <w14:textFill>
            <w14:solidFill>
              <w14:schemeClr w14:val="tx1"/>
            </w14:solidFill>
          </w14:textFill>
        </w:rPr>
        <w:t xml:space="preserve">   按《通用合同条款》执行  </w:t>
      </w:r>
      <w:r>
        <w:rPr>
          <w:rFonts w:hint="eastAsia" w:ascii="宋体" w:hAnsi="宋体" w:cs="宋体"/>
          <w:color w:val="000000" w:themeColor="text1"/>
          <w:sz w:val="24"/>
          <w:highlight w:val="none"/>
          <w14:textFill>
            <w14:solidFill>
              <w14:schemeClr w14:val="tx1"/>
            </w14:solidFill>
          </w14:textFill>
        </w:rPr>
        <w:t>承担。</w:t>
      </w:r>
    </w:p>
    <w:p w14:paraId="0C0EDE8B">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13.3.3 投料试车</w:t>
      </w:r>
    </w:p>
    <w:p w14:paraId="2CB323D0">
      <w:pPr>
        <w:spacing w:line="360" w:lineRule="auto"/>
        <w:ind w:firstLine="480"/>
        <w:jc w:val="left"/>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关于投料试车相关事项的约定：</w:t>
      </w:r>
      <w:r>
        <w:rPr>
          <w:rFonts w:hint="eastAsia" w:ascii="宋体" w:hAnsi="宋体" w:cs="宋体"/>
          <w:color w:val="000000" w:themeColor="text1"/>
          <w:sz w:val="24"/>
          <w:highlight w:val="none"/>
          <w:u w:val="single"/>
          <w14:textFill>
            <w14:solidFill>
              <w14:schemeClr w14:val="tx1"/>
            </w14:solidFill>
          </w14:textFill>
        </w:rPr>
        <w:t xml:space="preserve">    按《通用合同条款》执行   </w:t>
      </w:r>
      <w:r>
        <w:rPr>
          <w:rFonts w:hint="eastAsia" w:ascii="宋体" w:hAnsi="宋体" w:cs="宋体"/>
          <w:color w:val="000000" w:themeColor="text1"/>
          <w:sz w:val="24"/>
          <w:highlight w:val="none"/>
          <w14:textFill>
            <w14:solidFill>
              <w14:schemeClr w14:val="tx1"/>
            </w14:solidFill>
          </w14:textFill>
        </w:rPr>
        <w:t>。</w:t>
      </w:r>
    </w:p>
    <w:p w14:paraId="21A85AF8">
      <w:pPr>
        <w:pStyle w:val="4"/>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13.6 竣工退场</w:t>
      </w:r>
    </w:p>
    <w:p w14:paraId="533EF6DE">
      <w:pPr>
        <w:spacing w:line="360" w:lineRule="auto"/>
        <w:ind w:firstLine="480"/>
        <w:jc w:val="left"/>
        <w:outlineLvl w:val="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13.6.1 竣工退场</w:t>
      </w:r>
    </w:p>
    <w:p w14:paraId="2333F268">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承包人完成竣工退场的期限：</w:t>
      </w:r>
      <w:r>
        <w:rPr>
          <w:rFonts w:hint="eastAsia" w:ascii="宋体" w:hAnsi="宋体" w:cs="宋体"/>
          <w:color w:val="000000" w:themeColor="text1"/>
          <w:sz w:val="24"/>
          <w:highlight w:val="none"/>
          <w:u w:val="single"/>
          <w14:textFill>
            <w14:solidFill>
              <w14:schemeClr w14:val="tx1"/>
            </w14:solidFill>
          </w14:textFill>
        </w:rPr>
        <w:t xml:space="preserve">   颁发工程接收证书后 7 天内完成工程的移交   </w:t>
      </w:r>
      <w:r>
        <w:rPr>
          <w:rFonts w:hint="eastAsia" w:ascii="宋体" w:hAnsi="宋体" w:cs="宋体"/>
          <w:color w:val="000000" w:themeColor="text1"/>
          <w:sz w:val="24"/>
          <w:highlight w:val="none"/>
          <w14:textFill>
            <w14:solidFill>
              <w14:schemeClr w14:val="tx1"/>
            </w14:solidFill>
          </w14:textFill>
        </w:rPr>
        <w:t>。</w:t>
      </w:r>
    </w:p>
    <w:p w14:paraId="271A6C27">
      <w:pPr>
        <w:pStyle w:val="3"/>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14. 竣工结算</w:t>
      </w:r>
    </w:p>
    <w:p w14:paraId="1783AD08">
      <w:pPr>
        <w:pStyle w:val="4"/>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14.1 竣工付款申请</w:t>
      </w:r>
    </w:p>
    <w:p w14:paraId="0C6060AB">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承包人提交竣工付款申请单的期限：</w:t>
      </w:r>
      <w:r>
        <w:rPr>
          <w:rFonts w:hint="eastAsia" w:ascii="宋体" w:hAnsi="宋体" w:cs="宋体"/>
          <w:color w:val="000000" w:themeColor="text1"/>
          <w:sz w:val="24"/>
          <w:highlight w:val="none"/>
          <w:u w:val="single"/>
          <w14:textFill>
            <w14:solidFill>
              <w14:schemeClr w14:val="tx1"/>
            </w14:solidFill>
          </w14:textFill>
        </w:rPr>
        <w:t xml:space="preserve">竣工结算按照港市人民政府文件贵政办通〔2018〕70号规定执行，在工程竣工验收合格后 28 天内向发包人和监理人提交竣工结算申请单及相关材料。 无正当理由延期或经发包人催促 14 天内仍未提供或明确答复的，发包人有权根据已有资料进行结算审核，责任由承包人自负。承包人应及时提供竣工结算过程中所需补充的资料  </w:t>
      </w:r>
      <w:r>
        <w:rPr>
          <w:rFonts w:hint="eastAsia" w:ascii="宋体" w:hAnsi="宋体" w:cs="宋体"/>
          <w:color w:val="000000" w:themeColor="text1"/>
          <w:sz w:val="24"/>
          <w:highlight w:val="none"/>
          <w14:textFill>
            <w14:solidFill>
              <w14:schemeClr w14:val="tx1"/>
            </w14:solidFill>
          </w14:textFill>
        </w:rPr>
        <w:t>。</w:t>
      </w:r>
    </w:p>
    <w:p w14:paraId="366C896D">
      <w:pPr>
        <w:spacing w:line="360" w:lineRule="auto"/>
        <w:ind w:firstLine="480"/>
        <w:jc w:val="left"/>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竣工付款申请单应包括的内容：</w:t>
      </w:r>
      <w:r>
        <w:rPr>
          <w:rFonts w:hint="eastAsia" w:ascii="宋体" w:hAnsi="宋体" w:cs="宋体"/>
          <w:color w:val="000000" w:themeColor="text1"/>
          <w:sz w:val="24"/>
          <w:highlight w:val="none"/>
          <w:u w:val="single"/>
          <w14:textFill>
            <w14:solidFill>
              <w14:schemeClr w14:val="tx1"/>
            </w14:solidFill>
          </w14:textFill>
        </w:rPr>
        <w:t xml:space="preserve"> 竣工付款申请单须符合贵港市人民政府相关文件规定，竣工付款申请单编制内容按发包人工程款支付管理规定执行，其它按《通用合同条款》14.1 条执行  </w:t>
      </w:r>
      <w:r>
        <w:rPr>
          <w:rFonts w:hint="eastAsia" w:ascii="宋体" w:hAnsi="宋体" w:cs="宋体"/>
          <w:color w:val="000000" w:themeColor="text1"/>
          <w:sz w:val="24"/>
          <w:highlight w:val="none"/>
          <w14:textFill>
            <w14:solidFill>
              <w14:schemeClr w14:val="tx1"/>
            </w14:solidFill>
          </w14:textFill>
        </w:rPr>
        <w:t>。竣工结算款支付申请（核准）表见合同附件12。</w:t>
      </w:r>
    </w:p>
    <w:p w14:paraId="78E64AC7">
      <w:pPr>
        <w:pStyle w:val="4"/>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14.2 竣工结算审核</w:t>
      </w:r>
    </w:p>
    <w:p w14:paraId="5C87F63A">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发包人审批竣工付款申请单的期限：</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466"/>
        <w:gridCol w:w="5967"/>
      </w:tblGrid>
      <w:tr w14:paraId="0C5C7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26B7E090">
            <w:pPr>
              <w:spacing w:line="360" w:lineRule="auto"/>
              <w:rPr>
                <w:rFonts w:hint="eastAsia" w:ascii="宋体" w:hAnsi="宋体" w:cs="宋体"/>
                <w:color w:val="000000" w:themeColor="text1"/>
                <w:sz w:val="24"/>
                <w:highlight w:val="none"/>
                <w14:textFill>
                  <w14:solidFill>
                    <w14:schemeClr w14:val="tx1"/>
                  </w14:solidFill>
                </w14:textFill>
              </w:rPr>
            </w:pPr>
          </w:p>
        </w:tc>
        <w:tc>
          <w:tcPr>
            <w:tcW w:w="2466" w:type="dxa"/>
            <w:noWrap w:val="0"/>
            <w:vAlign w:val="center"/>
          </w:tcPr>
          <w:p w14:paraId="7AB87235">
            <w:pPr>
              <w:spacing w:line="360" w:lineRule="auto"/>
              <w:ind w:firstLine="31"/>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工程竣工结算报告金额</w:t>
            </w:r>
          </w:p>
        </w:tc>
        <w:tc>
          <w:tcPr>
            <w:tcW w:w="5967" w:type="dxa"/>
            <w:noWrap w:val="0"/>
            <w:vAlign w:val="center"/>
          </w:tcPr>
          <w:p w14:paraId="4E16E406">
            <w:pPr>
              <w:spacing w:line="360" w:lineRule="auto"/>
              <w:ind w:firstLine="504"/>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发包人审查时间</w:t>
            </w:r>
          </w:p>
        </w:tc>
      </w:tr>
      <w:tr w14:paraId="5C076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327F79CF">
            <w:pPr>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2466" w:type="dxa"/>
            <w:noWrap w:val="0"/>
            <w:vAlign w:val="center"/>
          </w:tcPr>
          <w:p w14:paraId="7C3FEC0B">
            <w:pPr>
              <w:spacing w:line="360" w:lineRule="auto"/>
              <w:ind w:firstLine="31"/>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500万元以下</w:t>
            </w:r>
          </w:p>
        </w:tc>
        <w:tc>
          <w:tcPr>
            <w:tcW w:w="5967" w:type="dxa"/>
            <w:noWrap w:val="0"/>
            <w:vAlign w:val="center"/>
          </w:tcPr>
          <w:p w14:paraId="6DCE9FE7">
            <w:pPr>
              <w:spacing w:line="360" w:lineRule="auto"/>
              <w:ind w:firstLine="504"/>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从接到竣工结算报告和完整的竣工结算资料之日起20天</w:t>
            </w:r>
          </w:p>
        </w:tc>
      </w:tr>
      <w:tr w14:paraId="715DD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0691ECE4">
            <w:pPr>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2466" w:type="dxa"/>
            <w:noWrap w:val="0"/>
            <w:vAlign w:val="center"/>
          </w:tcPr>
          <w:p w14:paraId="3A7E0AEA">
            <w:pPr>
              <w:spacing w:line="360" w:lineRule="auto"/>
              <w:ind w:firstLine="31"/>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500万元-2000万元</w:t>
            </w:r>
          </w:p>
        </w:tc>
        <w:tc>
          <w:tcPr>
            <w:tcW w:w="5967" w:type="dxa"/>
            <w:noWrap w:val="0"/>
            <w:vAlign w:val="center"/>
          </w:tcPr>
          <w:p w14:paraId="07745436">
            <w:pPr>
              <w:spacing w:line="360" w:lineRule="auto"/>
              <w:ind w:firstLine="504"/>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从接到竣工结算报告和完整的竣工结算资料之日起30天</w:t>
            </w:r>
          </w:p>
        </w:tc>
      </w:tr>
      <w:tr w14:paraId="0F115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2CE6CB43">
            <w:pPr>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2466" w:type="dxa"/>
            <w:noWrap w:val="0"/>
            <w:vAlign w:val="center"/>
          </w:tcPr>
          <w:p w14:paraId="24984673">
            <w:pPr>
              <w:spacing w:line="360" w:lineRule="auto"/>
              <w:ind w:firstLine="31"/>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2000万元-5000万元</w:t>
            </w:r>
          </w:p>
        </w:tc>
        <w:tc>
          <w:tcPr>
            <w:tcW w:w="5967" w:type="dxa"/>
            <w:noWrap w:val="0"/>
            <w:vAlign w:val="center"/>
          </w:tcPr>
          <w:p w14:paraId="3B4B2135">
            <w:pPr>
              <w:spacing w:line="360" w:lineRule="auto"/>
              <w:ind w:firstLine="504"/>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从接到竣工结算报告和完整的竣工结算资料之日起45天</w:t>
            </w:r>
          </w:p>
        </w:tc>
      </w:tr>
      <w:tr w14:paraId="574C5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58D8D297">
            <w:pPr>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w:t>
            </w:r>
          </w:p>
        </w:tc>
        <w:tc>
          <w:tcPr>
            <w:tcW w:w="2466" w:type="dxa"/>
            <w:noWrap w:val="0"/>
            <w:vAlign w:val="center"/>
          </w:tcPr>
          <w:p w14:paraId="62598177">
            <w:pPr>
              <w:spacing w:line="360" w:lineRule="auto"/>
              <w:ind w:firstLine="31"/>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5000万元以上</w:t>
            </w:r>
          </w:p>
        </w:tc>
        <w:tc>
          <w:tcPr>
            <w:tcW w:w="5967" w:type="dxa"/>
            <w:noWrap w:val="0"/>
            <w:vAlign w:val="center"/>
          </w:tcPr>
          <w:p w14:paraId="7C5E2A45">
            <w:pPr>
              <w:spacing w:line="360" w:lineRule="auto"/>
              <w:ind w:firstLine="504"/>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从接到竣工结算报告和完整的竣工结算资料之日起60天</w:t>
            </w:r>
          </w:p>
        </w:tc>
      </w:tr>
      <w:tr w14:paraId="4A923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603388FF">
            <w:pPr>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p>
        </w:tc>
        <w:tc>
          <w:tcPr>
            <w:tcW w:w="2466" w:type="dxa"/>
            <w:noWrap w:val="0"/>
            <w:vAlign w:val="center"/>
          </w:tcPr>
          <w:p w14:paraId="4C10B849">
            <w:pPr>
              <w:spacing w:line="360" w:lineRule="auto"/>
              <w:ind w:firstLine="31"/>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5000万以上每增加0.5亿(不足0.5亿不增加)</w:t>
            </w:r>
          </w:p>
        </w:tc>
        <w:tc>
          <w:tcPr>
            <w:tcW w:w="5967" w:type="dxa"/>
            <w:noWrap w:val="0"/>
            <w:vAlign w:val="center"/>
          </w:tcPr>
          <w:p w14:paraId="221AD781">
            <w:pPr>
              <w:spacing w:line="360" w:lineRule="auto"/>
              <w:ind w:firstLine="504"/>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增加10天</w:t>
            </w:r>
          </w:p>
        </w:tc>
      </w:tr>
    </w:tbl>
    <w:p w14:paraId="125A5114">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因承包人提供的结算资料 不完整而需要补充或承包人不按时对账耽误时间时，审查时间应相应顺延。</w:t>
      </w:r>
    </w:p>
    <w:p w14:paraId="001119A5">
      <w:pPr>
        <w:spacing w:line="360" w:lineRule="auto"/>
        <w:ind w:firstLine="47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竣工结算审核约定：发承包双方在合同中对施工过程结算的期限应有明确约定；没有约定的，可认定其约定期限均为28天。经发承包双方签署确认的施工过程结算文件作为竣工结算文件的组成部分。未经另一方同意，一方不得就已生效的结算文件进行重复审核。对施工合同中约定竣工结算以财政评审意见为准的项目，财政部门应在施工合同约定期限内对项目过程结算文件进行审核确认。</w:t>
      </w:r>
    </w:p>
    <w:p w14:paraId="05FB1346">
      <w:pPr>
        <w:spacing w:line="360" w:lineRule="auto"/>
        <w:ind w:firstLine="47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当年开工、当年不能竣工的新开工项目可以推行过程结算。发承包双方通过合同约定，将施工过程按时间或进度节点划分施工周期，对周期内已完成且无争议的工程量（含变更、签证、索赔等）进行价款计算、确认和支付，支付金额不得超出已完工部分对应的批复（预）算。经双方确认的过程结算文件作为竣工结算文件的组成部分，竣工后原则上不再重复审核。</w:t>
      </w:r>
    </w:p>
    <w:p w14:paraId="2F767E27">
      <w:pPr>
        <w:spacing w:line="360" w:lineRule="auto"/>
        <w:ind w:firstLine="470"/>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1、工程竣工验收报告经发包人认可后 14  天内，承包人向发包人递交竣工验收合格资料及完整的结算资料和报告，双方按照本工程合同约定的价格形式及价款调整办法进行工程竣工结算。2、发包人收到承包人递交的竣工结算报告及结算资料之日起 21天内进行审核，并给予确认或者提出审核意见。发包人逾期未完成审核且未提出异议的视为发包人已同意承包人提交的竣工结算报告及结算价款，并以此作为竣工结算的依据。承包人对发包人确认的结算价款或审核意见有异议的，应在收到发包人确认的价款或审核意见之日起  7 天内提出异议，必要时合同当事人要当面核对，直至完成工程竣工结算。除非有特殊情形，否则从承包人递交竣工结算报告到完成竣工结算的时间应控制在“发包人审核竣工付款申请单的期限”要求的时间范围内。3.自竣工结算完毕之日起30天内，发包人按审定后的竣工结算价款，通知经办银行向承包人支付结算价款。</w:t>
      </w:r>
    </w:p>
    <w:p w14:paraId="3C96AE3E">
      <w:pPr>
        <w:pStyle w:val="4"/>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14.4 最终结清</w:t>
      </w:r>
    </w:p>
    <w:p w14:paraId="5D29DAFB">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14.4.1 最终结清申请单</w:t>
      </w:r>
    </w:p>
    <w:p w14:paraId="7BAD9C76">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承包人提交最终结清申请单的份数：</w:t>
      </w:r>
      <w:r>
        <w:rPr>
          <w:rFonts w:hint="eastAsia" w:ascii="宋体" w:hAnsi="宋体" w:cs="宋体"/>
          <w:color w:val="000000" w:themeColor="text1"/>
          <w:sz w:val="24"/>
          <w:highlight w:val="none"/>
          <w:u w:val="single"/>
          <w14:textFill>
            <w14:solidFill>
              <w14:schemeClr w14:val="tx1"/>
            </w14:solidFill>
          </w14:textFill>
        </w:rPr>
        <w:t xml:space="preserve">最终结清申请单须符合工程所在地相关文件规定，提交份数按发包人工程款支付管理规定执行  </w:t>
      </w:r>
      <w:r>
        <w:rPr>
          <w:rFonts w:hint="eastAsia" w:ascii="宋体" w:hAnsi="宋体" w:cs="宋体"/>
          <w:color w:val="000000" w:themeColor="text1"/>
          <w:sz w:val="24"/>
          <w:highlight w:val="none"/>
          <w14:textFill>
            <w14:solidFill>
              <w14:schemeClr w14:val="tx1"/>
            </w14:solidFill>
          </w14:textFill>
        </w:rPr>
        <w:t>。</w:t>
      </w:r>
    </w:p>
    <w:p w14:paraId="452F1658">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承包人提交最终结算申请单的期限：</w:t>
      </w:r>
      <w:r>
        <w:rPr>
          <w:rFonts w:hint="eastAsia" w:ascii="宋体" w:hAnsi="宋体" w:cs="宋体"/>
          <w:color w:val="000000" w:themeColor="text1"/>
          <w:sz w:val="24"/>
          <w:highlight w:val="none"/>
          <w:u w:val="single"/>
          <w14:textFill>
            <w14:solidFill>
              <w14:schemeClr w14:val="tx1"/>
            </w14:solidFill>
          </w14:textFill>
        </w:rPr>
        <w:t xml:space="preserve">    缺陷责任期终止证书颁发后 7 天内   </w:t>
      </w:r>
      <w:r>
        <w:rPr>
          <w:rFonts w:hint="eastAsia" w:ascii="宋体" w:hAnsi="宋体" w:cs="宋体"/>
          <w:color w:val="000000" w:themeColor="text1"/>
          <w:sz w:val="24"/>
          <w:highlight w:val="none"/>
          <w14:textFill>
            <w14:solidFill>
              <w14:schemeClr w14:val="tx1"/>
            </w14:solidFill>
          </w14:textFill>
        </w:rPr>
        <w:t xml:space="preserve">。 </w:t>
      </w:r>
    </w:p>
    <w:p w14:paraId="2D3975B6">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最终结算款支付申请（核准）表见合同附件13。</w:t>
      </w:r>
    </w:p>
    <w:p w14:paraId="45AA795D">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14.4.2 最终结清证书和支付</w:t>
      </w:r>
    </w:p>
    <w:p w14:paraId="03E7BE00">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（1）发包人完成最终结清申请单的审批并颁发最终结清证书的期限：</w:t>
      </w:r>
      <w:r>
        <w:rPr>
          <w:rFonts w:hint="eastAsia" w:ascii="宋体" w:hAnsi="宋体" w:cs="宋体"/>
          <w:color w:val="000000" w:themeColor="text1"/>
          <w:sz w:val="24"/>
          <w:highlight w:val="none"/>
          <w:u w:val="single"/>
          <w14:textFill>
            <w14:solidFill>
              <w14:schemeClr w14:val="tx1"/>
            </w14:solidFill>
          </w14:textFill>
        </w:rPr>
        <w:t xml:space="preserve"> 收到承包人提交的最终结清申请单和完整的证明材料后 30 天内 </w:t>
      </w:r>
      <w:r>
        <w:rPr>
          <w:rFonts w:hint="eastAsia" w:ascii="宋体" w:hAnsi="宋体" w:cs="宋体"/>
          <w:color w:val="000000" w:themeColor="text1"/>
          <w:sz w:val="24"/>
          <w:highlight w:val="none"/>
          <w14:textFill>
            <w14:solidFill>
              <w14:schemeClr w14:val="tx1"/>
            </w14:solidFill>
          </w14:textFill>
        </w:rPr>
        <w:t>。</w:t>
      </w:r>
    </w:p>
    <w:p w14:paraId="50072847">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（2）发包人完成支付的期限：</w:t>
      </w:r>
      <w:r>
        <w:rPr>
          <w:rFonts w:hint="eastAsia" w:ascii="宋体" w:hAnsi="宋体" w:cs="宋体"/>
          <w:color w:val="000000" w:themeColor="text1"/>
          <w:sz w:val="24"/>
          <w:highlight w:val="none"/>
          <w:u w:val="single"/>
          <w14:textFill>
            <w14:solidFill>
              <w14:schemeClr w14:val="tx1"/>
            </w14:solidFill>
          </w14:textFill>
        </w:rPr>
        <w:t xml:space="preserve">    发包人签发颁发最终结清证书后 30 天内 </w:t>
      </w:r>
      <w:r>
        <w:rPr>
          <w:rFonts w:hint="eastAsia" w:ascii="宋体" w:hAnsi="宋体" w:cs="宋体"/>
          <w:color w:val="000000" w:themeColor="text1"/>
          <w:sz w:val="24"/>
          <w:highlight w:val="none"/>
          <w14:textFill>
            <w14:solidFill>
              <w14:schemeClr w14:val="tx1"/>
            </w14:solidFill>
          </w14:textFill>
        </w:rPr>
        <w:t>。</w:t>
      </w:r>
    </w:p>
    <w:p w14:paraId="33E6B65C">
      <w:pPr>
        <w:pStyle w:val="3"/>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15. 缺陷责任期与保修</w:t>
      </w:r>
    </w:p>
    <w:p w14:paraId="773CA7D6">
      <w:pPr>
        <w:pStyle w:val="4"/>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15.2 缺陷责任期</w:t>
      </w:r>
    </w:p>
    <w:p w14:paraId="70E272F6">
      <w:pPr>
        <w:spacing w:line="360" w:lineRule="auto"/>
        <w:ind w:firstLine="480"/>
        <w:jc w:val="left"/>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缺陷责任期的具体期限：</w:t>
      </w:r>
      <w:r>
        <w:rPr>
          <w:rFonts w:hint="eastAsia" w:ascii="宋体" w:hAnsi="宋体" w:cs="宋体"/>
          <w:color w:val="000000" w:themeColor="text1"/>
          <w:sz w:val="24"/>
          <w:highlight w:val="none"/>
          <w:u w:val="single"/>
          <w14:textFill>
            <w14:solidFill>
              <w14:schemeClr w14:val="tx1"/>
            </w14:solidFill>
          </w14:textFill>
        </w:rPr>
        <w:t xml:space="preserve"> 本工程缺陷责任期为24个月，以竣工验收合格之日起计算 </w:t>
      </w:r>
      <w:r>
        <w:rPr>
          <w:rFonts w:hint="eastAsia" w:ascii="宋体" w:hAnsi="宋体" w:cs="宋体"/>
          <w:color w:val="000000" w:themeColor="text1"/>
          <w:sz w:val="24"/>
          <w:highlight w:val="none"/>
          <w14:textFill>
            <w14:solidFill>
              <w14:schemeClr w14:val="tx1"/>
            </w14:solidFill>
          </w14:textFill>
        </w:rPr>
        <w:t>。</w:t>
      </w:r>
    </w:p>
    <w:p w14:paraId="2005FF52">
      <w:pPr>
        <w:pStyle w:val="4"/>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15.3 质量保证金</w:t>
      </w:r>
    </w:p>
    <w:p w14:paraId="6B6FCFA1">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关于是否扣留质量保证金的约定：</w:t>
      </w:r>
      <w:r>
        <w:rPr>
          <w:rFonts w:hint="eastAsia" w:ascii="宋体" w:hAnsi="宋体" w:cs="宋体"/>
          <w:color w:val="000000" w:themeColor="text1"/>
          <w:sz w:val="24"/>
          <w:highlight w:val="none"/>
          <w:u w:val="none"/>
          <w14:textFill>
            <w14:solidFill>
              <w14:schemeClr w14:val="tx1"/>
            </w14:solidFill>
          </w14:textFill>
        </w:rPr>
        <w:t>金额为工程价款结算总额的3%，提交形式为</w:t>
      </w:r>
      <w:r>
        <w:rPr>
          <w:rFonts w:hint="eastAsia" w:ascii="宋体" w:hAnsi="宋体" w:cs="宋体"/>
          <w:color w:val="000000" w:themeColor="text1"/>
          <w:sz w:val="24"/>
          <w:highlight w:val="none"/>
          <w14:textFill>
            <w14:solidFill>
              <w14:schemeClr w14:val="tx1"/>
            </w14:solidFill>
          </w14:textFill>
        </w:rPr>
        <w:t>银行转账、电汇或网上支付、保函（银行保函、电子保函、保证保险保函、工程担保保函）</w:t>
      </w:r>
      <w:r>
        <w:rPr>
          <w:rFonts w:hint="eastAsia" w:ascii="宋体" w:hAnsi="宋体" w:cs="宋体"/>
          <w:color w:val="000000" w:themeColor="text1"/>
          <w:sz w:val="24"/>
          <w:highlight w:val="none"/>
          <w:u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结算审定后15日内向发包人提交担保，担保有效期必须与工程质量保修期一致。质量保证金待工程缺陷责任期满后中标人无违约行为发生的情况下，由承包人提出申请，发包人在 7 个工作日内无息返还  </w:t>
      </w:r>
      <w:r>
        <w:rPr>
          <w:rFonts w:hint="eastAsia" w:ascii="宋体" w:hAnsi="宋体" w:cs="宋体"/>
          <w:color w:val="000000" w:themeColor="text1"/>
          <w:sz w:val="24"/>
          <w:highlight w:val="none"/>
          <w14:textFill>
            <w14:solidFill>
              <w14:schemeClr w14:val="tx1"/>
            </w14:solidFill>
          </w14:textFill>
        </w:rPr>
        <w:t>。</w:t>
      </w:r>
    </w:p>
    <w:p w14:paraId="166B2FEC">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在工程项目竣工前，承包人按专用合同条款第3.7条提供履约担保的，发包人不得同时预留工程质量保证金。</w:t>
      </w:r>
    </w:p>
    <w:p w14:paraId="13DCE07F">
      <w:pPr>
        <w:spacing w:line="360" w:lineRule="auto"/>
        <w:ind w:firstLine="480"/>
        <w:jc w:val="left"/>
        <w:outlineLvl w:val="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15.3.1 承包人提供质量保证金的方式</w:t>
      </w:r>
    </w:p>
    <w:p w14:paraId="4C93EE1D">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质量保证金采用以下第</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1</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s="宋体"/>
          <w:color w:val="000000" w:themeColor="text1"/>
          <w:sz w:val="24"/>
          <w:highlight w:val="none"/>
          <w:u w:val="single"/>
          <w:lang w:eastAsia="zh-CN"/>
          <w14:textFill>
            <w14:solidFill>
              <w14:schemeClr w14:val="tx1"/>
            </w14:solidFill>
          </w14:textFill>
        </w:rPr>
        <w:t>和（</w:t>
      </w:r>
      <w:r>
        <w:rPr>
          <w:rFonts w:hint="eastAsia" w:ascii="宋体" w:hAnsi="宋体" w:cs="宋体"/>
          <w:color w:val="000000" w:themeColor="text1"/>
          <w:sz w:val="24"/>
          <w:highlight w:val="none"/>
          <w:u w:val="single"/>
          <w:lang w:val="en-US" w:eastAsia="zh-CN"/>
          <w14:textFill>
            <w14:solidFill>
              <w14:schemeClr w14:val="tx1"/>
            </w14:solidFill>
          </w14:textFill>
        </w:rPr>
        <w:t>3</w:t>
      </w:r>
      <w:r>
        <w:rPr>
          <w:rFonts w:hint="eastAsia" w:ascii="宋体" w:hAnsi="宋体" w:cs="宋体"/>
          <w:color w:val="000000" w:themeColor="text1"/>
          <w:sz w:val="24"/>
          <w:highlight w:val="none"/>
          <w:u w:val="single"/>
          <w:lang w:eastAsia="zh-CN"/>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种方式：</w:t>
      </w:r>
    </w:p>
    <w:p w14:paraId="65270849">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（1）质量保证金保函（银行保函、电子保函、保证保险保函、工程担保保函，工程担保保证人应将出具的保函相关信息录入“广西建筑市场监管云”平台，以实现保函查询及验真功能。），保证金额为：</w:t>
      </w:r>
      <w:r>
        <w:rPr>
          <w:rFonts w:hint="eastAsia" w:ascii="宋体" w:hAnsi="宋体" w:cs="宋体"/>
          <w:color w:val="000000" w:themeColor="text1"/>
          <w:sz w:val="24"/>
          <w:highlight w:val="none"/>
          <w:u w:val="single"/>
          <w14:textFill>
            <w14:solidFill>
              <w14:schemeClr w14:val="tx1"/>
            </w14:solidFill>
          </w14:textFill>
        </w:rPr>
        <w:t>工程价款结算总额的3</w:t>
      </w:r>
      <w:r>
        <w:rPr>
          <w:rFonts w:hint="eastAsia" w:ascii="宋体" w:hAnsi="宋体" w:cs="宋体"/>
          <w:color w:val="000000" w:themeColor="text1"/>
          <w:sz w:val="24"/>
          <w:highlight w:val="none"/>
          <w:u w:val="single"/>
          <w:lang w:val="en-US"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w:t>
      </w:r>
    </w:p>
    <w:p w14:paraId="2CE0503F">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（2）发包人按工程价款结算总额的</w:t>
      </w:r>
      <w:r>
        <w:rPr>
          <w:rFonts w:hint="eastAsia" w:ascii="宋体" w:hAnsi="宋体" w:cs="宋体"/>
          <w:color w:val="000000" w:themeColor="text1"/>
          <w:sz w:val="24"/>
          <w:highlight w:val="none"/>
          <w:u w:val="single"/>
          <w14:textFill>
            <w14:solidFill>
              <w14:schemeClr w14:val="tx1"/>
            </w14:solidFill>
          </w14:textFill>
        </w:rPr>
        <w:t xml:space="preserve">  3 </w:t>
      </w:r>
      <w:r>
        <w:rPr>
          <w:rFonts w:hint="eastAsia" w:ascii="宋体" w:hAnsi="宋体" w:cs="宋体"/>
          <w:color w:val="000000" w:themeColor="text1"/>
          <w:sz w:val="24"/>
          <w:highlight w:val="none"/>
          <w14:textFill>
            <w14:solidFill>
              <w14:schemeClr w14:val="tx1"/>
            </w14:solidFill>
          </w14:textFill>
        </w:rPr>
        <w:t>%（不得超过3%）预留工程质量保证金，待缺陷责任期满后返还，是否付息及利息计算方式为：</w:t>
      </w:r>
      <w:r>
        <w:rPr>
          <w:rFonts w:hint="eastAsia" w:ascii="宋体" w:hAnsi="宋体" w:cs="宋体"/>
          <w:color w:val="000000" w:themeColor="text1"/>
          <w:sz w:val="24"/>
          <w:highlight w:val="none"/>
          <w:u w:val="single"/>
          <w14:textFill>
            <w14:solidFill>
              <w14:schemeClr w14:val="tx1"/>
            </w14:solidFill>
          </w14:textFill>
        </w:rPr>
        <w:t xml:space="preserve">    /     </w:t>
      </w:r>
      <w:r>
        <w:rPr>
          <w:rFonts w:hint="eastAsia" w:ascii="宋体" w:hAnsi="宋体" w:cs="宋体"/>
          <w:color w:val="000000" w:themeColor="text1"/>
          <w:sz w:val="24"/>
          <w:highlight w:val="none"/>
          <w14:textFill>
            <w14:solidFill>
              <w14:schemeClr w14:val="tx1"/>
            </w14:solidFill>
          </w14:textFill>
        </w:rPr>
        <w:t>；</w:t>
      </w:r>
    </w:p>
    <w:p w14:paraId="0995A86D">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（3）其他方式：银行转账、电汇或网上支付等形式。</w:t>
      </w:r>
    </w:p>
    <w:p w14:paraId="33D527F7">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15.3.2 质量保证金的扣留</w:t>
      </w:r>
    </w:p>
    <w:p w14:paraId="62D4E458">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质量保证金的扣留采取以下第</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3</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种方式：</w:t>
      </w:r>
    </w:p>
    <w:p w14:paraId="740F5EE4">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（1）在不缴纳</w:t>
      </w:r>
      <w:r>
        <w:rPr>
          <w:rFonts w:hint="eastAsia" w:ascii="宋体" w:hAnsi="宋体" w:cs="宋体"/>
          <w:color w:val="000000" w:themeColor="text1"/>
          <w:sz w:val="24"/>
          <w:highlight w:val="none"/>
          <w:lang w:eastAsia="zh-CN"/>
          <w14:textFill>
            <w14:solidFill>
              <w14:schemeClr w14:val="tx1"/>
            </w14:solidFill>
          </w14:textFill>
        </w:rPr>
        <w:t>履约</w:t>
      </w:r>
      <w:r>
        <w:rPr>
          <w:rFonts w:hint="eastAsia" w:ascii="宋体" w:hAnsi="宋体" w:cs="宋体"/>
          <w:color w:val="000000" w:themeColor="text1"/>
          <w:sz w:val="24"/>
          <w:highlight w:val="none"/>
          <w14:textFill>
            <w14:solidFill>
              <w14:schemeClr w14:val="tx1"/>
            </w14:solidFill>
          </w14:textFill>
        </w:rPr>
        <w:t>保证金情况下，按支付工程进度款时逐次扣留，质量保证金的计算基数不包括预付款的支付、扣回以及价格调整的金额；</w:t>
      </w:r>
    </w:p>
    <w:p w14:paraId="7FEFAFBC">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（2）工程竣工结算时，一次性扣留质量保证金，由承包人以银行保函、保证保险替代预留质量保证金，保函金额不得高于工程价款结算总额的3%；</w:t>
      </w:r>
    </w:p>
    <w:p w14:paraId="6C0BC912">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（3）其他扣留方式:银行转账、电汇或网上支付、保函（银行保函、电子保函、保证保险保函、工程担保保函）等形式。</w:t>
      </w:r>
    </w:p>
    <w:p w14:paraId="3C13A2B2">
      <w:pPr>
        <w:spacing w:line="360" w:lineRule="auto"/>
        <w:ind w:firstLine="480"/>
        <w:jc w:val="left"/>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关于质量保证金的补充约定：</w:t>
      </w:r>
      <w:r>
        <w:rPr>
          <w:rFonts w:hint="eastAsia" w:ascii="宋体" w:hAnsi="宋体" w:cs="宋体"/>
          <w:color w:val="000000" w:themeColor="text1"/>
          <w:sz w:val="24"/>
          <w:highlight w:val="none"/>
          <w:u w:val="single"/>
          <w14:textFill>
            <w14:solidFill>
              <w14:schemeClr w14:val="tx1"/>
            </w14:solidFill>
          </w14:textFill>
        </w:rPr>
        <w:t xml:space="preserve">   /   </w:t>
      </w:r>
      <w:r>
        <w:rPr>
          <w:rFonts w:hint="eastAsia" w:ascii="宋体" w:hAnsi="宋体" w:cs="宋体"/>
          <w:color w:val="000000" w:themeColor="text1"/>
          <w:sz w:val="24"/>
          <w:highlight w:val="none"/>
          <w14:textFill>
            <w14:solidFill>
              <w14:schemeClr w14:val="tx1"/>
            </w14:solidFill>
          </w14:textFill>
        </w:rPr>
        <w:t>。</w:t>
      </w:r>
    </w:p>
    <w:p w14:paraId="329D27E8">
      <w:pPr>
        <w:pStyle w:val="4"/>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15.4 保修</w:t>
      </w:r>
    </w:p>
    <w:p w14:paraId="6DF74119">
      <w:pPr>
        <w:spacing w:line="360" w:lineRule="auto"/>
        <w:ind w:firstLine="468"/>
        <w:jc w:val="left"/>
        <w:outlineLvl w:val="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15.4.1 保修责任</w:t>
      </w:r>
    </w:p>
    <w:p w14:paraId="3BC9B5E5">
      <w:pPr>
        <w:spacing w:line="360" w:lineRule="auto"/>
        <w:ind w:firstLine="468"/>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工程保修期为：</w:t>
      </w:r>
      <w:r>
        <w:rPr>
          <w:rFonts w:hint="eastAsia" w:ascii="宋体" w:hAnsi="宋体" w:cs="宋体"/>
          <w:color w:val="000000" w:themeColor="text1"/>
          <w:sz w:val="24"/>
          <w:highlight w:val="none"/>
          <w:u w:val="single"/>
          <w14:textFill>
            <w14:solidFill>
              <w14:schemeClr w14:val="tx1"/>
            </w14:solidFill>
          </w14:textFill>
        </w:rPr>
        <w:t>按工程质量保修书及现行规范、标准、规程及法律法规规定的期限执行</w:t>
      </w:r>
      <w:r>
        <w:rPr>
          <w:rFonts w:hint="eastAsia" w:ascii="宋体" w:hAnsi="宋体" w:cs="宋体"/>
          <w:color w:val="000000" w:themeColor="text1"/>
          <w:sz w:val="24"/>
          <w:highlight w:val="none"/>
          <w14:textFill>
            <w14:solidFill>
              <w14:schemeClr w14:val="tx1"/>
            </w14:solidFill>
          </w14:textFill>
        </w:rPr>
        <w:t>。</w:t>
      </w:r>
    </w:p>
    <w:p w14:paraId="0017019C">
      <w:pPr>
        <w:spacing w:line="360" w:lineRule="auto"/>
        <w:ind w:firstLine="468"/>
        <w:jc w:val="left"/>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工程保修书具体内容见合同附件2。</w:t>
      </w:r>
    </w:p>
    <w:p w14:paraId="1BAC56A7">
      <w:pPr>
        <w:spacing w:line="360" w:lineRule="auto"/>
        <w:ind w:firstLine="468"/>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15.4.3 修复通知</w:t>
      </w:r>
    </w:p>
    <w:p w14:paraId="739E29B2">
      <w:pPr>
        <w:spacing w:line="360" w:lineRule="auto"/>
        <w:ind w:firstLine="468"/>
        <w:jc w:val="left"/>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承包人收到保修通知并到达工程现场的合理时间：</w:t>
      </w:r>
      <w:r>
        <w:rPr>
          <w:rFonts w:hint="eastAsia" w:ascii="宋体" w:hAnsi="宋体" w:cs="宋体"/>
          <w:color w:val="000000" w:themeColor="text1"/>
          <w:sz w:val="24"/>
          <w:highlight w:val="none"/>
          <w:u w:val="single"/>
          <w:lang w:val="en-US" w:eastAsia="zh-CN"/>
          <w14:textFill>
            <w14:solidFill>
              <w14:schemeClr w14:val="tx1"/>
            </w14:solidFill>
          </w14:textFill>
        </w:rPr>
        <w:t>2天</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p>
    <w:p w14:paraId="6DC59431">
      <w:pPr>
        <w:pStyle w:val="3"/>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16. 违约</w:t>
      </w:r>
    </w:p>
    <w:p w14:paraId="39A3F8C0">
      <w:pPr>
        <w:pStyle w:val="4"/>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16.1 发包人违约</w:t>
      </w:r>
    </w:p>
    <w:p w14:paraId="17E24D3E">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16.1.1发包人违约的情形</w:t>
      </w:r>
    </w:p>
    <w:p w14:paraId="1CFBE9D9">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发包人违约的其他情形：</w:t>
      </w:r>
      <w:r>
        <w:rPr>
          <w:rFonts w:hint="eastAsia" w:ascii="宋体" w:hAnsi="宋体" w:cs="宋体"/>
          <w:color w:val="000000" w:themeColor="text1"/>
          <w:sz w:val="24"/>
          <w:highlight w:val="none"/>
          <w:u w:val="single"/>
          <w14:textFill>
            <w14:solidFill>
              <w14:schemeClr w14:val="tx1"/>
            </w14:solidFill>
          </w14:textFill>
        </w:rPr>
        <w:t xml:space="preserve">     按《通用合同条款》执行   </w:t>
      </w:r>
      <w:r>
        <w:rPr>
          <w:rFonts w:hint="eastAsia" w:ascii="宋体" w:hAnsi="宋体" w:cs="宋体"/>
          <w:color w:val="000000" w:themeColor="text1"/>
          <w:sz w:val="24"/>
          <w:highlight w:val="none"/>
          <w14:textFill>
            <w14:solidFill>
              <w14:schemeClr w14:val="tx1"/>
            </w14:solidFill>
          </w14:textFill>
        </w:rPr>
        <w:t>。</w:t>
      </w:r>
    </w:p>
    <w:p w14:paraId="1BE3BB22">
      <w:pPr>
        <w:spacing w:line="360" w:lineRule="auto"/>
        <w:ind w:firstLine="480"/>
        <w:jc w:val="left"/>
        <w:outlineLvl w:val="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16.1.2 发包人违约的责任</w:t>
      </w:r>
    </w:p>
    <w:p w14:paraId="03A7CC00">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发包人违约责任的承担方式和计算方法：</w:t>
      </w:r>
    </w:p>
    <w:p w14:paraId="220A607C">
      <w:pPr>
        <w:pStyle w:val="374"/>
        <w:spacing w:line="360" w:lineRule="auto"/>
        <w:ind w:firstLine="480"/>
        <w:jc w:val="left"/>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（1）因发包人原因未能在计划开工日期前7天内下达开工通知的违约责任：</w:t>
      </w:r>
      <w:r>
        <w:rPr>
          <w:rFonts w:hint="eastAsia" w:ascii="宋体" w:hAnsi="宋体" w:cs="宋体"/>
          <w:color w:val="000000" w:themeColor="text1"/>
          <w:sz w:val="24"/>
          <w:szCs w:val="24"/>
          <w:highlight w:val="none"/>
          <w:u w:val="single"/>
          <w14:textFill>
            <w14:solidFill>
              <w14:schemeClr w14:val="tx1"/>
            </w14:solidFill>
          </w14:textFill>
        </w:rPr>
        <w:t xml:space="preserve"> 承包人可以要求顺延工程日期 </w:t>
      </w:r>
      <w:r>
        <w:rPr>
          <w:rFonts w:hint="eastAsia" w:ascii="宋体" w:hAnsi="宋体" w:cs="宋体"/>
          <w:color w:val="000000" w:themeColor="text1"/>
          <w:sz w:val="24"/>
          <w:szCs w:val="24"/>
          <w:highlight w:val="none"/>
          <w14:textFill>
            <w14:solidFill>
              <w14:schemeClr w14:val="tx1"/>
            </w14:solidFill>
          </w14:textFill>
        </w:rPr>
        <w:t>。</w:t>
      </w:r>
    </w:p>
    <w:p w14:paraId="61361D47">
      <w:pPr>
        <w:pStyle w:val="374"/>
        <w:spacing w:line="360" w:lineRule="auto"/>
        <w:ind w:firstLine="48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（2）因发包人原因未能按合同约定支付合同价款的违约责任：</w:t>
      </w:r>
      <w:r>
        <w:rPr>
          <w:rFonts w:hint="eastAsia" w:ascii="宋体" w:hAnsi="宋体" w:cs="宋体"/>
          <w:color w:val="000000" w:themeColor="text1"/>
          <w:sz w:val="24"/>
          <w:szCs w:val="24"/>
          <w:highlight w:val="none"/>
          <w:u w:val="single"/>
          <w14:textFill>
            <w14:solidFill>
              <w14:schemeClr w14:val="tx1"/>
            </w14:solidFill>
          </w14:textFill>
        </w:rPr>
        <w:t xml:space="preserve"> 如发包人进度款支付延期，承包人应予以理解，承包人可以要求顺延工程日期    </w:t>
      </w:r>
      <w:r>
        <w:rPr>
          <w:rFonts w:hint="eastAsia" w:ascii="宋体" w:hAnsi="宋体" w:cs="宋体"/>
          <w:color w:val="000000" w:themeColor="text1"/>
          <w:sz w:val="24"/>
          <w:szCs w:val="24"/>
          <w:highlight w:val="none"/>
          <w14:textFill>
            <w14:solidFill>
              <w14:schemeClr w14:val="tx1"/>
            </w14:solidFill>
          </w14:textFill>
        </w:rPr>
        <w:t>。</w:t>
      </w:r>
    </w:p>
    <w:p w14:paraId="005E5B4A">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（3）发包人违反第10.1款〔变更的范围〕第（2）项约定，自行实施被取消的工作或转由他人实施的违约责任：</w:t>
      </w:r>
      <w:r>
        <w:rPr>
          <w:rFonts w:hint="eastAsia" w:ascii="宋体" w:hAnsi="宋体" w:cs="宋体"/>
          <w:color w:val="000000" w:themeColor="text1"/>
          <w:sz w:val="24"/>
          <w:highlight w:val="none"/>
          <w:u w:val="single"/>
          <w14:textFill>
            <w14:solidFill>
              <w14:schemeClr w14:val="tx1"/>
            </w14:solidFill>
          </w14:textFill>
        </w:rPr>
        <w:t xml:space="preserve"> 发包人自行实施的工作或转由他人实施的工作不符合国家合格质量标准的，由发包人承担因此造成的经济损失 </w:t>
      </w:r>
      <w:r>
        <w:rPr>
          <w:rFonts w:hint="eastAsia" w:ascii="宋体" w:hAnsi="宋体" w:cs="宋体"/>
          <w:color w:val="000000" w:themeColor="text1"/>
          <w:sz w:val="24"/>
          <w:highlight w:val="none"/>
          <w14:textFill>
            <w14:solidFill>
              <w14:schemeClr w14:val="tx1"/>
            </w14:solidFill>
          </w14:textFill>
        </w:rPr>
        <w:t>。</w:t>
      </w:r>
    </w:p>
    <w:p w14:paraId="3AFAC378">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（4）发包人提供的材料、工程设备的规格、数量或质量不符合合同约定，或因发包人原因导致交货日期延误或交货地点变更等情况的违约责任：</w:t>
      </w:r>
      <w:r>
        <w:rPr>
          <w:rFonts w:hint="eastAsia" w:ascii="宋体" w:hAnsi="宋体" w:cs="宋体"/>
          <w:color w:val="000000" w:themeColor="text1"/>
          <w:sz w:val="24"/>
          <w:highlight w:val="none"/>
          <w:u w:val="single"/>
          <w14:textFill>
            <w14:solidFill>
              <w14:schemeClr w14:val="tx1"/>
            </w14:solidFill>
          </w14:textFill>
        </w:rPr>
        <w:t xml:space="preserve"> 承包人可以顺延工程日期 </w:t>
      </w:r>
      <w:r>
        <w:rPr>
          <w:rFonts w:hint="eastAsia" w:ascii="宋体" w:hAnsi="宋体" w:cs="宋体"/>
          <w:color w:val="000000" w:themeColor="text1"/>
          <w:sz w:val="24"/>
          <w:highlight w:val="none"/>
          <w14:textFill>
            <w14:solidFill>
              <w14:schemeClr w14:val="tx1"/>
            </w14:solidFill>
          </w14:textFill>
        </w:rPr>
        <w:t>。</w:t>
      </w:r>
    </w:p>
    <w:p w14:paraId="72F73A32">
      <w:pPr>
        <w:spacing w:line="360" w:lineRule="auto"/>
        <w:ind w:firstLine="480"/>
        <w:jc w:val="left"/>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（5）因发包人违反合同约定造成暂停施工的违约责任：</w:t>
      </w:r>
      <w:r>
        <w:rPr>
          <w:rFonts w:hint="eastAsia" w:ascii="宋体" w:hAnsi="宋体" w:cs="宋体"/>
          <w:color w:val="000000" w:themeColor="text1"/>
          <w:sz w:val="24"/>
          <w:highlight w:val="none"/>
          <w:u w:val="single"/>
          <w14:textFill>
            <w14:solidFill>
              <w14:schemeClr w14:val="tx1"/>
            </w14:solidFill>
          </w14:textFill>
        </w:rPr>
        <w:t xml:space="preserve"> 发包人应当采取措施弥补或者减少损失 </w:t>
      </w:r>
      <w:r>
        <w:rPr>
          <w:rFonts w:hint="eastAsia" w:ascii="宋体" w:hAnsi="宋体" w:cs="宋体"/>
          <w:color w:val="000000" w:themeColor="text1"/>
          <w:sz w:val="24"/>
          <w:highlight w:val="none"/>
          <w14:textFill>
            <w14:solidFill>
              <w14:schemeClr w14:val="tx1"/>
            </w14:solidFill>
          </w14:textFill>
        </w:rPr>
        <w:t>。</w:t>
      </w:r>
    </w:p>
    <w:p w14:paraId="1FDD034C">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（6）发包人无正当理由没有在约定期限内发出复工指示，导致承包人无法复工的违约责任：</w:t>
      </w:r>
      <w:r>
        <w:rPr>
          <w:rFonts w:hint="eastAsia" w:ascii="宋体" w:hAnsi="宋体" w:cs="宋体"/>
          <w:color w:val="000000" w:themeColor="text1"/>
          <w:sz w:val="24"/>
          <w:highlight w:val="none"/>
          <w:u w:val="single"/>
          <w14:textFill>
            <w14:solidFill>
              <w14:schemeClr w14:val="tx1"/>
            </w14:solidFill>
          </w14:textFill>
        </w:rPr>
        <w:t xml:space="preserve">     承包人可以顺延工程日期    </w:t>
      </w:r>
      <w:r>
        <w:rPr>
          <w:rFonts w:hint="eastAsia" w:ascii="宋体" w:hAnsi="宋体" w:cs="宋体"/>
          <w:color w:val="000000" w:themeColor="text1"/>
          <w:sz w:val="24"/>
          <w:highlight w:val="none"/>
          <w14:textFill>
            <w14:solidFill>
              <w14:schemeClr w14:val="tx1"/>
            </w14:solidFill>
          </w14:textFill>
        </w:rPr>
        <w:t>。</w:t>
      </w:r>
    </w:p>
    <w:p w14:paraId="0AD30CAF">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（7）其他：</w:t>
      </w:r>
      <w:r>
        <w:rPr>
          <w:rFonts w:hint="eastAsia" w:ascii="宋体" w:hAnsi="宋体" w:cs="宋体"/>
          <w:color w:val="000000" w:themeColor="text1"/>
          <w:sz w:val="24"/>
          <w:highlight w:val="none"/>
          <w:u w:val="single"/>
          <w14:textFill>
            <w14:solidFill>
              <w14:schemeClr w14:val="tx1"/>
            </w14:solidFill>
          </w14:textFill>
        </w:rPr>
        <w:t xml:space="preserve">     按《通用合同条款》执行      </w:t>
      </w:r>
      <w:r>
        <w:rPr>
          <w:rFonts w:hint="eastAsia" w:ascii="宋体" w:hAnsi="宋体" w:cs="宋体"/>
          <w:color w:val="000000" w:themeColor="text1"/>
          <w:sz w:val="24"/>
          <w:highlight w:val="none"/>
          <w14:textFill>
            <w14:solidFill>
              <w14:schemeClr w14:val="tx1"/>
            </w14:solidFill>
          </w14:textFill>
        </w:rPr>
        <w:t>。</w:t>
      </w:r>
    </w:p>
    <w:p w14:paraId="6117C0A0">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16.1.3 因发包人违约解除合同</w:t>
      </w:r>
    </w:p>
    <w:p w14:paraId="7BD837B7">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承包人按16.1.1项〔发包人违约的情形〕约定暂停施工满</w:t>
      </w:r>
      <w:r>
        <w:rPr>
          <w:rFonts w:hint="eastAsia" w:ascii="宋体" w:hAnsi="宋体" w:cs="宋体"/>
          <w:color w:val="000000" w:themeColor="text1"/>
          <w:sz w:val="24"/>
          <w:highlight w:val="none"/>
          <w:u w:val="single"/>
          <w14:textFill>
            <w14:solidFill>
              <w14:schemeClr w14:val="tx1"/>
            </w14:solidFill>
          </w14:textFill>
        </w:rPr>
        <w:t xml:space="preserve">  90  </w:t>
      </w:r>
      <w:r>
        <w:rPr>
          <w:rFonts w:hint="eastAsia" w:ascii="宋体" w:hAnsi="宋体" w:cs="宋体"/>
          <w:color w:val="000000" w:themeColor="text1"/>
          <w:sz w:val="24"/>
          <w:highlight w:val="none"/>
          <w14:textFill>
            <w14:solidFill>
              <w14:schemeClr w14:val="tx1"/>
            </w14:solidFill>
          </w14:textFill>
        </w:rPr>
        <w:t>天后发包人仍不纠正其违约行为并致使合同目的不能实现的，承包人有权解除合同。</w:t>
      </w:r>
    </w:p>
    <w:p w14:paraId="4AFC2194">
      <w:pPr>
        <w:pStyle w:val="4"/>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16.2 承包人违约</w:t>
      </w:r>
    </w:p>
    <w:p w14:paraId="2DC5ED2C">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16.2.1 承包人违约的情形</w:t>
      </w:r>
    </w:p>
    <w:p w14:paraId="2E910D4A">
      <w:pPr>
        <w:spacing w:line="360" w:lineRule="auto"/>
        <w:ind w:firstLine="480"/>
        <w:jc w:val="left"/>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承包人违约的其他情形：</w:t>
      </w:r>
      <w:r>
        <w:rPr>
          <w:rFonts w:hint="eastAsia" w:ascii="宋体" w:hAnsi="宋体" w:cs="宋体"/>
          <w:color w:val="000000" w:themeColor="text1"/>
          <w:sz w:val="24"/>
          <w:highlight w:val="none"/>
          <w:u w:val="single"/>
          <w14:textFill>
            <w14:solidFill>
              <w14:schemeClr w14:val="tx1"/>
            </w14:solidFill>
          </w14:textFill>
        </w:rPr>
        <w:t xml:space="preserve">   按《通用合同条款》执行      </w:t>
      </w:r>
      <w:r>
        <w:rPr>
          <w:rFonts w:hint="eastAsia" w:ascii="宋体" w:hAnsi="宋体" w:cs="宋体"/>
          <w:color w:val="000000" w:themeColor="text1"/>
          <w:sz w:val="24"/>
          <w:highlight w:val="none"/>
          <w14:textFill>
            <w14:solidFill>
              <w14:schemeClr w14:val="tx1"/>
            </w14:solidFill>
          </w14:textFill>
        </w:rPr>
        <w:t>。</w:t>
      </w:r>
    </w:p>
    <w:p w14:paraId="7615AC76">
      <w:pPr>
        <w:spacing w:line="360" w:lineRule="auto"/>
        <w:ind w:firstLine="480"/>
        <w:jc w:val="left"/>
        <w:outlineLvl w:val="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16.2.2承包人违约的责任</w:t>
      </w:r>
    </w:p>
    <w:p w14:paraId="6AF7EC19">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承包人违约责任的承担方式和计算方法：</w:t>
      </w:r>
    </w:p>
    <w:p w14:paraId="23F9B30A">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承包人有本合同通用条款第16.2.1（2）、（3）条内容情形的，承包人无条件返工处理，修复至工程质量要求并承担相关费用，并在发包人规定的时间内完成返工，否则发包人有权扣罚该分项工程10%的工程款作为处罚。</w:t>
      </w:r>
    </w:p>
    <w:p w14:paraId="6864281A">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（2）承包人有本合同通用条款第16.2.1（6）条情形的，或经监理人检验认为修复质量不合格而承包人拒绝再进行修补的，发包人将扣除承包人全部质量保证金。</w:t>
      </w:r>
    </w:p>
    <w:p w14:paraId="517DC0C1">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承包人有本专用合同条款3.2、3.3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承包人履约保证金被罚款后由发包人从最后一次计量支付时扣除相应金额补足履约保证金。承包人在合同期内，完成合同规定的全部工程，且质量合格，在本工程施工竣工验收后十五天内可申请返还全部或部分罚款，返还金额由监理人审核，发包人批准。罚款金额返还时不包括银行利息。</w:t>
      </w:r>
    </w:p>
    <w:p w14:paraId="28142201">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16.2.3 因承包人违约解除合同</w:t>
      </w:r>
    </w:p>
    <w:p w14:paraId="53C560CB">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关于承包人违约解除合同的特别约定：</w:t>
      </w:r>
      <w:r>
        <w:rPr>
          <w:rFonts w:hint="eastAsia" w:ascii="宋体" w:hAnsi="宋体" w:cs="宋体"/>
          <w:color w:val="000000" w:themeColor="text1"/>
          <w:sz w:val="24"/>
          <w:highlight w:val="none"/>
          <w:u w:val="single"/>
          <w14:textFill>
            <w14:solidFill>
              <w14:schemeClr w14:val="tx1"/>
            </w14:solidFill>
          </w14:textFill>
        </w:rPr>
        <w:t>承包人有违反以下情况之一的，发包人有权解除合同，并没收其全部履约保证金</w:t>
      </w:r>
      <w:r>
        <w:rPr>
          <w:rFonts w:hint="eastAsia" w:ascii="宋体" w:hAnsi="宋体" w:cs="宋体"/>
          <w:color w:val="000000" w:themeColor="text1"/>
          <w:sz w:val="24"/>
          <w:highlight w:val="none"/>
          <w14:textFill>
            <w14:solidFill>
              <w14:schemeClr w14:val="tx1"/>
            </w14:solidFill>
          </w14:textFill>
        </w:rPr>
        <w:t>。</w:t>
      </w:r>
    </w:p>
    <w:p w14:paraId="77566F22">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(1)承包人无正当理由不按开工通知的要求及时进场组织施工和不按签订协议书时商定的进度计划有效地开展施工准备，造成工期延误的；</w:t>
      </w:r>
    </w:p>
    <w:p w14:paraId="1E44DEE1">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(2)承包人违反本合同通用条款第3.5条规定私自将合同或合同的任何部分或任何权利转让给其他人，或私自将工程或工程的一部分分包出去的；</w:t>
      </w:r>
    </w:p>
    <w:p w14:paraId="474CE735">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(3)未经监理人批准，承包人私自将已按投标文件承诺进入工地的工程设备、施工设备、临时工程或材料撤离工地的；</w:t>
      </w:r>
    </w:p>
    <w:p w14:paraId="284AE83E">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(4)由于承包人原因拒绝按合同进度计划及时完成合同规定的工程，而又未采取有效措施赶上进度，造成工期严重延误的；</w:t>
      </w:r>
    </w:p>
    <w:p w14:paraId="7C2B205E">
      <w:pPr>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(5)承包人否认合同有效或拒绝履行合同规定的承包人义务，或由于法律、财务等原因导致承包人无法继续履行或实质上已停止履行合同的义务的；</w:t>
      </w:r>
    </w:p>
    <w:p w14:paraId="52C81BA2">
      <w:pPr>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发包人继续使用承包人在施工现场的材料、设备、临时工程、承包人文件和由承包人或以其名义编制的其他文件的费用承担方式：</w:t>
      </w:r>
      <w:r>
        <w:rPr>
          <w:rFonts w:hint="eastAsia" w:ascii="宋体" w:hAnsi="宋体" w:cs="宋体"/>
          <w:color w:val="000000" w:themeColor="text1"/>
          <w:sz w:val="24"/>
          <w:highlight w:val="none"/>
          <w:u w:val="single"/>
          <w14:textFill>
            <w14:solidFill>
              <w14:schemeClr w14:val="tx1"/>
            </w14:solidFill>
          </w14:textFill>
        </w:rPr>
        <w:t xml:space="preserve">     由承包人承担相应费用    </w:t>
      </w:r>
      <w:r>
        <w:rPr>
          <w:rFonts w:hint="eastAsia" w:ascii="宋体" w:hAnsi="宋体" w:cs="宋体"/>
          <w:color w:val="000000" w:themeColor="text1"/>
          <w:sz w:val="24"/>
          <w:highlight w:val="none"/>
          <w14:textFill>
            <w14:solidFill>
              <w14:schemeClr w14:val="tx1"/>
            </w14:solidFill>
          </w14:textFill>
        </w:rPr>
        <w:t>。</w:t>
      </w:r>
    </w:p>
    <w:p w14:paraId="73673487">
      <w:pPr>
        <w:pStyle w:val="3"/>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17. 不可抗力 </w:t>
      </w:r>
    </w:p>
    <w:p w14:paraId="58E7201D">
      <w:pPr>
        <w:pStyle w:val="4"/>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17.1 不可抗力的确认</w:t>
      </w:r>
    </w:p>
    <w:p w14:paraId="19BD2A17">
      <w:pPr>
        <w:pStyle w:val="374"/>
        <w:spacing w:line="360" w:lineRule="auto"/>
        <w:ind w:firstLine="480"/>
        <w:jc w:val="left"/>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除通用合同条款约定的不可抗力事件之外，视为不可抗力的其他情形：</w:t>
      </w:r>
      <w:r>
        <w:rPr>
          <w:rFonts w:hint="eastAsia" w:ascii="宋体" w:hAnsi="宋体" w:cs="宋体"/>
          <w:color w:val="000000" w:themeColor="text1"/>
          <w:sz w:val="24"/>
          <w:szCs w:val="24"/>
          <w:highlight w:val="none"/>
          <w:u w:val="single"/>
          <w14:textFill>
            <w14:solidFill>
              <w14:schemeClr w14:val="tx1"/>
            </w14:solidFill>
          </w14:textFill>
        </w:rPr>
        <w:t xml:space="preserve">按《通用合同条款》执行 </w:t>
      </w:r>
      <w:r>
        <w:rPr>
          <w:rFonts w:hint="eastAsia" w:ascii="宋体" w:hAnsi="宋体" w:cs="宋体"/>
          <w:color w:val="000000" w:themeColor="text1"/>
          <w:sz w:val="24"/>
          <w:szCs w:val="24"/>
          <w:highlight w:val="none"/>
          <w14:textFill>
            <w14:solidFill>
              <w14:schemeClr w14:val="tx1"/>
            </w14:solidFill>
          </w14:textFill>
        </w:rPr>
        <w:t>。</w:t>
      </w:r>
    </w:p>
    <w:p w14:paraId="036D059B">
      <w:pPr>
        <w:pStyle w:val="4"/>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17.4 因不可抗力解除合同</w:t>
      </w:r>
    </w:p>
    <w:p w14:paraId="09DFA52D">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合同解除后，发包人应在商定或确定发包人应支付款项后</w:t>
      </w:r>
      <w:r>
        <w:rPr>
          <w:rFonts w:hint="eastAsia" w:ascii="宋体" w:hAnsi="宋体" w:cs="宋体"/>
          <w:color w:val="000000" w:themeColor="text1"/>
          <w:sz w:val="24"/>
          <w:highlight w:val="none"/>
          <w:u w:val="single"/>
          <w14:textFill>
            <w14:solidFill>
              <w14:schemeClr w14:val="tx1"/>
            </w14:solidFill>
          </w14:textFill>
        </w:rPr>
        <w:t xml:space="preserve"> 28   </w:t>
      </w:r>
      <w:r>
        <w:rPr>
          <w:rFonts w:hint="eastAsia" w:ascii="宋体" w:hAnsi="宋体" w:cs="宋体"/>
          <w:color w:val="000000" w:themeColor="text1"/>
          <w:sz w:val="24"/>
          <w:highlight w:val="none"/>
          <w14:textFill>
            <w14:solidFill>
              <w14:schemeClr w14:val="tx1"/>
            </w14:solidFill>
          </w14:textFill>
        </w:rPr>
        <w:t>天内完成款项的支付。</w:t>
      </w:r>
    </w:p>
    <w:p w14:paraId="5D80950C">
      <w:pPr>
        <w:pStyle w:val="3"/>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18. 保险</w:t>
      </w:r>
    </w:p>
    <w:p w14:paraId="1448EED1">
      <w:pPr>
        <w:pStyle w:val="4"/>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18.1 工程保险</w:t>
      </w:r>
    </w:p>
    <w:p w14:paraId="51F80D79">
      <w:pPr>
        <w:pStyle w:val="374"/>
        <w:spacing w:line="360" w:lineRule="auto"/>
        <w:ind w:firstLine="480"/>
        <w:jc w:val="left"/>
        <w:rPr>
          <w:rFonts w:hint="default"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关于工程保险的特别约定：</w:t>
      </w:r>
      <w:r>
        <w:rPr>
          <w:rFonts w:hint="eastAsia" w:ascii="宋体" w:hAnsi="宋体" w:cs="宋体"/>
          <w:color w:val="000000" w:themeColor="text1"/>
          <w:sz w:val="24"/>
          <w:szCs w:val="24"/>
          <w:highlight w:val="none"/>
          <w:u w:val="single"/>
          <w14:textFill>
            <w14:solidFill>
              <w14:schemeClr w14:val="tx1"/>
            </w14:solidFill>
          </w14:textFill>
        </w:rPr>
        <w:t>由承包人投保建筑工程一切险及安装工程一切险并承担相应费用，保险金不足以补偿损失的，应由承包人负责补偿</w:t>
      </w:r>
      <w:r>
        <w:rPr>
          <w:rFonts w:hint="eastAsia" w:ascii="宋体" w:hAnsi="宋体" w:cs="宋体"/>
          <w:color w:val="000000" w:themeColor="text1"/>
          <w:sz w:val="24"/>
          <w:szCs w:val="24"/>
          <w:highlight w:val="none"/>
          <w14:textFill>
            <w14:solidFill>
              <w14:schemeClr w14:val="tx1"/>
            </w14:solidFill>
          </w14:textFill>
        </w:rPr>
        <w:t>。安全生产责任保险费按《自治区住房和城乡建设厅关于印发广西壮族自治区房屋建筑和市政基础设施工程安全生产责任保险计价规定的通知》(桂建发(2023)6号)计算，工程结算时，由发承包双方根据工程实际情况确认的安全生产责任保险费进行结算。</w:t>
      </w:r>
      <w:r>
        <w:rPr>
          <w:rFonts w:hint="eastAsia" w:ascii="宋体" w:hAnsi="宋体" w:cs="宋体"/>
          <w:color w:val="000000" w:themeColor="text1"/>
          <w:sz w:val="24"/>
          <w:szCs w:val="24"/>
          <w:highlight w:val="none"/>
          <w:lang w:eastAsia="zh-CN"/>
          <w14:textFill>
            <w14:solidFill>
              <w14:schemeClr w14:val="tx1"/>
            </w14:solidFill>
          </w14:textFill>
        </w:rPr>
        <w:t>按</w:t>
      </w:r>
      <w:r>
        <w:rPr>
          <w:rFonts w:hint="eastAsia" w:ascii="宋体" w:hAnsi="宋体" w:cs="宋体"/>
          <w:color w:val="000000" w:themeColor="text1"/>
          <w:sz w:val="24"/>
          <w:szCs w:val="24"/>
          <w:highlight w:val="none"/>
          <w14:textFill>
            <w14:solidFill>
              <w14:schemeClr w14:val="tx1"/>
            </w14:solidFill>
          </w14:textFill>
        </w:rPr>
        <w:t>桂建价〔2024〕2号</w:t>
      </w:r>
      <w:r>
        <w:rPr>
          <w:rFonts w:hint="eastAsia" w:ascii="宋体" w:hAnsi="宋体" w:cs="宋体"/>
          <w:color w:val="000000" w:themeColor="text1"/>
          <w:sz w:val="24"/>
          <w:szCs w:val="24"/>
          <w:highlight w:val="none"/>
          <w:lang w:eastAsia="zh-CN"/>
          <w14:textFill>
            <w14:solidFill>
              <w14:schemeClr w14:val="tx1"/>
            </w14:solidFill>
          </w14:textFill>
        </w:rPr>
        <w:t>计算</w:t>
      </w:r>
      <w:r>
        <w:rPr>
          <w:rFonts w:hint="eastAsia" w:ascii="宋体" w:hAnsi="宋体" w:cs="宋体"/>
          <w:color w:val="000000" w:themeColor="text1"/>
          <w:sz w:val="24"/>
          <w:szCs w:val="24"/>
          <w:highlight w:val="none"/>
          <w14:textFill>
            <w14:solidFill>
              <w14:schemeClr w14:val="tx1"/>
            </w14:solidFill>
          </w14:textFill>
        </w:rPr>
        <w:t>安全生产责任保险费</w:t>
      </w:r>
      <w:r>
        <w:rPr>
          <w:rFonts w:hint="default" w:ascii="宋体" w:hAnsi="宋体" w:cs="宋体"/>
          <w:color w:val="000000" w:themeColor="text1"/>
          <w:sz w:val="24"/>
          <w:highlight w:val="none"/>
          <w:lang w:val="en-US" w:eastAsia="zh-CN"/>
          <w14:textFill>
            <w14:solidFill>
              <w14:schemeClr w14:val="tx1"/>
            </w14:solidFill>
          </w14:textFill>
        </w:rPr>
        <w:t>暂估价的具体金额=[招标控制价的分部分项工程费+招标控制价的措施项目费（含单价及总价措施项目费）]×0.2%</w:t>
      </w:r>
      <w:r>
        <w:rPr>
          <w:rFonts w:hint="eastAsia" w:ascii="宋体" w:hAnsi="宋体" w:cs="宋体"/>
          <w:color w:val="000000" w:themeColor="text1"/>
          <w:sz w:val="24"/>
          <w:highlight w:val="none"/>
          <w:lang w:val="en-US" w:eastAsia="zh-CN"/>
          <w14:textFill>
            <w14:solidFill>
              <w14:schemeClr w14:val="tx1"/>
            </w14:solidFill>
          </w14:textFill>
        </w:rPr>
        <w:t>。</w:t>
      </w:r>
    </w:p>
    <w:p w14:paraId="5F0B993D">
      <w:pPr>
        <w:pStyle w:val="4"/>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18.3 其他保险</w:t>
      </w:r>
    </w:p>
    <w:p w14:paraId="28D8AF04">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关于其他保险的约定：</w:t>
      </w:r>
      <w:r>
        <w:rPr>
          <w:rFonts w:hint="eastAsia" w:ascii="宋体" w:hAnsi="宋体" w:cs="宋体"/>
          <w:color w:val="000000" w:themeColor="text1"/>
          <w:sz w:val="24"/>
          <w:highlight w:val="none"/>
          <w:u w:val="single"/>
          <w14:textFill>
            <w14:solidFill>
              <w14:schemeClr w14:val="tx1"/>
            </w14:solidFill>
          </w14:textFill>
        </w:rPr>
        <w:t xml:space="preserve">发包人和承包人各自为其施工现场的全部人员办理意外伤害保险并支付保险费，包括其员工及为履行合同聘请的第三方的人员   </w:t>
      </w:r>
      <w:r>
        <w:rPr>
          <w:rFonts w:hint="eastAsia" w:ascii="宋体" w:hAnsi="宋体" w:cs="宋体"/>
          <w:color w:val="000000" w:themeColor="text1"/>
          <w:sz w:val="24"/>
          <w:highlight w:val="none"/>
          <w14:textFill>
            <w14:solidFill>
              <w14:schemeClr w14:val="tx1"/>
            </w14:solidFill>
          </w14:textFill>
        </w:rPr>
        <w:t>。</w:t>
      </w:r>
    </w:p>
    <w:p w14:paraId="48EB0390">
      <w:pPr>
        <w:spacing w:line="360" w:lineRule="auto"/>
        <w:ind w:firstLine="480"/>
        <w:jc w:val="left"/>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承包人是否应为其施工设备等办理财产保险：</w:t>
      </w:r>
      <w:r>
        <w:rPr>
          <w:rFonts w:hint="eastAsia" w:ascii="宋体" w:hAnsi="宋体" w:cs="宋体"/>
          <w:color w:val="000000" w:themeColor="text1"/>
          <w:sz w:val="24"/>
          <w:highlight w:val="none"/>
          <w:u w:val="single"/>
          <w14:textFill>
            <w14:solidFill>
              <w14:schemeClr w14:val="tx1"/>
            </w14:solidFill>
          </w14:textFill>
        </w:rPr>
        <w:t xml:space="preserve">根据需要自行办理，保险费由承包人自行承担 </w:t>
      </w:r>
      <w:r>
        <w:rPr>
          <w:rFonts w:hint="eastAsia" w:ascii="宋体" w:hAnsi="宋体" w:cs="宋体"/>
          <w:color w:val="000000" w:themeColor="text1"/>
          <w:sz w:val="24"/>
          <w:highlight w:val="none"/>
          <w14:textFill>
            <w14:solidFill>
              <w14:schemeClr w14:val="tx1"/>
            </w14:solidFill>
          </w14:textFill>
        </w:rPr>
        <w:t>。</w:t>
      </w:r>
    </w:p>
    <w:p w14:paraId="464F85D8">
      <w:pPr>
        <w:pStyle w:val="4"/>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18.7 通知义务</w:t>
      </w:r>
    </w:p>
    <w:p w14:paraId="42DA0181">
      <w:pPr>
        <w:spacing w:line="360" w:lineRule="auto"/>
        <w:ind w:firstLine="480"/>
        <w:jc w:val="left"/>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关于变更保险合同时的通知义务的约定：</w:t>
      </w:r>
      <w:r>
        <w:rPr>
          <w:rFonts w:hint="eastAsia" w:ascii="宋体" w:hAnsi="宋体" w:cs="宋体"/>
          <w:color w:val="000000" w:themeColor="text1"/>
          <w:sz w:val="24"/>
          <w:highlight w:val="none"/>
          <w:u w:val="single"/>
          <w14:textFill>
            <w14:solidFill>
              <w14:schemeClr w14:val="tx1"/>
            </w14:solidFill>
          </w14:textFill>
        </w:rPr>
        <w:t xml:space="preserve">     由承包人通知发包人和监理人     </w:t>
      </w:r>
      <w:r>
        <w:rPr>
          <w:rFonts w:hint="eastAsia" w:ascii="宋体" w:hAnsi="宋体" w:cs="宋体"/>
          <w:color w:val="000000" w:themeColor="text1"/>
          <w:sz w:val="24"/>
          <w:highlight w:val="none"/>
          <w14:textFill>
            <w14:solidFill>
              <w14:schemeClr w14:val="tx1"/>
            </w14:solidFill>
          </w14:textFill>
        </w:rPr>
        <w:t>。</w:t>
      </w:r>
    </w:p>
    <w:p w14:paraId="32F96075">
      <w:pPr>
        <w:pStyle w:val="3"/>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20. 争议解决</w:t>
      </w:r>
    </w:p>
    <w:p w14:paraId="7F8EFB99">
      <w:pPr>
        <w:pStyle w:val="4"/>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20.3 争议评审</w:t>
      </w:r>
    </w:p>
    <w:p w14:paraId="27B82F4E">
      <w:pPr>
        <w:spacing w:line="360" w:lineRule="auto"/>
        <w:ind w:left="149" w:firstLine="360"/>
        <w:jc w:val="left"/>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合同当事人是否同意将工程争议提交争议评审小组决定：</w:t>
      </w:r>
      <w:r>
        <w:rPr>
          <w:rFonts w:hint="eastAsia" w:ascii="宋体" w:hAnsi="宋体" w:cs="宋体"/>
          <w:color w:val="000000" w:themeColor="text1"/>
          <w:sz w:val="24"/>
          <w:highlight w:val="none"/>
          <w:u w:val="single"/>
          <w14:textFill>
            <w14:solidFill>
              <w14:schemeClr w14:val="tx1"/>
            </w14:solidFill>
          </w14:textFill>
        </w:rPr>
        <w:t xml:space="preserve"> /     </w:t>
      </w:r>
      <w:r>
        <w:rPr>
          <w:rFonts w:hint="eastAsia" w:ascii="宋体" w:hAnsi="宋体" w:cs="宋体"/>
          <w:color w:val="000000" w:themeColor="text1"/>
          <w:sz w:val="24"/>
          <w:highlight w:val="none"/>
          <w14:textFill>
            <w14:solidFill>
              <w14:schemeClr w14:val="tx1"/>
            </w14:solidFill>
          </w14:textFill>
        </w:rPr>
        <w:t>。</w:t>
      </w:r>
    </w:p>
    <w:p w14:paraId="16DFE5FE">
      <w:pPr>
        <w:spacing w:line="360" w:lineRule="auto"/>
        <w:ind w:firstLine="480"/>
        <w:jc w:val="left"/>
        <w:outlineLvl w:val="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20.3.1 争议评审小组的确定</w:t>
      </w:r>
    </w:p>
    <w:p w14:paraId="411D88E9">
      <w:pPr>
        <w:spacing w:line="360" w:lineRule="auto"/>
        <w:ind w:firstLine="480"/>
        <w:jc w:val="left"/>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争议评审小组成员的确定：</w:t>
      </w:r>
      <w:r>
        <w:rPr>
          <w:rFonts w:hint="eastAsia" w:ascii="宋体" w:hAnsi="宋体" w:cs="宋体"/>
          <w:color w:val="000000" w:themeColor="text1"/>
          <w:sz w:val="24"/>
          <w:highlight w:val="none"/>
          <w:u w:val="single"/>
          <w14:textFill>
            <w14:solidFill>
              <w14:schemeClr w14:val="tx1"/>
            </w14:solidFill>
          </w14:textFill>
        </w:rPr>
        <w:t xml:space="preserve"> / </w:t>
      </w:r>
      <w:r>
        <w:rPr>
          <w:rFonts w:hint="eastAsia" w:ascii="宋体" w:hAnsi="宋体" w:cs="宋体"/>
          <w:color w:val="000000" w:themeColor="text1"/>
          <w:sz w:val="24"/>
          <w:highlight w:val="none"/>
          <w14:textFill>
            <w14:solidFill>
              <w14:schemeClr w14:val="tx1"/>
            </w14:solidFill>
          </w14:textFill>
        </w:rPr>
        <w:t>。</w:t>
      </w:r>
    </w:p>
    <w:p w14:paraId="511CD75D">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选定争议评审员的期限：</w:t>
      </w:r>
      <w:r>
        <w:rPr>
          <w:rFonts w:hint="eastAsia" w:ascii="宋体" w:hAnsi="宋体" w:cs="宋体"/>
          <w:color w:val="000000" w:themeColor="text1"/>
          <w:sz w:val="24"/>
          <w:highlight w:val="none"/>
          <w:u w:val="single"/>
          <w14:textFill>
            <w14:solidFill>
              <w14:schemeClr w14:val="tx1"/>
            </w14:solidFill>
          </w14:textFill>
        </w:rPr>
        <w:t xml:space="preserve">  / </w:t>
      </w:r>
      <w:r>
        <w:rPr>
          <w:rFonts w:hint="eastAsia" w:ascii="宋体" w:hAnsi="宋体" w:cs="宋体"/>
          <w:color w:val="000000" w:themeColor="text1"/>
          <w:sz w:val="24"/>
          <w:highlight w:val="none"/>
          <w14:textFill>
            <w14:solidFill>
              <w14:schemeClr w14:val="tx1"/>
            </w14:solidFill>
          </w14:textFill>
        </w:rPr>
        <w:t>。</w:t>
      </w:r>
    </w:p>
    <w:p w14:paraId="6AD38EE7">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争议评审小组成员的报酬承担方式：</w:t>
      </w:r>
      <w:r>
        <w:rPr>
          <w:rFonts w:hint="eastAsia" w:ascii="宋体" w:hAnsi="宋体" w:cs="宋体"/>
          <w:color w:val="000000" w:themeColor="text1"/>
          <w:sz w:val="24"/>
          <w:highlight w:val="none"/>
          <w:u w:val="single"/>
          <w14:textFill>
            <w14:solidFill>
              <w14:schemeClr w14:val="tx1"/>
            </w14:solidFill>
          </w14:textFill>
        </w:rPr>
        <w:t xml:space="preserve"> /   </w:t>
      </w:r>
      <w:r>
        <w:rPr>
          <w:rFonts w:hint="eastAsia" w:ascii="宋体" w:hAnsi="宋体" w:cs="宋体"/>
          <w:color w:val="000000" w:themeColor="text1"/>
          <w:sz w:val="24"/>
          <w:highlight w:val="none"/>
          <w14:textFill>
            <w14:solidFill>
              <w14:schemeClr w14:val="tx1"/>
            </w14:solidFill>
          </w14:textFill>
        </w:rPr>
        <w:t>。</w:t>
      </w:r>
    </w:p>
    <w:p w14:paraId="2BD95D58">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其他事项的约定：</w:t>
      </w:r>
      <w:r>
        <w:rPr>
          <w:rFonts w:hint="eastAsia" w:ascii="宋体" w:hAnsi="宋体" w:cs="宋体"/>
          <w:color w:val="000000" w:themeColor="text1"/>
          <w:sz w:val="24"/>
          <w:highlight w:val="none"/>
          <w:u w:val="single"/>
          <w14:textFill>
            <w14:solidFill>
              <w14:schemeClr w14:val="tx1"/>
            </w14:solidFill>
          </w14:textFill>
        </w:rPr>
        <w:t xml:space="preserve"> /      </w:t>
      </w:r>
      <w:r>
        <w:rPr>
          <w:rFonts w:hint="eastAsia" w:ascii="宋体" w:hAnsi="宋体" w:cs="宋体"/>
          <w:color w:val="000000" w:themeColor="text1"/>
          <w:sz w:val="24"/>
          <w:highlight w:val="none"/>
          <w14:textFill>
            <w14:solidFill>
              <w14:schemeClr w14:val="tx1"/>
            </w14:solidFill>
          </w14:textFill>
        </w:rPr>
        <w:t>。</w:t>
      </w:r>
    </w:p>
    <w:p w14:paraId="4E9D4372">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20.3.2 争议评审小组的决定</w:t>
      </w:r>
    </w:p>
    <w:p w14:paraId="5918702C">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合同当事人关于本项的约定：</w:t>
      </w:r>
      <w:r>
        <w:rPr>
          <w:rFonts w:hint="eastAsia" w:ascii="宋体" w:hAnsi="宋体" w:cs="宋体"/>
          <w:color w:val="000000" w:themeColor="text1"/>
          <w:sz w:val="24"/>
          <w:highlight w:val="none"/>
          <w:u w:val="single"/>
          <w14:textFill>
            <w14:solidFill>
              <w14:schemeClr w14:val="tx1"/>
            </w14:solidFill>
          </w14:textFill>
        </w:rPr>
        <w:t xml:space="preserve">  / 。</w:t>
      </w:r>
    </w:p>
    <w:p w14:paraId="03976756">
      <w:pPr>
        <w:pStyle w:val="4"/>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20.4 仲裁或诉讼</w:t>
      </w:r>
    </w:p>
    <w:p w14:paraId="6E86EC62">
      <w:pPr>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因合同及合同有关事项发生的争议，按下列第</w:t>
      </w:r>
      <w:r>
        <w:rPr>
          <w:rFonts w:hint="eastAsia" w:ascii="宋体" w:hAnsi="宋体" w:cs="宋体"/>
          <w:color w:val="000000" w:themeColor="text1"/>
          <w:sz w:val="24"/>
          <w:highlight w:val="none"/>
          <w:u w:val="single"/>
          <w14:textFill>
            <w14:solidFill>
              <w14:schemeClr w14:val="tx1"/>
            </w14:solidFill>
          </w14:textFill>
        </w:rPr>
        <w:t xml:space="preserve">  2   </w:t>
      </w:r>
      <w:r>
        <w:rPr>
          <w:rFonts w:hint="eastAsia" w:ascii="宋体" w:hAnsi="宋体" w:cs="宋体"/>
          <w:color w:val="000000" w:themeColor="text1"/>
          <w:sz w:val="24"/>
          <w:highlight w:val="none"/>
          <w14:textFill>
            <w14:solidFill>
              <w14:schemeClr w14:val="tx1"/>
            </w14:solidFill>
          </w14:textFill>
        </w:rPr>
        <w:t>种方式解决：</w:t>
      </w:r>
    </w:p>
    <w:p w14:paraId="7658C376">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（1）提请</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仲裁委员会按照该会仲裁规则进行仲裁，仲裁裁决是终局的，对合同双方均有约束力。</w:t>
      </w:r>
    </w:p>
    <w:p w14:paraId="6A0796A7">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（2）向</w:t>
      </w:r>
      <w:r>
        <w:rPr>
          <w:rFonts w:hint="eastAsia" w:ascii="宋体" w:hAnsi="宋体" w:cs="宋体"/>
          <w:color w:val="000000" w:themeColor="text1"/>
          <w:sz w:val="24"/>
          <w:highlight w:val="none"/>
          <w:u w:val="single"/>
          <w14:textFill>
            <w14:solidFill>
              <w14:schemeClr w14:val="tx1"/>
            </w14:solidFill>
          </w14:textFill>
        </w:rPr>
        <w:t xml:space="preserve">   项目所在地    </w:t>
      </w:r>
      <w:r>
        <w:rPr>
          <w:rFonts w:hint="eastAsia" w:ascii="宋体" w:hAnsi="宋体" w:cs="宋体"/>
          <w:color w:val="000000" w:themeColor="text1"/>
          <w:sz w:val="24"/>
          <w:highlight w:val="none"/>
          <w14:textFill>
            <w14:solidFill>
              <w14:schemeClr w14:val="tx1"/>
            </w14:solidFill>
          </w14:textFill>
        </w:rPr>
        <w:t>人民法院起诉。</w:t>
      </w:r>
    </w:p>
    <w:p w14:paraId="1428694D">
      <w:pPr>
        <w:widowControl/>
        <w:ind w:firstLine="420"/>
        <w:jc w:val="left"/>
        <w:rPr>
          <w:rFonts w:hint="eastAsia" w:hAnsi="宋体" w:cs="宋体"/>
          <w:color w:val="000000" w:themeColor="text1"/>
          <w:highlight w:val="none"/>
          <w14:textFill>
            <w14:solidFill>
              <w14:schemeClr w14:val="tx1"/>
            </w14:solidFill>
          </w14:textFill>
        </w:rPr>
      </w:pPr>
    </w:p>
    <w:p w14:paraId="2917531A">
      <w:pPr>
        <w:spacing w:line="440" w:lineRule="exact"/>
        <w:rPr>
          <w:color w:val="000000" w:themeColor="text1"/>
          <w:sz w:val="30"/>
          <w:szCs w:val="30"/>
          <w:highlight w:val="none"/>
          <w14:textFill>
            <w14:solidFill>
              <w14:schemeClr w14:val="tx1"/>
            </w14:solidFill>
          </w14:textFill>
        </w:rPr>
      </w:pPr>
      <w:r>
        <w:rPr>
          <w:rFonts w:hAnsi="宋体" w:cs="宋体"/>
          <w:color w:val="000000" w:themeColor="text1"/>
          <w:highlight w:val="none"/>
          <w14:textFill>
            <w14:solidFill>
              <w14:schemeClr w14:val="tx1"/>
            </w14:solidFill>
          </w14:textFill>
        </w:rPr>
        <w:br w:type="page" w:clear="all"/>
      </w:r>
      <w:r>
        <w:rPr>
          <w:rFonts w:hint="eastAsia" w:hAnsi="宋体" w:cs="宋体"/>
          <w:color w:val="000000" w:themeColor="text1"/>
          <w:sz w:val="30"/>
          <w:szCs w:val="30"/>
          <w:highlight w:val="none"/>
          <w14:textFill>
            <w14:solidFill>
              <w14:schemeClr w14:val="tx1"/>
            </w14:solidFill>
          </w14:textFill>
        </w:rPr>
        <w:t>附件1：</w:t>
      </w:r>
    </w:p>
    <w:p w14:paraId="0D91F3B3">
      <w:pPr>
        <w:spacing w:before="156" w:after="156" w:line="440" w:lineRule="exact"/>
        <w:jc w:val="center"/>
        <w:rPr>
          <w:rFonts w:hint="eastAsia"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工程质量保修书</w:t>
      </w:r>
    </w:p>
    <w:p w14:paraId="37BD7534">
      <w:pPr>
        <w:spacing w:line="440" w:lineRule="exact"/>
        <w:ind w:firstLine="42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发包人（全称）：</w:t>
      </w: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 xml:space="preserve"> </w:t>
      </w:r>
    </w:p>
    <w:p w14:paraId="69B2E7FC">
      <w:pPr>
        <w:spacing w:line="440" w:lineRule="exact"/>
        <w:ind w:firstLine="42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承包人（全称）：</w:t>
      </w: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 xml:space="preserve"> </w:t>
      </w:r>
    </w:p>
    <w:p w14:paraId="297D4668">
      <w:pPr>
        <w:spacing w:line="440" w:lineRule="exact"/>
        <w:rPr>
          <w:rFonts w:hint="eastAsia" w:ascii="宋体" w:hAnsi="宋体" w:cs="宋体"/>
          <w:color w:val="000000" w:themeColor="text1"/>
          <w:highlight w:val="none"/>
          <w14:textFill>
            <w14:solidFill>
              <w14:schemeClr w14:val="tx1"/>
            </w14:solidFill>
          </w14:textFill>
        </w:rPr>
      </w:pPr>
    </w:p>
    <w:p w14:paraId="4A6EFB6F">
      <w:pPr>
        <w:spacing w:line="360" w:lineRule="auto"/>
        <w:ind w:firstLine="42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发包人和承包人根据《中华人民共和国建筑法》和《建设工程质量管理条例》，经协商一致就</w:t>
      </w: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（工程全称）签订工程质量保修书。</w:t>
      </w:r>
    </w:p>
    <w:p w14:paraId="7E7EB7A0">
      <w:pPr>
        <w:spacing w:line="360" w:lineRule="auto"/>
        <w:ind w:firstLine="42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一、工程质量保修范围和内容</w:t>
      </w:r>
    </w:p>
    <w:p w14:paraId="09C185F0">
      <w:pPr>
        <w:spacing w:line="360" w:lineRule="auto"/>
        <w:ind w:firstLine="42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承包人在质量保修期内，按照有关法律规定和合同约定，承担工程质量保修责任。</w:t>
      </w:r>
    </w:p>
    <w:p w14:paraId="25922812">
      <w:pPr>
        <w:spacing w:line="360" w:lineRule="auto"/>
        <w:ind w:firstLine="42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183E259B">
      <w:pPr>
        <w:spacing w:line="360" w:lineRule="auto"/>
        <w:ind w:firstLine="42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w:t>
      </w:r>
    </w:p>
    <w:p w14:paraId="1A26880B">
      <w:pPr>
        <w:spacing w:line="360" w:lineRule="auto"/>
        <w:ind w:firstLine="42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二、质量保修期</w:t>
      </w:r>
    </w:p>
    <w:p w14:paraId="0A51C3F0">
      <w:pPr>
        <w:spacing w:line="360" w:lineRule="auto"/>
        <w:ind w:firstLine="42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根据《建设工程质量管理条例》及有关规定，工程的质量保修期如下：</w:t>
      </w:r>
    </w:p>
    <w:p w14:paraId="57333D1C">
      <w:pPr>
        <w:spacing w:line="360" w:lineRule="auto"/>
        <w:ind w:firstLine="42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1．地基基础工程和主体结构工程为设计文件规定的工程合理使用年限；</w:t>
      </w:r>
    </w:p>
    <w:p w14:paraId="15273E56">
      <w:pPr>
        <w:spacing w:line="360" w:lineRule="auto"/>
        <w:ind w:firstLine="42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2．屋面防水工程、有防水要求的卫生间、房间和外墙面的防渗为</w:t>
      </w:r>
      <w:r>
        <w:rPr>
          <w:rFonts w:hint="eastAsia" w:ascii="宋体" w:hAnsi="宋体" w:cs="宋体"/>
          <w:color w:val="000000" w:themeColor="text1"/>
          <w:highlight w:val="none"/>
          <w:u w:val="single"/>
          <w14:textFill>
            <w14:solidFill>
              <w14:schemeClr w14:val="tx1"/>
            </w14:solidFill>
          </w14:textFill>
        </w:rPr>
        <w:t xml:space="preserve">  5 </w:t>
      </w:r>
      <w:r>
        <w:rPr>
          <w:rFonts w:hint="eastAsia" w:ascii="宋体" w:hAnsi="宋体" w:cs="宋体"/>
          <w:color w:val="000000" w:themeColor="text1"/>
          <w:highlight w:val="none"/>
          <w14:textFill>
            <w14:solidFill>
              <w14:schemeClr w14:val="tx1"/>
            </w14:solidFill>
          </w14:textFill>
        </w:rPr>
        <w:t>年；</w:t>
      </w:r>
    </w:p>
    <w:p w14:paraId="530F362D">
      <w:pPr>
        <w:spacing w:line="360" w:lineRule="auto"/>
        <w:ind w:firstLine="42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3．装修工程为</w:t>
      </w:r>
      <w:r>
        <w:rPr>
          <w:rFonts w:hint="eastAsia" w:ascii="宋体" w:hAnsi="宋体" w:cs="宋体"/>
          <w:color w:val="000000" w:themeColor="text1"/>
          <w:highlight w:val="none"/>
          <w:u w:val="single"/>
          <w14:textFill>
            <w14:solidFill>
              <w14:schemeClr w14:val="tx1"/>
            </w14:solidFill>
          </w14:textFill>
        </w:rPr>
        <w:t xml:space="preserve">  2  </w:t>
      </w:r>
      <w:r>
        <w:rPr>
          <w:rFonts w:hint="eastAsia" w:ascii="宋体" w:hAnsi="宋体" w:cs="宋体"/>
          <w:color w:val="000000" w:themeColor="text1"/>
          <w:highlight w:val="none"/>
          <w14:textFill>
            <w14:solidFill>
              <w14:schemeClr w14:val="tx1"/>
            </w14:solidFill>
          </w14:textFill>
        </w:rPr>
        <w:t>年；</w:t>
      </w:r>
    </w:p>
    <w:p w14:paraId="3506FD3C">
      <w:pPr>
        <w:spacing w:line="360" w:lineRule="auto"/>
        <w:ind w:firstLine="42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4．电气管线、给排水管道、设备安装工程为</w:t>
      </w:r>
      <w:r>
        <w:rPr>
          <w:rFonts w:hint="eastAsia" w:ascii="宋体" w:hAnsi="宋体" w:cs="宋体"/>
          <w:color w:val="000000" w:themeColor="text1"/>
          <w:highlight w:val="none"/>
          <w:u w:val="single"/>
          <w14:textFill>
            <w14:solidFill>
              <w14:schemeClr w14:val="tx1"/>
            </w14:solidFill>
          </w14:textFill>
        </w:rPr>
        <w:t xml:space="preserve">  2 </w:t>
      </w:r>
      <w:r>
        <w:rPr>
          <w:rFonts w:hint="eastAsia" w:ascii="宋体" w:hAnsi="宋体" w:cs="宋体"/>
          <w:color w:val="000000" w:themeColor="text1"/>
          <w:highlight w:val="none"/>
          <w14:textFill>
            <w14:solidFill>
              <w14:schemeClr w14:val="tx1"/>
            </w14:solidFill>
          </w14:textFill>
        </w:rPr>
        <w:t>年；</w:t>
      </w:r>
    </w:p>
    <w:p w14:paraId="3EE68277">
      <w:pPr>
        <w:spacing w:line="360" w:lineRule="auto"/>
        <w:ind w:firstLine="426"/>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w:t>
      </w:r>
      <w:r>
        <w:rPr>
          <w:rFonts w:hint="eastAsia" w:cs="宋体"/>
          <w:color w:val="000000" w:themeColor="text1"/>
          <w:highlight w:val="none"/>
          <w14:textFill>
            <w14:solidFill>
              <w14:schemeClr w14:val="tx1"/>
            </w14:solidFill>
          </w14:textFill>
        </w:rPr>
        <w:t>排水（雨水）工程为</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3</w:t>
      </w:r>
      <w:r>
        <w:rPr>
          <w:color w:val="000000" w:themeColor="text1"/>
          <w:highlight w:val="none"/>
          <w:u w:val="singl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年（建议道路工程中的排水工程为</w:t>
      </w:r>
      <w:r>
        <w:rPr>
          <w:color w:val="000000" w:themeColor="text1"/>
          <w:highlight w:val="none"/>
          <w14:textFill>
            <w14:solidFill>
              <w14:schemeClr w14:val="tx1"/>
            </w14:solidFill>
          </w14:textFill>
        </w:rPr>
        <w:t>3</w:t>
      </w:r>
      <w:r>
        <w:rPr>
          <w:rFonts w:hint="eastAsia" w:cs="宋体"/>
          <w:color w:val="000000" w:themeColor="text1"/>
          <w:highlight w:val="none"/>
          <w14:textFill>
            <w14:solidFill>
              <w14:schemeClr w14:val="tx1"/>
            </w14:solidFill>
          </w14:textFill>
        </w:rPr>
        <w:t>年）；</w:t>
      </w:r>
    </w:p>
    <w:p w14:paraId="27D3A52F">
      <w:pPr>
        <w:spacing w:line="360" w:lineRule="auto"/>
        <w:ind w:firstLine="42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t>．</w:t>
      </w:r>
      <w:r>
        <w:rPr>
          <w:rFonts w:hint="eastAsia" w:cs="宋体"/>
          <w:color w:val="000000" w:themeColor="text1"/>
          <w:highlight w:val="none"/>
          <w14:textFill>
            <w14:solidFill>
              <w14:schemeClr w14:val="tx1"/>
            </w14:solidFill>
          </w14:textFill>
        </w:rPr>
        <w:t>绿化工程为</w:t>
      </w:r>
      <w:r>
        <w:rPr>
          <w:color w:val="000000" w:themeColor="text1"/>
          <w:highlight w:val="none"/>
          <w14:textFill>
            <w14:solidFill>
              <w14:schemeClr w14:val="tx1"/>
            </w14:solidFill>
          </w14:textFill>
        </w:rPr>
        <w:t xml:space="preserve"> </w:t>
      </w:r>
      <w:r>
        <w:rPr>
          <w:rFonts w:hint="eastAsia" w:cs="宋体"/>
          <w:color w:val="000000" w:themeColor="text1"/>
          <w:highlight w:val="none"/>
          <w:u w:val="single"/>
          <w14:textFill>
            <w14:solidFill>
              <w14:schemeClr w14:val="tx1"/>
            </w14:solidFill>
          </w14:textFill>
        </w:rPr>
        <w:t>单位工程竣工验收合格后</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2</w:t>
      </w:r>
      <w:r>
        <w:rPr>
          <w:color w:val="000000" w:themeColor="text1"/>
          <w:highlight w:val="none"/>
          <w:u w:val="single"/>
          <w14:textFill>
            <w14:solidFill>
              <w14:schemeClr w14:val="tx1"/>
            </w14:solidFill>
          </w14:textFill>
        </w:rPr>
        <w:t xml:space="preserve"> </w:t>
      </w:r>
      <w:r>
        <w:rPr>
          <w:rFonts w:hint="eastAsia" w:cs="宋体"/>
          <w:color w:val="000000" w:themeColor="text1"/>
          <w:highlight w:val="none"/>
          <w:u w:val="single"/>
          <w14:textFill>
            <w14:solidFill>
              <w14:schemeClr w14:val="tx1"/>
            </w14:solidFill>
          </w14:textFill>
        </w:rPr>
        <w:t>年</w:t>
      </w:r>
      <w:r>
        <w:rPr>
          <w:rFonts w:hint="eastAsia" w:cs="宋体"/>
          <w:color w:val="000000" w:themeColor="text1"/>
          <w:highlight w:val="none"/>
          <w14:textFill>
            <w14:solidFill>
              <w14:schemeClr w14:val="tx1"/>
            </w14:solidFill>
          </w14:textFill>
        </w:rPr>
        <w:t>；</w:t>
      </w:r>
    </w:p>
    <w:p w14:paraId="08F5FF24">
      <w:pPr>
        <w:spacing w:line="360" w:lineRule="auto"/>
        <w:ind w:firstLine="426"/>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7．其他项目保修期限约定如下：</w:t>
      </w:r>
    </w:p>
    <w:p w14:paraId="7B636A98">
      <w:pPr>
        <w:spacing w:line="360" w:lineRule="auto"/>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u w:val="single"/>
          <w:lang w:bidi="ar"/>
          <w14:textFill>
            <w14:solidFill>
              <w14:schemeClr w14:val="tx1"/>
            </w14:solidFill>
          </w14:textFill>
        </w:rPr>
        <w:t>按现行国家规定及施工图纸设计要求</w:t>
      </w:r>
      <w:r>
        <w:rPr>
          <w:rFonts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w:t>
      </w:r>
    </w:p>
    <w:p w14:paraId="2B6C8E6A">
      <w:pPr>
        <w:spacing w:line="360" w:lineRule="auto"/>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质量保修期自工程竣工验收合格之日起计算。</w:t>
      </w:r>
    </w:p>
    <w:p w14:paraId="0803174F">
      <w:pPr>
        <w:spacing w:line="360" w:lineRule="auto"/>
        <w:ind w:firstLine="42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三、缺陷责任期</w:t>
      </w:r>
    </w:p>
    <w:p w14:paraId="29400925">
      <w:pPr>
        <w:spacing w:line="360" w:lineRule="auto"/>
        <w:ind w:firstLine="42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工程缺陷责任期为</w:t>
      </w:r>
      <w:r>
        <w:rPr>
          <w:rFonts w:hint="eastAsia" w:ascii="宋体" w:hAnsi="宋体" w:cs="宋体"/>
          <w:color w:val="000000" w:themeColor="text1"/>
          <w:highlight w:val="none"/>
          <w:u w:val="single"/>
          <w14:textFill>
            <w14:solidFill>
              <w14:schemeClr w14:val="tx1"/>
            </w14:solidFill>
          </w14:textFill>
        </w:rPr>
        <w:t xml:space="preserve">  24 </w:t>
      </w:r>
      <w:r>
        <w:rPr>
          <w:rFonts w:hint="eastAsia" w:ascii="宋体" w:hAnsi="宋体" w:cs="宋体"/>
          <w:color w:val="000000" w:themeColor="text1"/>
          <w:highlight w:val="none"/>
          <w14:textFill>
            <w14:solidFill>
              <w14:schemeClr w14:val="tx1"/>
            </w14:solidFill>
          </w14:textFill>
        </w:rPr>
        <w:t>个月（最长不超过24个月），缺陷责任期自工程竣工验收合格之日起计算。单位工程先于全部工程进行验收，单位工程缺陷责任期自单位工程验收合格之日起算。</w:t>
      </w:r>
    </w:p>
    <w:p w14:paraId="6A909E7B">
      <w:pPr>
        <w:spacing w:line="360" w:lineRule="auto"/>
        <w:ind w:firstLine="42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缺陷责任期</w:t>
      </w:r>
      <w:r>
        <w:rPr>
          <w:rFonts w:hint="eastAsia" w:ascii="宋体" w:hAnsi="宋体" w:cs="宋体"/>
          <w:color w:val="000000" w:themeColor="text1"/>
          <w:highlight w:val="none"/>
          <w:u w:val="single"/>
          <w14:textFill>
            <w14:solidFill>
              <w14:schemeClr w14:val="tx1"/>
            </w14:solidFill>
          </w14:textFill>
        </w:rPr>
        <w:t>满</w:t>
      </w:r>
      <w:r>
        <w:rPr>
          <w:rFonts w:hint="eastAsia" w:ascii="宋体" w:hAnsi="宋体" w:cs="宋体"/>
          <w:color w:val="000000" w:themeColor="text1"/>
          <w:highlight w:val="none"/>
          <w14:textFill>
            <w14:solidFill>
              <w14:schemeClr w14:val="tx1"/>
            </w14:solidFill>
          </w14:textFill>
        </w:rPr>
        <w:t>之日起</w:t>
      </w: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天</w:t>
      </w:r>
      <w:r>
        <w:rPr>
          <w:rFonts w:hint="eastAsia" w:ascii="宋体" w:hAnsi="宋体" w:cs="宋体"/>
          <w:color w:val="000000" w:themeColor="text1"/>
          <w:highlight w:val="none"/>
          <w:u w:val="single"/>
          <w14:textFill>
            <w14:solidFill>
              <w14:schemeClr w14:val="tx1"/>
            </w14:solidFill>
          </w14:textFill>
        </w:rPr>
        <w:t>（按合同约定期限），</w:t>
      </w:r>
      <w:r>
        <w:rPr>
          <w:rFonts w:hint="eastAsia" w:ascii="宋体" w:hAnsi="宋体" w:cs="宋体"/>
          <w:color w:val="000000" w:themeColor="text1"/>
          <w:highlight w:val="none"/>
          <w14:textFill>
            <w14:solidFill>
              <w14:schemeClr w14:val="tx1"/>
            </w14:solidFill>
          </w14:textFill>
        </w:rPr>
        <w:t>发包人应退还剩余的质量保证金。</w:t>
      </w:r>
    </w:p>
    <w:p w14:paraId="65BAF981">
      <w:pPr>
        <w:spacing w:line="360" w:lineRule="auto"/>
        <w:ind w:firstLine="42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四、质量保修责任</w:t>
      </w:r>
    </w:p>
    <w:p w14:paraId="4B5F0833">
      <w:pPr>
        <w:spacing w:line="360" w:lineRule="auto"/>
        <w:ind w:left="105" w:firstLine="43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1．属于保修范围、内容的项目，承包人应当在接到保修通知之日起</w:t>
      </w: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 xml:space="preserve">2 </w:t>
      </w:r>
      <w:r>
        <w:rPr>
          <w:rFonts w:ascii="宋体" w:hAnsi="宋体" w:cs="宋体"/>
          <w:color w:val="000000" w:themeColor="text1"/>
          <w:szCs w:val="21"/>
          <w:highlight w:val="none"/>
          <w14:textFill>
            <w14:solidFill>
              <w14:schemeClr w14:val="tx1"/>
            </w14:solidFill>
          </w14:textFill>
        </w:rPr>
        <w:t>天</w:t>
      </w:r>
      <w:r>
        <w:rPr>
          <w:rFonts w:hint="eastAsia" w:ascii="宋体" w:hAnsi="宋体" w:cs="宋体"/>
          <w:color w:val="000000" w:themeColor="text1"/>
          <w:highlight w:val="none"/>
          <w14:textFill>
            <w14:solidFill>
              <w14:schemeClr w14:val="tx1"/>
            </w14:solidFill>
          </w14:textFill>
        </w:rPr>
        <w:t>内派人保修。承包人不在约定期限内派人保修的，发包人可以委托他人修理，修理费用从质量保证金内扣除。</w:t>
      </w:r>
    </w:p>
    <w:p w14:paraId="6B32023F">
      <w:pPr>
        <w:spacing w:line="360" w:lineRule="auto"/>
        <w:ind w:firstLine="42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2．发生紧急事故需抢修的，承包人在接到事故通知后，应当立即到达事故现场抢修。</w:t>
      </w:r>
    </w:p>
    <w:p w14:paraId="52EAA3D1">
      <w:pPr>
        <w:spacing w:line="360" w:lineRule="auto"/>
        <w:ind w:firstLine="42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28F52CCD">
      <w:pPr>
        <w:spacing w:line="360" w:lineRule="auto"/>
        <w:ind w:firstLine="42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4．质量保修完成后，由发包人组织验收。</w:t>
      </w:r>
    </w:p>
    <w:p w14:paraId="2D99BB71">
      <w:pPr>
        <w:spacing w:line="360" w:lineRule="auto"/>
        <w:ind w:firstLine="42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五、保修费用</w:t>
      </w:r>
    </w:p>
    <w:p w14:paraId="13B35895">
      <w:pPr>
        <w:tabs>
          <w:tab w:val="left" w:pos="7380"/>
        </w:tabs>
        <w:spacing w:line="360" w:lineRule="auto"/>
        <w:ind w:firstLine="42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保修费用由造成质量缺陷的责任方承担。</w:t>
      </w:r>
    </w:p>
    <w:p w14:paraId="1F87C25B">
      <w:pPr>
        <w:spacing w:line="360" w:lineRule="auto"/>
        <w:ind w:firstLine="42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六、双方约定的其他工程质量保修事项： </w:t>
      </w:r>
    </w:p>
    <w:p w14:paraId="7530B810">
      <w:pPr>
        <w:spacing w:line="360" w:lineRule="auto"/>
        <w:ind w:firstLine="39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承包人不在约定期限内派人保修的，发包人可以委托他人修理，修理费用从质量保</w:t>
      </w:r>
      <w:r>
        <w:rPr>
          <w:rFonts w:hint="eastAsia" w:ascii="宋体" w:hAnsi="宋体" w:cs="宋体"/>
          <w:color w:val="000000" w:themeColor="text1"/>
          <w:szCs w:val="21"/>
          <w:highlight w:val="none"/>
          <w:u w:val="single"/>
          <w:lang w:eastAsia="zh-Hans"/>
          <w14:textFill>
            <w14:solidFill>
              <w14:schemeClr w14:val="tx1"/>
            </w14:solidFill>
          </w14:textFill>
        </w:rPr>
        <w:t>证</w:t>
      </w:r>
      <w:r>
        <w:rPr>
          <w:rFonts w:hint="eastAsia" w:ascii="宋体" w:hAnsi="宋体" w:cs="宋体"/>
          <w:color w:val="000000" w:themeColor="text1"/>
          <w:szCs w:val="21"/>
          <w:highlight w:val="none"/>
          <w:u w:val="single"/>
          <w14:textFill>
            <w14:solidFill>
              <w14:schemeClr w14:val="tx1"/>
            </w14:solidFill>
          </w14:textFill>
        </w:rPr>
        <w:t>金内扣除，超出保</w:t>
      </w:r>
      <w:r>
        <w:rPr>
          <w:rFonts w:hint="eastAsia" w:ascii="宋体" w:hAnsi="宋体" w:cs="宋体"/>
          <w:color w:val="000000" w:themeColor="text1"/>
          <w:szCs w:val="21"/>
          <w:highlight w:val="none"/>
          <w:u w:val="single"/>
          <w:lang w:eastAsia="zh-Hans"/>
          <w14:textFill>
            <w14:solidFill>
              <w14:schemeClr w14:val="tx1"/>
            </w14:solidFill>
          </w14:textFill>
        </w:rPr>
        <w:t>证</w:t>
      </w:r>
      <w:r>
        <w:rPr>
          <w:rFonts w:hint="eastAsia" w:ascii="宋体" w:hAnsi="宋体" w:cs="宋体"/>
          <w:color w:val="000000" w:themeColor="text1"/>
          <w:szCs w:val="21"/>
          <w:highlight w:val="none"/>
          <w:u w:val="single"/>
          <w14:textFill>
            <w14:solidFill>
              <w14:schemeClr w14:val="tx1"/>
            </w14:solidFill>
          </w14:textFill>
        </w:rPr>
        <w:t>金额部分，向承包人发出缴费通知书，承包人在收到缴费通知书之日起7天内付清，否则按应缴款额的3%计罚，在工程竣工保修期满后，发包人将剩余的</w:t>
      </w:r>
      <w:r>
        <w:rPr>
          <w:rFonts w:hint="eastAsia" w:ascii="宋体" w:hAnsi="宋体" w:cs="宋体"/>
          <w:color w:val="000000" w:themeColor="text1"/>
          <w:szCs w:val="21"/>
          <w:highlight w:val="none"/>
          <w:u w:val="single"/>
          <w:lang w:eastAsia="zh-Hans"/>
          <w14:textFill>
            <w14:solidFill>
              <w14:schemeClr w14:val="tx1"/>
            </w14:solidFill>
          </w14:textFill>
        </w:rPr>
        <w:t>质量</w:t>
      </w:r>
      <w:r>
        <w:rPr>
          <w:rFonts w:hint="eastAsia" w:ascii="宋体" w:hAnsi="宋体" w:cs="宋体"/>
          <w:color w:val="000000" w:themeColor="text1"/>
          <w:szCs w:val="21"/>
          <w:highlight w:val="none"/>
          <w:u w:val="single"/>
          <w14:textFill>
            <w14:solidFill>
              <w14:schemeClr w14:val="tx1"/>
            </w14:solidFill>
          </w14:textFill>
        </w:rPr>
        <w:t>保</w:t>
      </w:r>
      <w:r>
        <w:rPr>
          <w:rFonts w:hint="eastAsia" w:ascii="宋体" w:hAnsi="宋体" w:cs="宋体"/>
          <w:color w:val="000000" w:themeColor="text1"/>
          <w:szCs w:val="21"/>
          <w:highlight w:val="none"/>
          <w:u w:val="single"/>
          <w:lang w:eastAsia="zh-Hans"/>
          <w14:textFill>
            <w14:solidFill>
              <w14:schemeClr w14:val="tx1"/>
            </w14:solidFill>
          </w14:textFill>
        </w:rPr>
        <w:t>证</w:t>
      </w:r>
      <w:r>
        <w:rPr>
          <w:rFonts w:hint="eastAsia" w:ascii="宋体" w:hAnsi="宋体" w:cs="宋体"/>
          <w:color w:val="000000" w:themeColor="text1"/>
          <w:szCs w:val="21"/>
          <w:highlight w:val="none"/>
          <w:u w:val="single"/>
          <w14:textFill>
            <w14:solidFill>
              <w14:schemeClr w14:val="tx1"/>
            </w14:solidFill>
          </w14:textFill>
        </w:rPr>
        <w:t>金退还给承包人</w:t>
      </w:r>
      <w:r>
        <w:rPr>
          <w:rFonts w:hint="eastAsia" w:ascii="宋体" w:hAnsi="宋体" w:cs="宋体"/>
          <w:color w:val="000000" w:themeColor="text1"/>
          <w:szCs w:val="21"/>
          <w:highlight w:val="none"/>
          <w14:textFill>
            <w14:solidFill>
              <w14:schemeClr w14:val="tx1"/>
            </w14:solidFill>
          </w14:textFill>
        </w:rPr>
        <w:t>。</w:t>
      </w:r>
    </w:p>
    <w:p w14:paraId="3272B8AB">
      <w:pPr>
        <w:spacing w:line="360" w:lineRule="auto"/>
        <w:ind w:firstLine="399"/>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工程质量保修书由发包人、承包人在工程竣工验收前共同签署，作为施工合同附件，其有效期限至保修期满。</w:t>
      </w:r>
    </w:p>
    <w:p w14:paraId="2BE6F4C3">
      <w:pPr>
        <w:spacing w:line="360" w:lineRule="auto"/>
        <w:ind w:firstLine="420"/>
        <w:rPr>
          <w:rFonts w:hint="eastAsia" w:ascii="宋体" w:hAnsi="宋体" w:cs="宋体"/>
          <w:color w:val="000000" w:themeColor="text1"/>
          <w:highlight w:val="none"/>
          <w14:textFill>
            <w14:solidFill>
              <w14:schemeClr w14:val="tx1"/>
            </w14:solidFill>
          </w14:textFill>
        </w:rPr>
      </w:pPr>
    </w:p>
    <w:p w14:paraId="393BA2C5">
      <w:pPr>
        <w:spacing w:line="360" w:lineRule="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发包人（公章）：</w:t>
      </w:r>
      <w:r>
        <w:rPr>
          <w:rFonts w:hint="eastAsia" w:ascii="宋体" w:hAnsi="宋体" w:cs="宋体"/>
          <w:color w:val="000000" w:themeColor="text1"/>
          <w:highlight w:val="none"/>
          <w:u w:val="single"/>
          <w14:textFill>
            <w14:solidFill>
              <w14:schemeClr w14:val="tx1"/>
            </w14:solidFill>
          </w14:textFill>
        </w:rPr>
        <w:t xml:space="preserve">         </w:t>
      </w:r>
      <w:r>
        <w:rPr>
          <w:rFonts w:hint="eastAsia" w:ascii="宋体" w:hAnsi="宋体" w:cs="宋体"/>
          <w:color w:val="000000" w:themeColor="text1"/>
          <w:highlight w:val="none"/>
          <w14:textFill>
            <w14:solidFill>
              <w14:schemeClr w14:val="tx1"/>
            </w14:solidFill>
          </w14:textFill>
        </w:rPr>
        <w:t xml:space="preserve">             承包人（公章）：</w:t>
      </w:r>
      <w:r>
        <w:rPr>
          <w:rFonts w:hint="eastAsia" w:ascii="宋体" w:hAnsi="宋体" w:cs="宋体"/>
          <w:color w:val="000000" w:themeColor="text1"/>
          <w:highlight w:val="none"/>
          <w:u w:val="single"/>
          <w14:textFill>
            <w14:solidFill>
              <w14:schemeClr w14:val="tx1"/>
            </w14:solidFill>
          </w14:textFill>
        </w:rPr>
        <w:t>          </w:t>
      </w:r>
    </w:p>
    <w:p w14:paraId="238C3CEE">
      <w:pPr>
        <w:spacing w:line="360" w:lineRule="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地  址：</w:t>
      </w:r>
      <w:r>
        <w:rPr>
          <w:rFonts w:hint="eastAsia" w:ascii="宋体" w:hAnsi="宋体" w:cs="宋体"/>
          <w:color w:val="000000" w:themeColor="text1"/>
          <w:highlight w:val="none"/>
          <w:u w:val="single"/>
          <w14:textFill>
            <w14:solidFill>
              <w14:schemeClr w14:val="tx1"/>
            </w14:solidFill>
          </w14:textFill>
        </w:rPr>
        <w:t xml:space="preserve">       </w:t>
      </w:r>
      <w:r>
        <w:rPr>
          <w:rFonts w:hint="eastAsia" w:ascii="宋体" w:hAnsi="宋体" w:cs="宋体"/>
          <w:color w:val="000000" w:themeColor="text1"/>
          <w:highlight w:val="none"/>
          <w14:textFill>
            <w14:solidFill>
              <w14:schemeClr w14:val="tx1"/>
            </w14:solidFill>
          </w14:textFill>
        </w:rPr>
        <w:t xml:space="preserve">              地  址：</w:t>
      </w:r>
      <w:r>
        <w:rPr>
          <w:rFonts w:hint="eastAsia" w:ascii="宋体" w:hAnsi="宋体" w:cs="宋体"/>
          <w:color w:val="000000" w:themeColor="text1"/>
          <w:highlight w:val="none"/>
          <w:u w:val="single"/>
          <w14:textFill>
            <w14:solidFill>
              <w14:schemeClr w14:val="tx1"/>
            </w14:solidFill>
          </w14:textFill>
        </w:rPr>
        <w:t>      </w:t>
      </w:r>
    </w:p>
    <w:p w14:paraId="5393E00C">
      <w:pPr>
        <w:spacing w:line="360" w:lineRule="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法定代表人（签字）：</w:t>
      </w: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 xml:space="preserve">              法定代表人（签字）：</w:t>
      </w:r>
      <w:r>
        <w:rPr>
          <w:rFonts w:hint="eastAsia" w:ascii="宋体" w:hAnsi="宋体" w:cs="宋体"/>
          <w:color w:val="000000" w:themeColor="text1"/>
          <w:highlight w:val="none"/>
          <w:u w:val="single"/>
          <w14:textFill>
            <w14:solidFill>
              <w14:schemeClr w14:val="tx1"/>
            </w14:solidFill>
          </w14:textFill>
        </w:rPr>
        <w:t>     </w:t>
      </w:r>
    </w:p>
    <w:p w14:paraId="768817B5">
      <w:pPr>
        <w:spacing w:line="360" w:lineRule="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委托代理人（签字）：</w:t>
      </w: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 xml:space="preserve">              委托代理人（签字）：</w:t>
      </w:r>
      <w:r>
        <w:rPr>
          <w:rFonts w:hint="eastAsia" w:ascii="宋体" w:hAnsi="宋体" w:cs="宋体"/>
          <w:color w:val="000000" w:themeColor="text1"/>
          <w:highlight w:val="none"/>
          <w:u w:val="single"/>
          <w14:textFill>
            <w14:solidFill>
              <w14:schemeClr w14:val="tx1"/>
            </w14:solidFill>
          </w14:textFill>
        </w:rPr>
        <w:t>     </w:t>
      </w:r>
    </w:p>
    <w:p w14:paraId="1CE5642A">
      <w:pPr>
        <w:spacing w:line="360" w:lineRule="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电  话：</w:t>
      </w: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 xml:space="preserve">              电  话：</w:t>
      </w:r>
      <w:r>
        <w:rPr>
          <w:rFonts w:hint="eastAsia" w:ascii="宋体" w:hAnsi="宋体" w:cs="宋体"/>
          <w:color w:val="000000" w:themeColor="text1"/>
          <w:highlight w:val="none"/>
          <w:u w:val="single"/>
          <w14:textFill>
            <w14:solidFill>
              <w14:schemeClr w14:val="tx1"/>
            </w14:solidFill>
          </w14:textFill>
        </w:rPr>
        <w:t>      </w:t>
      </w:r>
    </w:p>
    <w:p w14:paraId="48B9D03B">
      <w:pPr>
        <w:spacing w:line="360" w:lineRule="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传  真：</w:t>
      </w: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 xml:space="preserve">              传  真：</w:t>
      </w:r>
      <w:r>
        <w:rPr>
          <w:rFonts w:hint="eastAsia" w:ascii="宋体" w:hAnsi="宋体" w:cs="宋体"/>
          <w:color w:val="000000" w:themeColor="text1"/>
          <w:highlight w:val="none"/>
          <w:u w:val="single"/>
          <w14:textFill>
            <w14:solidFill>
              <w14:schemeClr w14:val="tx1"/>
            </w14:solidFill>
          </w14:textFill>
        </w:rPr>
        <w:t>    </w:t>
      </w:r>
    </w:p>
    <w:p w14:paraId="0E8CF261">
      <w:pPr>
        <w:spacing w:line="360" w:lineRule="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开户银行：</w:t>
      </w: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 xml:space="preserve">              开户银行：</w:t>
      </w:r>
      <w:r>
        <w:rPr>
          <w:rFonts w:hint="eastAsia" w:ascii="宋体" w:hAnsi="宋体" w:cs="宋体"/>
          <w:color w:val="000000" w:themeColor="text1"/>
          <w:highlight w:val="none"/>
          <w:u w:val="single"/>
          <w14:textFill>
            <w14:solidFill>
              <w14:schemeClr w14:val="tx1"/>
            </w14:solidFill>
          </w14:textFill>
        </w:rPr>
        <w:t>  </w:t>
      </w:r>
    </w:p>
    <w:p w14:paraId="3E9C3EBB">
      <w:pPr>
        <w:tabs>
          <w:tab w:val="left" w:pos="2880"/>
          <w:tab w:val="left" w:pos="3060"/>
          <w:tab w:val="left" w:pos="4500"/>
        </w:tabs>
        <w:spacing w:line="360" w:lineRule="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账  号：</w:t>
      </w:r>
      <w:r>
        <w:rPr>
          <w:rFonts w:hint="eastAsia" w:ascii="宋体" w:hAnsi="宋体" w:cs="宋体"/>
          <w:color w:val="000000" w:themeColor="text1"/>
          <w:highlight w:val="none"/>
          <w:u w:val="single"/>
          <w14:textFill>
            <w14:solidFill>
              <w14:schemeClr w14:val="tx1"/>
            </w14:solidFill>
          </w14:textFill>
        </w:rPr>
        <w:t xml:space="preserve">          </w:t>
      </w:r>
      <w:r>
        <w:rPr>
          <w:rFonts w:hint="eastAsia" w:ascii="宋体" w:hAnsi="宋体" w:cs="宋体"/>
          <w:color w:val="000000" w:themeColor="text1"/>
          <w:highlight w:val="none"/>
          <w14:textFill>
            <w14:solidFill>
              <w14:schemeClr w14:val="tx1"/>
            </w14:solidFill>
          </w14:textFill>
        </w:rPr>
        <w:t xml:space="preserve">              账  号：</w:t>
      </w:r>
      <w:r>
        <w:rPr>
          <w:rFonts w:hint="eastAsia" w:ascii="宋体" w:hAnsi="宋体" w:cs="宋体"/>
          <w:color w:val="000000" w:themeColor="text1"/>
          <w:highlight w:val="none"/>
          <w:u w:val="single"/>
          <w14:textFill>
            <w14:solidFill>
              <w14:schemeClr w14:val="tx1"/>
            </w14:solidFill>
          </w14:textFill>
        </w:rPr>
        <w:t>    </w:t>
      </w:r>
    </w:p>
    <w:p w14:paraId="00BDD7A1">
      <w:pPr>
        <w:tabs>
          <w:tab w:val="left" w:pos="7200"/>
          <w:tab w:val="left" w:pos="7380"/>
          <w:tab w:val="left" w:pos="7560"/>
        </w:tabs>
        <w:spacing w:line="360" w:lineRule="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邮政编码：</w:t>
      </w:r>
      <w:r>
        <w:rPr>
          <w:rFonts w:hint="eastAsia" w:ascii="宋体" w:hAnsi="宋体" w:cs="宋体"/>
          <w:color w:val="000000" w:themeColor="text1"/>
          <w:highlight w:val="none"/>
          <w:u w:val="single"/>
          <w14:textFill>
            <w14:solidFill>
              <w14:schemeClr w14:val="tx1"/>
            </w14:solidFill>
          </w14:textFill>
        </w:rPr>
        <w:t xml:space="preserve">       </w:t>
      </w:r>
      <w:r>
        <w:rPr>
          <w:rFonts w:hint="eastAsia" w:ascii="宋体" w:hAnsi="宋体" w:cs="宋体"/>
          <w:color w:val="000000" w:themeColor="text1"/>
          <w:highlight w:val="none"/>
          <w14:textFill>
            <w14:solidFill>
              <w14:schemeClr w14:val="tx1"/>
            </w14:solidFill>
          </w14:textFill>
        </w:rPr>
        <w:t xml:space="preserve">              邮政编码：</w:t>
      </w:r>
      <w:r>
        <w:rPr>
          <w:rFonts w:hint="eastAsia" w:ascii="宋体" w:hAnsi="宋体" w:cs="宋体"/>
          <w:color w:val="000000" w:themeColor="text1"/>
          <w:highlight w:val="none"/>
          <w:u w:val="single"/>
          <w14:textFill>
            <w14:solidFill>
              <w14:schemeClr w14:val="tx1"/>
            </w14:solidFill>
          </w14:textFill>
        </w:rPr>
        <w:t>   </w:t>
      </w:r>
    </w:p>
    <w:p w14:paraId="51E35ECE">
      <w:pPr>
        <w:tabs>
          <w:tab w:val="left" w:pos="7200"/>
          <w:tab w:val="left" w:pos="7380"/>
          <w:tab w:val="left" w:pos="7560"/>
        </w:tabs>
        <w:spacing w:line="360" w:lineRule="auto"/>
        <w:rPr>
          <w:rFonts w:hint="eastAsia" w:hAnsi="宋体" w:cs="宋体"/>
          <w:color w:val="000000" w:themeColor="text1"/>
          <w:sz w:val="30"/>
          <w:szCs w:val="30"/>
          <w:highlight w:val="none"/>
          <w14:textFill>
            <w14:solidFill>
              <w14:schemeClr w14:val="tx1"/>
            </w14:solidFill>
          </w14:textFill>
        </w:rPr>
      </w:pPr>
      <w:r>
        <w:rPr>
          <w:rFonts w:ascii="宋体" w:hAnsi="宋体"/>
          <w:color w:val="000000" w:themeColor="text1"/>
          <w:highlight w:val="none"/>
          <w:u w:val="single"/>
          <w14:textFill>
            <w14:solidFill>
              <w14:schemeClr w14:val="tx1"/>
            </w14:solidFill>
          </w14:textFill>
        </w:rPr>
        <w:br w:type="page" w:clear="all"/>
      </w:r>
      <w:r>
        <w:rPr>
          <w:rFonts w:hint="eastAsia" w:hAnsi="宋体" w:cs="宋体"/>
          <w:color w:val="000000" w:themeColor="text1"/>
          <w:sz w:val="30"/>
          <w:szCs w:val="30"/>
          <w:highlight w:val="none"/>
          <w14:textFill>
            <w14:solidFill>
              <w14:schemeClr w14:val="tx1"/>
            </w14:solidFill>
          </w14:textFill>
        </w:rPr>
        <w:t>附件2：</w:t>
      </w:r>
    </w:p>
    <w:p w14:paraId="58BCEFFF">
      <w:pPr>
        <w:spacing w:line="360" w:lineRule="auto"/>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履约保函示范文本</w:t>
      </w:r>
    </w:p>
    <w:p w14:paraId="6283FEDF">
      <w:pPr>
        <w:spacing w:line="360" w:lineRule="auto"/>
        <w:jc w:val="center"/>
        <w:rPr>
          <w:rFonts w:hint="eastAsia"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（独立保函）</w:t>
      </w:r>
    </w:p>
    <w:p w14:paraId="79A34336">
      <w:pPr>
        <w:spacing w:line="360" w:lineRule="auto"/>
        <w:jc w:val="righ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编号：           </w:t>
      </w:r>
    </w:p>
    <w:p w14:paraId="35E6D284">
      <w:pPr>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申请人：</w:t>
      </w:r>
    </w:p>
    <w:p w14:paraId="17D209BF">
      <w:pPr>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地址：</w:t>
      </w:r>
    </w:p>
    <w:p w14:paraId="18643309">
      <w:pPr>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受益人：</w:t>
      </w:r>
    </w:p>
    <w:p w14:paraId="3EA79220">
      <w:pPr>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地址：</w:t>
      </w:r>
    </w:p>
    <w:p w14:paraId="64952832">
      <w:pPr>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开立人：</w:t>
      </w:r>
    </w:p>
    <w:p w14:paraId="330625D8">
      <w:pPr>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地址：</w:t>
      </w:r>
    </w:p>
    <w:p w14:paraId="3DCDC948">
      <w:pPr>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p>
    <w:p w14:paraId="7A45F237">
      <w:pPr>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（受益人名称）： </w:t>
      </w:r>
    </w:p>
    <w:p w14:paraId="3D65FB18">
      <w:pPr>
        <w:spacing w:line="360" w:lineRule="auto"/>
        <w:ind w:firstLine="48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鉴于</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（以下简称“受益人”）与</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（以下简称“申请人”）于</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日就</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工程（以下简称“本工程”）施工和有关事项协商一致共同签订</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 xml:space="preserve">（以下简称“基础合同”），我方（即“开立人”）根据基础合同了解到申请人为基础合同项下之承包人，受益人为基础合同项下之发包人，基于申请人的请求，我方同意就申请人履行与贵方签订的基础合同项下的义务，向贵方提供不可撤销、不可转让的见索即付独立保函（以下简称“本保函”）。 </w:t>
      </w:r>
    </w:p>
    <w:p w14:paraId="368BF693">
      <w:pPr>
        <w:spacing w:line="360" w:lineRule="auto"/>
        <w:ind w:firstLine="48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一、本保函担保范围：承包人未按照基础合同的约定履行义务，应当向贵方承担的违约责任和赔偿因此造成的损失、利息、律师费、诉讼费用等实现债权的费用。</w:t>
      </w:r>
    </w:p>
    <w:p w14:paraId="42FA32AD">
      <w:pPr>
        <w:spacing w:line="360" w:lineRule="auto"/>
        <w:ind w:firstLine="48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二、本保函担保金额最高不超过人民币（大写）</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元（¥</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p>
    <w:p w14:paraId="588A2A9C">
      <w:pPr>
        <w:spacing w:line="360" w:lineRule="auto"/>
        <w:ind w:firstLine="48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三、本保函有效期自开立之日起至基础合同约定的缺陷责任期后</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日止，最迟不超过</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日。 </w:t>
      </w:r>
    </w:p>
    <w:p w14:paraId="49D08ADC">
      <w:pPr>
        <w:spacing w:line="360" w:lineRule="auto"/>
        <w:ind w:firstLine="48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四、我方承诺，在收到受益人发来的书面付款通知后的</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日内无条件支付，前述书面付款通知即为付款要求之单据，且应满足以下要求：</w:t>
      </w:r>
    </w:p>
    <w:p w14:paraId="7823E0BA">
      <w:pPr>
        <w:spacing w:line="360" w:lineRule="auto"/>
        <w:ind w:firstLine="48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（1）付款通知到达的日期在本保函的有效期内；</w:t>
      </w:r>
    </w:p>
    <w:p w14:paraId="4790262E">
      <w:pPr>
        <w:spacing w:line="360" w:lineRule="auto"/>
        <w:ind w:firstLine="48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（2）载明要求支付的金额；</w:t>
      </w:r>
    </w:p>
    <w:p w14:paraId="63D52BD4">
      <w:pPr>
        <w:spacing w:line="360" w:lineRule="auto"/>
        <w:ind w:firstLine="48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（3）载明申请人违反合同义务的条款和内容；</w:t>
      </w:r>
    </w:p>
    <w:p w14:paraId="52801F60">
      <w:pPr>
        <w:spacing w:line="360" w:lineRule="auto"/>
        <w:ind w:firstLine="48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（4）声明不存在合同文件约定或我国法律规定免除申请人或开立人支付责任的情形；</w:t>
      </w:r>
    </w:p>
    <w:p w14:paraId="68DC4616">
      <w:pPr>
        <w:spacing w:line="360" w:lineRule="auto"/>
        <w:ind w:firstLine="48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（5）付款通知应在本保函有效期内到达的地址是：</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w:t>
      </w:r>
    </w:p>
    <w:p w14:paraId="2933CE6D">
      <w:pPr>
        <w:spacing w:line="360" w:lineRule="auto"/>
        <w:ind w:firstLine="48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受益人发出的书面付款通知应由其为鉴明受益人法定代表人（负责人）或授权代理人签字并加盖公章。</w:t>
      </w:r>
    </w:p>
    <w:p w14:paraId="1F396000">
      <w:pPr>
        <w:spacing w:line="360" w:lineRule="auto"/>
        <w:ind w:firstLine="48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五、本保函项下的权利不得转让，不得设定担保。贵方未经我方书面同意转 让本保函或其项下任何权利，对我方不发生法律效力。 </w:t>
      </w:r>
    </w:p>
    <w:p w14:paraId="13DCA1CE">
      <w:pPr>
        <w:spacing w:line="360" w:lineRule="auto"/>
        <w:ind w:firstLine="48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六、与本保函有关的基础合同不成立、不生效、无效、被撤销、被解除，不影响本保函的独立有效。 </w:t>
      </w:r>
    </w:p>
    <w:p w14:paraId="68C52CB7">
      <w:pPr>
        <w:spacing w:line="360" w:lineRule="auto"/>
        <w:ind w:firstLine="48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七、贵方应在本保函到期后的七日内将本保函正本退回我方注销，但是不论贵方是否按此要求将本保函正本退回我方，我方在本保函项下的义务和责任均在保函有效期到期后自动消灭。 </w:t>
      </w:r>
    </w:p>
    <w:p w14:paraId="5425006A">
      <w:pPr>
        <w:spacing w:line="360" w:lineRule="auto"/>
        <w:ind w:firstLine="48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八、本保函适用的法律为中华人民共和国法律，争议裁判管辖地为中华人民共和国</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p>
    <w:p w14:paraId="22D8BCC8">
      <w:pPr>
        <w:spacing w:line="360" w:lineRule="auto"/>
        <w:ind w:firstLine="48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九、本保函自我方法定代表人或授权代表签字并加盖公章之日起生效。 </w:t>
      </w:r>
    </w:p>
    <w:p w14:paraId="269447C7">
      <w:pPr>
        <w:spacing w:line="360" w:lineRule="auto"/>
        <w:ind w:firstLine="48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开 立 人：                              （公章） </w:t>
      </w:r>
    </w:p>
    <w:p w14:paraId="4F9D83FE">
      <w:pPr>
        <w:spacing w:line="360" w:lineRule="auto"/>
        <w:ind w:firstLine="48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法定代表人（或授权代表）：               （签字） </w:t>
      </w:r>
    </w:p>
    <w:p w14:paraId="11E67061">
      <w:pPr>
        <w:spacing w:line="360" w:lineRule="auto"/>
        <w:ind w:firstLine="48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地    址：                                       </w:t>
      </w:r>
    </w:p>
    <w:p w14:paraId="387403D6">
      <w:pPr>
        <w:spacing w:line="360" w:lineRule="auto"/>
        <w:ind w:firstLine="48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邮政编码：                 </w:t>
      </w:r>
    </w:p>
    <w:p w14:paraId="6FEA0AFC">
      <w:pPr>
        <w:spacing w:line="360" w:lineRule="auto"/>
        <w:ind w:firstLine="48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电    话：                 </w:t>
      </w:r>
    </w:p>
    <w:p w14:paraId="74423AA2">
      <w:pPr>
        <w:spacing w:line="360" w:lineRule="auto"/>
        <w:ind w:firstLine="48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传    真：                 </w:t>
      </w:r>
    </w:p>
    <w:p w14:paraId="26B7C8AD">
      <w:pPr>
        <w:spacing w:line="360" w:lineRule="auto"/>
        <w:ind w:firstLine="480"/>
        <w:rPr>
          <w:rFonts w:hint="eastAsia"/>
          <w:color w:val="000000" w:themeColor="text1"/>
          <w:szCs w:val="2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开立时间：      年      月    </w:t>
      </w:r>
    </w:p>
    <w:p w14:paraId="68764582">
      <w:pPr>
        <w:spacing w:line="360" w:lineRule="auto"/>
        <w:jc w:val="left"/>
        <w:rPr>
          <w:rFonts w:eastAsia="仿宋_GB2312"/>
          <w:color w:val="000000" w:themeColor="text1"/>
          <w:sz w:val="30"/>
          <w:szCs w:val="30"/>
          <w:highlight w:val="none"/>
          <w14:textFill>
            <w14:solidFill>
              <w14:schemeClr w14:val="tx1"/>
            </w14:solidFill>
          </w14:textFill>
        </w:rPr>
      </w:pPr>
    </w:p>
    <w:p w14:paraId="7E5D1A25">
      <w:pPr>
        <w:spacing w:line="360" w:lineRule="auto"/>
        <w:rPr>
          <w:rFonts w:hint="eastAsia" w:ascii="宋体" w:hAnsi="宋体"/>
          <w:b/>
          <w:bCs/>
          <w:color w:val="000000" w:themeColor="text1"/>
          <w:sz w:val="32"/>
          <w:szCs w:val="32"/>
          <w:highlight w:val="none"/>
          <w14:textFill>
            <w14:solidFill>
              <w14:schemeClr w14:val="tx1"/>
            </w14:solidFill>
          </w14:textFill>
        </w:rPr>
      </w:pPr>
    </w:p>
    <w:p w14:paraId="097911A6">
      <w:pPr>
        <w:spacing w:line="360" w:lineRule="auto"/>
        <w:jc w:val="center"/>
        <w:rPr>
          <w:rFonts w:hint="eastAsia" w:ascii="宋体" w:hAnsi="宋体"/>
          <w:b/>
          <w:bCs/>
          <w:color w:val="000000" w:themeColor="text1"/>
          <w:sz w:val="32"/>
          <w:szCs w:val="32"/>
          <w:highlight w:val="none"/>
          <w14:textFill>
            <w14:solidFill>
              <w14:schemeClr w14:val="tx1"/>
            </w14:solidFill>
          </w14:textFill>
        </w:rPr>
      </w:pPr>
      <w:r>
        <w:rPr>
          <w:rFonts w:ascii="宋体" w:hAnsi="宋体"/>
          <w:b/>
          <w:bCs/>
          <w:color w:val="000000" w:themeColor="text1"/>
          <w:sz w:val="32"/>
          <w:szCs w:val="32"/>
          <w:highlight w:val="none"/>
          <w14:textFill>
            <w14:solidFill>
              <w14:schemeClr w14:val="tx1"/>
            </w14:solidFill>
          </w14:textFill>
        </w:rPr>
        <w:br w:type="page" w:clear="all"/>
      </w:r>
      <w:r>
        <w:rPr>
          <w:rFonts w:hint="eastAsia" w:ascii="宋体" w:hAnsi="宋体"/>
          <w:b/>
          <w:bCs/>
          <w:color w:val="000000" w:themeColor="text1"/>
          <w:sz w:val="32"/>
          <w:szCs w:val="32"/>
          <w:highlight w:val="none"/>
          <w14:textFill>
            <w14:solidFill>
              <w14:schemeClr w14:val="tx1"/>
            </w14:solidFill>
          </w14:textFill>
        </w:rPr>
        <w:t>履约保函示范文本</w:t>
      </w:r>
    </w:p>
    <w:p w14:paraId="40D3514A">
      <w:pPr>
        <w:spacing w:line="360" w:lineRule="auto"/>
        <w:jc w:val="center"/>
        <w:rPr>
          <w:rFonts w:hint="eastAsia"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（非独立保函）</w:t>
      </w:r>
    </w:p>
    <w:p w14:paraId="221294E4">
      <w:pPr>
        <w:spacing w:line="360" w:lineRule="auto"/>
        <w:jc w:val="center"/>
        <w:rPr>
          <w:rFonts w:hint="eastAsia" w:ascii="宋体" w:hAnsi="宋体"/>
          <w:b/>
          <w:bCs/>
          <w:color w:val="000000" w:themeColor="text1"/>
          <w:sz w:val="32"/>
          <w:szCs w:val="32"/>
          <w:highlight w:val="none"/>
          <w14:textFill>
            <w14:solidFill>
              <w14:schemeClr w14:val="tx1"/>
            </w14:solidFill>
          </w14:textFill>
        </w:rPr>
      </w:pPr>
    </w:p>
    <w:p w14:paraId="6F7805A2">
      <w:pPr>
        <w:spacing w:line="360" w:lineRule="auto"/>
        <w:jc w:val="righ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编号：           </w:t>
      </w:r>
    </w:p>
    <w:p w14:paraId="6A4F4344">
      <w:pPr>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承包人：</w:t>
      </w:r>
    </w:p>
    <w:p w14:paraId="3079119A">
      <w:pPr>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w:t>
      </w:r>
    </w:p>
    <w:p w14:paraId="3EB5A141">
      <w:pPr>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担保权人/发包人： </w:t>
      </w:r>
    </w:p>
    <w:p w14:paraId="3E786CE8">
      <w:pPr>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w:t>
      </w:r>
    </w:p>
    <w:p w14:paraId="0D3C7B3D">
      <w:pPr>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保证人：</w:t>
      </w:r>
    </w:p>
    <w:p w14:paraId="458095F4">
      <w:pPr>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w:t>
      </w:r>
    </w:p>
    <w:p w14:paraId="72801D6E">
      <w:pPr>
        <w:spacing w:line="360" w:lineRule="auto"/>
        <w:rPr>
          <w:rFonts w:hint="eastAsia" w:ascii="宋体" w:hAnsi="宋体"/>
          <w:color w:val="000000" w:themeColor="text1"/>
          <w:sz w:val="24"/>
          <w:highlight w:val="none"/>
          <w14:textFill>
            <w14:solidFill>
              <w14:schemeClr w14:val="tx1"/>
            </w14:solidFill>
          </w14:textFill>
        </w:rPr>
      </w:pPr>
    </w:p>
    <w:p w14:paraId="40CA48D2">
      <w:pPr>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（发包人名称）： </w:t>
      </w:r>
    </w:p>
    <w:p w14:paraId="7674F683">
      <w:pPr>
        <w:spacing w:line="360" w:lineRule="auto"/>
        <w:ind w:firstLine="48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鉴于</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（以下简称“发包人”）与</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（以下简称“承包人”）于</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日就</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工程（以下简称“本工程”）施工和有关事项协商一致共同签订</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 xml:space="preserve">（以下简称“主合同”），我方即保证人基于承包人的请求，同意就承包人履行与贵方签订的主合同项下的义务，向贵方提供如下保证担保（以下简称“本保证担保”）。 </w:t>
      </w:r>
    </w:p>
    <w:p w14:paraId="38382B0A">
      <w:pPr>
        <w:spacing w:line="360" w:lineRule="auto"/>
        <w:rPr>
          <w:rFonts w:hint="eastAsia" w:ascii="宋体" w:hAnsi="宋体"/>
          <w:b/>
          <w:bCs/>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一、保证担保的范围及保证担保金额</w:t>
      </w:r>
    </w:p>
    <w:p w14:paraId="57228089">
      <w:pPr>
        <w:spacing w:line="360" w:lineRule="auto"/>
        <w:ind w:firstLine="48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1.保证担保范围：承包人未按照主合同的约定履行义务，应当向贵方承担的违约责任和赔偿因此造成的损失、利息、律师费、诉讼费用等实现债权的费用。</w:t>
      </w:r>
    </w:p>
    <w:p w14:paraId="6FAD543D">
      <w:pPr>
        <w:spacing w:line="360" w:lineRule="auto"/>
        <w:ind w:firstLine="48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2.保证担保金额最高不超过人民币（大写）</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元（¥</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p>
    <w:p w14:paraId="5E6BD31A">
      <w:pPr>
        <w:spacing w:line="360" w:lineRule="auto"/>
        <w:ind w:firstLine="482"/>
        <w:rPr>
          <w:rFonts w:hint="eastAsia"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 xml:space="preserve">二、保证担保的方式及保证期间 </w:t>
      </w:r>
    </w:p>
    <w:p w14:paraId="4DD13775">
      <w:pPr>
        <w:spacing w:line="360" w:lineRule="auto"/>
        <w:ind w:firstLine="48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1.保证担保方式：连带责任保证。</w:t>
      </w:r>
    </w:p>
    <w:p w14:paraId="2F1F3AE0">
      <w:pPr>
        <w:spacing w:line="360" w:lineRule="auto"/>
        <w:ind w:firstLine="48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2.保证期间：自出具之日起至主合同约定的缺陷责任期后</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日止，最迟不超过</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日。 </w:t>
      </w:r>
    </w:p>
    <w:p w14:paraId="60C1EC23">
      <w:pPr>
        <w:spacing w:line="360" w:lineRule="auto"/>
        <w:ind w:firstLine="482"/>
        <w:rPr>
          <w:rFonts w:hint="eastAsia"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三、承担保证担保责任的形式</w:t>
      </w:r>
    </w:p>
    <w:p w14:paraId="11FC5BBC">
      <w:pPr>
        <w:spacing w:line="360" w:lineRule="auto"/>
        <w:ind w:firstLine="48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我方按照贵方的要求以下列方式之一承担保证担保责任： </w:t>
      </w:r>
    </w:p>
    <w:p w14:paraId="6420C017">
      <w:pPr>
        <w:spacing w:line="360" w:lineRule="auto"/>
        <w:ind w:firstLine="48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1.向承包人资金、设备或者技术援助，使其能继续履行合同义务；</w:t>
      </w:r>
    </w:p>
    <w:p w14:paraId="1686FED7">
      <w:pPr>
        <w:spacing w:line="360" w:lineRule="auto"/>
        <w:ind w:firstLine="48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2.直接接管该项工程或者委托经贵方同意的其他承包商，继续履行合同义务；</w:t>
      </w:r>
    </w:p>
    <w:p w14:paraId="7A5A47E5">
      <w:pPr>
        <w:spacing w:line="360" w:lineRule="auto"/>
        <w:ind w:firstLine="48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3.在保证担保金额最高限额内，按照合同约定，向贵方承担违约责任和赔偿因此造成的损失，以及利息和律师费、诉讼费用等实现债权的费用。</w:t>
      </w:r>
    </w:p>
    <w:p w14:paraId="6F3CDE58">
      <w:pPr>
        <w:spacing w:line="360" w:lineRule="auto"/>
        <w:ind w:firstLine="482"/>
        <w:rPr>
          <w:rFonts w:hint="eastAsia"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 xml:space="preserve">四、代偿的安排 </w:t>
      </w:r>
    </w:p>
    <w:p w14:paraId="76586732">
      <w:pPr>
        <w:spacing w:line="360" w:lineRule="auto"/>
        <w:ind w:firstLine="48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1.贵方要求我方承担保证责任的，应向我方发出书面索赔通知及承包人未履行主合同约定义务的证明材料。索赔通知应写明要求索赔的金额，支付款项应到达的</w:t>
      </w:r>
      <w:r>
        <w:rPr>
          <w:rFonts w:hint="eastAsia" w:ascii="宋体" w:hAnsi="宋体"/>
          <w:color w:val="000000" w:themeColor="text1"/>
          <w:sz w:val="24"/>
          <w:highlight w:val="none"/>
          <w:lang w:eastAsia="zh-CN"/>
          <w14:textFill>
            <w14:solidFill>
              <w14:schemeClr w14:val="tx1"/>
            </w14:solidFill>
          </w14:textFill>
        </w:rPr>
        <w:t>账</w:t>
      </w:r>
      <w:r>
        <w:rPr>
          <w:rFonts w:hint="eastAsia" w:ascii="宋体" w:hAnsi="宋体"/>
          <w:color w:val="000000" w:themeColor="text1"/>
          <w:sz w:val="24"/>
          <w:highlight w:val="none"/>
          <w14:textFill>
            <w14:solidFill>
              <w14:schemeClr w14:val="tx1"/>
            </w14:solidFill>
          </w14:textFill>
        </w:rPr>
        <w:t>号，并附有说明承包人违反主合同造成贵方损失情况的证明材料。</w:t>
      </w:r>
    </w:p>
    <w:p w14:paraId="7D3886CF">
      <w:pPr>
        <w:spacing w:line="360" w:lineRule="auto"/>
        <w:ind w:firstLine="48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2.贵方以工程质量不符合主合同约定标准为由，向我方提出违约索赔的，还需同时提供符合相应条件要求的工程质量检测部门出具的质量说明材料。</w:t>
      </w:r>
    </w:p>
    <w:p w14:paraId="7645BA03">
      <w:pPr>
        <w:spacing w:line="360" w:lineRule="auto"/>
        <w:ind w:firstLine="48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3.我方收到贵方的书面索赔通知及相应证明材料后，在</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工作日内进行核定后按照本保函的承诺承担保证责任。</w:t>
      </w:r>
    </w:p>
    <w:p w14:paraId="40394468">
      <w:pPr>
        <w:spacing w:line="360" w:lineRule="auto"/>
        <w:ind w:firstLine="482"/>
        <w:rPr>
          <w:rFonts w:hint="eastAsia"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 xml:space="preserve">五、保证担保责任的解除 </w:t>
      </w:r>
    </w:p>
    <w:p w14:paraId="5CFFB2A9">
      <w:pPr>
        <w:spacing w:line="360" w:lineRule="auto"/>
        <w:ind w:firstLine="48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1.保证期间届满贵方未向我方书面主张保证责任的，自保证期间届满次日起，我方解除保证责任。 </w:t>
      </w:r>
    </w:p>
    <w:p w14:paraId="0B073E6E">
      <w:pPr>
        <w:spacing w:line="360" w:lineRule="auto"/>
        <w:ind w:firstLine="48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2.我方按照本保证担保向贵方履行了保证担保责任后，自我方向贵方支付的金额达到最高保证担保金额之日起，保证担保责任解除。 </w:t>
      </w:r>
    </w:p>
    <w:p w14:paraId="42604044">
      <w:pPr>
        <w:spacing w:line="360" w:lineRule="auto"/>
        <w:ind w:firstLine="48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3.按照法律法规的规定应解除我方保证担保责任的其它情形的，我方在本保证担保项下的保证担保责任亦解除。 </w:t>
      </w:r>
    </w:p>
    <w:p w14:paraId="65FF2297">
      <w:pPr>
        <w:spacing w:line="360" w:lineRule="auto"/>
        <w:ind w:firstLine="48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我方解除保证责任后，贵方应按上述约定，自我方保证担保责任解除之日起七日内，将本保证担保原件返还我方。但是不论贵方是否按此要求将本保证担保原件退回我方，我方在本保证担保项下的义务和责任均自保证担保责任解除之日自动消灭。</w:t>
      </w:r>
    </w:p>
    <w:p w14:paraId="436711BA">
      <w:pPr>
        <w:spacing w:line="360" w:lineRule="auto"/>
        <w:ind w:firstLine="482"/>
        <w:rPr>
          <w:rFonts w:hint="eastAsia"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 xml:space="preserve">六、免责条款 </w:t>
      </w:r>
    </w:p>
    <w:p w14:paraId="1EE6F116">
      <w:pPr>
        <w:spacing w:line="360" w:lineRule="auto"/>
        <w:ind w:firstLine="48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1.因贵方原因致使承包人未按照主合同约定履行义务的，我方不承担保证担保责任。 </w:t>
      </w:r>
    </w:p>
    <w:p w14:paraId="5642358F">
      <w:pPr>
        <w:spacing w:line="360" w:lineRule="auto"/>
        <w:ind w:firstLine="48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2.依照法律规定或贵方与发包人的另行约定，免除承包人部分或全部义务的，我方亦免除其相应的保证担保责任。 </w:t>
      </w:r>
    </w:p>
    <w:p w14:paraId="3C5005E8">
      <w:pPr>
        <w:spacing w:line="360" w:lineRule="auto"/>
        <w:ind w:firstLine="48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3.因不可抗力造成承包人未按照主合同约定履行义务的，我方不承担保证担保责任。</w:t>
      </w:r>
    </w:p>
    <w:p w14:paraId="60F31DF0">
      <w:pPr>
        <w:spacing w:line="360" w:lineRule="auto"/>
        <w:ind w:firstLine="482"/>
        <w:rPr>
          <w:rFonts w:hint="eastAsia"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七、其他</w:t>
      </w:r>
    </w:p>
    <w:p w14:paraId="2CF409FB">
      <w:pPr>
        <w:spacing w:line="360" w:lineRule="auto"/>
        <w:ind w:firstLine="48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1.本保证担保项下的权利不得转让，不得设定担保。贵方未经我方书面同意转让本保证担保或其项下任何权利，对我方不发生法律效力。 </w:t>
      </w:r>
    </w:p>
    <w:p w14:paraId="24DBB23D">
      <w:pPr>
        <w:spacing w:line="360" w:lineRule="auto"/>
        <w:ind w:firstLine="48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2.本保证担保适用的法律为中华人民共和国法律，争议裁判管辖地为中华人民共和国</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p>
    <w:p w14:paraId="1045D285">
      <w:pPr>
        <w:spacing w:line="360" w:lineRule="auto"/>
        <w:ind w:firstLine="48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3.本保证担保自我方法定代表人或授权代表签字并加盖公章之日起生效。 </w:t>
      </w:r>
    </w:p>
    <w:p w14:paraId="7D655C12">
      <w:pPr>
        <w:spacing w:line="360" w:lineRule="auto"/>
        <w:ind w:firstLine="480"/>
        <w:rPr>
          <w:rFonts w:hint="eastAsia" w:ascii="宋体" w:hAnsi="宋体"/>
          <w:color w:val="000000" w:themeColor="text1"/>
          <w:sz w:val="24"/>
          <w:highlight w:val="none"/>
          <w14:textFill>
            <w14:solidFill>
              <w14:schemeClr w14:val="tx1"/>
            </w14:solidFill>
          </w14:textFill>
        </w:rPr>
      </w:pPr>
    </w:p>
    <w:p w14:paraId="6A1E8ACD">
      <w:pPr>
        <w:spacing w:line="360" w:lineRule="auto"/>
        <w:ind w:firstLine="48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保 证 人：                              （公章） </w:t>
      </w:r>
    </w:p>
    <w:p w14:paraId="1A676561">
      <w:pPr>
        <w:spacing w:line="360" w:lineRule="auto"/>
        <w:ind w:firstLine="48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法定代表人（或授权代表）：               （签字） </w:t>
      </w:r>
    </w:p>
    <w:p w14:paraId="72326C53">
      <w:pPr>
        <w:spacing w:line="360" w:lineRule="auto"/>
        <w:ind w:firstLine="48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地    址：                                       </w:t>
      </w:r>
    </w:p>
    <w:p w14:paraId="3D19FA5E">
      <w:pPr>
        <w:spacing w:line="360" w:lineRule="auto"/>
        <w:ind w:firstLine="48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邮政编码：                 </w:t>
      </w:r>
    </w:p>
    <w:p w14:paraId="4C83C150">
      <w:pPr>
        <w:spacing w:line="360" w:lineRule="auto"/>
        <w:ind w:firstLine="48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电    话：                 </w:t>
      </w:r>
    </w:p>
    <w:p w14:paraId="61A83524">
      <w:pPr>
        <w:spacing w:line="360" w:lineRule="auto"/>
        <w:ind w:firstLine="48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传    真：                 </w:t>
      </w:r>
    </w:p>
    <w:p w14:paraId="1CB70967">
      <w:pPr>
        <w:spacing w:before="156" w:after="156" w:line="440" w:lineRule="exact"/>
        <w:jc w:val="center"/>
        <w:rPr>
          <w:rFonts w:ascii="黑体" w:hAnsi="宋体" w:eastAsia="黑体"/>
          <w:color w:val="000000" w:themeColor="text1"/>
          <w:sz w:val="32"/>
          <w:szCs w:val="32"/>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时    间：      年      月        日</w:t>
      </w:r>
    </w:p>
    <w:p w14:paraId="14131E79">
      <w:pPr>
        <w:widowControl/>
        <w:rPr>
          <w:color w:val="000000" w:themeColor="text1"/>
          <w:highlight w:val="none"/>
          <w14:textFill>
            <w14:solidFill>
              <w14:schemeClr w14:val="tx1"/>
            </w14:solidFill>
          </w14:textFill>
        </w:rPr>
      </w:pPr>
    </w:p>
    <w:bookmarkEnd w:id="238"/>
    <w:sectPr>
      <w:footerReference r:id="rId26" w:type="first"/>
      <w:footerReference r:id="rId25" w:type="default"/>
      <w:pgSz w:w="11907" w:h="16840"/>
      <w:pgMar w:top="1440" w:right="1440" w:bottom="1440" w:left="1797" w:header="851" w:footer="85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2010609030101010101"/>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20B0603030804020204"/>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imes New Roman)">
    <w:altName w:val="Times New Roman"/>
    <w:panose1 w:val="02020603050405020304"/>
    <w:charset w:val="00"/>
    <w:family w:val="auto"/>
    <w:pitch w:val="default"/>
    <w:sig w:usb0="00000000" w:usb1="00000000" w:usb2="00000000" w:usb3="00000000" w:csb0="00000000" w:csb1="00000000"/>
  </w:font>
  <w:font w:name="宋体正文">
    <w:altName w:val="宋体"/>
    <w:panose1 w:val="02010600030101010101"/>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Verdana">
    <w:panose1 w:val="020B0604030504040204"/>
    <w:charset w:val="00"/>
    <w:family w:val="auto"/>
    <w:pitch w:val="default"/>
    <w:sig w:usb0="A10006FF" w:usb1="4000205B" w:usb2="00000010"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ˎ̥">
    <w:altName w:val="Segoe Print"/>
    <w:panose1 w:val="020B0603030804020204"/>
    <w:charset w:val="00"/>
    <w:family w:val="auto"/>
    <w:pitch w:val="default"/>
    <w:sig w:usb0="00000000" w:usb1="00000000" w:usb2="00000000" w:usb3="00000000" w:csb0="00000000" w:csb1="00000000"/>
  </w:font>
  <w:font w:name="楷体_GB2312">
    <w:altName w:val="楷体"/>
    <w:panose1 w:val="02010609030101010101"/>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DE9A0">
    <w:pPr>
      <w:pStyle w:val="30"/>
      <w:tabs>
        <w:tab w:val="center" w:pos="4439"/>
        <w:tab w:val="clear" w:pos="4153"/>
      </w:tabs>
      <w:jc w:val="both"/>
    </w:pPr>
  </w:p>
  <w:p w14:paraId="43086E66">
    <w:pPr>
      <w:pStyle w:val="3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ECA0D">
    <w:pPr>
      <w:spacing w:line="1" w:lineRule="exact"/>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ge">
                <wp:posOffset>9999345</wp:posOffset>
              </wp:positionV>
              <wp:extent cx="304800" cy="79375"/>
              <wp:effectExtent l="0" t="0" r="0" b="0"/>
              <wp:wrapNone/>
              <wp:docPr id="8" name="文本框 14"/>
              <wp:cNvGraphicFramePr/>
              <a:graphic xmlns:a="http://schemas.openxmlformats.org/drawingml/2006/main">
                <a:graphicData uri="http://schemas.microsoft.com/office/word/2010/wordprocessingShape">
                  <wps:wsp>
                    <wps:cNvSpPr txBox="1"/>
                    <wps:spPr bwMode="auto">
                      <a:xfrm>
                        <a:off x="0" y="0"/>
                        <a:ext cx="304800" cy="79375"/>
                      </a:xfrm>
                      <a:prstGeom prst="rect">
                        <a:avLst/>
                      </a:prstGeom>
                      <a:noFill/>
                      <a:ln>
                        <a:noFill/>
                      </a:ln>
                      <a:effectLst/>
                    </wps:spPr>
                    <wps:txbx>
                      <w:txbxContent>
                        <w:p w14:paraId="433508A8">
                          <w:pPr>
                            <w:pStyle w:val="332"/>
                            <w:jc w:val="left"/>
                          </w:pPr>
                          <w:r>
                            <w:rPr>
                              <w:rFonts w:ascii="宋体" w:hAnsi="宋体" w:cs="宋体"/>
                            </w:rPr>
                            <w:t>・</w:t>
                          </w:r>
                          <w:r>
                            <w:fldChar w:fldCharType="begin"/>
                          </w:r>
                          <w:r>
                            <w:instrText xml:space="preserve"> PAGE \* MERGEFORMAT </w:instrText>
                          </w:r>
                          <w:r>
                            <w:fldChar w:fldCharType="separate"/>
                          </w:r>
                          <w:r>
                            <w:t>174</w:t>
                          </w:r>
                          <w:r>
                            <w:fldChar w:fldCharType="end"/>
                          </w:r>
                          <w:r>
                            <w:rPr>
                              <w:rFonts w:ascii="宋体" w:hAnsi="宋体" w:cs="宋体"/>
                            </w:rPr>
                            <w:t>・</w:t>
                          </w:r>
                        </w:p>
                      </w:txbxContent>
                    </wps:txbx>
                    <wps:bodyPr wrap="none" lIns="0" tIns="0" rIns="0" bIns="0">
                      <a:spAutoFit/>
                    </wps:bodyPr>
                  </wps:wsp>
                </a:graphicData>
              </a:graphic>
            </wp:anchor>
          </w:drawing>
        </mc:Choice>
        <mc:Fallback>
          <w:pict>
            <v:shape id="文本框 14" o:spid="_x0000_s1026" o:spt="202" type="#_x0000_t202" style="position:absolute;left:0pt;margin-top:787.35pt;height:6.25pt;width:24pt;mso-position-horizontal:center;mso-position-horizontal-relative:margin;mso-position-vertical-relative:page;mso-wrap-style:none;z-index:251664384;mso-width-relative:page;mso-height-relative:page;" filled="f" stroked="f" coordsize="21600,21600" o:gfxdata="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a/Q3UAAAACQEAAA8AAAAAAAAAAQAgAAAA&#10;IgAAAGRycy9kb3ducmV2LnhtbFBLAQIUABQAAAAIAIdO4kA0GoW11gEAAKcDAAAOAAAAAAAAAAEA&#10;IAAAACMBAABkcnMvZTJvRG9jLnhtbFBLBQYAAAAABgAGAFkBAABrBQAAAAA=&#10;">
              <v:fill on="f" focussize="0,0"/>
              <v:stroke on="f"/>
              <v:imagedata o:title=""/>
              <o:lock v:ext="edit" aspectratio="f"/>
              <v:textbox inset="0mm,0mm,0mm,0mm" style="mso-fit-shape-to-text:t;">
                <w:txbxContent>
                  <w:p w14:paraId="433508A8">
                    <w:pPr>
                      <w:pStyle w:val="332"/>
                      <w:jc w:val="left"/>
                    </w:pPr>
                    <w:r>
                      <w:rPr>
                        <w:rFonts w:ascii="宋体" w:hAnsi="宋体" w:cs="宋体"/>
                      </w:rPr>
                      <w:t>・</w:t>
                    </w:r>
                    <w:r>
                      <w:fldChar w:fldCharType="begin"/>
                    </w:r>
                    <w:r>
                      <w:instrText xml:space="preserve"> PAGE \* MERGEFORMAT </w:instrText>
                    </w:r>
                    <w:r>
                      <w:fldChar w:fldCharType="separate"/>
                    </w:r>
                    <w:r>
                      <w:t>174</w:t>
                    </w:r>
                    <w:r>
                      <w:fldChar w:fldCharType="end"/>
                    </w:r>
                    <w:r>
                      <w:rPr>
                        <w:rFonts w:ascii="宋体" w:hAnsi="宋体" w:cs="宋体"/>
                      </w:rPr>
                      <w:t>・</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8FB17">
    <w:pPr>
      <w:spacing w:line="1" w:lineRule="exact"/>
    </w:pPr>
    <w:r>
      <w:rPr>
        <w:sz w:val="21"/>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7"/>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4CC317">
                          <w:pPr>
                            <w:pStyle w:val="30"/>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7"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LNJWO7QAAAABQEAAA8AAAAAAAAAAQAgAAAAIgAAAGRycy9kb3ducmV2&#10;LnhtbFBLAQIUABQAAAAIAIdO4kBDQg/GPQIAAHAEAAAOAAAAAAAAAAEAIAAAAB8BAABkcnMvZTJv&#10;RG9jLnhtbFBLBQYAAAAABgAGAFkBAADOBQAAAAA=&#10;">
              <v:fill on="f" focussize="0,0"/>
              <v:stroke on="f" weight="0.5pt"/>
              <v:imagedata o:title=""/>
              <o:lock v:ext="edit" aspectratio="f"/>
              <v:textbox inset="0mm,0mm,0mm,0mm" style="mso-fit-shape-to-text:t;">
                <w:txbxContent>
                  <w:p w14:paraId="7A4CC317">
                    <w:pPr>
                      <w:pStyle w:val="30"/>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12DF7">
    <w:pPr>
      <w:spacing w:line="1" w:lineRule="exact"/>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ge">
                <wp:posOffset>9999345</wp:posOffset>
              </wp:positionV>
              <wp:extent cx="304800" cy="79375"/>
              <wp:effectExtent l="0" t="0" r="0" b="0"/>
              <wp:wrapNone/>
              <wp:docPr id="10" name="文本框 381"/>
              <wp:cNvGraphicFramePr/>
              <a:graphic xmlns:a="http://schemas.openxmlformats.org/drawingml/2006/main">
                <a:graphicData uri="http://schemas.microsoft.com/office/word/2010/wordprocessingShape">
                  <wps:wsp>
                    <wps:cNvSpPr txBox="1"/>
                    <wps:spPr bwMode="auto">
                      <a:xfrm>
                        <a:off x="0" y="0"/>
                        <a:ext cx="304800" cy="79375"/>
                      </a:xfrm>
                      <a:prstGeom prst="rect">
                        <a:avLst/>
                      </a:prstGeom>
                      <a:noFill/>
                      <a:ln>
                        <a:noFill/>
                      </a:ln>
                      <a:effectLst/>
                    </wps:spPr>
                    <wps:txbx>
                      <w:txbxContent>
                        <w:p w14:paraId="3BBAD19A">
                          <w:pPr>
                            <w:pStyle w:val="332"/>
                            <w:jc w:val="left"/>
                          </w:pPr>
                          <w:r>
                            <w:rPr>
                              <w:rFonts w:ascii="宋体" w:hAnsi="宋体" w:cs="宋体"/>
                            </w:rPr>
                            <w:t>・</w:t>
                          </w:r>
                          <w:r>
                            <w:fldChar w:fldCharType="begin"/>
                          </w:r>
                          <w:r>
                            <w:instrText xml:space="preserve"> PAGE \* MERGEFORMAT </w:instrText>
                          </w:r>
                          <w:r>
                            <w:fldChar w:fldCharType="separate"/>
                          </w:r>
                          <w:r>
                            <w:t>178</w:t>
                          </w:r>
                          <w:r>
                            <w:fldChar w:fldCharType="end"/>
                          </w:r>
                          <w:r>
                            <w:rPr>
                              <w:rFonts w:ascii="宋体" w:hAnsi="宋体" w:cs="宋体"/>
                            </w:rPr>
                            <w:t>・</w:t>
                          </w:r>
                        </w:p>
                      </w:txbxContent>
                    </wps:txbx>
                    <wps:bodyPr wrap="none" lIns="0" tIns="0" rIns="0" bIns="0">
                      <a:spAutoFit/>
                    </wps:bodyPr>
                  </wps:wsp>
                </a:graphicData>
              </a:graphic>
            </wp:anchor>
          </w:drawing>
        </mc:Choice>
        <mc:Fallback>
          <w:pict>
            <v:shape id="文本框 381" o:spid="_x0000_s1026" o:spt="202" type="#_x0000_t202" style="position:absolute;left:0pt;margin-top:787.35pt;height:6.25pt;width:24pt;mso-position-horizontal:center;mso-position-horizontal-relative:margin;mso-position-vertical-relative:page;mso-wrap-style:none;z-index:251663360;mso-width-relative:page;mso-height-relative:page;" filled="f" stroked="f" coordsize="21600,21600" o:gfxdata="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b9r9DdQAAAAJAQAADwAAAAAAAAABACAA&#10;AAAiAAAAZHJzL2Rvd25yZXYueG1sUEsBAhQAFAAAAAgAh07iQGP0+5/YAQAAqQMAAA4AAAAAAAAA&#10;AQAgAAAAIwEAAGRycy9lMm9Eb2MueG1sUEsFBgAAAAAGAAYAWQEAAG0FAAAAAA==&#10;">
              <v:fill on="f" focussize="0,0"/>
              <v:stroke on="f"/>
              <v:imagedata o:title=""/>
              <o:lock v:ext="edit" aspectratio="f"/>
              <v:textbox inset="0mm,0mm,0mm,0mm" style="mso-fit-shape-to-text:t;">
                <w:txbxContent>
                  <w:p w14:paraId="3BBAD19A">
                    <w:pPr>
                      <w:pStyle w:val="332"/>
                      <w:jc w:val="left"/>
                    </w:pPr>
                    <w:r>
                      <w:rPr>
                        <w:rFonts w:ascii="宋体" w:hAnsi="宋体" w:cs="宋体"/>
                      </w:rPr>
                      <w:t>・</w:t>
                    </w:r>
                    <w:r>
                      <w:fldChar w:fldCharType="begin"/>
                    </w:r>
                    <w:r>
                      <w:instrText xml:space="preserve"> PAGE \* MERGEFORMAT </w:instrText>
                    </w:r>
                    <w:r>
                      <w:fldChar w:fldCharType="separate"/>
                    </w:r>
                    <w:r>
                      <w:t>178</w:t>
                    </w:r>
                    <w:r>
                      <w:fldChar w:fldCharType="end"/>
                    </w:r>
                    <w:r>
                      <w:rPr>
                        <w:rFonts w:ascii="宋体" w:hAnsi="宋体" w:cs="宋体"/>
                      </w:rPr>
                      <w:t>・</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07A85">
    <w:pPr>
      <w:pStyle w:val="30"/>
      <w:jc w:val="cente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8"/>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5D79E6">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8"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LNJWO7QAAAABQEAAA8AAAAAAAAAAQAgAAAAIgAAAGRycy9kb3ducmV2&#10;LnhtbFBLAQIUABQAAAAIAIdO4kBGLA3pPQIAAHEEAAAOAAAAAAAAAAEAIAAAAB8BAABkcnMvZTJv&#10;RG9jLnhtbFBLBQYAAAAABgAGAFkBAADOBQAAAAA=&#10;">
              <v:fill on="f" focussize="0,0"/>
              <v:stroke on="f" weight="0.5pt"/>
              <v:imagedata o:title=""/>
              <o:lock v:ext="edit" aspectratio="f"/>
              <v:textbox inset="0mm,0mm,0mm,0mm" style="mso-fit-shape-to-text:t;">
                <w:txbxContent>
                  <w:p w14:paraId="4C5D79E6">
                    <w:pPr>
                      <w:pStyle w:val="30"/>
                    </w:pPr>
                    <w:r>
                      <w:fldChar w:fldCharType="begin"/>
                    </w:r>
                    <w:r>
                      <w:instrText xml:space="preserve"> PAGE  \* MERGEFORMAT </w:instrText>
                    </w:r>
                    <w:r>
                      <w:fldChar w:fldCharType="separate"/>
                    </w:r>
                    <w:r>
                      <w:t>1</w:t>
                    </w:r>
                    <w:r>
                      <w:fldChar w:fldCharType="end"/>
                    </w:r>
                  </w:p>
                </w:txbxContent>
              </v:textbox>
            </v:shape>
          </w:pict>
        </mc:Fallback>
      </mc:AlternateContent>
    </w:r>
  </w:p>
  <w:p w14:paraId="7509095E">
    <w:pPr>
      <w:pStyle w:val="3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4F6EC">
    <w:pPr>
      <w:pStyle w:val="3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3074"/>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4F3DF00E">
                          <w:pPr>
                            <w:pStyle w:val="30"/>
                          </w:pPr>
                          <w:r>
                            <w:fldChar w:fldCharType="begin"/>
                          </w:r>
                          <w:r>
                            <w:instrText xml:space="preserve"> PAGE  \* MERGEFORMAT </w:instrText>
                          </w:r>
                          <w:r>
                            <w:fldChar w:fldCharType="separate"/>
                          </w:r>
                          <w:r>
                            <w:t>117</w:t>
                          </w:r>
                          <w:r>
                            <w:fldChar w:fldCharType="end"/>
                          </w:r>
                        </w:p>
                      </w:txbxContent>
                    </wps:txbx>
                    <wps:bodyPr wrap="none" lIns="0" tIns="0" rIns="0" bIns="0" upright="1">
                      <a:spAutoFit/>
                    </wps:bodyPr>
                  </wps:wsp>
                </a:graphicData>
              </a:graphic>
            </wp:anchor>
          </w:drawing>
        </mc:Choice>
        <mc:Fallback>
          <w:pict>
            <v:shape id="文本框 307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9ZcPqNYBAACrAwAADgAAAAAAAAABACAAAAAe&#10;AQAAZHJzL2Uyb0RvYy54bWxQSwUGAAAAAAYABgBZAQAAZgUAAAAA&#10;">
              <v:fill on="f" focussize="0,0"/>
              <v:stroke on="f"/>
              <v:imagedata o:title=""/>
              <o:lock v:ext="edit" aspectratio="f"/>
              <v:textbox inset="0mm,0mm,0mm,0mm" style="mso-fit-shape-to-text:t;">
                <w:txbxContent>
                  <w:p w14:paraId="4F3DF00E">
                    <w:pPr>
                      <w:pStyle w:val="30"/>
                    </w:pPr>
                    <w:r>
                      <w:fldChar w:fldCharType="begin"/>
                    </w:r>
                    <w:r>
                      <w:instrText xml:space="preserve"> PAGE  \* MERGEFORMAT </w:instrText>
                    </w:r>
                    <w:r>
                      <w:fldChar w:fldCharType="separate"/>
                    </w:r>
                    <w:r>
                      <w:t>117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3D252">
    <w:pPr>
      <w:pStyle w:val="30"/>
      <w:tabs>
        <w:tab w:val="center" w:pos="4439"/>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076"/>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7B6665A6"/>
                      </w:txbxContent>
                    </wps:txbx>
                    <wps:bodyPr wrap="none" lIns="0" tIns="0" rIns="0" bIns="0" upright="1">
                      <a:spAutoFit/>
                    </wps:bodyPr>
                  </wps:wsp>
                </a:graphicData>
              </a:graphic>
            </wp:anchor>
          </w:drawing>
        </mc:Choice>
        <mc:Fallback>
          <w:pict>
            <v:shape id="文本框 307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dJhPB9YBAACqAwAADgAAAAAAAAABACAAAAAe&#10;AQAAZHJzL2Uyb0RvYy54bWxQSwUGAAAAAAYABgBZAQAAZgUAAAAA&#10;">
              <v:fill on="f" focussize="0,0"/>
              <v:stroke on="f"/>
              <v:imagedata o:title=""/>
              <o:lock v:ext="edit" aspectratio="f"/>
              <v:textbox inset="0mm,0mm,0mm,0mm" style="mso-fit-shape-to-text:t;">
                <w:txbxContent>
                  <w:p w14:paraId="7B6665A6"/>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4B296">
    <w:pPr>
      <w:pStyle w:val="30"/>
      <w:tabs>
        <w:tab w:val="center" w:pos="4439"/>
        <w:tab w:val="clear" w:pos="4153"/>
      </w:tabs>
      <w:jc w:val="both"/>
    </w:pPr>
  </w:p>
  <w:p w14:paraId="29D41483">
    <w:pPr>
      <w:pStyle w:val="3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44E1F">
    <w:pPr>
      <w:pStyle w:val="30"/>
      <w:tabs>
        <w:tab w:val="center" w:pos="4439"/>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078"/>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700763BA"/>
                      </w:txbxContent>
                    </wps:txbx>
                    <wps:bodyPr wrap="none" lIns="0" tIns="0" rIns="0" bIns="0" upright="1">
                      <a:spAutoFit/>
                    </wps:bodyPr>
                  </wps:wsp>
                </a:graphicData>
              </a:graphic>
            </wp:anchor>
          </w:drawing>
        </mc:Choice>
        <mc:Fallback>
          <w:pict>
            <v:shape id="文本框 307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frTlyNYBAACqAwAADgAAAAAAAAABACAAAAAe&#10;AQAAZHJzL2Uyb0RvYy54bWxQSwUGAAAAAAYABgBZAQAAZgUAAAAA&#10;">
              <v:fill on="f" focussize="0,0"/>
              <v:stroke on="f"/>
              <v:imagedata o:title=""/>
              <o:lock v:ext="edit" aspectratio="f"/>
              <v:textbox inset="0mm,0mm,0mm,0mm" style="mso-fit-shape-to-text:t;">
                <w:txbxContent>
                  <w:p w14:paraId="700763BA"/>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7DB42">
    <w:pPr>
      <w:spacing w:line="1" w:lineRule="exact"/>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3"/>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4C9583">
                          <w:pPr>
                            <w:pStyle w:val="3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LNJWO7QAAAABQEAAA8AAAAAAAAAAQAgAAAAIgAAAGRycy9kb3ducmV2&#10;LnhtbFBLAQIUABQAAAAIAIdO4kCw7gDEPQIAAHAEAAAOAAAAAAAAAAEAIAAAAB8BAABkcnMvZTJv&#10;RG9jLnhtbFBLBQYAAAAABgAGAFkBAADOBQAAAAA=&#10;">
              <v:fill on="f" focussize="0,0"/>
              <v:stroke on="f" weight="0.5pt"/>
              <v:imagedata o:title=""/>
              <o:lock v:ext="edit" aspectratio="f"/>
              <v:textbox inset="0mm,0mm,0mm,0mm" style="mso-fit-shape-to-text:t;">
                <w:txbxContent>
                  <w:p w14:paraId="7F4C9583">
                    <w:pPr>
                      <w:pStyle w:val="3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699E8">
    <w:pPr>
      <w:spacing w:line="1" w:lineRule="exact"/>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ge">
                <wp:posOffset>9999345</wp:posOffset>
              </wp:positionV>
              <wp:extent cx="304800" cy="79375"/>
              <wp:effectExtent l="0" t="0" r="0" b="0"/>
              <wp:wrapNone/>
              <wp:docPr id="4" name="文本框 9"/>
              <wp:cNvGraphicFramePr/>
              <a:graphic xmlns:a="http://schemas.openxmlformats.org/drawingml/2006/main">
                <a:graphicData uri="http://schemas.microsoft.com/office/word/2010/wordprocessingShape">
                  <wps:wsp>
                    <wps:cNvSpPr txBox="1"/>
                    <wps:spPr bwMode="auto">
                      <a:xfrm>
                        <a:off x="0" y="0"/>
                        <a:ext cx="304800" cy="79375"/>
                      </a:xfrm>
                      <a:prstGeom prst="rect">
                        <a:avLst/>
                      </a:prstGeom>
                      <a:noFill/>
                      <a:ln>
                        <a:noFill/>
                      </a:ln>
                      <a:effectLst/>
                    </wps:spPr>
                    <wps:txbx>
                      <w:txbxContent>
                        <w:p w14:paraId="6E59FC37">
                          <w:pPr>
                            <w:pStyle w:val="332"/>
                            <w:jc w:val="left"/>
                          </w:pPr>
                          <w:r>
                            <w:rPr>
                              <w:rFonts w:ascii="宋体" w:hAnsi="宋体" w:cs="宋体"/>
                            </w:rPr>
                            <w:t>・</w:t>
                          </w:r>
                          <w:r>
                            <w:fldChar w:fldCharType="begin"/>
                          </w:r>
                          <w:r>
                            <w:instrText xml:space="preserve"> PAGE \* MERGEFORMAT </w:instrText>
                          </w:r>
                          <w:r>
                            <w:fldChar w:fldCharType="separate"/>
                          </w:r>
                          <w:r>
                            <w:t>174</w:t>
                          </w:r>
                          <w:r>
                            <w:fldChar w:fldCharType="end"/>
                          </w:r>
                          <w:r>
                            <w:rPr>
                              <w:rFonts w:ascii="宋体" w:hAnsi="宋体" w:cs="宋体"/>
                            </w:rPr>
                            <w:t>・</w:t>
                          </w:r>
                        </w:p>
                      </w:txbxContent>
                    </wps:txbx>
                    <wps:bodyPr wrap="none" lIns="0" tIns="0" rIns="0" bIns="0">
                      <a:spAutoFit/>
                    </wps:bodyPr>
                  </wps:wsp>
                </a:graphicData>
              </a:graphic>
            </wp:anchor>
          </w:drawing>
        </mc:Choice>
        <mc:Fallback>
          <w:pict>
            <v:shape id="文本框 9" o:spid="_x0000_s1026" o:spt="202" type="#_x0000_t202" style="position:absolute;left:0pt;margin-top:787.35pt;height:6.25pt;width:24pt;mso-position-horizontal:center;mso-position-horizontal-relative:margin;mso-position-vertical-relative:page;mso-wrap-style:none;z-index:251666432;mso-width-relative:page;mso-height-relative:page;" filled="f" stroked="f" coordsize="21600,21600" o:gfxdata="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a/Q3UAAAACQEAAA8AAAAAAAAAAQAgAAAA&#10;IgAAAGRycy9kb3ducmV2LnhtbFBLAQIUABQAAAAIAIdO4kD9snN11gEAAKYDAAAOAAAAAAAAAAEA&#10;IAAAACMBAABkcnMvZTJvRG9jLnhtbFBLBQYAAAAABgAGAFkBAABrBQAAAAA=&#10;">
              <v:fill on="f" focussize="0,0"/>
              <v:stroke on="f"/>
              <v:imagedata o:title=""/>
              <o:lock v:ext="edit" aspectratio="f"/>
              <v:textbox inset="0mm,0mm,0mm,0mm" style="mso-fit-shape-to-text:t;">
                <w:txbxContent>
                  <w:p w14:paraId="6E59FC37">
                    <w:pPr>
                      <w:pStyle w:val="332"/>
                      <w:jc w:val="left"/>
                    </w:pPr>
                    <w:r>
                      <w:rPr>
                        <w:rFonts w:ascii="宋体" w:hAnsi="宋体" w:cs="宋体"/>
                      </w:rPr>
                      <w:t>・</w:t>
                    </w:r>
                    <w:r>
                      <w:fldChar w:fldCharType="begin"/>
                    </w:r>
                    <w:r>
                      <w:instrText xml:space="preserve"> PAGE \* MERGEFORMAT </w:instrText>
                    </w:r>
                    <w:r>
                      <w:fldChar w:fldCharType="separate"/>
                    </w:r>
                    <w:r>
                      <w:t>174</w:t>
                    </w:r>
                    <w:r>
                      <w:fldChar w:fldCharType="end"/>
                    </w:r>
                    <w:r>
                      <w:rPr>
                        <w:rFonts w:ascii="宋体" w:hAnsi="宋体" w:cs="宋体"/>
                      </w:rPr>
                      <w:t>・</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FA1C2">
    <w:pPr>
      <w:spacing w:line="1" w:lineRule="exact"/>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5"/>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3F4ACD">
                          <w:pPr>
                            <w:pStyle w:val="30"/>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5"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LNJWO7QAAAABQEAAA8AAAAAAAAAAQAgAAAAIgAAAGRycy9kb3ducmV2&#10;LnhtbFBLAQIUABQAAAAIAIdO4kA3RM6APQIAAHAEAAAOAAAAAAAAAAEAIAAAAB8BAABkcnMvZTJv&#10;RG9jLnhtbFBLBQYAAAAABgAGAFkBAADOBQAAAAA=&#10;">
              <v:fill on="f" focussize="0,0"/>
              <v:stroke on="f" weight="0.5pt"/>
              <v:imagedata o:title=""/>
              <o:lock v:ext="edit" aspectratio="f"/>
              <v:textbox inset="0mm,0mm,0mm,0mm" style="mso-fit-shape-to-text:t;">
                <w:txbxContent>
                  <w:p w14:paraId="573F4ACD">
                    <w:pPr>
                      <w:pStyle w:val="30"/>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8BB02">
    <w:pPr>
      <w:spacing w:line="1" w:lineRule="exact"/>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ge">
                <wp:posOffset>9999345</wp:posOffset>
              </wp:positionV>
              <wp:extent cx="304800" cy="79375"/>
              <wp:effectExtent l="0" t="0" r="0" b="0"/>
              <wp:wrapNone/>
              <wp:docPr id="6" name="文本框 10"/>
              <wp:cNvGraphicFramePr/>
              <a:graphic xmlns:a="http://schemas.openxmlformats.org/drawingml/2006/main">
                <a:graphicData uri="http://schemas.microsoft.com/office/word/2010/wordprocessingShape">
                  <wps:wsp>
                    <wps:cNvSpPr txBox="1"/>
                    <wps:spPr bwMode="auto">
                      <a:xfrm>
                        <a:off x="0" y="0"/>
                        <a:ext cx="304800" cy="79375"/>
                      </a:xfrm>
                      <a:prstGeom prst="rect">
                        <a:avLst/>
                      </a:prstGeom>
                      <a:noFill/>
                      <a:ln>
                        <a:noFill/>
                      </a:ln>
                      <a:effectLst/>
                    </wps:spPr>
                    <wps:txbx>
                      <w:txbxContent>
                        <w:p w14:paraId="2E14BB54">
                          <w:pPr>
                            <w:pStyle w:val="332"/>
                            <w:jc w:val="left"/>
                          </w:pPr>
                          <w:r>
                            <w:rPr>
                              <w:rFonts w:ascii="宋体" w:hAnsi="宋体" w:cs="宋体"/>
                            </w:rPr>
                            <w:t>・</w:t>
                          </w:r>
                          <w:r>
                            <w:fldChar w:fldCharType="begin"/>
                          </w:r>
                          <w:r>
                            <w:instrText xml:space="preserve"> PAGE \* MERGEFORMAT </w:instrText>
                          </w:r>
                          <w:r>
                            <w:fldChar w:fldCharType="separate"/>
                          </w:r>
                          <w:r>
                            <w:t>174</w:t>
                          </w:r>
                          <w:r>
                            <w:fldChar w:fldCharType="end"/>
                          </w:r>
                          <w:r>
                            <w:rPr>
                              <w:rFonts w:ascii="宋体" w:hAnsi="宋体" w:cs="宋体"/>
                            </w:rPr>
                            <w:t>・</w:t>
                          </w:r>
                        </w:p>
                      </w:txbxContent>
                    </wps:txbx>
                    <wps:bodyPr wrap="none" lIns="0" tIns="0" rIns="0" bIns="0">
                      <a:spAutoFit/>
                    </wps:bodyPr>
                  </wps:wsp>
                </a:graphicData>
              </a:graphic>
            </wp:anchor>
          </w:drawing>
        </mc:Choice>
        <mc:Fallback>
          <w:pict>
            <v:shape id="文本框 10" o:spid="_x0000_s1026" o:spt="202" type="#_x0000_t202" style="position:absolute;left:0pt;margin-top:787.35pt;height:6.25pt;width:24pt;mso-position-horizontal:center;mso-position-horizontal-relative:margin;mso-position-vertical-relative:page;mso-wrap-style:none;z-index:251665408;mso-width-relative:page;mso-height-relative:page;" filled="f" stroked="f" coordsize="21600,21600" o:gfxdata="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a/Q3UAAAACQEAAA8AAAAAAAAAAQAgAAAA&#10;IgAAAGRycy9kb3ducmV2LnhtbFBLAQIUABQAAAAIAIdO4kBOA6z41gEAAKcDAAAOAAAAAAAAAAEA&#10;IAAAACMBAABkcnMvZTJvRG9jLnhtbFBLBQYAAAAABgAGAFkBAABrBQAAAAA=&#10;">
              <v:fill on="f" focussize="0,0"/>
              <v:stroke on="f"/>
              <v:imagedata o:title=""/>
              <o:lock v:ext="edit" aspectratio="f"/>
              <v:textbox inset="0mm,0mm,0mm,0mm" style="mso-fit-shape-to-text:t;">
                <w:txbxContent>
                  <w:p w14:paraId="2E14BB54">
                    <w:pPr>
                      <w:pStyle w:val="332"/>
                      <w:jc w:val="left"/>
                    </w:pPr>
                    <w:r>
                      <w:rPr>
                        <w:rFonts w:ascii="宋体" w:hAnsi="宋体" w:cs="宋体"/>
                      </w:rPr>
                      <w:t>・</w:t>
                    </w:r>
                    <w:r>
                      <w:fldChar w:fldCharType="begin"/>
                    </w:r>
                    <w:r>
                      <w:instrText xml:space="preserve"> PAGE \* MERGEFORMAT </w:instrText>
                    </w:r>
                    <w:r>
                      <w:fldChar w:fldCharType="separate"/>
                    </w:r>
                    <w:r>
                      <w:t>174</w:t>
                    </w:r>
                    <w:r>
                      <w:fldChar w:fldCharType="end"/>
                    </w:r>
                    <w:r>
                      <w:rPr>
                        <w:rFonts w:ascii="宋体" w:hAnsi="宋体" w:cs="宋体"/>
                      </w:rPr>
                      <w:t>・</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66C72">
    <w:pPr>
      <w:spacing w:line="1" w:lineRule="exact"/>
    </w:pPr>
    <w:r>
      <w:rPr>
        <w:sz w:val="2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6"/>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CFA813">
                          <w:pPr>
                            <w:pStyle w:val="30"/>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LNJWO7QAAAABQEAAA8AAAAAAAAAAQAgAAAAIgAAAGRycy9kb3ducmV2&#10;LnhtbFBLAQIUABQAAAAIAIdO4kB895mXPQIAAHAEAAAOAAAAAAAAAAEAIAAAAB8BAABkcnMvZTJv&#10;RG9jLnhtbFBLBQYAAAAABgAGAFkBAADOBQAAAAA=&#10;">
              <v:fill on="f" focussize="0,0"/>
              <v:stroke on="f" weight="0.5pt"/>
              <v:imagedata o:title=""/>
              <o:lock v:ext="edit" aspectratio="f"/>
              <v:textbox inset="0mm,0mm,0mm,0mm" style="mso-fit-shape-to-text:t;">
                <w:txbxContent>
                  <w:p w14:paraId="4DCFA813">
                    <w:pPr>
                      <w:pStyle w:val="30"/>
                    </w:pPr>
                    <w:r>
                      <w:fldChar w:fldCharType="begin"/>
                    </w:r>
                    <w:r>
                      <w:instrText xml:space="preserve"> PAGE  \* MERGEFORMAT </w:instrText>
                    </w:r>
                    <w:r>
                      <w:fldChar w:fldCharType="separate"/>
                    </w:r>
                    <w:r>
                      <w:t>63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3A4A1">
    <w:pPr>
      <w:pStyle w:val="31"/>
      <w:pBdr>
        <w:bottom w:val="none" w:color="000000"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B1E3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A8F3A">
    <w:pPr>
      <w:pStyle w:val="31"/>
      <w:pBdr>
        <w:bottom w:val="none" w:color="000000"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4F316"/>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77417"/>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D3471"/>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70C38"/>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C70E5"/>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7CFAD"/>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8213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4499CC"/>
    <w:multiLevelType w:val="multilevel"/>
    <w:tmpl w:val="324499CC"/>
    <w:lvl w:ilvl="0" w:tentative="0">
      <w:start w:val="2"/>
      <w:numFmt w:val="decimal"/>
      <w:suff w:val="nothing"/>
      <w:lvlText w:val="（%1）"/>
      <w:lvlJc w:val="left"/>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1">
    <w:nsid w:val="3C3F6902"/>
    <w:multiLevelType w:val="multilevel"/>
    <w:tmpl w:val="3C3F6902"/>
    <w:lvl w:ilvl="0" w:tentative="0">
      <w:start w:val="2"/>
      <w:numFmt w:val="decimal"/>
      <w:suff w:val="nothing"/>
      <w:lvlText w:val="（%1）"/>
      <w:lvlJc w:val="left"/>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2">
    <w:nsid w:val="408860E8"/>
    <w:multiLevelType w:val="multilevel"/>
    <w:tmpl w:val="408860E8"/>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position w:val="0"/>
        <w:sz w:val="20"/>
        <w:szCs w:val="20"/>
        <w:u w:val="none"/>
        <w:shd w:val="clear" w:color="auto" w:fill="auto"/>
        <w:lang w:val="en-US" w:eastAsia="en-US" w:bidi="en-US"/>
      </w:r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3">
    <w:nsid w:val="5498E193"/>
    <w:multiLevelType w:val="multilevel"/>
    <w:tmpl w:val="5498E193"/>
    <w:lvl w:ilvl="0" w:tentative="0">
      <w:start w:val="11"/>
      <w:numFmt w:val="decimal"/>
      <w:suff w:val="space"/>
      <w:lvlText w:val="%1."/>
      <w:lvlJc w:val="left"/>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B4D68"/>
    <w:rsid w:val="127409D1"/>
    <w:rsid w:val="17451C21"/>
    <w:rsid w:val="1BC91A20"/>
    <w:rsid w:val="1C880595"/>
    <w:rsid w:val="1F1F71FB"/>
    <w:rsid w:val="2E750BE6"/>
    <w:rsid w:val="302169BE"/>
    <w:rsid w:val="39FC665F"/>
    <w:rsid w:val="3D7B3D3F"/>
    <w:rsid w:val="3FC855C5"/>
    <w:rsid w:val="46EB7095"/>
    <w:rsid w:val="4D2E3414"/>
    <w:rsid w:val="50144B57"/>
    <w:rsid w:val="558D5A50"/>
    <w:rsid w:val="6CF41172"/>
    <w:rsid w:val="72B063A9"/>
    <w:rsid w:val="773A78A3"/>
    <w:rsid w:val="7DAA27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qFormat="1" w:unhideWhenUsed="0"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99"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nhideWhenUsed="0" w:uiPriority="99" w:semiHidden="0" w:name="caption"/>
    <w:lsdException w:qFormat="1" w:uiPriority="99" w:semiHidden="0" w:name="table of figures"/>
    <w:lsdException w:uiPriority="99" w:name="envelope address"/>
    <w:lsdException w:uiPriority="99" w:name="envelope return"/>
    <w:lsdException w:qFormat="1" w:uiPriority="0" w:semiHidden="0" w:name="footnote reference"/>
    <w:lsdException w:qFormat="1" w:unhideWhenUsed="0" w:uiPriority="0" w:semiHidden="0" w:name="annotation reference"/>
    <w:lsdException w:uiPriority="99" w:name="line number"/>
    <w:lsdException w:qFormat="1" w:unhideWhenUsed="0" w:uiPriority="99" w:semiHidden="0" w:name="page number"/>
    <w:lsdException w:qFormat="1" w:uiPriority="99" w:semiHidden="0"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99" w:semiHidden="0" w:name="Emphasis"/>
    <w:lsdException w:qFormat="1" w:unhideWhenUsed="0" w:uiPriority="99" w:semiHidden="0" w:name="Document Map"/>
    <w:lsdException w:qFormat="1" w:unhideWhenUsed="0" w:uiPriority="0" w:semiHidden="0" w:name="Plain Text"/>
    <w:lsdException w:uiPriority="99" w:name="E-mail Signature"/>
    <w:lsdException w:qFormat="1"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iPriority="99" w:semiHidden="0"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2">
    <w:name w:val="heading 1"/>
    <w:basedOn w:val="1"/>
    <w:next w:val="1"/>
    <w:link w:val="206"/>
    <w:qFormat/>
    <w:uiPriority w:val="99"/>
    <w:pPr>
      <w:keepNext/>
      <w:keepLines/>
      <w:spacing w:before="340" w:after="330" w:line="578" w:lineRule="auto"/>
      <w:outlineLvl w:val="0"/>
    </w:pPr>
    <w:rPr>
      <w:b/>
      <w:bCs/>
      <w:sz w:val="44"/>
      <w:szCs w:val="44"/>
    </w:rPr>
  </w:style>
  <w:style w:type="paragraph" w:styleId="3">
    <w:name w:val="heading 2"/>
    <w:basedOn w:val="1"/>
    <w:next w:val="1"/>
    <w:link w:val="207"/>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208"/>
    <w:qFormat/>
    <w:uiPriority w:val="99"/>
    <w:pPr>
      <w:keepNext/>
      <w:keepLines/>
      <w:spacing w:before="260" w:after="260" w:line="416" w:lineRule="auto"/>
      <w:outlineLvl w:val="2"/>
    </w:pPr>
    <w:rPr>
      <w:b/>
      <w:bCs/>
      <w:sz w:val="32"/>
      <w:szCs w:val="32"/>
    </w:rPr>
  </w:style>
  <w:style w:type="paragraph" w:styleId="5">
    <w:name w:val="heading 4"/>
    <w:basedOn w:val="1"/>
    <w:next w:val="1"/>
    <w:link w:val="209"/>
    <w:qFormat/>
    <w:uiPriority w:val="99"/>
    <w:pPr>
      <w:keepNext/>
      <w:keepLines/>
      <w:spacing w:line="360" w:lineRule="auto"/>
      <w:outlineLvl w:val="3"/>
    </w:pPr>
    <w:rPr>
      <w:rFonts w:ascii="Arial" w:hAnsi="Arial"/>
      <w:b/>
      <w:bCs/>
      <w:sz w:val="28"/>
      <w:szCs w:val="28"/>
    </w:rPr>
  </w:style>
  <w:style w:type="paragraph" w:styleId="6">
    <w:name w:val="heading 5"/>
    <w:basedOn w:val="1"/>
    <w:next w:val="7"/>
    <w:link w:val="210"/>
    <w:qFormat/>
    <w:uiPriority w:val="99"/>
    <w:pPr>
      <w:keepNext/>
      <w:keepLines/>
      <w:spacing w:before="280" w:after="290" w:line="376" w:lineRule="auto"/>
      <w:outlineLvl w:val="4"/>
    </w:pPr>
    <w:rPr>
      <w:b/>
      <w:bCs/>
      <w:sz w:val="28"/>
      <w:szCs w:val="28"/>
    </w:rPr>
  </w:style>
  <w:style w:type="paragraph" w:styleId="8">
    <w:name w:val="heading 6"/>
    <w:basedOn w:val="1"/>
    <w:next w:val="1"/>
    <w:link w:val="212"/>
    <w:qFormat/>
    <w:uiPriority w:val="9"/>
    <w:pPr>
      <w:keepNext/>
      <w:keepLines/>
      <w:spacing w:before="240" w:after="64" w:line="317" w:lineRule="auto"/>
      <w:outlineLvl w:val="5"/>
    </w:pPr>
    <w:rPr>
      <w:rFonts w:ascii="Cambria" w:hAnsi="Cambria"/>
      <w:b/>
      <w:bCs/>
      <w:sz w:val="24"/>
    </w:rPr>
  </w:style>
  <w:style w:type="paragraph" w:styleId="9">
    <w:name w:val="heading 7"/>
    <w:basedOn w:val="1"/>
    <w:next w:val="1"/>
    <w:link w:val="213"/>
    <w:qFormat/>
    <w:uiPriority w:val="9"/>
    <w:pPr>
      <w:keepNext/>
      <w:keepLines/>
      <w:spacing w:before="240" w:after="64" w:line="317" w:lineRule="auto"/>
      <w:outlineLvl w:val="6"/>
    </w:pPr>
    <w:rPr>
      <w:b/>
      <w:bCs/>
      <w:sz w:val="24"/>
    </w:rPr>
  </w:style>
  <w:style w:type="paragraph" w:styleId="10">
    <w:name w:val="heading 8"/>
    <w:basedOn w:val="1"/>
    <w:next w:val="1"/>
    <w:link w:val="214"/>
    <w:qFormat/>
    <w:uiPriority w:val="9"/>
    <w:pPr>
      <w:keepNext/>
      <w:keepLines/>
      <w:spacing w:before="240" w:after="64" w:line="320" w:lineRule="auto"/>
      <w:outlineLvl w:val="7"/>
    </w:pPr>
    <w:rPr>
      <w:rFonts w:ascii="等线 Light" w:hAnsi="等线 Light" w:eastAsia="等线 Light"/>
      <w:sz w:val="24"/>
    </w:rPr>
  </w:style>
  <w:style w:type="paragraph" w:styleId="11">
    <w:name w:val="heading 9"/>
    <w:basedOn w:val="1"/>
    <w:next w:val="1"/>
    <w:link w:val="215"/>
    <w:qFormat/>
    <w:uiPriority w:val="9"/>
    <w:pPr>
      <w:keepNext/>
      <w:keepLines/>
      <w:spacing w:before="240" w:after="64" w:line="317" w:lineRule="auto"/>
      <w:outlineLvl w:val="8"/>
    </w:pPr>
    <w:rPr>
      <w:rFonts w:ascii="Cambria" w:hAnsi="Cambria"/>
      <w:sz w:val="2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styleId="7">
    <w:name w:val="Normal Indent"/>
    <w:basedOn w:val="1"/>
    <w:link w:val="211"/>
    <w:qFormat/>
    <w:uiPriority w:val="99"/>
    <w:pPr>
      <w:ind w:firstLine="420"/>
    </w:pPr>
    <w:rPr>
      <w:szCs w:val="20"/>
    </w:rPr>
  </w:style>
  <w:style w:type="paragraph" w:styleId="12">
    <w:name w:val="toc 7"/>
    <w:basedOn w:val="1"/>
    <w:next w:val="1"/>
    <w:qFormat/>
    <w:uiPriority w:val="39"/>
    <w:pPr>
      <w:ind w:left="2520"/>
    </w:pPr>
    <w:rPr>
      <w:rFonts w:ascii="Calibri" w:hAnsi="Calibri" w:cs="Calibri"/>
      <w:szCs w:val="21"/>
    </w:rPr>
  </w:style>
  <w:style w:type="paragraph" w:styleId="13">
    <w:name w:val="List Number"/>
    <w:basedOn w:val="1"/>
    <w:qFormat/>
    <w:uiPriority w:val="0"/>
    <w:pPr>
      <w:widowControl/>
      <w:tabs>
        <w:tab w:val="left" w:pos="454"/>
        <w:tab w:val="left" w:pos="720"/>
        <w:tab w:val="left" w:pos="840"/>
      </w:tabs>
      <w:ind w:left="454" w:hanging="284"/>
      <w:jc w:val="left"/>
    </w:pPr>
    <w:rPr>
      <w:sz w:val="24"/>
      <w:szCs w:val="20"/>
    </w:rPr>
  </w:style>
  <w:style w:type="paragraph" w:styleId="14">
    <w:name w:val="caption"/>
    <w:basedOn w:val="1"/>
    <w:next w:val="1"/>
    <w:qFormat/>
    <w:uiPriority w:val="99"/>
    <w:rPr>
      <w:rFonts w:ascii="Cambria" w:hAnsi="Cambria" w:eastAsia="黑体" w:cs="Cambria"/>
      <w:sz w:val="20"/>
      <w:szCs w:val="20"/>
    </w:rPr>
  </w:style>
  <w:style w:type="paragraph" w:styleId="15">
    <w:name w:val="Document Map"/>
    <w:basedOn w:val="1"/>
    <w:link w:val="216"/>
    <w:qFormat/>
    <w:uiPriority w:val="99"/>
    <w:pPr>
      <w:shd w:val="clear" w:color="auto" w:fill="000080"/>
    </w:pPr>
    <w:rPr>
      <w:sz w:val="24"/>
      <w:shd w:val="clear" w:color="auto" w:fill="000080"/>
    </w:rPr>
  </w:style>
  <w:style w:type="paragraph" w:styleId="16">
    <w:name w:val="annotation text"/>
    <w:basedOn w:val="1"/>
    <w:link w:val="217"/>
    <w:qFormat/>
    <w:uiPriority w:val="0"/>
    <w:pPr>
      <w:jc w:val="left"/>
    </w:pPr>
  </w:style>
  <w:style w:type="paragraph" w:styleId="17">
    <w:name w:val="Body Text 3"/>
    <w:basedOn w:val="1"/>
    <w:link w:val="218"/>
    <w:unhideWhenUsed/>
    <w:qFormat/>
    <w:uiPriority w:val="99"/>
    <w:pPr>
      <w:spacing w:after="120"/>
    </w:pPr>
    <w:rPr>
      <w:sz w:val="16"/>
      <w:szCs w:val="16"/>
    </w:rPr>
  </w:style>
  <w:style w:type="paragraph" w:styleId="18">
    <w:name w:val="Body Text"/>
    <w:basedOn w:val="1"/>
    <w:link w:val="219"/>
    <w:unhideWhenUsed/>
    <w:qFormat/>
    <w:uiPriority w:val="99"/>
    <w:pPr>
      <w:spacing w:after="120"/>
    </w:pPr>
  </w:style>
  <w:style w:type="paragraph" w:styleId="19">
    <w:name w:val="Body Text Indent"/>
    <w:basedOn w:val="1"/>
    <w:link w:val="220"/>
    <w:qFormat/>
    <w:uiPriority w:val="99"/>
    <w:pPr>
      <w:ind w:firstLine="830"/>
    </w:pPr>
    <w:rPr>
      <w:rFonts w:ascii="仿宋_GB2312" w:eastAsia="仿宋_GB2312"/>
      <w:sz w:val="32"/>
      <w:szCs w:val="20"/>
    </w:rPr>
  </w:style>
  <w:style w:type="paragraph" w:styleId="20">
    <w:name w:val="List 2"/>
    <w:basedOn w:val="1"/>
    <w:unhideWhenUsed/>
    <w:qFormat/>
    <w:uiPriority w:val="99"/>
    <w:pPr>
      <w:ind w:left="100" w:hanging="200"/>
      <w:contextualSpacing/>
    </w:pPr>
  </w:style>
  <w:style w:type="paragraph" w:styleId="21">
    <w:name w:val="index 4"/>
    <w:basedOn w:val="1"/>
    <w:next w:val="1"/>
    <w:semiHidden/>
    <w:qFormat/>
    <w:uiPriority w:val="99"/>
    <w:pPr>
      <w:ind w:left="600"/>
    </w:pPr>
    <w:rPr>
      <w:szCs w:val="21"/>
    </w:rPr>
  </w:style>
  <w:style w:type="paragraph" w:styleId="22">
    <w:name w:val="toc 5"/>
    <w:basedOn w:val="1"/>
    <w:next w:val="1"/>
    <w:qFormat/>
    <w:uiPriority w:val="39"/>
    <w:pPr>
      <w:ind w:left="1680"/>
    </w:pPr>
    <w:rPr>
      <w:rFonts w:ascii="Calibri" w:hAnsi="Calibri" w:cs="Calibri"/>
      <w:szCs w:val="21"/>
    </w:rPr>
  </w:style>
  <w:style w:type="paragraph" w:styleId="23">
    <w:name w:val="toc 3"/>
    <w:basedOn w:val="1"/>
    <w:next w:val="1"/>
    <w:qFormat/>
    <w:uiPriority w:val="39"/>
    <w:pPr>
      <w:ind w:left="840"/>
    </w:pPr>
    <w:rPr>
      <w:szCs w:val="21"/>
    </w:rPr>
  </w:style>
  <w:style w:type="paragraph" w:styleId="24">
    <w:name w:val="Plain Text"/>
    <w:basedOn w:val="1"/>
    <w:link w:val="221"/>
    <w:qFormat/>
    <w:uiPriority w:val="0"/>
    <w:rPr>
      <w:rFonts w:ascii="宋体" w:hAnsi="Courier New"/>
      <w:sz w:val="20"/>
      <w:szCs w:val="21"/>
    </w:rPr>
  </w:style>
  <w:style w:type="paragraph" w:styleId="25">
    <w:name w:val="toc 8"/>
    <w:basedOn w:val="1"/>
    <w:next w:val="1"/>
    <w:qFormat/>
    <w:uiPriority w:val="39"/>
    <w:pPr>
      <w:ind w:left="2940"/>
    </w:pPr>
    <w:rPr>
      <w:rFonts w:ascii="Calibri" w:hAnsi="Calibri" w:cs="Calibri"/>
      <w:szCs w:val="21"/>
    </w:rPr>
  </w:style>
  <w:style w:type="paragraph" w:styleId="26">
    <w:name w:val="Date"/>
    <w:basedOn w:val="1"/>
    <w:next w:val="1"/>
    <w:link w:val="222"/>
    <w:unhideWhenUsed/>
    <w:qFormat/>
    <w:uiPriority w:val="99"/>
    <w:pPr>
      <w:ind w:left="100"/>
    </w:pPr>
  </w:style>
  <w:style w:type="paragraph" w:styleId="27">
    <w:name w:val="Body Text Indent 2"/>
    <w:basedOn w:val="1"/>
    <w:link w:val="223"/>
    <w:qFormat/>
    <w:uiPriority w:val="99"/>
    <w:pPr>
      <w:spacing w:after="120" w:line="480" w:lineRule="auto"/>
      <w:ind w:left="420"/>
    </w:pPr>
    <w:rPr>
      <w:sz w:val="24"/>
    </w:rPr>
  </w:style>
  <w:style w:type="paragraph" w:styleId="28">
    <w:name w:val="endnote text"/>
    <w:basedOn w:val="1"/>
    <w:link w:val="203"/>
    <w:semiHidden/>
    <w:unhideWhenUsed/>
    <w:qFormat/>
    <w:uiPriority w:val="99"/>
    <w:pPr>
      <w:spacing w:after="0" w:line="240" w:lineRule="auto"/>
    </w:pPr>
    <w:rPr>
      <w:sz w:val="20"/>
      <w:szCs w:val="20"/>
    </w:rPr>
  </w:style>
  <w:style w:type="paragraph" w:styleId="29">
    <w:name w:val="Balloon Text"/>
    <w:basedOn w:val="1"/>
    <w:link w:val="224"/>
    <w:qFormat/>
    <w:uiPriority w:val="99"/>
    <w:rPr>
      <w:sz w:val="18"/>
      <w:szCs w:val="18"/>
    </w:rPr>
  </w:style>
  <w:style w:type="paragraph" w:styleId="30">
    <w:name w:val="footer"/>
    <w:basedOn w:val="1"/>
    <w:link w:val="225"/>
    <w:unhideWhenUsed/>
    <w:qFormat/>
    <w:uiPriority w:val="99"/>
    <w:pPr>
      <w:tabs>
        <w:tab w:val="center" w:pos="4153"/>
        <w:tab w:val="right" w:pos="8306"/>
      </w:tabs>
      <w:jc w:val="left"/>
    </w:pPr>
    <w:rPr>
      <w:sz w:val="18"/>
      <w:szCs w:val="18"/>
    </w:rPr>
  </w:style>
  <w:style w:type="paragraph" w:styleId="31">
    <w:name w:val="header"/>
    <w:basedOn w:val="1"/>
    <w:link w:val="226"/>
    <w:unhideWhenUsed/>
    <w:qFormat/>
    <w:uiPriority w:val="99"/>
    <w:pPr>
      <w:pBdr>
        <w:bottom w:val="single" w:color="000000" w:sz="6" w:space="1"/>
      </w:pBdr>
      <w:tabs>
        <w:tab w:val="center" w:pos="4153"/>
        <w:tab w:val="right" w:pos="8306"/>
      </w:tabs>
      <w:jc w:val="center"/>
    </w:pPr>
    <w:rPr>
      <w:sz w:val="18"/>
      <w:szCs w:val="18"/>
    </w:rPr>
  </w:style>
  <w:style w:type="paragraph" w:styleId="32">
    <w:name w:val="toc 1"/>
    <w:basedOn w:val="1"/>
    <w:next w:val="1"/>
    <w:unhideWhenUsed/>
    <w:qFormat/>
    <w:uiPriority w:val="39"/>
  </w:style>
  <w:style w:type="paragraph" w:styleId="33">
    <w:name w:val="toc 4"/>
    <w:basedOn w:val="1"/>
    <w:next w:val="1"/>
    <w:qFormat/>
    <w:uiPriority w:val="39"/>
    <w:pPr>
      <w:ind w:left="1260"/>
    </w:pPr>
    <w:rPr>
      <w:rFonts w:ascii="Calibri" w:hAnsi="Calibri" w:cs="Calibri"/>
      <w:szCs w:val="21"/>
    </w:rPr>
  </w:style>
  <w:style w:type="paragraph" w:styleId="34">
    <w:name w:val="Subtitle"/>
    <w:basedOn w:val="1"/>
    <w:next w:val="1"/>
    <w:link w:val="227"/>
    <w:qFormat/>
    <w:uiPriority w:val="11"/>
    <w:pPr>
      <w:spacing w:before="240" w:after="60" w:line="312" w:lineRule="auto"/>
      <w:jc w:val="center"/>
      <w:outlineLvl w:val="1"/>
    </w:pPr>
    <w:rPr>
      <w:rFonts w:ascii="Cambria" w:hAnsi="Cambria"/>
      <w:b/>
      <w:bCs/>
      <w:sz w:val="32"/>
      <w:szCs w:val="32"/>
    </w:rPr>
  </w:style>
  <w:style w:type="paragraph" w:styleId="35">
    <w:name w:val="footnote text"/>
    <w:basedOn w:val="1"/>
    <w:link w:val="228"/>
    <w:qFormat/>
    <w:uiPriority w:val="99"/>
    <w:pPr>
      <w:spacing w:line="312" w:lineRule="atLeast"/>
      <w:jc w:val="left"/>
    </w:pPr>
    <w:rPr>
      <w:sz w:val="18"/>
      <w:szCs w:val="18"/>
    </w:rPr>
  </w:style>
  <w:style w:type="paragraph" w:styleId="36">
    <w:name w:val="toc 6"/>
    <w:basedOn w:val="1"/>
    <w:next w:val="1"/>
    <w:qFormat/>
    <w:uiPriority w:val="39"/>
    <w:pPr>
      <w:ind w:left="2100"/>
    </w:pPr>
    <w:rPr>
      <w:rFonts w:ascii="Calibri" w:hAnsi="Calibri" w:cs="Calibri"/>
      <w:szCs w:val="21"/>
    </w:rPr>
  </w:style>
  <w:style w:type="paragraph" w:styleId="37">
    <w:name w:val="table of figures"/>
    <w:basedOn w:val="1"/>
    <w:next w:val="1"/>
    <w:unhideWhenUsed/>
    <w:qFormat/>
    <w:uiPriority w:val="99"/>
    <w:pPr>
      <w:spacing w:after="0" w:afterAutospacing="0"/>
    </w:pPr>
  </w:style>
  <w:style w:type="paragraph" w:styleId="38">
    <w:name w:val="toc 2"/>
    <w:basedOn w:val="1"/>
    <w:next w:val="1"/>
    <w:unhideWhenUsed/>
    <w:qFormat/>
    <w:uiPriority w:val="39"/>
    <w:pPr>
      <w:tabs>
        <w:tab w:val="right" w:leader="dot" w:pos="8296"/>
      </w:tabs>
      <w:ind w:left="420"/>
    </w:pPr>
  </w:style>
  <w:style w:type="paragraph" w:styleId="39">
    <w:name w:val="toc 9"/>
    <w:basedOn w:val="1"/>
    <w:next w:val="1"/>
    <w:qFormat/>
    <w:uiPriority w:val="39"/>
    <w:pPr>
      <w:ind w:left="3360"/>
    </w:pPr>
    <w:rPr>
      <w:rFonts w:ascii="Calibri" w:hAnsi="Calibri" w:cs="Calibri"/>
      <w:szCs w:val="21"/>
    </w:rPr>
  </w:style>
  <w:style w:type="paragraph" w:styleId="40">
    <w:name w:val="Body Text 2"/>
    <w:basedOn w:val="1"/>
    <w:qFormat/>
    <w:uiPriority w:val="0"/>
    <w:pPr>
      <w:spacing w:after="120" w:line="480" w:lineRule="auto"/>
    </w:pPr>
    <w:rPr>
      <w:sz w:val="20"/>
    </w:rPr>
  </w:style>
  <w:style w:type="paragraph" w:styleId="41">
    <w:name w:val="HTML Preformatted"/>
    <w:basedOn w:val="1"/>
    <w:link w:val="229"/>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42">
    <w:name w:val="Normal (Web)"/>
    <w:basedOn w:val="1"/>
    <w:unhideWhenUsed/>
    <w:qFormat/>
    <w:uiPriority w:val="0"/>
    <w:rPr>
      <w:rFonts w:ascii="Calibri" w:hAnsi="Calibri"/>
      <w:sz w:val="24"/>
    </w:rPr>
  </w:style>
  <w:style w:type="paragraph" w:styleId="43">
    <w:name w:val="Title"/>
    <w:basedOn w:val="1"/>
    <w:next w:val="1"/>
    <w:link w:val="230"/>
    <w:qFormat/>
    <w:uiPriority w:val="99"/>
    <w:pPr>
      <w:spacing w:before="240" w:after="60"/>
      <w:jc w:val="center"/>
      <w:outlineLvl w:val="0"/>
    </w:pPr>
    <w:rPr>
      <w:rFonts w:ascii="Cambria" w:hAnsi="Cambria"/>
      <w:b/>
      <w:bCs/>
      <w:sz w:val="32"/>
      <w:szCs w:val="32"/>
    </w:rPr>
  </w:style>
  <w:style w:type="paragraph" w:styleId="44">
    <w:name w:val="annotation subject"/>
    <w:basedOn w:val="16"/>
    <w:next w:val="16"/>
    <w:link w:val="231"/>
    <w:qFormat/>
    <w:uiPriority w:val="99"/>
    <w:rPr>
      <w:b/>
      <w:bCs/>
    </w:rPr>
  </w:style>
  <w:style w:type="table" w:styleId="46">
    <w:name w:val="Table Grid"/>
    <w:basedOn w:val="4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styleId="48">
    <w:name w:val="Strong"/>
    <w:qFormat/>
    <w:uiPriority w:val="22"/>
    <w:rPr>
      <w:b/>
      <w:bCs/>
    </w:rPr>
  </w:style>
  <w:style w:type="character" w:styleId="49">
    <w:name w:val="endnote reference"/>
    <w:unhideWhenUsed/>
    <w:qFormat/>
    <w:uiPriority w:val="99"/>
    <w:rPr>
      <w:vertAlign w:val="superscript"/>
    </w:rPr>
  </w:style>
  <w:style w:type="character" w:styleId="50">
    <w:name w:val="page number"/>
    <w:qFormat/>
    <w:uiPriority w:val="99"/>
  </w:style>
  <w:style w:type="character" w:styleId="51">
    <w:name w:val="FollowedHyperlink"/>
    <w:basedOn w:val="47"/>
    <w:semiHidden/>
    <w:unhideWhenUsed/>
    <w:qFormat/>
    <w:uiPriority w:val="99"/>
    <w:rPr>
      <w:color w:val="800080" w:themeColor="followedHyperlink"/>
      <w:u w:val="single"/>
      <w14:textFill>
        <w14:solidFill>
          <w14:schemeClr w14:val="folHlink"/>
        </w14:solidFill>
      </w14:textFill>
    </w:rPr>
  </w:style>
  <w:style w:type="character" w:styleId="52">
    <w:name w:val="Emphasis"/>
    <w:qFormat/>
    <w:uiPriority w:val="99"/>
    <w:rPr>
      <w:i/>
      <w:iCs/>
    </w:rPr>
  </w:style>
  <w:style w:type="character" w:styleId="53">
    <w:name w:val="HTML Definition"/>
    <w:basedOn w:val="47"/>
    <w:unhideWhenUsed/>
    <w:qFormat/>
    <w:uiPriority w:val="99"/>
  </w:style>
  <w:style w:type="character" w:styleId="54">
    <w:name w:val="HTML Typewriter"/>
    <w:basedOn w:val="47"/>
    <w:unhideWhenUsed/>
    <w:qFormat/>
    <w:uiPriority w:val="99"/>
    <w:rPr>
      <w:rFonts w:hint="default" w:ascii="monospace" w:hAnsi="monospace" w:eastAsia="monospace" w:cs="monospace"/>
      <w:sz w:val="20"/>
    </w:rPr>
  </w:style>
  <w:style w:type="character" w:styleId="55">
    <w:name w:val="HTML Acronym"/>
    <w:basedOn w:val="47"/>
    <w:unhideWhenUsed/>
    <w:qFormat/>
    <w:uiPriority w:val="99"/>
  </w:style>
  <w:style w:type="character" w:styleId="56">
    <w:name w:val="HTML Variable"/>
    <w:basedOn w:val="47"/>
    <w:unhideWhenUsed/>
    <w:qFormat/>
    <w:uiPriority w:val="99"/>
  </w:style>
  <w:style w:type="character" w:styleId="57">
    <w:name w:val="Hyperlink"/>
    <w:unhideWhenUsed/>
    <w:qFormat/>
    <w:uiPriority w:val="99"/>
    <w:rPr>
      <w:color w:val="0000FF"/>
      <w:u w:val="single"/>
    </w:rPr>
  </w:style>
  <w:style w:type="character" w:styleId="58">
    <w:name w:val="HTML Code"/>
    <w:basedOn w:val="47"/>
    <w:unhideWhenUsed/>
    <w:qFormat/>
    <w:uiPriority w:val="99"/>
    <w:rPr>
      <w:rFonts w:hint="default" w:ascii="monospace" w:hAnsi="monospace" w:eastAsia="monospace" w:cs="monospace"/>
      <w:sz w:val="20"/>
    </w:rPr>
  </w:style>
  <w:style w:type="character" w:styleId="59">
    <w:name w:val="annotation reference"/>
    <w:qFormat/>
    <w:uiPriority w:val="0"/>
    <w:rPr>
      <w:sz w:val="21"/>
      <w:szCs w:val="21"/>
    </w:rPr>
  </w:style>
  <w:style w:type="character" w:styleId="60">
    <w:name w:val="HTML Cite"/>
    <w:basedOn w:val="47"/>
    <w:unhideWhenUsed/>
    <w:qFormat/>
    <w:uiPriority w:val="99"/>
  </w:style>
  <w:style w:type="character" w:styleId="61">
    <w:name w:val="footnote reference"/>
    <w:unhideWhenUsed/>
    <w:qFormat/>
    <w:uiPriority w:val="0"/>
    <w:rPr>
      <w:vertAlign w:val="superscript"/>
    </w:rPr>
  </w:style>
  <w:style w:type="character" w:styleId="62">
    <w:name w:val="HTML Keyboard"/>
    <w:basedOn w:val="47"/>
    <w:unhideWhenUsed/>
    <w:qFormat/>
    <w:uiPriority w:val="99"/>
    <w:rPr>
      <w:rFonts w:hint="default" w:ascii="monospace" w:hAnsi="monospace" w:eastAsia="monospace" w:cs="monospace"/>
      <w:sz w:val="20"/>
    </w:rPr>
  </w:style>
  <w:style w:type="character" w:styleId="63">
    <w:name w:val="HTML Sample"/>
    <w:basedOn w:val="47"/>
    <w:unhideWhenUsed/>
    <w:qFormat/>
    <w:uiPriority w:val="99"/>
    <w:rPr>
      <w:rFonts w:ascii="monospace" w:hAnsi="monospace" w:eastAsia="monospace" w:cs="monospace"/>
    </w:rPr>
  </w:style>
  <w:style w:type="table" w:customStyle="1" w:styleId="64">
    <w:name w:val="Table Grid Light"/>
    <w:basedOn w:val="45"/>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65">
    <w:name w:val="Plain Table 1"/>
    <w:basedOn w:val="45"/>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2Vert"/>
    <w:tblStylePr w:type="band1Horz">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66">
    <w:name w:val="Plain Table 2"/>
    <w:basedOn w:val="45"/>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67">
    <w:name w:val="Plain Table 3"/>
    <w:basedOn w:val="45"/>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68">
    <w:name w:val="Plain Table 4"/>
    <w:basedOn w:val="45"/>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69">
    <w:name w:val="Plain Table 5"/>
    <w:basedOn w:val="45"/>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70">
    <w:name w:val="Grid Table 1 Light"/>
    <w:basedOn w:val="45"/>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71">
    <w:name w:val="Grid Table 1 Light - Accent 1"/>
    <w:basedOn w:val="45"/>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72">
    <w:name w:val="Grid Table 1 Light - Accent 2"/>
    <w:basedOn w:val="45"/>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73">
    <w:name w:val="Grid Table 1 Light - Accent 3"/>
    <w:basedOn w:val="45"/>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74">
    <w:name w:val="Grid Table 1 Light - Accent 4"/>
    <w:basedOn w:val="45"/>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75">
    <w:name w:val="Grid Table 1 Light - Accent 5"/>
    <w:basedOn w:val="4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76">
    <w:name w:val="Grid Table 1 Light - Accent 6"/>
    <w:basedOn w:val="45"/>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table" w:customStyle="1" w:styleId="77">
    <w:name w:val="Grid Table 2"/>
    <w:basedOn w:val="45"/>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78">
    <w:name w:val="Grid Table 2 - Accent 1"/>
    <w:basedOn w:val="45"/>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79">
    <w:name w:val="Grid Table 2 - Accent 2"/>
    <w:basedOn w:val="45"/>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80">
    <w:name w:val="Grid Table 2 - Accent 3"/>
    <w:basedOn w:val="45"/>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81">
    <w:name w:val="Grid Table 2 - Accent 4"/>
    <w:basedOn w:val="45"/>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82">
    <w:name w:val="Grid Table 2 - Accent 5"/>
    <w:basedOn w:val="4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83">
    <w:name w:val="Grid Table 2 - Accent 6"/>
    <w:basedOn w:val="45"/>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84">
    <w:name w:val="Grid Table 3"/>
    <w:basedOn w:val="45"/>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85">
    <w:name w:val="Grid Table 3 - Accent 1"/>
    <w:basedOn w:val="45"/>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86">
    <w:name w:val="Grid Table 3 - Accent 2"/>
    <w:basedOn w:val="45"/>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87">
    <w:name w:val="Grid Table 3 - Accent 3"/>
    <w:basedOn w:val="45"/>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88">
    <w:name w:val="Grid Table 3 - Accent 4"/>
    <w:basedOn w:val="45"/>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89">
    <w:name w:val="Grid Table 3 - Accent 5"/>
    <w:basedOn w:val="4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90">
    <w:name w:val="Grid Table 3 - Accent 6"/>
    <w:basedOn w:val="45"/>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91">
    <w:name w:val="Grid Table 4"/>
    <w:basedOn w:val="45"/>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92">
    <w:name w:val="Grid Table 4 - Accent 1"/>
    <w:basedOn w:val="45"/>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2Vert"/>
    <w:tblStylePr w:type="band1Horz">
      <w:rPr>
        <w:rFonts w:ascii="Arial" w:hAnsi="Arial"/>
        <w:color w:val="404040"/>
        <w:sz w:val="22"/>
      </w:rPr>
      <w:tcPr>
        <w:shd w:val="clear" w:color="DCE6F2" w:themeColor="accent1" w:themeTint="32" w:fill="DCE6F2" w:themeFill="accent1" w:themeFillTint="32"/>
      </w:tcPr>
    </w:tblStylePr>
    <w:tblStylePr w:type="band2Horz"/>
    <w:tblStylePr w:type="neCell"/>
    <w:tblStylePr w:type="nwCell"/>
    <w:tblStylePr w:type="seCell"/>
    <w:tblStylePr w:type="swCell"/>
  </w:style>
  <w:style w:type="table" w:customStyle="1" w:styleId="93">
    <w:name w:val="Grid Table 4 - Accent 2"/>
    <w:basedOn w:val="45"/>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94">
    <w:name w:val="Grid Table 4 - Accent 3"/>
    <w:basedOn w:val="45"/>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95">
    <w:name w:val="Grid Table 4 - Accent 4"/>
    <w:basedOn w:val="45"/>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96">
    <w:name w:val="Grid Table 4 - Accent 5"/>
    <w:basedOn w:val="45"/>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97">
    <w:name w:val="Grid Table 4 - Accent 6"/>
    <w:basedOn w:val="45"/>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98">
    <w:name w:val="Grid Table 5 Dark"/>
    <w:basedOn w:val="45"/>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2Vert"/>
    <w:tblStylePr w:type="band1Horz">
      <w:tcPr>
        <w:shd w:val="clear" w:color="898989" w:themeColor="text1" w:themeTint="75" w:fill="898989" w:themeFill="text1" w:themeFillTint="75"/>
      </w:tcPr>
    </w:tblStylePr>
    <w:tblStylePr w:type="band2Horz"/>
    <w:tblStylePr w:type="neCell"/>
    <w:tblStylePr w:type="nwCell"/>
    <w:tblStylePr w:type="seCell"/>
    <w:tblStylePr w:type="swCell"/>
  </w:style>
  <w:style w:type="table" w:customStyle="1" w:styleId="99">
    <w:name w:val="Grid Table 5 Dark- Accent 1"/>
    <w:basedOn w:val="45"/>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2Vert"/>
    <w:tblStylePr w:type="band1Horz">
      <w:tcPr>
        <w:shd w:val="clear" w:color="AEC5E0" w:themeColor="accent1" w:themeTint="75" w:fill="AEC5E0" w:themeFill="accent1" w:themeFillTint="75"/>
      </w:tcPr>
    </w:tblStylePr>
    <w:tblStylePr w:type="band2Horz"/>
    <w:tblStylePr w:type="neCell"/>
    <w:tblStylePr w:type="nwCell"/>
    <w:tblStylePr w:type="seCell"/>
    <w:tblStylePr w:type="swCell"/>
  </w:style>
  <w:style w:type="table" w:customStyle="1" w:styleId="100">
    <w:name w:val="Grid Table 5 Dark - Accent 2"/>
    <w:basedOn w:val="45"/>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2Vert"/>
    <w:tblStylePr w:type="band1Horz">
      <w:tcPr>
        <w:shd w:val="clear" w:color="E2AEAD" w:themeColor="accent2" w:themeTint="75" w:fill="E2AEAD" w:themeFill="accent2" w:themeFillTint="75"/>
      </w:tcPr>
    </w:tblStylePr>
    <w:tblStylePr w:type="band2Horz"/>
    <w:tblStylePr w:type="neCell"/>
    <w:tblStylePr w:type="nwCell"/>
    <w:tblStylePr w:type="seCell"/>
    <w:tblStylePr w:type="swCell"/>
  </w:style>
  <w:style w:type="table" w:customStyle="1" w:styleId="101">
    <w:name w:val="Grid Table 5 Dark - Accent 3"/>
    <w:basedOn w:val="45"/>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2Vert"/>
    <w:tblStylePr w:type="band1Horz">
      <w:tcPr>
        <w:shd w:val="clear" w:color="D1DFB2" w:themeColor="accent3" w:themeTint="75" w:fill="D1DFB2" w:themeFill="accent3" w:themeFillTint="75"/>
      </w:tcPr>
    </w:tblStylePr>
    <w:tblStylePr w:type="band2Horz"/>
    <w:tblStylePr w:type="neCell"/>
    <w:tblStylePr w:type="nwCell"/>
    <w:tblStylePr w:type="seCell"/>
    <w:tblStylePr w:type="swCell"/>
  </w:style>
  <w:style w:type="table" w:customStyle="1" w:styleId="102">
    <w:name w:val="Grid Table 5 Dark- Accent 4"/>
    <w:basedOn w:val="45"/>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2Vert"/>
    <w:tblStylePr w:type="band1Horz">
      <w:tcPr>
        <w:shd w:val="clear" w:color="C4B7D4" w:themeColor="accent4" w:themeTint="75" w:fill="C4B7D4" w:themeFill="accent4" w:themeFillTint="75"/>
      </w:tcPr>
    </w:tblStylePr>
    <w:tblStylePr w:type="band2Horz"/>
    <w:tblStylePr w:type="neCell"/>
    <w:tblStylePr w:type="nwCell"/>
    <w:tblStylePr w:type="seCell"/>
    <w:tblStylePr w:type="swCell"/>
  </w:style>
  <w:style w:type="table" w:customStyle="1" w:styleId="103">
    <w:name w:val="Grid Table 5 Dark - Accent 5"/>
    <w:basedOn w:val="45"/>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2Vert"/>
    <w:tblStylePr w:type="band1Horz">
      <w:tcPr>
        <w:shd w:val="clear" w:color="ACD8E4" w:themeColor="accent5" w:themeTint="75" w:fill="ACD8E4" w:themeFill="accent5" w:themeFillTint="75"/>
      </w:tcPr>
    </w:tblStylePr>
    <w:tblStylePr w:type="band2Horz"/>
    <w:tblStylePr w:type="neCell"/>
    <w:tblStylePr w:type="nwCell"/>
    <w:tblStylePr w:type="seCell"/>
    <w:tblStylePr w:type="swCell"/>
  </w:style>
  <w:style w:type="table" w:customStyle="1" w:styleId="104">
    <w:name w:val="Grid Table 5 Dark - Accent 6"/>
    <w:basedOn w:val="45"/>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2Vert"/>
    <w:tblStylePr w:type="band1Horz">
      <w:tcPr>
        <w:shd w:val="clear" w:color="FBCEAA" w:themeColor="accent6" w:themeTint="75" w:fill="FBCEAA" w:themeFill="accent6" w:themeFillTint="75"/>
      </w:tcPr>
    </w:tblStylePr>
    <w:tblStylePr w:type="band2Horz"/>
    <w:tblStylePr w:type="neCell"/>
    <w:tblStylePr w:type="nwCell"/>
    <w:tblStylePr w:type="seCell"/>
    <w:tblStylePr w:type="swCell"/>
  </w:style>
  <w:style w:type="table" w:customStyle="1" w:styleId="105">
    <w:name w:val="Grid Table 6 Colorful"/>
    <w:basedOn w:val="45"/>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06">
    <w:name w:val="Grid Table 6 Colorful - Accent 1"/>
    <w:basedOn w:val="45"/>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07">
    <w:name w:val="Grid Table 6 Colorful - Accent 2"/>
    <w:basedOn w:val="45"/>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08">
    <w:name w:val="Grid Table 6 Colorful - Accent 3"/>
    <w:basedOn w:val="45"/>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09">
    <w:name w:val="Grid Table 6 Colorful - Accent 4"/>
    <w:basedOn w:val="45"/>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10">
    <w:name w:val="Grid Table 6 Colorful - Accent 5"/>
    <w:basedOn w:val="45"/>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11">
    <w:name w:val="Grid Table 6 Colorful - Accent 6"/>
    <w:basedOn w:val="45"/>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2Vert"/>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12">
    <w:name w:val="Grid Table 7 Colorful"/>
    <w:basedOn w:val="45"/>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13">
    <w:name w:val="Grid Table 7 Colorful - Accent 1"/>
    <w:basedOn w:val="45"/>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14">
    <w:name w:val="Grid Table 7 Colorful - Accent 2"/>
    <w:basedOn w:val="45"/>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15">
    <w:name w:val="Grid Table 7 Colorful - Accent 3"/>
    <w:basedOn w:val="45"/>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16">
    <w:name w:val="Grid Table 7 Colorful - Accent 4"/>
    <w:basedOn w:val="45"/>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17">
    <w:name w:val="Grid Table 7 Colorful - Accent 5"/>
    <w:basedOn w:val="45"/>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18">
    <w:name w:val="Grid Table 7 Colorful - Accent 6"/>
    <w:basedOn w:val="45"/>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2Vert"/>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tblStylePr w:type="neCell"/>
    <w:tblStylePr w:type="nwCell"/>
    <w:tblStylePr w:type="seCell"/>
    <w:tblStylePr w:type="swCell"/>
  </w:style>
  <w:style w:type="table" w:customStyle="1" w:styleId="119">
    <w:name w:val="List Table 1 Light"/>
    <w:basedOn w:val="45"/>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2Vert"/>
    <w:tblStylePr w:type="band1Horz">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20">
    <w:name w:val="List Table 1 Light - Accent 1"/>
    <w:basedOn w:val="45"/>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2Vert"/>
    <w:tblStylePr w:type="band1Horz">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21">
    <w:name w:val="List Table 1 Light - Accent 2"/>
    <w:basedOn w:val="45"/>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2Vert"/>
    <w:tblStylePr w:type="band1Horz">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22">
    <w:name w:val="List Table 1 Light - Accent 3"/>
    <w:basedOn w:val="45"/>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2Vert"/>
    <w:tblStylePr w:type="band1Horz">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23">
    <w:name w:val="List Table 1 Light - Accent 4"/>
    <w:basedOn w:val="45"/>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2Vert"/>
    <w:tblStylePr w:type="band1Horz">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24">
    <w:name w:val="List Table 1 Light - Accent 5"/>
    <w:basedOn w:val="45"/>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2Vert"/>
    <w:tblStylePr w:type="band1Horz">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25">
    <w:name w:val="List Table 1 Light - Accent 6"/>
    <w:basedOn w:val="45"/>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2Vert"/>
    <w:tblStylePr w:type="band1Horz">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26">
    <w:name w:val="List Table 2"/>
    <w:basedOn w:val="45"/>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27">
    <w:name w:val="List Table 2 - Accent 1"/>
    <w:basedOn w:val="45"/>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28">
    <w:name w:val="List Table 2 - Accent 2"/>
    <w:basedOn w:val="45"/>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29">
    <w:name w:val="List Table 2 - Accent 3"/>
    <w:basedOn w:val="45"/>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30">
    <w:name w:val="List Table 2 - Accent 4"/>
    <w:basedOn w:val="45"/>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31">
    <w:name w:val="List Table 2 - Accent 5"/>
    <w:basedOn w:val="45"/>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32">
    <w:name w:val="List Table 2 - Accent 6"/>
    <w:basedOn w:val="45"/>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33">
    <w:name w:val="List Table 3"/>
    <w:basedOn w:val="45"/>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34">
    <w:name w:val="List Table 3 - Accent 1"/>
    <w:basedOn w:val="45"/>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2Vert"/>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2Horz"/>
    <w:tblStylePr w:type="neCell"/>
    <w:tblStylePr w:type="nwCell"/>
    <w:tblStylePr w:type="seCell"/>
    <w:tblStylePr w:type="swCell"/>
  </w:style>
  <w:style w:type="table" w:customStyle="1" w:styleId="135">
    <w:name w:val="List Table 3 - Accent 2"/>
    <w:basedOn w:val="45"/>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2Vert"/>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tblStylePr w:type="band2Horz"/>
    <w:tblStylePr w:type="neCell"/>
    <w:tblStylePr w:type="nwCell"/>
    <w:tblStylePr w:type="seCell"/>
    <w:tblStylePr w:type="swCell"/>
  </w:style>
  <w:style w:type="table" w:customStyle="1" w:styleId="136">
    <w:name w:val="List Table 3 - Accent 3"/>
    <w:basedOn w:val="45"/>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2Vert"/>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tblStylePr w:type="band2Horz"/>
    <w:tblStylePr w:type="neCell"/>
    <w:tblStylePr w:type="nwCell"/>
    <w:tblStylePr w:type="seCell"/>
    <w:tblStylePr w:type="swCell"/>
  </w:style>
  <w:style w:type="table" w:customStyle="1" w:styleId="137">
    <w:name w:val="List Table 3 - Accent 4"/>
    <w:basedOn w:val="45"/>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2Vert"/>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2Horz"/>
    <w:tblStylePr w:type="neCell"/>
    <w:tblStylePr w:type="nwCell"/>
    <w:tblStylePr w:type="seCell"/>
    <w:tblStylePr w:type="swCell"/>
  </w:style>
  <w:style w:type="table" w:customStyle="1" w:styleId="138">
    <w:name w:val="List Table 3 - Accent 5"/>
    <w:basedOn w:val="45"/>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2Vert"/>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2Horz"/>
    <w:tblStylePr w:type="neCell"/>
    <w:tblStylePr w:type="nwCell"/>
    <w:tblStylePr w:type="seCell"/>
    <w:tblStylePr w:type="swCell"/>
  </w:style>
  <w:style w:type="table" w:customStyle="1" w:styleId="139">
    <w:name w:val="List Table 3 - Accent 6"/>
    <w:basedOn w:val="45"/>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2Vert"/>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2Horz"/>
    <w:tblStylePr w:type="neCell"/>
    <w:tblStylePr w:type="nwCell"/>
    <w:tblStylePr w:type="seCell"/>
    <w:tblStylePr w:type="swCell"/>
  </w:style>
  <w:style w:type="table" w:customStyle="1" w:styleId="140">
    <w:name w:val="List Table 4"/>
    <w:basedOn w:val="45"/>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41">
    <w:name w:val="List Table 4 - Accent 1"/>
    <w:basedOn w:val="45"/>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42">
    <w:name w:val="List Table 4 - Accent 2"/>
    <w:basedOn w:val="45"/>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43">
    <w:name w:val="List Table 4 - Accent 3"/>
    <w:basedOn w:val="45"/>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44">
    <w:name w:val="List Table 4 - Accent 4"/>
    <w:basedOn w:val="45"/>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45">
    <w:name w:val="List Table 4 - Accent 5"/>
    <w:basedOn w:val="45"/>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46">
    <w:name w:val="List Table 4 - Accent 6"/>
    <w:basedOn w:val="45"/>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47">
    <w:name w:val="List Table 5 Dark"/>
    <w:basedOn w:val="45"/>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StylePr w:type="nwCell"/>
    <w:tblStylePr w:type="seCell"/>
    <w:tblStylePr w:type="swCell"/>
  </w:style>
  <w:style w:type="table" w:customStyle="1" w:styleId="148">
    <w:name w:val="List Table 5 Dark - Accent 1"/>
    <w:basedOn w:val="45"/>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tblStylePr w:type="neCell"/>
    <w:tblStylePr w:type="nwCell"/>
    <w:tblStylePr w:type="seCell"/>
    <w:tblStylePr w:type="swCell"/>
  </w:style>
  <w:style w:type="table" w:customStyle="1" w:styleId="149">
    <w:name w:val="List Table 5 Dark - Accent 2"/>
    <w:basedOn w:val="45"/>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neCell"/>
    <w:tblStylePr w:type="nwCell"/>
    <w:tblStylePr w:type="seCell"/>
    <w:tblStylePr w:type="swCell"/>
  </w:style>
  <w:style w:type="table" w:customStyle="1" w:styleId="150">
    <w:name w:val="List Table 5 Dark - Accent 3"/>
    <w:basedOn w:val="45"/>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neCell"/>
    <w:tblStylePr w:type="nwCell"/>
    <w:tblStylePr w:type="seCell"/>
    <w:tblStylePr w:type="swCell"/>
  </w:style>
  <w:style w:type="table" w:customStyle="1" w:styleId="151">
    <w:name w:val="List Table 5 Dark - Accent 4"/>
    <w:basedOn w:val="45"/>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neCell"/>
    <w:tblStylePr w:type="nwCell"/>
    <w:tblStylePr w:type="seCell"/>
    <w:tblStylePr w:type="swCell"/>
  </w:style>
  <w:style w:type="table" w:customStyle="1" w:styleId="152">
    <w:name w:val="List Table 5 Dark - Accent 5"/>
    <w:basedOn w:val="45"/>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neCell"/>
    <w:tblStylePr w:type="nwCell"/>
    <w:tblStylePr w:type="seCell"/>
    <w:tblStylePr w:type="swCell"/>
  </w:style>
  <w:style w:type="table" w:customStyle="1" w:styleId="153">
    <w:name w:val="List Table 5 Dark - Accent 6"/>
    <w:basedOn w:val="45"/>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neCell"/>
    <w:tblStylePr w:type="nwCell"/>
    <w:tblStylePr w:type="seCell"/>
    <w:tblStylePr w:type="swCell"/>
  </w:style>
  <w:style w:type="table" w:customStyle="1" w:styleId="154">
    <w:name w:val="List Table 6 Colorful"/>
    <w:basedOn w:val="45"/>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2Vert"/>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tblStylePr w:type="neCell"/>
    <w:tblStylePr w:type="nwCell"/>
    <w:tblStylePr w:type="seCell"/>
    <w:tblStylePr w:type="swCell"/>
  </w:style>
  <w:style w:type="table" w:customStyle="1" w:styleId="155">
    <w:name w:val="List Table 6 Colorful - Accent 1"/>
    <w:basedOn w:val="45"/>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56">
    <w:name w:val="List Table 6 Colorful - Accent 2"/>
    <w:basedOn w:val="45"/>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57">
    <w:name w:val="List Table 6 Colorful - Accent 3"/>
    <w:basedOn w:val="45"/>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58">
    <w:name w:val="List Table 6 Colorful - Accent 4"/>
    <w:basedOn w:val="45"/>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59">
    <w:name w:val="List Table 6 Colorful - Accent 5"/>
    <w:basedOn w:val="45"/>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60">
    <w:name w:val="List Table 6 Colorful - Accent 6"/>
    <w:basedOn w:val="45"/>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61">
    <w:name w:val="List Table 7 Colorful"/>
    <w:basedOn w:val="45"/>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62">
    <w:name w:val="List Table 7 Colorful - Accent 1"/>
    <w:basedOn w:val="45"/>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63">
    <w:name w:val="List Table 7 Colorful - Accent 2"/>
    <w:basedOn w:val="45"/>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64">
    <w:name w:val="List Table 7 Colorful - Accent 3"/>
    <w:basedOn w:val="45"/>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65">
    <w:name w:val="List Table 7 Colorful - Accent 4"/>
    <w:basedOn w:val="45"/>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66">
    <w:name w:val="List Table 7 Colorful - Accent 5"/>
    <w:basedOn w:val="45"/>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67">
    <w:name w:val="List Table 7 Colorful - Accent 6"/>
    <w:basedOn w:val="45"/>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68">
    <w:name w:val="Lined - Accent"/>
    <w:basedOn w:val="45"/>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69">
    <w:name w:val="Lined - Accent 1"/>
    <w:basedOn w:val="45"/>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70">
    <w:name w:val="Lined - Accent 2"/>
    <w:basedOn w:val="45"/>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71">
    <w:name w:val="Lined - Accent 3"/>
    <w:basedOn w:val="45"/>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72">
    <w:name w:val="Lined - Accent 4"/>
    <w:basedOn w:val="45"/>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73">
    <w:name w:val="Lined - Accent 5"/>
    <w:basedOn w:val="45"/>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74">
    <w:name w:val="Lined - Accent 6"/>
    <w:basedOn w:val="45"/>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75">
    <w:name w:val="Bordered &amp; Lined - Accent"/>
    <w:basedOn w:val="45"/>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76">
    <w:name w:val="Bordered &amp; Lined - Accent 1"/>
    <w:basedOn w:val="45"/>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77">
    <w:name w:val="Bordered &amp; Lined - Accent 2"/>
    <w:basedOn w:val="45"/>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78">
    <w:name w:val="Bordered &amp; Lined - Accent 3"/>
    <w:basedOn w:val="45"/>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79">
    <w:name w:val="Bordered &amp; Lined - Accent 4"/>
    <w:basedOn w:val="45"/>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80">
    <w:name w:val="Bordered &amp; Lined - Accent 5"/>
    <w:basedOn w:val="45"/>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81">
    <w:name w:val="Bordered &amp; Lined - Accent 6"/>
    <w:basedOn w:val="45"/>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82">
    <w:name w:val="Bordered"/>
    <w:basedOn w:val="45"/>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83">
    <w:name w:val="Bordered - Accent 1"/>
    <w:basedOn w:val="45"/>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184">
    <w:name w:val="Bordered - Accent 2"/>
    <w:basedOn w:val="45"/>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185">
    <w:name w:val="Bordered - Accent 3"/>
    <w:basedOn w:val="45"/>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186">
    <w:name w:val="Bordered - Accent 4"/>
    <w:basedOn w:val="45"/>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187">
    <w:name w:val="Bordered - Accent 5"/>
    <w:basedOn w:val="4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188">
    <w:name w:val="Bordered - Accent 6"/>
    <w:basedOn w:val="45"/>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character" w:customStyle="1" w:styleId="189">
    <w:name w:val="Heading 6 Char"/>
    <w:basedOn w:val="47"/>
    <w:qFormat/>
    <w:uiPriority w:val="9"/>
    <w:rPr>
      <w:rFonts w:ascii="Arial" w:hAnsi="Arial" w:eastAsia="Arial" w:cs="Arial"/>
      <w:i/>
      <w:iCs/>
      <w:color w:val="595959" w:themeColor="text1" w:themeTint="A6"/>
      <w14:textFill>
        <w14:solidFill>
          <w14:schemeClr w14:val="tx1">
            <w14:lumMod w14:val="65000"/>
            <w14:lumOff w14:val="35000"/>
          </w14:schemeClr>
        </w14:solidFill>
      </w14:textFill>
    </w:rPr>
  </w:style>
  <w:style w:type="character" w:customStyle="1" w:styleId="190">
    <w:name w:val="Heading 7 Char"/>
    <w:basedOn w:val="47"/>
    <w:qFormat/>
    <w:uiPriority w:val="9"/>
    <w:rPr>
      <w:rFonts w:ascii="Arial" w:hAnsi="Arial" w:eastAsia="Arial" w:cs="Arial"/>
      <w:color w:val="595959" w:themeColor="text1" w:themeTint="A6"/>
      <w14:textFill>
        <w14:solidFill>
          <w14:schemeClr w14:val="tx1">
            <w14:lumMod w14:val="65000"/>
            <w14:lumOff w14:val="35000"/>
          </w14:schemeClr>
        </w14:solidFill>
      </w14:textFill>
    </w:rPr>
  </w:style>
  <w:style w:type="character" w:customStyle="1" w:styleId="191">
    <w:name w:val="Heading 8 Char"/>
    <w:basedOn w:val="47"/>
    <w:qFormat/>
    <w:uiPriority w:val="9"/>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customStyle="1" w:styleId="192">
    <w:name w:val="Heading 9 Char"/>
    <w:basedOn w:val="47"/>
    <w:qFormat/>
    <w:uiPriority w:val="9"/>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customStyle="1" w:styleId="193">
    <w:name w:val="Subtitle Char"/>
    <w:basedOn w:val="47"/>
    <w:qFormat/>
    <w:uiPriority w:val="11"/>
    <w:rPr>
      <w:color w:val="595959" w:themeColor="text1" w:themeTint="A6"/>
      <w:spacing w:val="15"/>
      <w:sz w:val="28"/>
      <w:szCs w:val="28"/>
      <w14:textFill>
        <w14:solidFill>
          <w14:schemeClr w14:val="tx1">
            <w14:lumMod w14:val="65000"/>
            <w14:lumOff w14:val="35000"/>
          </w14:schemeClr>
        </w14:solidFill>
      </w14:textFill>
    </w:rPr>
  </w:style>
  <w:style w:type="paragraph" w:styleId="194">
    <w:name w:val="Quote"/>
    <w:basedOn w:val="1"/>
    <w:next w:val="1"/>
    <w:link w:val="195"/>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195">
    <w:name w:val="Quote Char"/>
    <w:basedOn w:val="47"/>
    <w:link w:val="194"/>
    <w:qFormat/>
    <w:uiPriority w:val="29"/>
    <w:rPr>
      <w:i/>
      <w:iCs/>
      <w:color w:val="404040" w:themeColor="text1" w:themeTint="BF"/>
      <w14:textFill>
        <w14:solidFill>
          <w14:schemeClr w14:val="tx1">
            <w14:lumMod w14:val="75000"/>
            <w14:lumOff w14:val="25000"/>
          </w14:schemeClr>
        </w14:solidFill>
      </w14:textFill>
    </w:rPr>
  </w:style>
  <w:style w:type="character" w:customStyle="1" w:styleId="196">
    <w:name w:val="Intense Emphasis"/>
    <w:basedOn w:val="47"/>
    <w:qFormat/>
    <w:uiPriority w:val="21"/>
    <w:rPr>
      <w:i/>
      <w:iCs/>
      <w:color w:val="376092" w:themeColor="accent1" w:themeShade="BF"/>
    </w:rPr>
  </w:style>
  <w:style w:type="paragraph" w:styleId="197">
    <w:name w:val="Intense Quote"/>
    <w:basedOn w:val="1"/>
    <w:next w:val="1"/>
    <w:link w:val="198"/>
    <w:qFormat/>
    <w:uiPriority w:val="30"/>
    <w:pPr>
      <w:pBdr>
        <w:top w:val="single" w:color="366091" w:themeColor="accent1" w:themeShade="BF" w:sz="4" w:space="10"/>
        <w:bottom w:val="single" w:color="366091" w:themeColor="accent1" w:themeShade="BF" w:sz="4" w:space="10"/>
      </w:pBdr>
      <w:spacing w:before="360" w:after="360"/>
      <w:ind w:left="864" w:right="864"/>
      <w:jc w:val="center"/>
    </w:pPr>
    <w:rPr>
      <w:i/>
      <w:iCs/>
      <w:color w:val="376092" w:themeColor="accent1" w:themeShade="BF"/>
    </w:rPr>
  </w:style>
  <w:style w:type="character" w:customStyle="1" w:styleId="198">
    <w:name w:val="Intense Quote Char"/>
    <w:basedOn w:val="47"/>
    <w:link w:val="197"/>
    <w:qFormat/>
    <w:uiPriority w:val="30"/>
    <w:rPr>
      <w:i/>
      <w:iCs/>
      <w:color w:val="376092" w:themeColor="accent1" w:themeShade="BF"/>
    </w:rPr>
  </w:style>
  <w:style w:type="character" w:customStyle="1" w:styleId="199">
    <w:name w:val="Intense Reference"/>
    <w:basedOn w:val="47"/>
    <w:qFormat/>
    <w:uiPriority w:val="32"/>
    <w:rPr>
      <w:b/>
      <w:bCs/>
      <w:smallCaps/>
      <w:color w:val="376092" w:themeColor="accent1" w:themeShade="BF"/>
      <w:spacing w:val="5"/>
    </w:rPr>
  </w:style>
  <w:style w:type="character" w:customStyle="1" w:styleId="200">
    <w:name w:val="Subtle Emphasis"/>
    <w:basedOn w:val="47"/>
    <w:qFormat/>
    <w:uiPriority w:val="19"/>
    <w:rPr>
      <w:i/>
      <w:iCs/>
      <w:color w:val="404040" w:themeColor="text1" w:themeTint="BF"/>
      <w14:textFill>
        <w14:solidFill>
          <w14:schemeClr w14:val="tx1">
            <w14:lumMod w14:val="75000"/>
            <w14:lumOff w14:val="25000"/>
          </w14:schemeClr>
        </w14:solidFill>
      </w14:textFill>
    </w:rPr>
  </w:style>
  <w:style w:type="character" w:customStyle="1" w:styleId="201">
    <w:name w:val="Subtle Reference"/>
    <w:basedOn w:val="47"/>
    <w:qFormat/>
    <w:uiPriority w:val="31"/>
    <w:rPr>
      <w:smallCaps/>
      <w:color w:val="595959" w:themeColor="text1" w:themeTint="A6"/>
      <w14:textFill>
        <w14:solidFill>
          <w14:schemeClr w14:val="tx1">
            <w14:lumMod w14:val="65000"/>
            <w14:lumOff w14:val="35000"/>
          </w14:schemeClr>
        </w14:solidFill>
      </w14:textFill>
    </w:rPr>
  </w:style>
  <w:style w:type="character" w:customStyle="1" w:styleId="202">
    <w:name w:val="Book Title"/>
    <w:basedOn w:val="47"/>
    <w:qFormat/>
    <w:uiPriority w:val="33"/>
    <w:rPr>
      <w:b/>
      <w:bCs/>
      <w:i/>
      <w:iCs/>
      <w:spacing w:val="5"/>
    </w:rPr>
  </w:style>
  <w:style w:type="character" w:customStyle="1" w:styleId="203">
    <w:name w:val="Endnote Text Char"/>
    <w:basedOn w:val="47"/>
    <w:link w:val="28"/>
    <w:semiHidden/>
    <w:qFormat/>
    <w:uiPriority w:val="99"/>
    <w:rPr>
      <w:sz w:val="20"/>
      <w:szCs w:val="20"/>
    </w:rPr>
  </w:style>
  <w:style w:type="paragraph" w:customStyle="1" w:styleId="204">
    <w:name w:val="TOC Heading"/>
    <w:unhideWhenUsed/>
    <w:qFormat/>
    <w:uiPriority w:val="39"/>
    <w:rPr>
      <w:rFonts w:hint="default" w:ascii="Times New Roman" w:hAnsi="Times New Roman" w:eastAsia="宋体" w:cs="Times New Roman"/>
    </w:rPr>
  </w:style>
  <w:style w:type="paragraph" w:customStyle="1" w:styleId="205">
    <w:name w:val="正文1"/>
    <w:basedOn w:val="1"/>
    <w:qFormat/>
    <w:uiPriority w:val="0"/>
    <w:pPr>
      <w:spacing w:line="360" w:lineRule="auto"/>
      <w:ind w:firstLine="200"/>
      <w:jc w:val="left"/>
    </w:pPr>
    <w:rPr>
      <w:rFonts w:ascii="Times New Roman)" w:hAnsi="Times New Roman)" w:eastAsia="宋体正文"/>
      <w:color w:val="000000"/>
      <w:sz w:val="24"/>
      <w:lang w:eastAsia="en-US" w:bidi="en-US"/>
    </w:rPr>
  </w:style>
  <w:style w:type="character" w:customStyle="1" w:styleId="206">
    <w:name w:val="标题 1 字符"/>
    <w:link w:val="2"/>
    <w:qFormat/>
    <w:uiPriority w:val="99"/>
    <w:rPr>
      <w:b/>
      <w:bCs/>
      <w:sz w:val="44"/>
      <w:szCs w:val="44"/>
    </w:rPr>
  </w:style>
  <w:style w:type="character" w:customStyle="1" w:styleId="207">
    <w:name w:val="标题 2 字符"/>
    <w:link w:val="3"/>
    <w:qFormat/>
    <w:uiPriority w:val="9"/>
    <w:rPr>
      <w:rFonts w:ascii="Cambria" w:hAnsi="Cambria" w:eastAsia="宋体" w:cs="Times New Roman"/>
      <w:b/>
      <w:bCs/>
      <w:sz w:val="32"/>
      <w:szCs w:val="32"/>
    </w:rPr>
  </w:style>
  <w:style w:type="character" w:customStyle="1" w:styleId="208">
    <w:name w:val="标题 3 字符"/>
    <w:link w:val="4"/>
    <w:qFormat/>
    <w:uiPriority w:val="99"/>
    <w:rPr>
      <w:b/>
      <w:bCs/>
      <w:sz w:val="32"/>
      <w:szCs w:val="32"/>
    </w:rPr>
  </w:style>
  <w:style w:type="character" w:customStyle="1" w:styleId="209">
    <w:name w:val="标题 4 字符"/>
    <w:link w:val="5"/>
    <w:qFormat/>
    <w:uiPriority w:val="99"/>
    <w:rPr>
      <w:rFonts w:ascii="Arial" w:hAnsi="Arial"/>
      <w:b/>
      <w:bCs/>
      <w:sz w:val="28"/>
      <w:szCs w:val="28"/>
    </w:rPr>
  </w:style>
  <w:style w:type="character" w:customStyle="1" w:styleId="210">
    <w:name w:val="标题 5 字符"/>
    <w:link w:val="6"/>
    <w:qFormat/>
    <w:uiPriority w:val="99"/>
    <w:rPr>
      <w:rFonts w:ascii="Times New Roman" w:hAnsi="Times New Roman"/>
      <w:b/>
      <w:bCs/>
      <w:sz w:val="28"/>
      <w:szCs w:val="28"/>
    </w:rPr>
  </w:style>
  <w:style w:type="character" w:customStyle="1" w:styleId="211">
    <w:name w:val="正文缩进 字符"/>
    <w:link w:val="7"/>
    <w:qFormat/>
    <w:uiPriority w:val="99"/>
    <w:rPr>
      <w:sz w:val="21"/>
    </w:rPr>
  </w:style>
  <w:style w:type="character" w:customStyle="1" w:styleId="212">
    <w:name w:val="标题 6 字符"/>
    <w:link w:val="8"/>
    <w:qFormat/>
    <w:uiPriority w:val="9"/>
    <w:rPr>
      <w:rFonts w:ascii="Cambria" w:hAnsi="Cambria"/>
      <w:b/>
      <w:bCs/>
      <w:sz w:val="24"/>
      <w:szCs w:val="24"/>
    </w:rPr>
  </w:style>
  <w:style w:type="character" w:customStyle="1" w:styleId="213">
    <w:name w:val="标题 7 字符"/>
    <w:link w:val="9"/>
    <w:qFormat/>
    <w:uiPriority w:val="9"/>
    <w:rPr>
      <w:b/>
      <w:bCs/>
      <w:sz w:val="24"/>
      <w:szCs w:val="24"/>
    </w:rPr>
  </w:style>
  <w:style w:type="character" w:customStyle="1" w:styleId="214">
    <w:name w:val="标题 8 字符"/>
    <w:link w:val="10"/>
    <w:semiHidden/>
    <w:qFormat/>
    <w:uiPriority w:val="9"/>
    <w:rPr>
      <w:rFonts w:ascii="等线 Light" w:hAnsi="等线 Light" w:eastAsia="等线 Light" w:cs="Times New Roman"/>
      <w:sz w:val="24"/>
      <w:szCs w:val="24"/>
    </w:rPr>
  </w:style>
  <w:style w:type="character" w:customStyle="1" w:styleId="215">
    <w:name w:val="标题 9 字符"/>
    <w:link w:val="11"/>
    <w:qFormat/>
    <w:uiPriority w:val="9"/>
    <w:rPr>
      <w:rFonts w:ascii="Cambria" w:hAnsi="Cambria"/>
      <w:szCs w:val="21"/>
    </w:rPr>
  </w:style>
  <w:style w:type="character" w:customStyle="1" w:styleId="216">
    <w:name w:val="文档结构图 字符"/>
    <w:link w:val="15"/>
    <w:qFormat/>
    <w:uiPriority w:val="99"/>
    <w:rPr>
      <w:sz w:val="24"/>
      <w:szCs w:val="24"/>
      <w:shd w:val="clear" w:color="auto" w:fill="000080"/>
    </w:rPr>
  </w:style>
  <w:style w:type="character" w:customStyle="1" w:styleId="217">
    <w:name w:val="批注文字 字符2"/>
    <w:link w:val="16"/>
    <w:qFormat/>
    <w:uiPriority w:val="99"/>
    <w:rPr>
      <w:rFonts w:ascii="Times New Roman" w:hAnsi="Times New Roman"/>
      <w:sz w:val="21"/>
      <w:szCs w:val="24"/>
    </w:rPr>
  </w:style>
  <w:style w:type="character" w:customStyle="1" w:styleId="218">
    <w:name w:val="正文文本 3 字符"/>
    <w:link w:val="17"/>
    <w:semiHidden/>
    <w:qFormat/>
    <w:uiPriority w:val="99"/>
    <w:rPr>
      <w:sz w:val="16"/>
      <w:szCs w:val="16"/>
    </w:rPr>
  </w:style>
  <w:style w:type="character" w:customStyle="1" w:styleId="219">
    <w:name w:val="正文文本 字符1"/>
    <w:link w:val="18"/>
    <w:qFormat/>
    <w:uiPriority w:val="99"/>
    <w:rPr>
      <w:rFonts w:ascii="Times New Roman" w:hAnsi="Times New Roman"/>
      <w:sz w:val="21"/>
      <w:szCs w:val="24"/>
    </w:rPr>
  </w:style>
  <w:style w:type="character" w:customStyle="1" w:styleId="220">
    <w:name w:val="正文文本缩进 字符"/>
    <w:link w:val="19"/>
    <w:qFormat/>
    <w:uiPriority w:val="99"/>
    <w:rPr>
      <w:rFonts w:ascii="仿宋_GB2312" w:hAnsi="Times New Roman" w:eastAsia="仿宋_GB2312" w:cs="Times New Roman"/>
      <w:sz w:val="32"/>
      <w:szCs w:val="20"/>
    </w:rPr>
  </w:style>
  <w:style w:type="character" w:customStyle="1" w:styleId="221">
    <w:name w:val="纯文本 字符3"/>
    <w:link w:val="24"/>
    <w:qFormat/>
    <w:uiPriority w:val="99"/>
    <w:rPr>
      <w:rFonts w:ascii="宋体" w:hAnsi="Courier New" w:eastAsia="宋体" w:cs="Courier New"/>
      <w:szCs w:val="21"/>
    </w:rPr>
  </w:style>
  <w:style w:type="character" w:customStyle="1" w:styleId="222">
    <w:name w:val="日期 字符"/>
    <w:link w:val="26"/>
    <w:qFormat/>
    <w:uiPriority w:val="99"/>
    <w:rPr>
      <w:rFonts w:ascii="Times New Roman" w:hAnsi="Times New Roman"/>
      <w:sz w:val="21"/>
      <w:szCs w:val="24"/>
    </w:rPr>
  </w:style>
  <w:style w:type="character" w:customStyle="1" w:styleId="223">
    <w:name w:val="正文文本缩进 2 字符"/>
    <w:link w:val="27"/>
    <w:qFormat/>
    <w:uiPriority w:val="99"/>
    <w:rPr>
      <w:sz w:val="24"/>
      <w:szCs w:val="24"/>
    </w:rPr>
  </w:style>
  <w:style w:type="character" w:customStyle="1" w:styleId="224">
    <w:name w:val="批注框文本 字符"/>
    <w:link w:val="29"/>
    <w:qFormat/>
    <w:uiPriority w:val="99"/>
    <w:rPr>
      <w:sz w:val="18"/>
      <w:szCs w:val="18"/>
    </w:rPr>
  </w:style>
  <w:style w:type="character" w:customStyle="1" w:styleId="225">
    <w:name w:val="页脚 字符"/>
    <w:link w:val="30"/>
    <w:qFormat/>
    <w:uiPriority w:val="99"/>
    <w:rPr>
      <w:sz w:val="18"/>
      <w:szCs w:val="18"/>
    </w:rPr>
  </w:style>
  <w:style w:type="character" w:customStyle="1" w:styleId="226">
    <w:name w:val="页眉 字符"/>
    <w:link w:val="31"/>
    <w:qFormat/>
    <w:uiPriority w:val="99"/>
    <w:rPr>
      <w:sz w:val="18"/>
      <w:szCs w:val="18"/>
    </w:rPr>
  </w:style>
  <w:style w:type="character" w:customStyle="1" w:styleId="227">
    <w:name w:val="副标题 字符"/>
    <w:link w:val="34"/>
    <w:qFormat/>
    <w:uiPriority w:val="11"/>
    <w:rPr>
      <w:rFonts w:ascii="Cambria" w:hAnsi="Cambria"/>
      <w:b/>
      <w:bCs/>
      <w:sz w:val="32"/>
      <w:szCs w:val="32"/>
    </w:rPr>
  </w:style>
  <w:style w:type="character" w:customStyle="1" w:styleId="228">
    <w:name w:val="脚注文本 字符"/>
    <w:link w:val="35"/>
    <w:qFormat/>
    <w:uiPriority w:val="99"/>
    <w:rPr>
      <w:sz w:val="18"/>
      <w:szCs w:val="18"/>
    </w:rPr>
  </w:style>
  <w:style w:type="character" w:customStyle="1" w:styleId="229">
    <w:name w:val="HTML 预设格式 字符"/>
    <w:link w:val="41"/>
    <w:qFormat/>
    <w:uiPriority w:val="99"/>
    <w:rPr>
      <w:rFonts w:ascii="宋体" w:hAnsi="宋体"/>
      <w:sz w:val="24"/>
      <w:szCs w:val="24"/>
    </w:rPr>
  </w:style>
  <w:style w:type="character" w:customStyle="1" w:styleId="230">
    <w:name w:val="标题 字符"/>
    <w:link w:val="43"/>
    <w:qFormat/>
    <w:uiPriority w:val="99"/>
    <w:rPr>
      <w:rFonts w:ascii="Cambria" w:hAnsi="Cambria"/>
      <w:b/>
      <w:bCs/>
      <w:sz w:val="32"/>
      <w:szCs w:val="32"/>
    </w:rPr>
  </w:style>
  <w:style w:type="character" w:customStyle="1" w:styleId="231">
    <w:name w:val="批注主题 字符"/>
    <w:link w:val="44"/>
    <w:qFormat/>
    <w:uiPriority w:val="99"/>
    <w:rPr>
      <w:rFonts w:ascii="Times New Roman" w:hAnsi="Times New Roman"/>
      <w:b/>
      <w:bCs/>
      <w:sz w:val="21"/>
      <w:szCs w:val="24"/>
    </w:rPr>
  </w:style>
  <w:style w:type="character" w:customStyle="1" w:styleId="232">
    <w:name w:val="访问过的超链接1"/>
    <w:qFormat/>
    <w:uiPriority w:val="99"/>
    <w:rPr>
      <w:color w:val="800080"/>
      <w:u w:val="single"/>
    </w:rPr>
  </w:style>
  <w:style w:type="character" w:customStyle="1" w:styleId="233">
    <w:name w:val="书籍标题1"/>
    <w:qFormat/>
    <w:uiPriority w:val="99"/>
    <w:rPr>
      <w:b/>
      <w:bCs/>
      <w:smallCaps/>
      <w:spacing w:val="5"/>
    </w:rPr>
  </w:style>
  <w:style w:type="character" w:customStyle="1" w:styleId="234">
    <w:name w:val="Body text|5_"/>
    <w:link w:val="235"/>
    <w:qFormat/>
    <w:uiPriority w:val="0"/>
    <w:rPr>
      <w:rFonts w:ascii="宋体" w:hAnsi="宋体" w:cs="宋体"/>
      <w:sz w:val="52"/>
      <w:szCs w:val="52"/>
      <w:lang w:val="zh-CN" w:bidi="zh-CN"/>
    </w:rPr>
  </w:style>
  <w:style w:type="paragraph" w:customStyle="1" w:styleId="235">
    <w:name w:val="Body text|5"/>
    <w:basedOn w:val="1"/>
    <w:link w:val="234"/>
    <w:qFormat/>
    <w:uiPriority w:val="0"/>
    <w:pPr>
      <w:jc w:val="center"/>
    </w:pPr>
    <w:rPr>
      <w:rFonts w:ascii="宋体" w:hAnsi="宋体" w:cs="宋体"/>
      <w:sz w:val="52"/>
      <w:szCs w:val="52"/>
      <w:lang w:val="zh-CN" w:bidi="zh-CN"/>
    </w:rPr>
  </w:style>
  <w:style w:type="character" w:customStyle="1" w:styleId="236">
    <w:name w:val="Body text|1_"/>
    <w:link w:val="237"/>
    <w:qFormat/>
    <w:uiPriority w:val="0"/>
    <w:rPr>
      <w:rFonts w:ascii="宋体" w:hAnsi="宋体" w:cs="宋体"/>
      <w:sz w:val="21"/>
      <w:lang w:val="zh-CN" w:bidi="zh-CN"/>
    </w:rPr>
  </w:style>
  <w:style w:type="paragraph" w:customStyle="1" w:styleId="237">
    <w:name w:val="Body text|1"/>
    <w:basedOn w:val="1"/>
    <w:link w:val="236"/>
    <w:qFormat/>
    <w:uiPriority w:val="0"/>
    <w:pPr>
      <w:spacing w:line="360" w:lineRule="auto"/>
      <w:ind w:firstLine="400"/>
    </w:pPr>
    <w:rPr>
      <w:rFonts w:ascii="宋体" w:hAnsi="宋体" w:cs="宋体"/>
      <w:szCs w:val="20"/>
      <w:lang w:val="zh-CN" w:bidi="zh-CN"/>
    </w:rPr>
  </w:style>
  <w:style w:type="character" w:customStyle="1" w:styleId="238">
    <w:name w:val="Table caption|1_"/>
    <w:link w:val="239"/>
    <w:qFormat/>
    <w:uiPriority w:val="0"/>
    <w:rPr>
      <w:rFonts w:ascii="宋体" w:hAnsi="宋体" w:cs="宋体"/>
      <w:lang w:val="zh-CN" w:bidi="zh-CN"/>
    </w:rPr>
  </w:style>
  <w:style w:type="paragraph" w:customStyle="1" w:styleId="239">
    <w:name w:val="Table caption|1"/>
    <w:basedOn w:val="1"/>
    <w:link w:val="238"/>
    <w:qFormat/>
    <w:uiPriority w:val="0"/>
    <w:pPr>
      <w:jc w:val="left"/>
    </w:pPr>
    <w:rPr>
      <w:rFonts w:ascii="宋体" w:hAnsi="宋体" w:cs="宋体"/>
      <w:sz w:val="20"/>
      <w:szCs w:val="20"/>
      <w:lang w:val="zh-CN" w:bidi="zh-CN"/>
    </w:rPr>
  </w:style>
  <w:style w:type="character" w:customStyle="1" w:styleId="240">
    <w:name w:val="Heading #4|1_"/>
    <w:link w:val="241"/>
    <w:qFormat/>
    <w:uiPriority w:val="0"/>
    <w:rPr>
      <w:rFonts w:ascii="宋体" w:hAnsi="宋体" w:cs="宋体"/>
      <w:lang w:val="zh-CN" w:bidi="zh-CN"/>
    </w:rPr>
  </w:style>
  <w:style w:type="paragraph" w:customStyle="1" w:styleId="241">
    <w:name w:val="Heading #4|1"/>
    <w:basedOn w:val="1"/>
    <w:link w:val="240"/>
    <w:qFormat/>
    <w:uiPriority w:val="0"/>
    <w:pPr>
      <w:spacing w:after="120"/>
      <w:jc w:val="left"/>
      <w:outlineLvl w:val="3"/>
    </w:pPr>
    <w:rPr>
      <w:rFonts w:ascii="宋体" w:hAnsi="宋体" w:cs="宋体"/>
      <w:sz w:val="20"/>
      <w:szCs w:val="20"/>
      <w:lang w:val="zh-CN" w:bidi="zh-CN"/>
    </w:rPr>
  </w:style>
  <w:style w:type="character" w:customStyle="1" w:styleId="242">
    <w:name w:val="Body text|2_"/>
    <w:link w:val="243"/>
    <w:qFormat/>
    <w:uiPriority w:val="0"/>
    <w:rPr>
      <w:sz w:val="21"/>
    </w:rPr>
  </w:style>
  <w:style w:type="paragraph" w:customStyle="1" w:styleId="243">
    <w:name w:val="Body text|2"/>
    <w:basedOn w:val="1"/>
    <w:link w:val="242"/>
    <w:qFormat/>
    <w:uiPriority w:val="0"/>
    <w:pPr>
      <w:spacing w:after="30"/>
      <w:ind w:firstLine="420"/>
      <w:jc w:val="left"/>
    </w:pPr>
    <w:rPr>
      <w:szCs w:val="20"/>
    </w:rPr>
  </w:style>
  <w:style w:type="character" w:customStyle="1" w:styleId="244">
    <w:name w:val="Heading #1|1_"/>
    <w:link w:val="245"/>
    <w:qFormat/>
    <w:uiPriority w:val="0"/>
    <w:rPr>
      <w:rFonts w:ascii="宋体" w:hAnsi="宋体" w:cs="宋体"/>
      <w:sz w:val="38"/>
      <w:szCs w:val="38"/>
      <w:lang w:val="zh-CN" w:bidi="zh-CN"/>
    </w:rPr>
  </w:style>
  <w:style w:type="paragraph" w:customStyle="1" w:styleId="245">
    <w:name w:val="Heading #1|1"/>
    <w:basedOn w:val="1"/>
    <w:link w:val="244"/>
    <w:qFormat/>
    <w:uiPriority w:val="0"/>
    <w:pPr>
      <w:spacing w:after="440" w:line="564" w:lineRule="exact"/>
      <w:jc w:val="center"/>
      <w:outlineLvl w:val="0"/>
    </w:pPr>
    <w:rPr>
      <w:rFonts w:ascii="宋体" w:hAnsi="宋体" w:cs="宋体"/>
      <w:sz w:val="38"/>
      <w:szCs w:val="38"/>
      <w:lang w:val="zh-CN" w:bidi="zh-CN"/>
    </w:rPr>
  </w:style>
  <w:style w:type="character" w:customStyle="1" w:styleId="246">
    <w:name w:val="Header or footer|2_"/>
    <w:link w:val="247"/>
    <w:qFormat/>
    <w:uiPriority w:val="0"/>
    <w:rPr>
      <w:lang w:val="zh-CN" w:bidi="zh-CN"/>
    </w:rPr>
  </w:style>
  <w:style w:type="paragraph" w:customStyle="1" w:styleId="247">
    <w:name w:val="Header or footer|2"/>
    <w:basedOn w:val="1"/>
    <w:link w:val="246"/>
    <w:qFormat/>
    <w:uiPriority w:val="0"/>
    <w:pPr>
      <w:jc w:val="left"/>
    </w:pPr>
    <w:rPr>
      <w:sz w:val="20"/>
      <w:szCs w:val="20"/>
      <w:lang w:val="zh-CN" w:bidi="zh-CN"/>
    </w:rPr>
  </w:style>
  <w:style w:type="character" w:customStyle="1" w:styleId="248">
    <w:name w:val="Title Char"/>
    <w:qFormat/>
    <w:uiPriority w:val="99"/>
    <w:rPr>
      <w:rFonts w:ascii="Cambria" w:hAnsi="Cambria" w:cs="Cambria"/>
      <w:b/>
      <w:bCs/>
      <w:sz w:val="32"/>
      <w:szCs w:val="32"/>
    </w:rPr>
  </w:style>
  <w:style w:type="character" w:customStyle="1" w:styleId="249">
    <w:name w:val="Body text|3_"/>
    <w:link w:val="250"/>
    <w:qFormat/>
    <w:uiPriority w:val="0"/>
    <w:rPr>
      <w:rFonts w:ascii="宋体" w:hAnsi="宋体" w:cs="宋体"/>
      <w:lang w:val="zh-CN" w:bidi="zh-CN"/>
    </w:rPr>
  </w:style>
  <w:style w:type="paragraph" w:customStyle="1" w:styleId="250">
    <w:name w:val="Body text|3"/>
    <w:basedOn w:val="1"/>
    <w:link w:val="249"/>
    <w:qFormat/>
    <w:uiPriority w:val="0"/>
    <w:pPr>
      <w:spacing w:after="340"/>
      <w:jc w:val="left"/>
    </w:pPr>
    <w:rPr>
      <w:rFonts w:ascii="宋体" w:hAnsi="宋体" w:cs="宋体"/>
      <w:sz w:val="20"/>
      <w:szCs w:val="20"/>
      <w:lang w:val="zh-CN" w:bidi="zh-CN"/>
    </w:rPr>
  </w:style>
  <w:style w:type="character" w:customStyle="1" w:styleId="251">
    <w:name w:val="Table of contents|1_"/>
    <w:link w:val="252"/>
    <w:qFormat/>
    <w:uiPriority w:val="0"/>
    <w:rPr>
      <w:rFonts w:ascii="宋体" w:hAnsi="宋体" w:cs="宋体"/>
      <w:lang w:val="zh-CN" w:bidi="zh-CN"/>
    </w:rPr>
  </w:style>
  <w:style w:type="paragraph" w:customStyle="1" w:styleId="252">
    <w:name w:val="Table of contents|1"/>
    <w:basedOn w:val="1"/>
    <w:link w:val="251"/>
    <w:qFormat/>
    <w:uiPriority w:val="0"/>
    <w:pPr>
      <w:spacing w:after="100"/>
      <w:ind w:firstLine="600"/>
      <w:jc w:val="left"/>
    </w:pPr>
    <w:rPr>
      <w:rFonts w:ascii="宋体" w:hAnsi="宋体" w:cs="宋体"/>
      <w:sz w:val="20"/>
      <w:szCs w:val="20"/>
      <w:lang w:val="zh-CN" w:bidi="zh-CN"/>
    </w:rPr>
  </w:style>
  <w:style w:type="character" w:customStyle="1" w:styleId="253">
    <w:name w:val="Date Char"/>
    <w:qFormat/>
    <w:uiPriority w:val="99"/>
    <w:rPr>
      <w:rFonts w:eastAsia="宋体"/>
      <w:sz w:val="24"/>
      <w:szCs w:val="24"/>
      <w:lang w:val="en-US" w:eastAsia="zh-CN"/>
    </w:rPr>
  </w:style>
  <w:style w:type="character" w:customStyle="1" w:styleId="254">
    <w:name w:val="Char Char9"/>
    <w:qFormat/>
    <w:uiPriority w:val="99"/>
    <w:rPr>
      <w:rFonts w:eastAsia="宋体"/>
      <w:b/>
      <w:bCs/>
      <w:sz w:val="44"/>
      <w:szCs w:val="44"/>
      <w:lang w:val="en-US" w:eastAsia="zh-CN"/>
    </w:rPr>
  </w:style>
  <w:style w:type="character" w:customStyle="1" w:styleId="255">
    <w:name w:val="Document Map Char"/>
    <w:qFormat/>
    <w:uiPriority w:val="99"/>
    <w:rPr>
      <w:rFonts w:eastAsia="宋体"/>
      <w:sz w:val="24"/>
      <w:szCs w:val="24"/>
      <w:lang w:val="en-US" w:eastAsia="zh-CN"/>
    </w:rPr>
  </w:style>
  <w:style w:type="character" w:customStyle="1" w:styleId="256">
    <w:name w:val="Header Char"/>
    <w:qFormat/>
    <w:uiPriority w:val="99"/>
    <w:rPr>
      <w:rFonts w:eastAsia="宋体"/>
      <w:sz w:val="18"/>
      <w:szCs w:val="18"/>
      <w:lang w:val="en-US" w:eastAsia="zh-CN"/>
    </w:rPr>
  </w:style>
  <w:style w:type="character" w:customStyle="1" w:styleId="257">
    <w:name w:val="明显参考1"/>
    <w:qFormat/>
    <w:uiPriority w:val="99"/>
    <w:rPr>
      <w:b/>
      <w:bCs/>
      <w:smallCaps/>
      <w:color w:val="auto"/>
      <w:spacing w:val="5"/>
      <w:u w:val="single"/>
    </w:rPr>
  </w:style>
  <w:style w:type="character" w:customStyle="1" w:styleId="258">
    <w:name w:val="Heading 1 Char"/>
    <w:qFormat/>
    <w:uiPriority w:val="99"/>
    <w:rPr>
      <w:rFonts w:eastAsia="宋体"/>
      <w:b/>
      <w:bCs/>
      <w:sz w:val="44"/>
      <w:szCs w:val="44"/>
      <w:lang w:val="en-US" w:eastAsia="zh-CN"/>
    </w:rPr>
  </w:style>
  <w:style w:type="character" w:customStyle="1" w:styleId="259">
    <w:name w:val="Comment Text Char"/>
    <w:qFormat/>
    <w:uiPriority w:val="99"/>
    <w:rPr>
      <w:sz w:val="24"/>
      <w:szCs w:val="24"/>
    </w:rPr>
  </w:style>
  <w:style w:type="character" w:customStyle="1" w:styleId="260">
    <w:name w:val="Char Char23"/>
    <w:qFormat/>
    <w:uiPriority w:val="99"/>
    <w:rPr>
      <w:rFonts w:eastAsia="宋体"/>
      <w:b/>
      <w:bCs/>
      <w:sz w:val="44"/>
      <w:szCs w:val="44"/>
      <w:lang w:val="en-US" w:eastAsia="zh-CN"/>
    </w:rPr>
  </w:style>
  <w:style w:type="character" w:customStyle="1" w:styleId="261">
    <w:name w:val="Char Char181"/>
    <w:qFormat/>
    <w:uiPriority w:val="99"/>
    <w:rPr>
      <w:b/>
      <w:bCs/>
      <w:sz w:val="44"/>
      <w:szCs w:val="44"/>
    </w:rPr>
  </w:style>
  <w:style w:type="character" w:customStyle="1" w:styleId="262">
    <w:name w:val="Char Char22"/>
    <w:qFormat/>
    <w:uiPriority w:val="99"/>
    <w:rPr>
      <w:rFonts w:ascii="Times New Roman" w:hAnsi="Times New Roman" w:eastAsia="宋体" w:cs="Times New Roman"/>
      <w:b/>
      <w:bCs/>
      <w:sz w:val="44"/>
      <w:szCs w:val="44"/>
    </w:rPr>
  </w:style>
  <w:style w:type="character" w:customStyle="1" w:styleId="263">
    <w:name w:val="引用 Char1"/>
    <w:qFormat/>
    <w:uiPriority w:val="99"/>
    <w:rPr>
      <w:rFonts w:ascii="Times New Roman" w:hAnsi="Times New Roman" w:eastAsia="宋体" w:cs="Times New Roman"/>
      <w:i/>
      <w:iCs/>
      <w:color w:val="000000"/>
      <w:sz w:val="24"/>
      <w:szCs w:val="24"/>
    </w:rPr>
  </w:style>
  <w:style w:type="character" w:customStyle="1" w:styleId="264">
    <w:name w:val="Heading 3 Char1"/>
    <w:qFormat/>
    <w:uiPriority w:val="99"/>
    <w:rPr>
      <w:rFonts w:eastAsia="宋体"/>
      <w:b/>
      <w:bCs/>
      <w:sz w:val="32"/>
      <w:szCs w:val="32"/>
      <w:lang w:val="en-US" w:eastAsia="zh-CN"/>
    </w:rPr>
  </w:style>
  <w:style w:type="character" w:customStyle="1" w:styleId="265">
    <w:name w:val="明显强调1"/>
    <w:qFormat/>
    <w:uiPriority w:val="99"/>
    <w:rPr>
      <w:b/>
      <w:bCs/>
      <w:i/>
      <w:iCs/>
      <w:color w:val="4F81BD"/>
    </w:rPr>
  </w:style>
  <w:style w:type="character" w:customStyle="1" w:styleId="266">
    <w:name w:val="明显引用 Char1"/>
    <w:qFormat/>
    <w:uiPriority w:val="99"/>
    <w:rPr>
      <w:rFonts w:ascii="Times New Roman" w:hAnsi="Times New Roman" w:eastAsia="宋体" w:cs="Times New Roman"/>
      <w:b/>
      <w:bCs/>
      <w:i/>
      <w:iCs/>
      <w:color w:val="4F81BD"/>
      <w:sz w:val="24"/>
      <w:szCs w:val="24"/>
    </w:rPr>
  </w:style>
  <w:style w:type="character" w:customStyle="1" w:styleId="267">
    <w:name w:val="标题 Char2"/>
    <w:qFormat/>
    <w:uiPriority w:val="99"/>
    <w:rPr>
      <w:rFonts w:ascii="Cambria" w:hAnsi="Cambria" w:eastAsia="宋体" w:cs="Cambria"/>
      <w:b/>
      <w:bCs/>
      <w:sz w:val="32"/>
      <w:szCs w:val="32"/>
    </w:rPr>
  </w:style>
  <w:style w:type="character" w:customStyle="1" w:styleId="268">
    <w:name w:val="标题 Char1"/>
    <w:qFormat/>
    <w:uiPriority w:val="99"/>
    <w:rPr>
      <w:rFonts w:ascii="Cambria" w:hAnsi="Cambria" w:eastAsia="宋体" w:cs="Cambria"/>
      <w:b/>
      <w:bCs/>
      <w:sz w:val="32"/>
      <w:szCs w:val="32"/>
    </w:rPr>
  </w:style>
  <w:style w:type="character" w:customStyle="1" w:styleId="269">
    <w:name w:val="Heading 5 Char"/>
    <w:qFormat/>
    <w:uiPriority w:val="99"/>
    <w:rPr>
      <w:rFonts w:eastAsia="宋体"/>
      <w:b/>
      <w:bCs/>
      <w:sz w:val="28"/>
      <w:szCs w:val="28"/>
      <w:lang w:val="en-US" w:eastAsia="zh-CN"/>
    </w:rPr>
  </w:style>
  <w:style w:type="character" w:customStyle="1" w:styleId="270">
    <w:name w:val="标题 1 字符1"/>
    <w:qFormat/>
    <w:uiPriority w:val="0"/>
    <w:rPr>
      <w:b/>
      <w:bCs/>
      <w:sz w:val="44"/>
      <w:szCs w:val="44"/>
    </w:rPr>
  </w:style>
  <w:style w:type="character" w:customStyle="1" w:styleId="271">
    <w:name w:val="明显引用 Char"/>
    <w:link w:val="272"/>
    <w:qFormat/>
    <w:uiPriority w:val="99"/>
    <w:rPr>
      <w:b/>
      <w:bCs/>
      <w:i/>
      <w:iCs/>
      <w:color w:val="4F81BD"/>
    </w:rPr>
  </w:style>
  <w:style w:type="paragraph" w:customStyle="1" w:styleId="272">
    <w:name w:val="明显引用1"/>
    <w:basedOn w:val="1"/>
    <w:next w:val="1"/>
    <w:link w:val="271"/>
    <w:qFormat/>
    <w:uiPriority w:val="99"/>
    <w:pPr>
      <w:pBdr>
        <w:bottom w:val="single" w:color="4F81BD" w:sz="4" w:space="4"/>
      </w:pBdr>
      <w:spacing w:before="200" w:after="280"/>
      <w:ind w:left="936" w:right="936"/>
    </w:pPr>
    <w:rPr>
      <w:b/>
      <w:bCs/>
      <w:i/>
      <w:iCs/>
      <w:color w:val="4F81BD"/>
      <w:sz w:val="20"/>
      <w:szCs w:val="20"/>
    </w:rPr>
  </w:style>
  <w:style w:type="character" w:customStyle="1" w:styleId="273">
    <w:name w:val="textcontents"/>
    <w:qFormat/>
    <w:uiPriority w:val="99"/>
  </w:style>
  <w:style w:type="character" w:customStyle="1" w:styleId="274">
    <w:name w:val="Char Char19"/>
    <w:qFormat/>
    <w:uiPriority w:val="99"/>
    <w:rPr>
      <w:rFonts w:ascii="Arial" w:hAnsi="Arial" w:eastAsia="宋体" w:cs="Arial"/>
      <w:b/>
      <w:bCs/>
      <w:sz w:val="28"/>
      <w:szCs w:val="28"/>
    </w:rPr>
  </w:style>
  <w:style w:type="character" w:customStyle="1" w:styleId="275">
    <w:name w:val="批注文字 Char"/>
    <w:qFormat/>
    <w:uiPriority w:val="99"/>
    <w:rPr>
      <w:rFonts w:ascii="Times New Roman" w:hAnsi="Times New Roman"/>
      <w:sz w:val="21"/>
      <w:szCs w:val="24"/>
    </w:rPr>
  </w:style>
  <w:style w:type="character" w:customStyle="1" w:styleId="276">
    <w:name w:val="标题5 Char Char"/>
    <w:link w:val="277"/>
    <w:qFormat/>
    <w:uiPriority w:val="99"/>
    <w:rPr>
      <w:rFonts w:ascii="Arial" w:hAnsi="Arial" w:cs="Arial"/>
      <w:b/>
      <w:bCs/>
      <w:sz w:val="32"/>
      <w:szCs w:val="32"/>
    </w:rPr>
  </w:style>
  <w:style w:type="paragraph" w:customStyle="1" w:styleId="277">
    <w:name w:val="标题5"/>
    <w:basedOn w:val="4"/>
    <w:link w:val="276"/>
    <w:qFormat/>
    <w:uiPriority w:val="99"/>
    <w:pPr>
      <w:spacing w:line="413" w:lineRule="auto"/>
    </w:pPr>
    <w:rPr>
      <w:rFonts w:ascii="Arial" w:hAnsi="Arial"/>
    </w:rPr>
  </w:style>
  <w:style w:type="character" w:customStyle="1" w:styleId="278">
    <w:name w:val="纯文本 字符"/>
    <w:qFormat/>
    <w:uiPriority w:val="0"/>
    <w:rPr>
      <w:rFonts w:ascii="宋体" w:hAnsi="Courier New" w:eastAsia="宋体" w:cs="Courier New"/>
      <w:szCs w:val="21"/>
    </w:rPr>
  </w:style>
  <w:style w:type="character" w:customStyle="1" w:styleId="279">
    <w:name w:val="引用 Char"/>
    <w:link w:val="280"/>
    <w:qFormat/>
    <w:uiPriority w:val="99"/>
    <w:rPr>
      <w:i/>
      <w:iCs/>
      <w:color w:val="000000"/>
    </w:rPr>
  </w:style>
  <w:style w:type="paragraph" w:customStyle="1" w:styleId="280">
    <w:name w:val="引用1"/>
    <w:basedOn w:val="1"/>
    <w:next w:val="1"/>
    <w:link w:val="279"/>
    <w:qFormat/>
    <w:uiPriority w:val="99"/>
    <w:rPr>
      <w:i/>
      <w:iCs/>
      <w:color w:val="000000"/>
      <w:sz w:val="20"/>
      <w:szCs w:val="20"/>
    </w:rPr>
  </w:style>
  <w:style w:type="character" w:customStyle="1" w:styleId="281">
    <w:name w:val="纯文本 Char"/>
    <w:qFormat/>
    <w:uiPriority w:val="0"/>
    <w:rPr>
      <w:rFonts w:ascii="宋体" w:hAnsi="Courier New" w:eastAsia="宋体" w:cs="Courier New"/>
      <w:szCs w:val="21"/>
    </w:rPr>
  </w:style>
  <w:style w:type="character" w:customStyle="1" w:styleId="282">
    <w:name w:val="日期 Char1"/>
    <w:qFormat/>
    <w:uiPriority w:val="99"/>
    <w:rPr>
      <w:rFonts w:ascii="Times New Roman" w:hAnsi="Times New Roman" w:eastAsia="宋体" w:cs="Times New Roman"/>
      <w:sz w:val="24"/>
      <w:szCs w:val="24"/>
    </w:rPr>
  </w:style>
  <w:style w:type="character" w:customStyle="1" w:styleId="283">
    <w:name w:val="纯文本 字符2"/>
    <w:qFormat/>
    <w:uiPriority w:val="0"/>
    <w:rPr>
      <w:rFonts w:ascii="宋体" w:hAnsi="Courier New" w:eastAsia="宋体" w:cs="Courier New"/>
      <w:szCs w:val="21"/>
    </w:rPr>
  </w:style>
  <w:style w:type="character" w:customStyle="1" w:styleId="284">
    <w:name w:val="Char Char91"/>
    <w:qFormat/>
    <w:uiPriority w:val="99"/>
    <w:rPr>
      <w:rFonts w:eastAsia="宋体"/>
      <w:b/>
      <w:bCs/>
      <w:sz w:val="44"/>
      <w:szCs w:val="44"/>
      <w:lang w:val="en-US" w:eastAsia="zh-CN"/>
    </w:rPr>
  </w:style>
  <w:style w:type="character" w:customStyle="1" w:styleId="285">
    <w:name w:val="批注文字 字符1"/>
    <w:qFormat/>
    <w:uiPriority w:val="0"/>
    <w:rPr>
      <w:rFonts w:ascii="Times New Roman" w:hAnsi="Times New Roman"/>
      <w:sz w:val="21"/>
      <w:szCs w:val="24"/>
    </w:rPr>
  </w:style>
  <w:style w:type="character" w:customStyle="1" w:styleId="286">
    <w:name w:val="Char Char6"/>
    <w:qFormat/>
    <w:uiPriority w:val="99"/>
    <w:rPr>
      <w:rFonts w:eastAsia="宋体"/>
      <w:b/>
      <w:bCs/>
      <w:sz w:val="44"/>
      <w:szCs w:val="44"/>
      <w:lang w:val="en-US" w:eastAsia="zh-CN"/>
    </w:rPr>
  </w:style>
  <w:style w:type="character" w:customStyle="1" w:styleId="287">
    <w:name w:val="正文文本 (26) + 间距 0 pt"/>
    <w:qFormat/>
    <w:uiPriority w:val="0"/>
    <w:rPr>
      <w:rFonts w:ascii="宋体" w:hAnsi="宋体" w:eastAsia="宋体" w:cs="宋体"/>
      <w:color w:val="000000"/>
      <w:spacing w:val="0"/>
      <w:position w:val="0"/>
      <w:sz w:val="22"/>
      <w:szCs w:val="22"/>
      <w:u w:val="none"/>
      <w:lang w:val="zh-CN" w:eastAsia="zh-CN" w:bidi="zh-CN"/>
    </w:rPr>
  </w:style>
  <w:style w:type="character" w:customStyle="1" w:styleId="288">
    <w:name w:val="Comment Text Char1"/>
    <w:qFormat/>
    <w:uiPriority w:val="99"/>
    <w:rPr>
      <w:sz w:val="24"/>
      <w:szCs w:val="24"/>
    </w:rPr>
  </w:style>
  <w:style w:type="character" w:customStyle="1" w:styleId="289">
    <w:name w:val="纯文本 字符1"/>
    <w:qFormat/>
    <w:uiPriority w:val="0"/>
    <w:rPr>
      <w:rFonts w:ascii="宋体" w:hAnsi="Courier New"/>
    </w:rPr>
  </w:style>
  <w:style w:type="character" w:customStyle="1" w:styleId="290">
    <w:name w:val="Footer Char"/>
    <w:qFormat/>
    <w:uiPriority w:val="99"/>
    <w:rPr>
      <w:rFonts w:eastAsia="宋体"/>
      <w:sz w:val="18"/>
      <w:szCs w:val="18"/>
      <w:lang w:val="en-US" w:eastAsia="zh-CN"/>
    </w:rPr>
  </w:style>
  <w:style w:type="character" w:customStyle="1" w:styleId="291">
    <w:name w:val="正文文本 Char"/>
    <w:qFormat/>
    <w:uiPriority w:val="99"/>
    <w:rPr>
      <w:rFonts w:ascii="Times New Roman" w:hAnsi="Times New Roman"/>
      <w:sz w:val="21"/>
      <w:szCs w:val="24"/>
    </w:rPr>
  </w:style>
  <w:style w:type="character" w:customStyle="1" w:styleId="292">
    <w:name w:val="Body Text Indent 2 Char"/>
    <w:qFormat/>
    <w:uiPriority w:val="99"/>
    <w:rPr>
      <w:rFonts w:eastAsia="宋体"/>
      <w:sz w:val="24"/>
      <w:szCs w:val="24"/>
      <w:lang w:val="en-US" w:eastAsia="zh-CN"/>
    </w:rPr>
  </w:style>
  <w:style w:type="character" w:customStyle="1" w:styleId="293">
    <w:name w:val="批注文字 字符"/>
    <w:qFormat/>
    <w:uiPriority w:val="0"/>
    <w:rPr>
      <w:rFonts w:ascii="Times New Roman" w:hAnsi="Times New Roman"/>
      <w:sz w:val="21"/>
      <w:szCs w:val="24"/>
    </w:rPr>
  </w:style>
  <w:style w:type="character" w:customStyle="1" w:styleId="294">
    <w:name w:val="标题 2 Char"/>
    <w:qFormat/>
    <w:uiPriority w:val="99"/>
    <w:rPr>
      <w:rFonts w:ascii="Cambria" w:hAnsi="Cambria" w:eastAsia="宋体" w:cs="Times New Roman"/>
      <w:b/>
      <w:bCs/>
      <w:sz w:val="32"/>
      <w:szCs w:val="32"/>
    </w:rPr>
  </w:style>
  <w:style w:type="character" w:customStyle="1" w:styleId="295">
    <w:name w:val="标题 8 Char"/>
    <w:qFormat/>
    <w:uiPriority w:val="9"/>
    <w:rPr>
      <w:rFonts w:ascii="Arial" w:hAnsi="Arial" w:eastAsia="黑体"/>
      <w:sz w:val="24"/>
      <w:szCs w:val="24"/>
    </w:rPr>
  </w:style>
  <w:style w:type="character" w:customStyle="1" w:styleId="296">
    <w:name w:val="apple-style-span"/>
    <w:qFormat/>
    <w:uiPriority w:val="0"/>
  </w:style>
  <w:style w:type="character" w:customStyle="1" w:styleId="297">
    <w:name w:val="正文文本 字符"/>
    <w:qFormat/>
    <w:uiPriority w:val="0"/>
    <w:rPr>
      <w:rFonts w:ascii="Times New Roman" w:hAnsi="Times New Roman"/>
      <w:sz w:val="21"/>
      <w:szCs w:val="24"/>
    </w:rPr>
  </w:style>
  <w:style w:type="character" w:customStyle="1" w:styleId="298">
    <w:name w:val="批注文字 Char2"/>
    <w:qFormat/>
    <w:uiPriority w:val="0"/>
    <w:rPr>
      <w:rFonts w:ascii="Times New Roman" w:hAnsi="Times New Roman"/>
      <w:sz w:val="21"/>
      <w:szCs w:val="24"/>
    </w:rPr>
  </w:style>
  <w:style w:type="character" w:customStyle="1" w:styleId="299">
    <w:name w:val="正文2 Char Char"/>
    <w:link w:val="300"/>
    <w:qFormat/>
    <w:uiPriority w:val="0"/>
    <w:rPr>
      <w:sz w:val="24"/>
    </w:rPr>
  </w:style>
  <w:style w:type="paragraph" w:customStyle="1" w:styleId="300">
    <w:name w:val="正文2"/>
    <w:basedOn w:val="1"/>
    <w:link w:val="299"/>
    <w:qFormat/>
    <w:uiPriority w:val="0"/>
    <w:pPr>
      <w:spacing w:before="156" w:line="360" w:lineRule="auto"/>
      <w:ind w:firstLine="510"/>
    </w:pPr>
    <w:rPr>
      <w:sz w:val="24"/>
      <w:szCs w:val="20"/>
    </w:rPr>
  </w:style>
  <w:style w:type="character" w:customStyle="1" w:styleId="301">
    <w:name w:val="不明显强调1"/>
    <w:qFormat/>
    <w:uiPriority w:val="99"/>
    <w:rPr>
      <w:i/>
      <w:iCs/>
      <w:color w:val="808080"/>
    </w:rPr>
  </w:style>
  <w:style w:type="character" w:customStyle="1" w:styleId="302">
    <w:name w:val="Body text|6_"/>
    <w:link w:val="303"/>
    <w:qFormat/>
    <w:uiPriority w:val="0"/>
    <w:rPr>
      <w:rFonts w:ascii="Arial" w:hAnsi="Arial" w:eastAsia="Arial" w:cs="Arial"/>
      <w:lang w:val="zh-CN"/>
    </w:rPr>
  </w:style>
  <w:style w:type="paragraph" w:customStyle="1" w:styleId="303">
    <w:name w:val="Body text|6"/>
    <w:basedOn w:val="1"/>
    <w:link w:val="302"/>
    <w:qFormat/>
    <w:uiPriority w:val="0"/>
    <w:pPr>
      <w:ind w:hanging="2220"/>
      <w:jc w:val="left"/>
    </w:pPr>
    <w:rPr>
      <w:rFonts w:ascii="Arial" w:hAnsi="Arial" w:eastAsia="Arial"/>
      <w:sz w:val="20"/>
      <w:szCs w:val="20"/>
      <w:lang w:val="zh-CN"/>
    </w:rPr>
  </w:style>
  <w:style w:type="character" w:customStyle="1" w:styleId="304">
    <w:name w:val="批注文字 Char Char"/>
    <w:qFormat/>
    <w:uiPriority w:val="99"/>
    <w:rPr>
      <w:rFonts w:ascii="宋体" w:hAnsi="Times New Roman" w:eastAsia="宋体" w:cs="宋体"/>
      <w:sz w:val="20"/>
      <w:szCs w:val="20"/>
    </w:rPr>
  </w:style>
  <w:style w:type="character" w:customStyle="1" w:styleId="305">
    <w:name w:val="Heading 3 Char"/>
    <w:qFormat/>
    <w:uiPriority w:val="99"/>
    <w:rPr>
      <w:b/>
      <w:bCs/>
      <w:sz w:val="32"/>
      <w:szCs w:val="32"/>
    </w:rPr>
  </w:style>
  <w:style w:type="character" w:customStyle="1" w:styleId="306">
    <w:name w:val="Heading 2 Char"/>
    <w:qFormat/>
    <w:uiPriority w:val="99"/>
    <w:rPr>
      <w:rFonts w:ascii="Arial" w:hAnsi="Arial" w:eastAsia="黑体" w:cs="Arial"/>
      <w:b/>
      <w:bCs/>
      <w:sz w:val="32"/>
      <w:szCs w:val="32"/>
      <w:lang w:val="en-US" w:eastAsia="zh-CN"/>
    </w:rPr>
  </w:style>
  <w:style w:type="character" w:customStyle="1" w:styleId="307">
    <w:name w:val="Balloon Text Char"/>
    <w:qFormat/>
    <w:uiPriority w:val="99"/>
    <w:rPr>
      <w:sz w:val="18"/>
      <w:szCs w:val="18"/>
    </w:rPr>
  </w:style>
  <w:style w:type="character" w:customStyle="1" w:styleId="308">
    <w:name w:val="文档结构图 Char1"/>
    <w:qFormat/>
    <w:uiPriority w:val="99"/>
    <w:rPr>
      <w:rFonts w:ascii="宋体" w:hAnsi="Times New Roman" w:eastAsia="宋体" w:cs="宋体"/>
      <w:sz w:val="18"/>
      <w:szCs w:val="18"/>
    </w:rPr>
  </w:style>
  <w:style w:type="character" w:customStyle="1" w:styleId="309">
    <w:name w:val="Footnote Text Char"/>
    <w:qFormat/>
    <w:uiPriority w:val="99"/>
    <w:rPr>
      <w:rFonts w:eastAsia="宋体"/>
      <w:sz w:val="18"/>
      <w:szCs w:val="18"/>
      <w:lang w:val="en-US" w:eastAsia="zh-CN"/>
    </w:rPr>
  </w:style>
  <w:style w:type="character" w:customStyle="1" w:styleId="310">
    <w:name w:val="Char Char21"/>
    <w:qFormat/>
    <w:uiPriority w:val="99"/>
    <w:rPr>
      <w:rFonts w:ascii="Arial" w:hAnsi="Arial" w:eastAsia="黑体" w:cs="Arial"/>
      <w:b/>
      <w:bCs/>
      <w:sz w:val="32"/>
      <w:szCs w:val="32"/>
    </w:rPr>
  </w:style>
  <w:style w:type="character" w:customStyle="1" w:styleId="311">
    <w:name w:val="Other|1_"/>
    <w:link w:val="312"/>
    <w:qFormat/>
    <w:uiPriority w:val="0"/>
    <w:rPr>
      <w:rFonts w:ascii="宋体" w:hAnsi="宋体" w:cs="宋体"/>
      <w:lang w:val="zh-CN" w:bidi="zh-CN"/>
    </w:rPr>
  </w:style>
  <w:style w:type="paragraph" w:customStyle="1" w:styleId="312">
    <w:name w:val="Other|1"/>
    <w:basedOn w:val="1"/>
    <w:link w:val="311"/>
    <w:qFormat/>
    <w:uiPriority w:val="0"/>
    <w:pPr>
      <w:spacing w:line="360" w:lineRule="auto"/>
      <w:ind w:firstLine="400"/>
      <w:jc w:val="left"/>
    </w:pPr>
    <w:rPr>
      <w:rFonts w:ascii="宋体" w:hAnsi="宋体" w:cs="宋体"/>
      <w:sz w:val="20"/>
      <w:szCs w:val="20"/>
      <w:lang w:val="zh-CN" w:bidi="zh-CN"/>
    </w:rPr>
  </w:style>
  <w:style w:type="character" w:customStyle="1" w:styleId="313">
    <w:name w:val="Body Text Indent Char"/>
    <w:qFormat/>
    <w:uiPriority w:val="99"/>
    <w:rPr>
      <w:rFonts w:ascii="宋体" w:hAnsi="宋体" w:eastAsia="宋体" w:cs="宋体"/>
      <w:sz w:val="21"/>
      <w:szCs w:val="21"/>
      <w:lang w:val="en-US" w:eastAsia="zh-CN"/>
    </w:rPr>
  </w:style>
  <w:style w:type="character" w:customStyle="1" w:styleId="314">
    <w:name w:val="不明显参考1"/>
    <w:qFormat/>
    <w:uiPriority w:val="99"/>
    <w:rPr>
      <w:smallCaps/>
      <w:color w:val="auto"/>
      <w:u w:val="single"/>
    </w:rPr>
  </w:style>
  <w:style w:type="character" w:customStyle="1" w:styleId="315">
    <w:name w:val="Heading 4 Char"/>
    <w:qFormat/>
    <w:uiPriority w:val="99"/>
    <w:rPr>
      <w:rFonts w:ascii="Arial" w:hAnsi="Arial" w:eastAsia="宋体" w:cs="Arial"/>
      <w:b/>
      <w:bCs/>
      <w:sz w:val="28"/>
      <w:szCs w:val="28"/>
      <w:lang w:val="en-US" w:eastAsia="zh-CN"/>
    </w:rPr>
  </w:style>
  <w:style w:type="character" w:customStyle="1" w:styleId="316">
    <w:name w:val="Body text|7_"/>
    <w:link w:val="317"/>
    <w:qFormat/>
    <w:uiPriority w:val="0"/>
    <w:rPr>
      <w:rFonts w:ascii="Courier New" w:hAnsi="Courier New" w:eastAsia="Courier New" w:cs="Courier New"/>
      <w:b/>
      <w:bCs/>
      <w:sz w:val="8"/>
      <w:szCs w:val="8"/>
      <w:lang w:val="zh-CN"/>
    </w:rPr>
  </w:style>
  <w:style w:type="paragraph" w:customStyle="1" w:styleId="317">
    <w:name w:val="Body text|7"/>
    <w:basedOn w:val="1"/>
    <w:link w:val="316"/>
    <w:qFormat/>
    <w:uiPriority w:val="0"/>
    <w:pPr>
      <w:ind w:hanging="1760"/>
      <w:jc w:val="left"/>
    </w:pPr>
    <w:rPr>
      <w:rFonts w:ascii="Courier New" w:hAnsi="Courier New" w:eastAsia="Courier New"/>
      <w:b/>
      <w:bCs/>
      <w:sz w:val="8"/>
      <w:szCs w:val="8"/>
      <w:lang w:val="zh-CN"/>
    </w:rPr>
  </w:style>
  <w:style w:type="character" w:customStyle="1" w:styleId="318">
    <w:name w:val="Char Char20"/>
    <w:qFormat/>
    <w:uiPriority w:val="99"/>
    <w:rPr>
      <w:rFonts w:ascii="Times New Roman" w:hAnsi="Times New Roman" w:eastAsia="宋体" w:cs="Times New Roman"/>
      <w:b/>
      <w:bCs/>
      <w:sz w:val="32"/>
      <w:szCs w:val="32"/>
    </w:rPr>
  </w:style>
  <w:style w:type="character" w:customStyle="1" w:styleId="319">
    <w:name w:val="Body text|4_"/>
    <w:link w:val="320"/>
    <w:qFormat/>
    <w:uiPriority w:val="0"/>
    <w:rPr>
      <w:rFonts w:ascii="宋体" w:hAnsi="宋体" w:cs="宋体"/>
      <w:b/>
      <w:bCs/>
      <w:sz w:val="17"/>
      <w:szCs w:val="17"/>
      <w:lang w:val="zh-CN" w:bidi="zh-CN"/>
    </w:rPr>
  </w:style>
  <w:style w:type="paragraph" w:customStyle="1" w:styleId="320">
    <w:name w:val="Body text|4"/>
    <w:basedOn w:val="1"/>
    <w:link w:val="319"/>
    <w:qFormat/>
    <w:uiPriority w:val="0"/>
    <w:pPr>
      <w:spacing w:line="281" w:lineRule="exact"/>
      <w:jc w:val="center"/>
    </w:pPr>
    <w:rPr>
      <w:rFonts w:ascii="宋体" w:hAnsi="宋体" w:cs="宋体"/>
      <w:b/>
      <w:bCs/>
      <w:sz w:val="17"/>
      <w:szCs w:val="17"/>
      <w:lang w:val="zh-CN" w:bidi="zh-CN"/>
    </w:rPr>
  </w:style>
  <w:style w:type="character" w:customStyle="1" w:styleId="321">
    <w:name w:val="Comment Subject Char"/>
    <w:qFormat/>
    <w:uiPriority w:val="99"/>
    <w:rPr>
      <w:b/>
      <w:bCs/>
      <w:sz w:val="24"/>
      <w:szCs w:val="24"/>
    </w:rPr>
  </w:style>
  <w:style w:type="character" w:customStyle="1" w:styleId="322">
    <w:name w:val="Heading #2|1_"/>
    <w:link w:val="323"/>
    <w:qFormat/>
    <w:uiPriority w:val="0"/>
    <w:rPr>
      <w:rFonts w:ascii="宋体" w:hAnsi="宋体" w:cs="宋体"/>
      <w:sz w:val="34"/>
      <w:szCs w:val="34"/>
      <w:lang w:val="zh-CN" w:bidi="zh-CN"/>
    </w:rPr>
  </w:style>
  <w:style w:type="paragraph" w:customStyle="1" w:styleId="323">
    <w:name w:val="Heading #2|1"/>
    <w:basedOn w:val="1"/>
    <w:link w:val="322"/>
    <w:qFormat/>
    <w:uiPriority w:val="0"/>
    <w:pPr>
      <w:spacing w:after="900"/>
      <w:jc w:val="center"/>
      <w:outlineLvl w:val="1"/>
    </w:pPr>
    <w:rPr>
      <w:rFonts w:ascii="宋体" w:hAnsi="宋体" w:cs="宋体"/>
      <w:sz w:val="34"/>
      <w:szCs w:val="34"/>
      <w:lang w:val="zh-CN" w:bidi="zh-CN"/>
    </w:rPr>
  </w:style>
  <w:style w:type="character" w:customStyle="1" w:styleId="324">
    <w:name w:val="批注框文本 Char1"/>
    <w:qFormat/>
    <w:uiPriority w:val="99"/>
    <w:rPr>
      <w:rFonts w:ascii="Times New Roman" w:hAnsi="Times New Roman" w:eastAsia="宋体" w:cs="Times New Roman"/>
      <w:sz w:val="18"/>
      <w:szCs w:val="18"/>
    </w:rPr>
  </w:style>
  <w:style w:type="character" w:customStyle="1" w:styleId="325">
    <w:name w:val="Char Char18"/>
    <w:qFormat/>
    <w:uiPriority w:val="99"/>
    <w:rPr>
      <w:rFonts w:ascii="Times New Roman" w:hAnsi="Times New Roman" w:eastAsia="宋体" w:cs="Times New Roman"/>
      <w:b/>
      <w:bCs/>
      <w:sz w:val="28"/>
      <w:szCs w:val="28"/>
    </w:rPr>
  </w:style>
  <w:style w:type="character" w:customStyle="1" w:styleId="326">
    <w:name w:val="批注主题 Char1"/>
    <w:qFormat/>
    <w:uiPriority w:val="99"/>
    <w:rPr>
      <w:rFonts w:ascii="Times New Roman" w:hAnsi="Times New Roman" w:eastAsia="宋体" w:cs="Times New Roman"/>
      <w:b/>
      <w:bCs/>
      <w:sz w:val="24"/>
      <w:szCs w:val="24"/>
    </w:rPr>
  </w:style>
  <w:style w:type="character" w:customStyle="1" w:styleId="327">
    <w:name w:val="Char Char24"/>
    <w:qFormat/>
    <w:uiPriority w:val="99"/>
    <w:rPr>
      <w:rFonts w:eastAsia="宋体"/>
      <w:b/>
      <w:bCs/>
      <w:sz w:val="44"/>
      <w:szCs w:val="44"/>
      <w:lang w:val="en-US" w:eastAsia="zh-CN"/>
    </w:rPr>
  </w:style>
  <w:style w:type="character" w:customStyle="1" w:styleId="328">
    <w:name w:val="标题4 Char Char"/>
    <w:link w:val="329"/>
    <w:qFormat/>
    <w:uiPriority w:val="99"/>
    <w:rPr>
      <w:rFonts w:ascii="Arial" w:hAnsi="Arial" w:cs="Arial"/>
      <w:b/>
      <w:bCs/>
      <w:sz w:val="32"/>
      <w:szCs w:val="32"/>
    </w:rPr>
  </w:style>
  <w:style w:type="paragraph" w:customStyle="1" w:styleId="329">
    <w:name w:val="标题4"/>
    <w:basedOn w:val="3"/>
    <w:next w:val="21"/>
    <w:link w:val="328"/>
    <w:qFormat/>
    <w:uiPriority w:val="99"/>
    <w:pPr>
      <w:spacing w:before="60" w:after="60" w:line="413" w:lineRule="auto"/>
    </w:pPr>
    <w:rPr>
      <w:rFonts w:ascii="Arial" w:hAnsi="Arial"/>
    </w:rPr>
  </w:style>
  <w:style w:type="character" w:customStyle="1" w:styleId="330">
    <w:name w:val="Plain Text Char"/>
    <w:qFormat/>
    <w:uiPriority w:val="99"/>
    <w:rPr>
      <w:rFonts w:ascii="宋体" w:hAnsi="Courier New" w:eastAsia="宋体" w:cs="宋体"/>
      <w:sz w:val="24"/>
      <w:szCs w:val="24"/>
    </w:rPr>
  </w:style>
  <w:style w:type="character" w:customStyle="1" w:styleId="331">
    <w:name w:val="Header or footer|1_"/>
    <w:link w:val="332"/>
    <w:qFormat/>
    <w:uiPriority w:val="0"/>
    <w:rPr>
      <w:sz w:val="17"/>
      <w:szCs w:val="17"/>
      <w:lang w:val="zh-CN" w:bidi="zh-CN"/>
    </w:rPr>
  </w:style>
  <w:style w:type="paragraph" w:customStyle="1" w:styleId="332">
    <w:name w:val="Header or footer|1"/>
    <w:basedOn w:val="1"/>
    <w:link w:val="331"/>
    <w:qFormat/>
    <w:uiPriority w:val="0"/>
    <w:pPr>
      <w:jc w:val="center"/>
    </w:pPr>
    <w:rPr>
      <w:sz w:val="17"/>
      <w:szCs w:val="17"/>
      <w:lang w:val="zh-CN" w:bidi="zh-CN"/>
    </w:rPr>
  </w:style>
  <w:style w:type="character" w:customStyle="1" w:styleId="333">
    <w:name w:val="Heading #3|1_"/>
    <w:link w:val="334"/>
    <w:qFormat/>
    <w:uiPriority w:val="0"/>
    <w:rPr>
      <w:rFonts w:ascii="宋体" w:hAnsi="宋体" w:cs="宋体"/>
      <w:sz w:val="28"/>
      <w:szCs w:val="28"/>
      <w:lang w:val="zh-CN" w:bidi="zh-CN"/>
    </w:rPr>
  </w:style>
  <w:style w:type="paragraph" w:customStyle="1" w:styleId="334">
    <w:name w:val="Heading #3|1"/>
    <w:basedOn w:val="1"/>
    <w:link w:val="333"/>
    <w:qFormat/>
    <w:uiPriority w:val="0"/>
    <w:pPr>
      <w:spacing w:after="570"/>
      <w:jc w:val="center"/>
      <w:outlineLvl w:val="2"/>
    </w:pPr>
    <w:rPr>
      <w:rFonts w:ascii="宋体" w:hAnsi="宋体" w:cs="宋体"/>
      <w:sz w:val="28"/>
      <w:szCs w:val="28"/>
      <w:lang w:val="zh-CN" w:bidi="zh-CN"/>
    </w:rPr>
  </w:style>
  <w:style w:type="character" w:styleId="335">
    <w:name w:val="Placeholder Text"/>
    <w:unhideWhenUsed/>
    <w:qFormat/>
    <w:uiPriority w:val="99"/>
    <w:rPr>
      <w:color w:val="808080"/>
    </w:rPr>
  </w:style>
  <w:style w:type="paragraph" w:customStyle="1" w:styleId="336">
    <w:name w:val="flNote"/>
    <w:basedOn w:val="1"/>
    <w:qFormat/>
    <w:uiPriority w:val="99"/>
    <w:pPr>
      <w:spacing w:before="320" w:after="160" w:line="360" w:lineRule="atLeast"/>
      <w:jc w:val="center"/>
    </w:pPr>
    <w:rPr>
      <w:rFonts w:ascii="Arial" w:eastAsia="黑体" w:cs="Arial"/>
      <w:sz w:val="30"/>
      <w:szCs w:val="30"/>
    </w:rPr>
  </w:style>
  <w:style w:type="paragraph" w:styleId="337">
    <w:name w:val="List Paragraph"/>
    <w:basedOn w:val="1"/>
    <w:qFormat/>
    <w:uiPriority w:val="34"/>
    <w:pPr>
      <w:ind w:firstLine="420"/>
    </w:pPr>
  </w:style>
  <w:style w:type="paragraph" w:customStyle="1" w:styleId="338">
    <w:name w:val="样式 标题 2 + Times New Roman 四号 非加粗 段前: 5 磅 段后: 0 磅 行距: 固定值 20..."/>
    <w:basedOn w:val="3"/>
    <w:qFormat/>
    <w:uiPriority w:val="99"/>
    <w:pPr>
      <w:spacing w:before="100" w:after="0" w:line="400" w:lineRule="exact"/>
    </w:pPr>
    <w:rPr>
      <w:rFonts w:ascii="Times New Roman" w:hAnsi="Times New Roman" w:eastAsia="黑体"/>
      <w:b w:val="0"/>
      <w:bCs w:val="0"/>
      <w:sz w:val="28"/>
      <w:szCs w:val="28"/>
      <w:lang w:val="zh-CN"/>
    </w:rPr>
  </w:style>
  <w:style w:type="paragraph" w:customStyle="1" w:styleId="339">
    <w:name w:val="无间隔1"/>
    <w:qFormat/>
    <w:uiPriority w:val="99"/>
    <w:pPr>
      <w:widowControl w:val="0"/>
      <w:jc w:val="both"/>
    </w:pPr>
    <w:rPr>
      <w:rFonts w:hint="default" w:ascii="Times New Roman" w:hAnsi="Times New Roman" w:eastAsia="宋体" w:cs="Times New Roman"/>
      <w:sz w:val="21"/>
      <w:szCs w:val="21"/>
      <w:lang w:val="en-US" w:eastAsia="zh-CN" w:bidi="ar-SA"/>
    </w:rPr>
  </w:style>
  <w:style w:type="paragraph" w:customStyle="1" w:styleId="340">
    <w:name w:val="Char Char Char Char Char Char Char"/>
    <w:basedOn w:val="1"/>
    <w:qFormat/>
    <w:uiPriority w:val="99"/>
    <w:pPr>
      <w:widowControl/>
      <w:spacing w:after="160" w:line="240" w:lineRule="exact"/>
      <w:jc w:val="left"/>
    </w:pPr>
    <w:rPr>
      <w:szCs w:val="21"/>
    </w:rPr>
  </w:style>
  <w:style w:type="paragraph" w:customStyle="1" w:styleId="341">
    <w:name w:val="Char"/>
    <w:basedOn w:val="1"/>
    <w:qFormat/>
    <w:uiPriority w:val="99"/>
    <w:pPr>
      <w:widowControl/>
      <w:spacing w:after="160" w:line="240" w:lineRule="exact"/>
      <w:jc w:val="left"/>
    </w:pPr>
    <w:rPr>
      <w:szCs w:val="21"/>
    </w:rPr>
  </w:style>
  <w:style w:type="paragraph" w:customStyle="1" w:styleId="342">
    <w:name w:val="默认段落字体 Para Char Char Char Char Char Char Char Char Char1 Char Char Char Char"/>
    <w:basedOn w:val="1"/>
    <w:qFormat/>
    <w:uiPriority w:val="0"/>
    <w:rPr>
      <w:rFonts w:ascii="Tahoma" w:hAnsi="Tahoma"/>
      <w:sz w:val="24"/>
      <w:szCs w:val="20"/>
    </w:rPr>
  </w:style>
  <w:style w:type="paragraph" w:customStyle="1" w:styleId="343">
    <w:name w:val="Table Paragraph"/>
    <w:basedOn w:val="1"/>
    <w:qFormat/>
    <w:uiPriority w:val="1"/>
    <w:pPr>
      <w:jc w:val="left"/>
    </w:pPr>
    <w:rPr>
      <w:rFonts w:ascii="Calibri" w:hAnsi="Calibri"/>
      <w:sz w:val="22"/>
      <w:szCs w:val="22"/>
      <w:lang w:eastAsia="en-US"/>
    </w:rPr>
  </w:style>
  <w:style w:type="paragraph" w:customStyle="1" w:styleId="344">
    <w:name w:val="表内文字"/>
    <w:basedOn w:val="1"/>
    <w:qFormat/>
    <w:uiPriority w:val="0"/>
    <w:pPr>
      <w:spacing w:before="50" w:after="50"/>
      <w:jc w:val="center"/>
    </w:pPr>
    <w:rPr>
      <w:rFonts w:ascii="仿宋_GB2312" w:hAnsi="宋体" w:eastAsia="仿宋_GB2312"/>
      <w:b/>
      <w:color w:val="000000"/>
      <w:sz w:val="32"/>
      <w:szCs w:val="32"/>
    </w:rPr>
  </w:style>
  <w:style w:type="paragraph" w:customStyle="1" w:styleId="345">
    <w:name w:val="样式1"/>
    <w:basedOn w:val="1"/>
    <w:next w:val="5"/>
    <w:qFormat/>
    <w:uiPriority w:val="99"/>
    <w:pPr>
      <w:spacing w:line="360" w:lineRule="auto"/>
      <w:ind w:firstLine="420"/>
    </w:pPr>
    <w:rPr>
      <w:rFonts w:ascii="宋体" w:hAnsi="宋体" w:cs="宋体"/>
      <w:szCs w:val="21"/>
    </w:rPr>
  </w:style>
  <w:style w:type="paragraph" w:customStyle="1" w:styleId="346">
    <w:name w:val="列出段落1"/>
    <w:basedOn w:val="1"/>
    <w:qFormat/>
    <w:uiPriority w:val="99"/>
    <w:pPr>
      <w:ind w:firstLine="420"/>
    </w:pPr>
    <w:rPr>
      <w:rFonts w:ascii="Calibri" w:hAnsi="Calibri" w:cs="Calibri"/>
      <w:szCs w:val="21"/>
    </w:rPr>
  </w:style>
  <w:style w:type="paragraph" w:customStyle="1" w:styleId="347">
    <w:name w:val="Default"/>
    <w:qFormat/>
    <w:uiPriority w:val="99"/>
    <w:pPr>
      <w:widowControl w:val="0"/>
    </w:pPr>
    <w:rPr>
      <w:rFonts w:hint="default" w:ascii="Times New Roman" w:hAnsi="Times New Roman" w:eastAsia="宋体" w:cs="Times New Roman"/>
      <w:color w:val="000000"/>
      <w:sz w:val="24"/>
      <w:szCs w:val="24"/>
      <w:lang w:val="en-US" w:eastAsia="zh-CN" w:bidi="ar-SA"/>
    </w:rPr>
  </w:style>
  <w:style w:type="paragraph" w:customStyle="1" w:styleId="348">
    <w:name w:val="正文_1"/>
    <w:qFormat/>
    <w:uiPriority w:val="99"/>
    <w:pPr>
      <w:widowControl w:val="0"/>
      <w:jc w:val="both"/>
    </w:pPr>
    <w:rPr>
      <w:rFonts w:hint="default" w:ascii="Times New Roman" w:hAnsi="Times New Roman" w:eastAsia="宋体" w:cs="Times New Roman"/>
      <w:sz w:val="21"/>
      <w:szCs w:val="21"/>
      <w:lang w:val="en-US" w:eastAsia="zh-CN" w:bidi="ar-SA"/>
    </w:rPr>
  </w:style>
  <w:style w:type="paragraph" w:customStyle="1" w:styleId="349">
    <w:name w:val="TOC 标题1"/>
    <w:basedOn w:val="2"/>
    <w:next w:val="1"/>
    <w:qFormat/>
    <w:uiPriority w:val="99"/>
    <w:pPr>
      <w:spacing w:line="576" w:lineRule="auto"/>
      <w:outlineLvl w:val="9"/>
    </w:pPr>
    <w:rPr>
      <w:rFonts w:ascii="Calibri" w:hAnsi="Calibri" w:eastAsia="黑体" w:cs="Calibri"/>
      <w:lang w:val="zh-CN"/>
    </w:rPr>
  </w:style>
  <w:style w:type="paragraph" w:customStyle="1" w:styleId="350">
    <w:name w:val="空半行"/>
    <w:basedOn w:val="1"/>
    <w:qFormat/>
    <w:uiPriority w:val="99"/>
    <w:pPr>
      <w:spacing w:line="120" w:lineRule="exact"/>
    </w:pPr>
    <w:rPr>
      <w:rFonts w:eastAsia="仿宋_GB2312"/>
      <w:color w:val="FFFFFF"/>
      <w:sz w:val="30"/>
      <w:szCs w:val="30"/>
    </w:rPr>
  </w:style>
  <w:style w:type="paragraph" w:customStyle="1" w:styleId="351">
    <w:name w:val="p0"/>
    <w:basedOn w:val="1"/>
    <w:qFormat/>
    <w:uiPriority w:val="99"/>
    <w:pPr>
      <w:widowControl/>
    </w:pPr>
    <w:rPr>
      <w:rFonts w:ascii="Calibri" w:hAnsi="Calibri" w:cs="Calibri"/>
      <w:szCs w:val="21"/>
    </w:rPr>
  </w:style>
  <w:style w:type="paragraph" w:customStyle="1" w:styleId="352">
    <w:name w:val="1"/>
    <w:basedOn w:val="1"/>
    <w:next w:val="1"/>
    <w:qFormat/>
    <w:uiPriority w:val="99"/>
    <w:rPr>
      <w:szCs w:val="21"/>
    </w:rPr>
  </w:style>
  <w:style w:type="paragraph" w:customStyle="1" w:styleId="353">
    <w:name w:val="列出段落2"/>
    <w:basedOn w:val="1"/>
    <w:qFormat/>
    <w:uiPriority w:val="99"/>
    <w:pPr>
      <w:ind w:firstLine="420"/>
    </w:pPr>
    <w:rPr>
      <w:rFonts w:ascii="Calibri" w:hAnsi="Calibri" w:cs="Calibri"/>
      <w:szCs w:val="21"/>
    </w:rPr>
  </w:style>
  <w:style w:type="paragraph" w:customStyle="1" w:styleId="354">
    <w:name w:val="修订1"/>
    <w:qFormat/>
    <w:uiPriority w:val="99"/>
    <w:rPr>
      <w:rFonts w:hint="default" w:ascii="Times New Roman" w:hAnsi="Times New Roman" w:eastAsia="宋体" w:cs="Times New Roman"/>
      <w:sz w:val="21"/>
      <w:szCs w:val="21"/>
      <w:lang w:val="en-US" w:eastAsia="zh-CN" w:bidi="ar-SA"/>
    </w:rPr>
  </w:style>
  <w:style w:type="paragraph" w:customStyle="1" w:styleId="355">
    <w:name w:val="无间隔11"/>
    <w:qFormat/>
    <w:uiPriority w:val="99"/>
    <w:pPr>
      <w:widowControl w:val="0"/>
      <w:jc w:val="both"/>
    </w:pPr>
    <w:rPr>
      <w:rFonts w:hint="default" w:ascii="Times New Roman" w:hAnsi="Times New Roman" w:eastAsia="宋体" w:cs="Times New Roman"/>
      <w:sz w:val="21"/>
      <w:szCs w:val="21"/>
      <w:lang w:val="en-US" w:eastAsia="zh-CN" w:bidi="ar-SA"/>
    </w:rPr>
  </w:style>
  <w:style w:type="paragraph" w:customStyle="1" w:styleId="356">
    <w:name w:val="修订11"/>
    <w:qFormat/>
    <w:uiPriority w:val="99"/>
    <w:rPr>
      <w:rFonts w:hint="default" w:ascii="Times New Roman" w:hAnsi="Times New Roman" w:eastAsia="宋体" w:cs="Times New Roman"/>
      <w:sz w:val="21"/>
      <w:szCs w:val="21"/>
      <w:lang w:val="en-US" w:eastAsia="zh-CN" w:bidi="ar-SA"/>
    </w:rPr>
  </w:style>
  <w:style w:type="paragraph" w:customStyle="1" w:styleId="357">
    <w:name w:val="2-2ji"/>
    <w:basedOn w:val="3"/>
    <w:qFormat/>
    <w:uiPriority w:val="99"/>
    <w:pPr>
      <w:spacing w:before="0" w:after="0" w:line="360" w:lineRule="auto"/>
      <w:jc w:val="center"/>
    </w:pPr>
    <w:rPr>
      <w:rFonts w:ascii="宋体" w:hAnsi="宋体" w:cs="宋体"/>
      <w:sz w:val="36"/>
      <w:szCs w:val="36"/>
      <w:lang w:val="zh-CN"/>
    </w:rPr>
  </w:style>
  <w:style w:type="paragraph" w:customStyle="1" w:styleId="358">
    <w:name w:val="reader-word-layer"/>
    <w:basedOn w:val="1"/>
    <w:qFormat/>
    <w:uiPriority w:val="99"/>
    <w:pPr>
      <w:widowControl/>
      <w:spacing w:before="100" w:beforeAutospacing="1" w:after="100" w:afterAutospacing="1"/>
      <w:jc w:val="left"/>
    </w:pPr>
    <w:rPr>
      <w:rFonts w:ascii="宋体" w:hAnsi="宋体" w:cs="宋体"/>
      <w:sz w:val="24"/>
    </w:rPr>
  </w:style>
  <w:style w:type="paragraph" w:customStyle="1" w:styleId="359">
    <w:name w:val="Char Char Char Char"/>
    <w:basedOn w:val="1"/>
    <w:qFormat/>
    <w:uiPriority w:val="99"/>
    <w:pPr>
      <w:widowControl/>
      <w:spacing w:line="500" w:lineRule="exact"/>
      <w:outlineLvl w:val="2"/>
    </w:pPr>
    <w:rPr>
      <w:rFonts w:ascii="黑体" w:hAnsi="Verdana" w:eastAsia="黑体" w:cs="黑体"/>
      <w:sz w:val="28"/>
      <w:szCs w:val="28"/>
      <w:lang w:eastAsia="en-US"/>
    </w:rPr>
  </w:style>
  <w:style w:type="paragraph" w:customStyle="1" w:styleId="360">
    <w:name w:val="Char1"/>
    <w:basedOn w:val="1"/>
    <w:qFormat/>
    <w:uiPriority w:val="99"/>
    <w:pPr>
      <w:widowControl/>
      <w:spacing w:after="160" w:line="240" w:lineRule="exact"/>
      <w:jc w:val="left"/>
    </w:pPr>
    <w:rPr>
      <w:szCs w:val="21"/>
    </w:rPr>
  </w:style>
  <w:style w:type="paragraph" w:customStyle="1" w:styleId="361">
    <w:name w:val="_Style 37"/>
    <w:basedOn w:val="1"/>
    <w:next w:val="1"/>
    <w:qFormat/>
    <w:uiPriority w:val="99"/>
    <w:rPr>
      <w:szCs w:val="21"/>
    </w:rPr>
  </w:style>
  <w:style w:type="paragraph" w:customStyle="1" w:styleId="362">
    <w:name w:val="样式 标题 3 + (中文) 黑体 小四 非加粗 段前: 7.8 磅 段后: 0 磅 行距: 固定值 20 磅"/>
    <w:basedOn w:val="4"/>
    <w:qFormat/>
    <w:uiPriority w:val="99"/>
    <w:pPr>
      <w:spacing w:before="0" w:after="0" w:line="400" w:lineRule="exact"/>
    </w:pPr>
    <w:rPr>
      <w:rFonts w:eastAsia="黑体"/>
      <w:b w:val="0"/>
      <w:bCs w:val="0"/>
      <w:lang w:val="zh-CN"/>
    </w:rPr>
  </w:style>
  <w:style w:type="paragraph" w:styleId="363">
    <w:name w:val="No Spacing"/>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364">
    <w:name w:val="正正正正"/>
    <w:basedOn w:val="18"/>
    <w:qFormat/>
    <w:uiPriority w:val="1"/>
    <w:pPr>
      <w:tabs>
        <w:tab w:val="left" w:pos="2812"/>
        <w:tab w:val="left" w:pos="3986"/>
      </w:tabs>
      <w:spacing w:after="0" w:line="360" w:lineRule="exact"/>
      <w:ind w:firstLine="200"/>
    </w:pPr>
    <w:rPr>
      <w:rFonts w:ascii="Calibri" w:hAnsi="Calibri"/>
      <w:sz w:val="20"/>
      <w:szCs w:val="21"/>
      <w:lang w:eastAsia="en-US"/>
    </w:rPr>
  </w:style>
  <w:style w:type="paragraph" w:customStyle="1" w:styleId="365">
    <w:name w:val="_Style 1"/>
    <w:basedOn w:val="1"/>
    <w:qFormat/>
    <w:uiPriority w:val="99"/>
    <w:pPr>
      <w:ind w:firstLine="420"/>
      <w:jc w:val="left"/>
    </w:pPr>
    <w:rPr>
      <w:rFonts w:ascii="Times New Roman)" w:hAnsi="Times New Roman)" w:eastAsia="宋体正文"/>
      <w:color w:val="000000"/>
      <w:lang w:eastAsia="en-US" w:bidi="en-US"/>
    </w:rPr>
  </w:style>
  <w:style w:type="character" w:customStyle="1" w:styleId="366">
    <w:name w:val="bookmark-item"/>
    <w:qFormat/>
    <w:uiPriority w:val="0"/>
  </w:style>
  <w:style w:type="character" w:customStyle="1" w:styleId="367">
    <w:name w:val="纯文本 Char2"/>
    <w:qFormat/>
    <w:uiPriority w:val="0"/>
    <w:rPr>
      <w:rFonts w:ascii="宋体" w:hAnsi="Courier New" w:eastAsia="宋体" w:cs="Courier New"/>
      <w:szCs w:val="21"/>
    </w:rPr>
  </w:style>
  <w:style w:type="character" w:customStyle="1" w:styleId="368">
    <w:name w:val="页脚 Char1"/>
    <w:qFormat/>
    <w:uiPriority w:val="99"/>
    <w:rPr>
      <w:rFonts w:ascii="Times New Roman" w:hAnsi="Times New Roman" w:eastAsia="宋体" w:cs="Times New Roman"/>
      <w:sz w:val="18"/>
      <w:szCs w:val="18"/>
    </w:rPr>
  </w:style>
  <w:style w:type="paragraph" w:customStyle="1" w:styleId="369">
    <w:name w:val="正文_3_0_0"/>
    <w:qFormat/>
    <w:uiPriority w:val="0"/>
    <w:pPr>
      <w:widowControl w:val="0"/>
      <w:jc w:val="both"/>
    </w:pPr>
    <w:rPr>
      <w:rFonts w:hint="default" w:ascii="Calibri" w:hAnsi="Calibri" w:eastAsia="宋体" w:cs="Times New Roman"/>
      <w:sz w:val="21"/>
      <w:szCs w:val="22"/>
      <w:lang w:val="en-US" w:eastAsia="zh-CN" w:bidi="ar-SA"/>
    </w:rPr>
  </w:style>
  <w:style w:type="paragraph" w:customStyle="1" w:styleId="370">
    <w:name w:val="正文_3_1"/>
    <w:qFormat/>
    <w:uiPriority w:val="0"/>
    <w:pPr>
      <w:widowControl w:val="0"/>
      <w:jc w:val="both"/>
    </w:pPr>
    <w:rPr>
      <w:rFonts w:hint="default" w:ascii="Calibri" w:hAnsi="Calibri" w:eastAsia="宋体" w:cs="Times New Roman"/>
      <w:sz w:val="21"/>
      <w:szCs w:val="22"/>
      <w:lang w:val="en-US" w:eastAsia="zh-CN" w:bidi="ar-SA"/>
    </w:rPr>
  </w:style>
  <w:style w:type="paragraph" w:customStyle="1" w:styleId="371">
    <w:name w:val="正文_4"/>
    <w:qFormat/>
    <w:uiPriority w:val="0"/>
    <w:pPr>
      <w:widowControl w:val="0"/>
      <w:jc w:val="both"/>
    </w:pPr>
    <w:rPr>
      <w:rFonts w:hint="default" w:ascii="Calibri" w:hAnsi="Calibri" w:eastAsia="宋体" w:cs="Times New Roman"/>
      <w:sz w:val="21"/>
      <w:szCs w:val="22"/>
      <w:lang w:val="en-US" w:eastAsia="zh-CN" w:bidi="ar-SA"/>
    </w:rPr>
  </w:style>
  <w:style w:type="paragraph" w:customStyle="1" w:styleId="372">
    <w:name w:val="正文_3"/>
    <w:qFormat/>
    <w:uiPriority w:val="0"/>
    <w:pPr>
      <w:widowControl w:val="0"/>
      <w:jc w:val="both"/>
    </w:pPr>
    <w:rPr>
      <w:rFonts w:hint="default" w:ascii="Calibri" w:hAnsi="Calibri" w:eastAsia="宋体" w:cs="Times New Roman"/>
      <w:sz w:val="21"/>
      <w:szCs w:val="22"/>
      <w:lang w:val="en-US" w:eastAsia="zh-CN" w:bidi="ar-SA"/>
    </w:rPr>
  </w:style>
  <w:style w:type="paragraph" w:customStyle="1" w:styleId="373">
    <w:name w:val="标题 4_1"/>
    <w:basedOn w:val="372"/>
    <w:next w:val="374"/>
    <w:qFormat/>
    <w:uiPriority w:val="0"/>
    <w:pPr>
      <w:keepNext/>
      <w:keepLines/>
      <w:spacing w:before="280" w:after="290" w:line="372" w:lineRule="auto"/>
      <w:outlineLvl w:val="3"/>
    </w:pPr>
    <w:rPr>
      <w:rFonts w:ascii="Cambria" w:hAnsi="Cambria"/>
      <w:b/>
      <w:bCs/>
      <w:sz w:val="28"/>
      <w:szCs w:val="28"/>
    </w:rPr>
  </w:style>
  <w:style w:type="paragraph" w:customStyle="1" w:styleId="374">
    <w:name w:val="正文_2"/>
    <w:next w:val="373"/>
    <w:qFormat/>
    <w:uiPriority w:val="0"/>
    <w:pPr>
      <w:widowControl w:val="0"/>
      <w:jc w:val="both"/>
    </w:pPr>
    <w:rPr>
      <w:rFonts w:hint="default" w:ascii="Calibri" w:hAnsi="Calibri" w:eastAsia="宋体" w:cs="Times New Roman"/>
      <w:sz w:val="21"/>
      <w:szCs w:val="22"/>
      <w:lang w:val="en-US" w:eastAsia="zh-CN" w:bidi="ar-SA"/>
    </w:rPr>
  </w:style>
  <w:style w:type="paragraph" w:customStyle="1" w:styleId="375">
    <w:name w:val="正文_3_0"/>
    <w:qFormat/>
    <w:uiPriority w:val="0"/>
    <w:pPr>
      <w:widowControl w:val="0"/>
      <w:jc w:val="both"/>
    </w:pPr>
    <w:rPr>
      <w:rFonts w:hint="default" w:ascii="Calibri" w:hAnsi="Calibri" w:eastAsia="宋体" w:cs="Times New Roman"/>
      <w:sz w:val="21"/>
      <w:szCs w:val="22"/>
      <w:lang w:val="en-US" w:eastAsia="zh-CN" w:bidi="ar-SA"/>
    </w:rPr>
  </w:style>
  <w:style w:type="character" w:customStyle="1" w:styleId="376">
    <w:name w:val="first-child"/>
    <w:basedOn w:val="47"/>
    <w:qFormat/>
    <w:uiPriority w:val="0"/>
  </w:style>
  <w:style w:type="character" w:customStyle="1" w:styleId="377">
    <w:name w:val="NormalCharacter"/>
    <w:qFormat/>
    <w:uiPriority w:val="0"/>
  </w:style>
  <w:style w:type="character" w:customStyle="1" w:styleId="378">
    <w:name w:val="layui-layer-tabnow"/>
    <w:basedOn w:val="47"/>
    <w:qFormat/>
    <w:uiPriority w:val="0"/>
    <w:rPr>
      <w:shd w:val="clear" w:color="auto" w:fill="FFFFFF"/>
    </w:rPr>
  </w:style>
  <w:style w:type="paragraph" w:customStyle="1" w:styleId="379">
    <w:name w:val="Normal_0"/>
    <w:qFormat/>
    <w:uiPriority w:val="0"/>
    <w:rPr>
      <w:rFonts w:hint="default" w:ascii="Times New Roman" w:hAnsi="Times New Roman" w:eastAsia="Times New Roman" w:cs="Times New Roman"/>
      <w:sz w:val="24"/>
      <w:szCs w:val="24"/>
      <w:lang w:val="en-US" w:eastAsia="zh-CN" w:bidi="ar-SA"/>
    </w:rPr>
  </w:style>
  <w:style w:type="paragraph" w:customStyle="1" w:styleId="380">
    <w:name w:val="正文_0"/>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381">
    <w:name w:val="正文3"/>
    <w:qFormat/>
    <w:uiPriority w:val="0"/>
    <w:rPr>
      <w:rFonts w:hint="default" w:ascii="Times New Roman" w:hAnsi="Times New Roman" w:eastAsia="Times New Roman" w:cs="Times New Roman"/>
      <w:sz w:val="24"/>
      <w:szCs w:val="24"/>
      <w:lang w:val="en-US" w:eastAsia="zh-CN" w:bidi="ar-SA"/>
    </w:rPr>
  </w:style>
  <w:style w:type="paragraph" w:customStyle="1" w:styleId="382">
    <w:name w:val="正文_6"/>
    <w:qFormat/>
    <w:uiPriority w:val="0"/>
    <w:pPr>
      <w:widowControl w:val="0"/>
      <w:jc w:val="both"/>
    </w:pPr>
    <w:rPr>
      <w:rFonts w:hint="default" w:ascii="Calibri" w:hAnsi="Calibri" w:eastAsia="宋体" w:cs="Times New Roman"/>
      <w:sz w:val="21"/>
      <w:szCs w:val="22"/>
      <w:lang w:val="en-US" w:eastAsia="zh-CN" w:bidi="ar-SA"/>
    </w:rPr>
  </w:style>
  <w:style w:type="character" w:customStyle="1" w:styleId="383">
    <w:name w:val="纯文本 Char3"/>
    <w:qFormat/>
    <w:uiPriority w:val="99"/>
    <w:rPr>
      <w:rFonts w:ascii="宋体" w:hAnsi="Courier New" w:eastAsia="宋体" w:cs="Courier New"/>
      <w:szCs w:val="21"/>
    </w:rPr>
  </w:style>
  <w:style w:type="paragraph" w:customStyle="1" w:styleId="384">
    <w:name w:val="Normal_17"/>
    <w:qFormat/>
    <w:uiPriority w:val="0"/>
    <w:pPr>
      <w:spacing w:before="120" w:after="240"/>
      <w:jc w:val="both"/>
    </w:pPr>
    <w:rPr>
      <w:rFonts w:hint="default" w:ascii="Times New Roman" w:hAnsi="Times New Roman" w:eastAsia="Calibri" w:cs="Times New Roman"/>
      <w:sz w:val="22"/>
      <w:szCs w:val="22"/>
      <w:lang w:val="ru-RU" w:eastAsia="en-US" w:bidi="ar-SA"/>
    </w:rPr>
  </w:style>
  <w:style w:type="paragraph" w:customStyle="1" w:styleId="385">
    <w:name w:val="Normal_18"/>
    <w:qFormat/>
    <w:uiPriority w:val="0"/>
    <w:pPr>
      <w:spacing w:before="120" w:after="240"/>
      <w:jc w:val="both"/>
    </w:pPr>
    <w:rPr>
      <w:rFonts w:hint="default" w:ascii="Times New Roman" w:hAnsi="Times New Roman" w:eastAsia="Calibri" w:cs="Times New Roman"/>
      <w:sz w:val="22"/>
      <w:szCs w:val="22"/>
      <w:lang w:val="ru-RU" w:eastAsia="en-US" w:bidi="ar-SA"/>
    </w:rPr>
  </w:style>
  <w:style w:type="paragraph" w:customStyle="1" w:styleId="386">
    <w:name w:val="Normal_19"/>
    <w:qFormat/>
    <w:uiPriority w:val="0"/>
    <w:pPr>
      <w:spacing w:before="120" w:after="240"/>
      <w:jc w:val="both"/>
    </w:pPr>
    <w:rPr>
      <w:rFonts w:hint="default" w:ascii="Times New Roman" w:hAnsi="Times New Roman" w:eastAsia="Calibri" w:cs="Times New Roman"/>
      <w:sz w:val="22"/>
      <w:szCs w:val="22"/>
      <w:lang w:val="ru-RU" w:eastAsia="en-US" w:bidi="ar-SA"/>
    </w:rPr>
  </w:style>
  <w:style w:type="paragraph" w:customStyle="1" w:styleId="387">
    <w:name w:val="Normal_20"/>
    <w:qFormat/>
    <w:uiPriority w:val="0"/>
    <w:pPr>
      <w:spacing w:before="120" w:after="240"/>
      <w:jc w:val="both"/>
    </w:pPr>
    <w:rPr>
      <w:rFonts w:hint="default" w:ascii="Times New Roman" w:hAnsi="Times New Roman" w:eastAsia="Calibri" w:cs="Times New Roman"/>
      <w:sz w:val="22"/>
      <w:szCs w:val="22"/>
      <w:lang w:val="ru-RU" w:eastAsia="en-US" w:bidi="ar-SA"/>
    </w:rPr>
  </w:style>
  <w:style w:type="paragraph" w:customStyle="1" w:styleId="388">
    <w:name w:val="正文_2_0"/>
    <w:qFormat/>
    <w:uiPriority w:val="0"/>
    <w:pPr>
      <w:widowControl w:val="0"/>
      <w:jc w:val="both"/>
    </w:pPr>
    <w:rPr>
      <w:rFonts w:hint="default" w:ascii="Calibri" w:hAnsi="Calibri" w:eastAsia="宋体" w:cs="Times New Roman"/>
      <w:sz w:val="21"/>
      <w:szCs w:val="22"/>
      <w:lang w:val="en-US" w:eastAsia="zh-CN" w:bidi="ar-SA"/>
    </w:rPr>
  </w:style>
  <w:style w:type="paragraph" w:customStyle="1" w:styleId="389">
    <w:name w:val="普通(Web)2"/>
    <w:basedOn w:val="370"/>
    <w:qFormat/>
    <w:uiPriority w:val="0"/>
    <w:pPr>
      <w:widowControl/>
      <w:spacing w:before="150" w:after="150"/>
      <w:jc w:val="left"/>
    </w:pPr>
    <w:rPr>
      <w:rFonts w:ascii="宋体" w:cs="宋体"/>
      <w:sz w:val="24"/>
      <w:szCs w:val="24"/>
      <w:lang w:bidi="ar-SA"/>
    </w:rPr>
  </w:style>
  <w:style w:type="paragraph" w:customStyle="1" w:styleId="390">
    <w:name w:val="正文_4_0"/>
    <w:qFormat/>
    <w:uiPriority w:val="0"/>
    <w:pPr>
      <w:widowControl w:val="0"/>
      <w:jc w:val="both"/>
    </w:pPr>
    <w:rPr>
      <w:rFonts w:hint="default" w:ascii="Calibri" w:hAnsi="Calibri" w:eastAsia="宋体" w:cs="Times New Roman"/>
      <w:sz w:val="21"/>
      <w:szCs w:val="22"/>
      <w:lang w:val="en-US" w:eastAsia="zh-CN" w:bidi="ar-SA"/>
    </w:rPr>
  </w:style>
  <w:style w:type="paragraph" w:customStyle="1" w:styleId="391">
    <w:name w:val="标题 3_0"/>
    <w:basedOn w:val="388"/>
    <w:next w:val="372"/>
    <w:unhideWhenUsed/>
    <w:qFormat/>
    <w:uiPriority w:val="0"/>
    <w:pPr>
      <w:keepNext/>
      <w:keepLines/>
      <w:spacing w:before="260" w:after="260" w:line="415" w:lineRule="auto"/>
      <w:outlineLvl w:val="2"/>
    </w:pPr>
    <w:rPr>
      <w:b/>
      <w:bCs/>
      <w:sz w:val="32"/>
      <w:szCs w:val="32"/>
    </w:rPr>
  </w:style>
  <w:style w:type="paragraph" w:customStyle="1" w:styleId="392">
    <w:name w:val="纯文本1"/>
    <w:basedOn w:val="1"/>
    <w:qFormat/>
    <w:uiPriority w:val="0"/>
    <w:rPr>
      <w:rFonts w:ascii="宋体" w:hAnsi="Courier New"/>
      <w:sz w:val="20"/>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1" Type="http://schemas.openxmlformats.org/officeDocument/2006/relationships/fontTable" Target="fontTable.xml"/><Relationship Id="rId30" Type="http://schemas.openxmlformats.org/officeDocument/2006/relationships/customXml" Target="../customXml/item2.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theme" Target="theme/theme1.xml"/><Relationship Id="rId26" Type="http://schemas.openxmlformats.org/officeDocument/2006/relationships/footer" Target="footer14.xml"/><Relationship Id="rId25" Type="http://schemas.openxmlformats.org/officeDocument/2006/relationships/footer" Target="footer13.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945f511d-4ffe-4d56-b1da-e3a6ed5be885</errorID>
      <errorWord>GG</errorWord>
      <group>L1_Official</group>
      <groupName>公文问题</groupName>
      <ability>L2_Official</ability>
      <abilityName>公文问题</abilityName>
      <candidateList/>
      <explain>公文中禁止出现该词语</explain>
      <paraID>32855014</paraID>
      <start>5</start>
      <end>7</end>
      <status>unmodified</status>
      <modifiedWord/>
      <trackRevisions>false</trackRevisions>
    </reviewItem>
    <reviewItem>
      <errorID>6314eb2b-ac0d-47a6-bbf9-cd6810c3f9cb</errorID>
      <errorWord>GG</errorWord>
      <group>L1_Official</group>
      <groupName>公文问题</groupName>
      <ability>L2_Official</ability>
      <abilityName>公文问题</abilityName>
      <candidateList/>
      <explain>公文中禁止出现该词语</explain>
      <paraID>3091B99C</paraID>
      <start>5</start>
      <end>7</end>
      <status>unmodified</status>
      <modifiedWord/>
      <trackRevisions>false</trackRevisions>
    </reviewItem>
    <reviewItem>
      <errorID>2bba00d6-a85e-4503-9b34-14a8682cbc69</errorID>
      <errorWord>财政部</errorWord>
      <group>L1_Knowledge</group>
      <groupName>知识性问题</groupName>
      <ability>L2_Organization</ability>
      <abilityName>机构检查</abilityName>
      <candidateList/>
      <explain>[财政部]应在[民政部]之后</explain>
      <paraID>7D162E21</paraID>
      <start>140</start>
      <end>143</end>
      <status>unmodified</status>
      <modifiedWord/>
      <trackRevisions>false</trackRevisions>
    </reviewItem>
    <reviewItem>
      <errorID>fe4eadf3-c846-42da-addc-3a1864a86f01</errorID>
      <errorWord>(</errorWord>
      <group>L1_Format</group>
      <groupName>格式问题</groupName>
      <ability>L2_HalfPunc_CN</ability>
      <abilityName/>
      <candidateList>
        <item>（</item>
      </candidateList>
      <explain>文本全半角错误。</explain>
      <paraID>4B6327CD</paraID>
      <start>24</start>
      <end>25</end>
      <status>unmodified</status>
      <modifiedWord/>
      <trackRevisions>false</trackRevisions>
    </reviewItem>
    <reviewItem>
      <errorID>dd702221-e595-4dac-bc9a-4827c6033a9a</errorID>
      <errorWord>)</errorWord>
      <group>L1_Format</group>
      <groupName>格式问题</groupName>
      <ability>L2_HalfPunc_CN</ability>
      <abilityName/>
      <candidateList>
        <item>）</item>
      </candidateList>
      <explain>文本全半角错误。</explain>
      <paraID>4B6327CD</paraID>
      <start>26</start>
      <end>27</end>
      <status>unmodified</status>
      <modifiedWord/>
      <trackRevisions>false</trackRevisions>
    </reviewItem>
    <reviewItem>
      <errorID>46a21f67-d481-47f9-8c93-d787af61343e</errorID>
      <errorWord>日至2026年</errorWord>
      <group>L1_Word</group>
      <groupName>字词问题</groupName>
      <ability>L2_Typo</ability>
      <abilityName>字词错误</abilityName>
      <candidateList>
        <item>日起至2026年</item>
      </candidateList>
      <explain/>
      <paraID>16E37772</paraID>
      <start>11</start>
      <end>18</end>
      <status>unmodified</status>
      <modifiedWord/>
      <trackRevisions>false</trackRevisions>
    </reviewItem>
    <reviewItem>
      <errorID>1e809fae-5635-47ec-8009-e33efc3da183</errorID>
      <errorWord>上午00：00</errorWord>
      <group>L1_Knowledge</group>
      <groupName>知识性问题</groupName>
      <ability>L2_Time</ability>
      <abilityName>日期时间</abilityName>
      <candidateList/>
      <explain>时间与前缀不匹配，可能的时间前缀有“下午、晚上、凌晨、午夜”。</explain>
      <paraID>16E37772</paraID>
      <start>25</start>
      <end>32</end>
      <status>unmodified</status>
      <modifiedWord/>
      <trackRevisions>false</trackRevisions>
    </reviewItem>
    <reviewItem>
      <errorID>71de7102-190a-4d1d-87d9-7f6592d8c226</errorID>
      <errorWord>：</errorWord>
      <group>L1_Format</group>
      <groupName>格式问题</groupName>
      <ability>L2_HalfPunc_CN</ability>
      <abilityName/>
      <candidateList>
        <item>:</item>
      </candidateList>
      <explain>文本全半角错误。</explain>
      <paraID>16E37772</paraID>
      <start>35</start>
      <end>36</end>
      <status>unmodified</status>
      <modifiedWord/>
      <trackRevisions>false</trackRevisions>
    </reviewItem>
    <reviewItem>
      <errorID>aeb78f95-7ed8-4247-bd05-6b4dd25ad2e5</errorID>
      <errorWord>：</errorWord>
      <group>L1_Format</group>
      <groupName>格式问题</groupName>
      <ability>L2_HalfPunc_CN</ability>
      <abilityName/>
      <candidateList>
        <item>:</item>
      </candidateList>
      <explain>文本全半角错误。</explain>
      <paraID>16E37772</paraID>
      <start>43</start>
      <end>44</end>
      <status>unmodified</status>
      <modifiedWord/>
      <trackRevisions>false</trackRevisions>
    </reviewItem>
    <reviewItem>
      <errorID>142a5c24-7af1-4bcc-8774-e01c2ab8b0d2</errorID>
      <errorWord>：</errorWord>
      <group>L1_Format</group>
      <groupName>格式问题</groupName>
      <ability>L2_HalfPunc_CN</ability>
      <abilityName/>
      <candidateList>
        <item>:</item>
      </candidateList>
      <explain>文本全半角错误。</explain>
      <paraID>16E37772</paraID>
      <start>49</start>
      <end>50</end>
      <status>unmodified</status>
      <modifiedWord/>
      <trackRevisions>false</trackRevisions>
    </reviewItem>
    <reviewItem>
      <errorID>97ed95b8-546e-482a-9643-a02f5d218281</errorID>
      <errorWord>-</errorWord>
      <group>L1_Format</group>
      <groupName>格式问题</groupName>
      <ability>L2_HalfPunc_CN</ability>
      <abilityName/>
      <candidateList>
        <item>－</item>
      </candidateList>
      <explain>文本全半角错误。</explain>
      <paraID>111B73E4</paraID>
      <start>82</start>
      <end>83</end>
      <status>unmodified</status>
      <modifiedWord/>
      <trackRevisions>false</trackRevisions>
    </reviewItem>
    <reviewItem>
      <errorID>56d0e379-8f99-46f3-9275-c66dee2a5469</errorID>
      <errorWord>：</errorWord>
      <group>L1_Format</group>
      <groupName>格式问题</groupName>
      <ability>L2_HalfPunc_CN</ability>
      <abilityName/>
      <candidateList>
        <item>:</item>
      </candidateList>
      <explain>文本全半角错误。</explain>
      <paraID>22EE9D15</paraID>
      <start>35</start>
      <end>36</end>
      <status>unmodified</status>
      <modifiedWord/>
      <trackRevisions>false</trackRevisions>
    </reviewItem>
    <reviewItem>
      <errorID>ba98995c-2a42-4ad4-a1f7-0c821407daee</errorID>
      <errorWord>/）</errorWord>
      <group>L1_Punc</group>
      <groupName>标点问题</groupName>
      <ability>L2_Punc_CN</ability>
      <abilityName/>
      <candidateList>
        <item>）</item>
      </candidateList>
      <explain/>
      <paraID>22EE9D15</paraID>
      <start>62</start>
      <end>64</end>
      <status>unmodified</status>
      <modifiedWord/>
      <trackRevisions>false</trackRevisions>
    </reviewItem>
    <reviewItem>
      <errorID>a5c346be-13d9-49f3-9ff2-3e64bc660eb9</errorID>
      <errorWord>操作合</errorWord>
      <group>L1_Word</group>
      <groupName>字词问题</groupName>
      <ability>L2_Typo</ability>
      <abilityName>字词错误</abilityName>
      <candidateList>
        <item>操作台</item>
      </candidateList>
      <explain/>
      <paraID>742CDB7B</paraID>
      <start>9</start>
      <end>12</end>
      <status>unmodified</status>
      <modifiedWord/>
      <trackRevisions>false</trackRevisions>
    </reviewItem>
    <reviewItem>
      <errorID>956ea650-8286-47f3-8108-7140812feea7</errorID>
      <errorWord>，</errorWord>
      <group>L1_Word</group>
      <groupName>字词问题</groupName>
      <ability>L2_Typo</ability>
      <abilityName>字词错误</abilityName>
      <candidateList>
        <item>，在</item>
      </candidateList>
      <explain/>
      <paraID>742CDB7B</paraID>
      <start>120</start>
      <end>121</end>
      <status>unmodified</status>
      <modifiedWord/>
      <trackRevisions>false</trackRevisions>
    </reviewItem>
    <reviewItem>
      <errorID>744181d4-9a0c-42d9-a69e-eb79d9727b86</errorID>
      <errorWord>具备有</errorWord>
      <group>L1_Word</group>
      <groupName>字词问题</groupName>
      <ability>L2_Typo</ability>
      <abilityName>字词错误</abilityName>
      <candidateList>
        <item>具备</item>
      </candidateList>
      <explain/>
      <paraID>77ECF39E</paraID>
      <start>9</start>
      <end>12</end>
      <status>unmodified</status>
      <modifiedWord/>
      <trackRevisions>false</trackRevisions>
    </reviewItem>
    <reviewItem>
      <errorID>9fd94072-db71-4250-9312-fd22aa12b2a5</errorID>
      <errorWord>:</errorWord>
      <group>L1_Format</group>
      <groupName>格式问题</groupName>
      <ability>L2_HalfPunc_CN</ability>
      <abilityName/>
      <candidateList>
        <item>：</item>
      </candidateList>
      <explain>文本全半角错误。</explain>
      <paraID>7E97483E</paraID>
      <start>9</start>
      <end>10</end>
      <status>unmodified</status>
      <modifiedWord/>
      <trackRevisions>false</trackRevisions>
    </reviewItem>
    <reviewItem>
      <errorID>eaffed56-ba9a-4b4f-b435-f7e6558c49ea</errorID>
      <errorWord>（</errorWord>
      <group>L1_Punc</group>
      <groupName>标点问题</groupName>
      <ability>L2_Punc_CN</ability>
      <abilityName/>
      <candidateList/>
      <explain>同一形式括号套用。</explain>
      <paraID>24EA54C</paraID>
      <start>52</start>
      <end>53</end>
      <status>unmodified</status>
      <modifiedWord/>
      <trackRevisions>false</trackRevisions>
    </reviewItem>
    <reviewItem>
      <errorID>0b0ffb68-6b74-4189-80c8-387bd02a43f4</errorID>
      <errorWord>）</errorWord>
      <group>L1_Punc</group>
      <groupName>标点问题</groupName>
      <ability>L2_Punc_CN</ability>
      <abilityName/>
      <candidateList/>
      <explain>同一形式括号套用。</explain>
      <paraID>24EA54C</paraID>
      <start>62</start>
      <end>63</end>
      <status>unmodified</status>
      <modifiedWord/>
      <trackRevisions>false</trackRevisions>
    </reviewItem>
    <reviewItem>
      <errorID>ff478ba1-87a2-483e-a9b7-fe7661749b7e</errorID>
      <errorWord>(</errorWord>
      <group>L1_Format</group>
      <groupName>格式问题</groupName>
      <ability>L2_HalfPunc_CN</ability>
      <abilityName/>
      <candidateList>
        <item>（</item>
      </candidateList>
      <explain>文本全半角错误。</explain>
      <paraID>2ADA2D28</paraID>
      <start>24</start>
      <end>25</end>
      <status>unmodified</status>
      <modifiedWord/>
      <trackRevisions>false</trackRevisions>
    </reviewItem>
    <reviewItem>
      <errorID>8d6cc2a4-f3a3-495b-8357-6316baf86857</errorID>
      <errorWord>)</errorWord>
      <group>L1_Format</group>
      <groupName>格式问题</groupName>
      <ability>L2_HalfPunc_CN</ability>
      <abilityName/>
      <candidateList>
        <item>）</item>
      </candidateList>
      <explain>文本全半角错误。</explain>
      <paraID>2ADA2D28</paraID>
      <start>26</start>
      <end>27</end>
      <status>unmodified</status>
      <modifiedWord/>
      <trackRevisions>false</trackRevisions>
    </reviewItem>
    <reviewItem>
      <errorID>21677e3d-c74b-4947-b72f-4373a24b4cc0</errorID>
      <errorWord>包括了</errorWord>
      <group>L1_Word</group>
      <groupName>字词问题</groupName>
      <ability>L2_Typo</ability>
      <abilityName>字词错误</abilityName>
      <candidateList>
        <item>包括</item>
      </candidateList>
      <explain/>
      <paraID>7732E727</paraID>
      <start>30</start>
      <end>33</end>
      <status>unmodified</status>
      <modifiedWord/>
      <trackRevisions>false</trackRevisions>
    </reviewItem>
    <reviewItem>
      <errorID>6f43ec99-a92c-427e-85e6-f5a6ee5c5b0a</errorID>
      <errorWord>(</errorWord>
      <group>L1_Format</group>
      <groupName>格式问题</groupName>
      <ability>L2_HalfPunc_CN</ability>
      <abilityName/>
      <candidateList>
        <item>（</item>
      </candidateList>
      <explain>文本全半角错误。</explain>
      <paraID>409F6E3E</paraID>
      <start>41</start>
      <end>42</end>
      <status>unmodified</status>
      <modifiedWord/>
      <trackRevisions>false</trackRevisions>
    </reviewItem>
    <reviewItem>
      <errorID>aba02e98-ff73-45b3-a5b4-52ee75dab0da</errorID>
      <errorWord>)</errorWord>
      <group>L1_Format</group>
      <groupName>格式问题</groupName>
      <ability>L2_HalfPunc_CN</ability>
      <abilityName/>
      <candidateList>
        <item>）</item>
      </candidateList>
      <explain>文本全半角错误。</explain>
      <paraID>409F6E3E</paraID>
      <start>50</start>
      <end>51</end>
      <status>unmodified</status>
      <modifiedWord/>
      <trackRevisions>false</trackRevisions>
    </reviewItem>
    <reviewItem>
      <errorID>b7211add-5b32-4f11-b496-de63d7756488</errorID>
      <errorWord>，</errorWord>
      <group>L1_Word</group>
      <groupName>字词问题</groupName>
      <ability>L2_Typo</ability>
      <abilityName>字词错误</abilityName>
      <candidateList>
        <item>，使</item>
      </candidateList>
      <explain/>
      <paraID>749CF56A</paraID>
      <start>32</start>
      <end>33</end>
      <status>unmodified</status>
      <modifiedWord/>
      <trackRevisions>false</trackRevisions>
    </reviewItem>
    <reviewItem>
      <errorID>2d5c0098-48ce-4bac-9ee4-843025f5a63c</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447FE728</paraID>
      <start>15</start>
      <end>18</end>
      <status>unmodified</status>
      <modifiedWord/>
      <trackRevisions>false</trackRevisions>
    </reviewItem>
    <reviewItem>
      <errorID>cfba7542-5952-4514-82b8-0a361c0fc1ce</errorID>
      <errorWord>法律、法规</errorWord>
      <group>L1_Word</group>
      <groupName>字词问题</groupName>
      <ability>L2_Typo</ability>
      <abilityName>字词错误</abilityName>
      <candidateList>
        <item>法律法规</item>
      </candidateList>
      <explain/>
      <paraID>7D469D86</paraID>
      <start>38</start>
      <end>43</end>
      <status>unmodified</status>
      <modifiedWord/>
      <trackRevisions>false</trackRevisions>
    </reviewItem>
    <reviewItem>
      <errorID>795468e7-0992-4dc3-b70c-c4608c66ab73</errorID>
      <errorWord>1%-2%</errorWord>
      <group>L1_Knowledge</group>
      <groupName>知识性问题</groupName>
      <ability>L2_Knowledge</ability>
      <abilityName>其他知识</abilityName>
      <candidateList>
        <item>1%—2%</item>
      </candidateList>
      <explain>1. “1%-2%”中的单位“%”仅出现在后一个数字上，容易引起歧义；根据《现代汉语标点符号数字用法规范手册》，数字表示范围两边需要使用统一的格式。2. 根据标点国标 4.13 中的规则，数字、时间或地域连接符应使用（视觉上更长的）“—”或“～”。</explain>
      <paraID>2CDB18BC</paraID>
      <start>208</start>
      <end>213</end>
      <status>unmodified</status>
      <modifiedWord/>
      <trackRevisions>false</trackRevisions>
    </reviewItem>
    <reviewItem>
      <errorID>00d2e82c-4dbe-4cad-866c-47ba5fe45522</errorID>
      <errorWord>(</errorWord>
      <group>L1_Format</group>
      <groupName>格式问题</groupName>
      <ability>L2_HalfPunc_CN</ability>
      <abilityName/>
      <candidateList>
        <item>（</item>
      </candidateList>
      <explain>文本全半角错误。</explain>
      <paraID>198806D5</paraID>
      <start>53</start>
      <end>54</end>
      <status>unmodified</status>
      <modifiedWord/>
      <trackRevisions>false</trackRevisions>
    </reviewItem>
    <reviewItem>
      <errorID>bc8df9fb-fdb9-47f2-b1e9-92a5417cc419</errorID>
      <errorWord>)</errorWord>
      <group>L1_Format</group>
      <groupName>格式问题</groupName>
      <ability>L2_HalfPunc_CN</ability>
      <abilityName/>
      <candidateList>
        <item>）</item>
      </candidateList>
      <explain>文本全半角错误。</explain>
      <paraID>198806D5</paraID>
      <start>56</start>
      <end>57</end>
      <status>unmodified</status>
      <modifiedWord/>
      <trackRevisions>false</trackRevisions>
    </reviewItem>
    <reviewItem>
      <errorID>379dc5de-6c56-41e5-afa9-79c11be08a0b</errorID>
      <errorWord>操作合</errorWord>
      <group>L1_Word</group>
      <groupName>字词问题</groupName>
      <ability>L2_Typo</ability>
      <abilityName>字词错误</abilityName>
      <candidateList>
        <item>操作台</item>
      </candidateList>
      <explain/>
      <paraID>3F8C4BA6</paraID>
      <start>9</start>
      <end>12</end>
      <status>unmodified</status>
      <modifiedWord/>
      <trackRevisions>false</trackRevisions>
    </reviewItem>
    <reviewItem>
      <errorID>a3e81f37-6e6b-42b5-bf84-8fd7c39cf744</errorID>
      <errorWord>接受</errorWord>
      <group>L1_Word</group>
      <groupName>字词问题</groupName>
      <ability>L2_Typo</ability>
      <abilityName>字词错误</abilityName>
      <candidateList>
        <item>接收</item>
      </candidateList>
      <explain>存在发音相同字词的误用。</explain>
      <paraID>7848278E</paraID>
      <start>51</start>
      <end>53</end>
      <status>unmodified</status>
      <modifiedWord/>
      <trackRevisions>false</trackRevisions>
    </reviewItem>
    <reviewItem>
      <errorID>1d73849b-4753-4d70-996a-0078d5b61b49</errorID>
      <errorWord>，</errorWord>
      <group>L1_Word</group>
      <groupName>字词问题</groupName>
      <ability>L2_Typo</ability>
      <abilityName>字词错误</abilityName>
      <candidateList>
        <item>，在</item>
      </candidateList>
      <explain/>
      <paraID>3B5FE9E</paraID>
      <start>36</start>
      <end>37</end>
      <status>unmodified</status>
      <modifiedWord/>
      <trackRevisions>false</trackRevisions>
    </reviewItem>
    <reviewItem>
      <errorID>93f6b513-2f41-4a01-80b1-942c5c8eb952</errorID>
      <errorWord>间</errorWord>
      <group>L1_Word</group>
      <groupName>字词问题</groupName>
      <ability>L2_Typo</ability>
      <abilityName>字词错误</abilityName>
      <candidateList>
        <item>间之</item>
      </candidateList>
      <explain/>
      <paraID>77F5A8E5</paraID>
      <start>14</start>
      <end>15</end>
      <status>unmodified</status>
      <modifiedWord/>
      <trackRevisions>false</trackRevisions>
    </reviewItem>
    <reviewItem>
      <errorID>3657970b-7dcd-4e37-a008-65b5b3026dd0</errorID>
      <errorWord>原则做出结论</errorWord>
      <group>L1_Word</group>
      <groupName>字词问题</groupName>
      <ability>L2_Typo</ability>
      <abilityName>字词错误</abilityName>
      <candidateList>
        <item>原则作出结论</item>
      </candidateList>
      <explain/>
      <paraID>295EF943</paraID>
      <start>62</start>
      <end>68</end>
      <status>unmodified</status>
      <modifiedWord/>
      <trackRevisions>false</trackRevisions>
    </reviewItem>
    <reviewItem>
      <errorID>b75b559e-28c8-4820-b51f-17a04d59b6a3</errorID>
      <errorWord>:</errorWord>
      <group>L1_Format</group>
      <groupName>格式问题</groupName>
      <ability>L2_HalfPunc_CN</ability>
      <abilityName/>
      <candidateList>
        <item>：</item>
      </candidateList>
      <explain>文本全半角错误。</explain>
      <paraID>1EFDBD81</paraID>
      <start>6</start>
      <end>7</end>
      <status>unmodified</status>
      <modifiedWord/>
      <trackRevisions>false</trackRevisions>
    </reviewItem>
    <reviewItem>
      <errorID>d710a12c-5b97-4a3a-aac9-0656772f3328</errorID>
      <errorWord>法律、法规</errorWord>
      <group>L1_Word</group>
      <groupName>字词问题</groupName>
      <ability>L2_Typo</ability>
      <abilityName>字词错误</abilityName>
      <candidateList>
        <item>法律法规</item>
      </candidateList>
      <explain/>
      <paraID>1EFDBD81</paraID>
      <start>17</start>
      <end>22</end>
      <status>unmodified</status>
      <modifiedWord/>
      <trackRevisions>false</trackRevisions>
    </reviewItem>
    <reviewItem>
      <errorID>541a5ade-684c-443a-92e7-b90bada2cbdf</errorID>
      <errorWord>包括了</errorWord>
      <group>L1_Word</group>
      <groupName>字词问题</groupName>
      <ability>L2_Typo</ability>
      <abilityName>字词错误</abilityName>
      <candidateList>
        <item>包括</item>
      </candidateList>
      <explain/>
      <paraID>45E09556</paraID>
      <start>30</start>
      <end>33</end>
      <status>unmodified</status>
      <modifiedWord/>
      <trackRevisions>false</trackRevisions>
    </reviewItem>
    <reviewItem>
      <errorID>8e8ffde7-5736-4d5e-869e-4e50559abb2c</errorID>
      <errorWord>相应</errorWord>
      <group>L1_Word</group>
      <groupName>字词问题</groupName>
      <ability>L2_Typo</ability>
      <abilityName>字词错误</abilityName>
      <candidateList>
        <item>响应</item>
      </candidateList>
      <explain>〈动〉回声相应，比喻用言语行动表示赞同、支持某种号召或倡议：～号召。</explain>
      <paraID>1EB81183</paraID>
      <start>19</start>
      <end>21</end>
      <status>unmodified</status>
      <modifiedWord/>
      <trackRevisions>false</trackRevisions>
    </reviewItem>
    <reviewItem>
      <errorID>f3be95c0-e361-4824-ad23-9ba758d7c035</errorID>
      <errorWord>-</errorWord>
      <group>L1_Format</group>
      <groupName>格式问题</groupName>
      <ability>L2_HalfPunc_CN</ability>
      <abilityName/>
      <candidateList>
        <item>－</item>
      </candidateList>
      <explain>文本全半角错误。</explain>
      <paraID>7BD0E0A9</paraID>
      <start>20</start>
      <end>21</end>
      <status>unmodified</status>
      <modifiedWord/>
      <trackRevisions>false</trackRevisions>
    </reviewItem>
    <reviewItem>
      <errorID>755e7f7d-5df8-40c5-8f76-066c3aa1e6b9</errorID>
      <errorWord>法律、法规</errorWord>
      <group>L1_Word</group>
      <groupName>字词问题</groupName>
      <ability>L2_Typo</ability>
      <abilityName>字词错误</abilityName>
      <candidateList>
        <item>法律法规</item>
      </candidateList>
      <explain/>
      <paraID>368FF149</paraID>
      <start>3</start>
      <end>8</end>
      <status>unmodified</status>
      <modifiedWord/>
      <trackRevisions>false</trackRevisions>
    </reviewItem>
    <reviewItem>
      <errorID>ac2db9c0-1b0f-481a-8b9a-ab11356fb5af</errorID>
      <errorWord>，</errorWord>
      <group>L1_Word</group>
      <groupName>字词问题</groupName>
      <ability>L2_Typo</ability>
      <abilityName>字词错误</abilityName>
      <candidateList>
        <item>，并</item>
      </candidateList>
      <explain/>
      <paraID>1DBF7B95</paraID>
      <start>63</start>
      <end>64</end>
      <status>unmodified</status>
      <modifiedWord/>
      <trackRevisions>false</trackRevisions>
    </reviewItem>
    <reviewItem>
      <errorID>e78f4107-2e6b-4c74-a768-a955895ea84f</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16BF6D81</paraID>
      <start>70</start>
      <end>71</end>
      <status>unmodified</status>
      <modifiedWord/>
      <trackRevisions>false</trackRevisions>
    </reviewItem>
    <reviewItem>
      <errorID>4b7abc65-d176-45f3-9f1a-edbc3472d877</errorID>
      <errorWord>自控</errorWord>
      <group>L1_Word</group>
      <groupName>字词问题</groupName>
      <ability>L2_Typo</ability>
      <abilityName>字词错误</abilityName>
      <candidateList>
        <item>质控</item>
      </candidateList>
      <explain/>
      <paraID>2BBBE372</paraID>
      <start>50</start>
      <end>52</end>
      <status>unmodified</status>
      <modifiedWord/>
      <trackRevisions>false</trackRevisions>
    </reviewItem>
    <reviewItem>
      <errorID>482fa06d-2e60-4821-982b-ea072fa17b63</errorID>
      <errorWord>其它</errorWord>
      <group>L1_Word</group>
      <groupName>字词问题</groupName>
      <ability>L2_Alias</ability>
      <abilityName>也作/曾用词</abilityName>
      <candidateList>
        <item>其他</item>
      </candidateList>
      <explain>词汇[其它]为不规范表述或旧称，其规范书面表述为[其他]。</explain>
      <paraID>790BA11C</paraID>
      <start>5</start>
      <end>7</end>
      <status>unmodified</status>
      <modifiedWord/>
      <trackRevisions>false</trackRevisions>
    </reviewItem>
    <reviewItem>
      <errorID>0761d53e-fd5e-489d-8a5c-cb823e3db743</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492351A</paraID>
      <start>15</start>
      <end>18</end>
      <status>unmodified</status>
      <modifiedWord/>
      <trackRevisions>false</trackRevisions>
    </reviewItem>
    <reviewItem>
      <errorID>967b2285-c50d-4958-be5f-c9765f70c0da</errorID>
      <errorWord>&lt;</errorWord>
      <group>L1_Format</group>
      <groupName>格式问题</groupName>
      <ability>L2_HalfPunc_CN</ability>
      <abilityName/>
      <candidateList>
        <item>〈</item>
      </candidateList>
      <explain>文本全半角错误。</explain>
      <paraID>5F62BB4E</paraID>
      <start>32</start>
      <end>33</end>
      <status>unmodified</status>
      <modifiedWord/>
      <trackRevisions>false</trackRevisions>
    </reviewItem>
    <reviewItem>
      <errorID>536b3873-1f6d-4ed6-a200-7ab3ee9151ae</errorID>
      <errorWord>&gt;</errorWord>
      <group>L1_Format</group>
      <groupName>格式问题</groupName>
      <ability>L2_HalfPunc_CN</ability>
      <abilityName/>
      <candidateList>
        <item>〉</item>
      </candidateList>
      <explain>文本全半角错误。</explain>
      <paraID>5F62BB4E</paraID>
      <start>46</start>
      <end>47</end>
      <status>unmodified</status>
      <modifiedWord/>
      <trackRevisions>false</trackRevisions>
    </reviewItem>
    <reviewItem>
      <errorID>bcc1953b-ba85-4daa-a830-bc3d6a632d22</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5F62BB4E</paraID>
      <start>58</start>
      <end>61</end>
      <status>unmodified</status>
      <modifiedWord/>
      <trackRevisions>false</trackRevisions>
    </reviewItem>
    <reviewItem>
      <errorID>d49cbc93-352f-47fa-8faf-cb7228f6322d</errorID>
      <errorWord>房</errorWord>
      <group>L1_Word</group>
      <groupName>字词问题</groupName>
      <ability>L2_Typo</ability>
      <abilityName>字词错误</abilityName>
      <candidateList>
        <item>房和</item>
      </candidateList>
      <explain/>
      <paraID>5F62BB4E</paraID>
      <start>268</start>
      <end>269</end>
      <status>unmodified</status>
      <modifiedWord/>
      <trackRevisions>false</trackRevisions>
    </reviewItem>
    <reviewItem>
      <errorID>fbc0da0d-dedf-4e82-8f0e-ec6ac3d24952</errorID>
      <errorWord>房</errorWord>
      <group>L1_Word</group>
      <groupName>字词问题</groupName>
      <ability>L2_Typo</ability>
      <abilityName>字词错误</abilityName>
      <candidateList>
        <item>房和</item>
      </candidateList>
      <explain/>
      <paraID>697B3F2</paraID>
      <start>32</start>
      <end>33</end>
      <status>unmodified</status>
      <modifiedWord/>
      <trackRevisions>false</trackRevisions>
    </reviewItem>
    <reviewItem>
      <errorID>f92f7665-fe44-49be-ab3a-e052fe85865a</errorID>
      <errorWord>其它</errorWord>
      <group>L1_Word</group>
      <groupName>字词问题</groupName>
      <ability>L2_Alias</ability>
      <abilityName>也作/曾用词</abilityName>
      <candidateList>
        <item>其他</item>
      </candidateList>
      <explain>词汇[其它]为不规范表述或旧称，其规范书面表述为[其他]。</explain>
      <paraID>D124E45</paraID>
      <start>4</start>
      <end>6</end>
      <status>unmodified</status>
      <modifiedWord/>
      <trackRevisions>false</trackRevisions>
    </reviewItem>
    <reviewItem>
      <errorID>7acb3126-6d8f-4523-acf8-87ec6a2a5a30</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17AF4AE7</paraID>
      <start>27</start>
      <end>30</end>
      <status>unmodified</status>
      <modifiedWord/>
      <trackRevisions>false</trackRevisions>
    </reviewItem>
    <reviewItem>
      <errorID>d45186be-4d5a-4cfc-8396-98d0faa278c6</errorID>
      <errorWord>股东大会</errorWord>
      <group>L1_Word</group>
      <groupName>字词问题</groupName>
      <ability>L2_Typo</ability>
      <abilityName>字词错误</abilityName>
      <candidateList>
        <item>股东会</item>
      </candidateList>
      <explain/>
      <paraID>5DB4435A</paraID>
      <start>113</start>
      <end>117</end>
      <status>unmodified</status>
      <modifiedWord/>
      <trackRevisions>false</trackRevisions>
    </reviewItem>
    <reviewItem>
      <errorID>9b54bd69-75a2-444c-87b1-1f0f5b2439fd</errorID>
      <errorWord>:</errorWord>
      <group>L1_Format</group>
      <groupName>格式问题</groupName>
      <ability>L2_HalfPunc_CN</ability>
      <abilityName/>
      <candidateList>
        <item>：</item>
      </candidateList>
      <explain>文本全半角错误。</explain>
      <paraID>72E0CE10</paraID>
      <start>1</start>
      <end>2</end>
      <status>unmodified</status>
      <modifiedWord/>
      <trackRevisions>false</trackRevisions>
    </reviewItem>
    <reviewItem>
      <errorID>cd80b617-35eb-4339-ab16-a3d1a109180f</errorID>
      <errorWord>&lt;</errorWord>
      <group>L1_Format</group>
      <groupName>格式问题</groupName>
      <ability>L2_HalfPunc_CN</ability>
      <abilityName/>
      <candidateList>
        <item>〈</item>
      </candidateList>
      <explain>文本全半角错误。</explain>
      <paraID>1BF44ECA</paraID>
      <start>107</start>
      <end>108</end>
      <status>unmodified</status>
      <modifiedWord/>
      <trackRevisions>false</trackRevisions>
    </reviewItem>
    <reviewItem>
      <errorID>0b6fc3d9-1059-4f4f-8ae8-9d34d88af4ad</errorID>
      <errorWord>&gt;</errorWord>
      <group>L1_Format</group>
      <groupName>格式问题</groupName>
      <ability>L2_HalfPunc_CN</ability>
      <abilityName/>
      <candidateList>
        <item>〉</item>
      </candidateList>
      <explain>文本全半角错误。</explain>
      <paraID>1BF44ECA</paraID>
      <start>121</start>
      <end>122</end>
      <status>unmodified</status>
      <modifiedWord/>
      <trackRevisions>false</trackRevisions>
    </reviewItem>
    <reviewItem>
      <errorID>a040077f-2499-4b8a-8e71-650329612883</errorID>
      <errorWord>KW</errorWord>
      <group>L1_Word</group>
      <groupName>字词问题</groupName>
      <ability>L2_Typo</ability>
      <abilityName>字词错误</abilityName>
      <candidateList>
        <item>kW</item>
      </candidateList>
      <explain/>
      <paraID>52DC1DAE</paraID>
      <start>6</start>
      <end>8</end>
      <status>unmodified</status>
      <modifiedWord/>
      <trackRevisions>false</trackRevisions>
    </reviewItem>
    <reviewItem>
      <errorID>f17d1f35-0084-48a8-9dee-2e09699b9a30</errorID>
      <errorWord>己</errorWord>
      <group>L1_Word</group>
      <groupName>字词问题</groupName>
      <ability>L2_Typo</ability>
      <abilityName>字词错误</abilityName>
      <candidateList>
        <item>已</item>
      </candidateList>
      <explain>❶停止：争论不～｜有加无～。❷〈副〉已经（跟“未”相对）：时间～过｜此事～设法解决。❸〈书〉副后来；过了一会儿：～而｜～忽不见。❹〈书〉副太；过：不为～甚。❺（Yǐ）〈名〉姓。</explain>
      <paraID>2ACAC484</paraID>
      <start>0</start>
      <end>1</end>
      <status>unmodified</status>
      <modifiedWord/>
      <trackRevisions>false</trackRevisions>
    </reviewItem>
    <reviewItem>
      <errorID>491c4948-a70b-4556-8937-69165b77ec93</errorID>
      <errorWord>提出质疑</errorWord>
      <group>L1_Grammar</group>
      <groupName>语法问题</groupName>
      <ability>L2_Grammar</ability>
      <abilityName>语法错误</abilityName>
      <candidateList>
        <item>质疑</item>
      </candidateList>
      <explain>该表达中的“提出质疑”存在语义重复。【词汇解析】质疑：提出疑问。与“提出”语义重复。</explain>
      <paraID>59E98F7A</paraID>
      <start>53</start>
      <end>57</end>
      <status>unmodified</status>
      <modifiedWord/>
      <trackRevisions>false</trackRevisions>
    </reviewItem>
    <reviewItem>
      <errorID>3efc10c8-ab1d-4468-b109-42f5c086d704</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1908CD0C</paraID>
      <start>13</start>
      <end>16</end>
      <status>unmodified</status>
      <modifiedWord/>
      <trackRevisions>false</trackRevisions>
    </reviewItem>
    <reviewItem>
      <errorID>23221dbc-5ceb-45a1-819b-5bb0409ae840</errorID>
      <errorWord>。</errorWord>
      <group>L1_Punc</group>
      <groupName>标点问题</groupName>
      <ability>L2_Punc_CN</ability>
      <abilityName/>
      <candidateList/>
      <explain/>
      <paraID>425AD299</paraID>
      <start>56</start>
      <end>57</end>
      <status>unmodified</status>
      <modifiedWord/>
      <trackRevisions>false</trackRevisions>
    </reviewItem>
    <reviewItem>
      <errorID>5f81b4c7-562c-4759-bf80-e112d0eb48a1</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7B1D346C</paraID>
      <start>27</start>
      <end>30</end>
      <status>unmodified</status>
      <modifiedWord/>
      <trackRevisions>false</trackRevisions>
    </reviewItem>
    <reviewItem>
      <errorID>91c92730-4f67-42de-961c-6b03a5253971</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7B1D346C</paraID>
      <start>40</start>
      <end>43</end>
      <status>unmodified</status>
      <modifiedWord/>
      <trackRevisions>false</trackRevisions>
    </reviewItem>
    <reviewItem>
      <errorID>cf335247-e78a-4b33-8eca-c2087c873df8</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7B1D346C</paraID>
      <start>55</start>
      <end>58</end>
      <status>unmodified</status>
      <modifiedWord/>
      <trackRevisions>false</trackRevisions>
    </reviewItem>
    <reviewItem>
      <errorID>38d7e170-59c9-445e-a6b8-1f1656a72f4e</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7B1D346C</paraID>
      <start>68</start>
      <end>71</end>
      <status>unmodified</status>
      <modifiedWord/>
      <trackRevisions>false</trackRevisions>
    </reviewItem>
    <reviewItem>
      <errorID>b14b2775-97a5-40df-a44a-72dd60df4688</errorID>
      <errorWord>法律、法规</errorWord>
      <group>L1_Word</group>
      <groupName>字词问题</groupName>
      <ability>L2_Typo</ability>
      <abilityName>字词错误</abilityName>
      <candidateList>
        <item>法律法规</item>
      </candidateList>
      <explain/>
      <paraID>7B1D346C</paraID>
      <start>106</start>
      <end>111</end>
      <status>unmodified</status>
      <modifiedWord/>
      <trackRevisions>false</trackRevisions>
    </reviewItem>
    <reviewItem>
      <errorID>87dab08a-3c1a-42ae-8c50-408b7aa9aeea</errorID>
      <errorWord>》</errorWord>
      <group>L1_Word</group>
      <groupName>字词问题</groupName>
      <ability>L2_Typo</ability>
      <abilityName>字词错误</abilityName>
      <candidateList>
        <item>》第</item>
      </candidateList>
      <explain/>
      <paraID>71D24505</paraID>
      <start>30</start>
      <end>31</end>
      <status>unmodified</status>
      <modifiedWord/>
      <trackRevisions>false</trackRevisions>
    </reviewItem>
    <reviewItem>
      <errorID>1cdd7677-7b2e-4730-a8c8-203d67ff2773</errorID>
      <errorWord>,</errorWord>
      <group>L1_Format</group>
      <groupName>格式问题</groupName>
      <ability>L2_HalfPunc_CN</ability>
      <abilityName/>
      <candidateList>
        <item>，</item>
      </candidateList>
      <explain>文本全半角错误。</explain>
      <paraID>2C0CB9D</paraID>
      <start>367</start>
      <end>368</end>
      <status>unmodified</status>
      <modifiedWord/>
      <trackRevisions>false</trackRevisions>
    </reviewItem>
    <reviewItem>
      <errorID>9613eefb-e9d8-48d3-bb48-d1d56e92c6d2</errorID>
      <errorWord>程</errorWord>
      <group>L1_Word</group>
      <groupName>字词问题</groupName>
      <ability>L2_Typo</ability>
      <abilityName>字词错误</abilityName>
      <candidateList>
        <item>程中</item>
      </candidateList>
      <explain/>
      <paraID>1EF8F7DE</paraID>
      <start>49</start>
      <end>50</end>
      <status>unmodified</status>
      <modifiedWord/>
      <trackRevisions>false</trackRevisions>
    </reviewItem>
    <reviewItem>
      <errorID>1251def3-6908-4b39-b53d-3ade21093507</errorID>
      <errorWord>交纳</errorWord>
      <group>L1_Word</group>
      <groupName>字词问题</groupName>
      <ability>L2_Typo</ability>
      <abilityName>字词错误</abilityName>
      <candidateList>
        <item>缴纳</item>
      </candidateList>
      <explain>〈动〉交纳：～税款。</explain>
      <paraID>7C2AF6D4</paraID>
      <start>87</start>
      <end>89</end>
      <status>unmodified</status>
      <modifiedWord/>
      <trackRevisions>false</trackRevisions>
    </reviewItem>
    <reviewItem>
      <errorID>d6cf5b44-4a3f-4148-a742-d51733161935</errorID>
      <errorWord>其它</errorWord>
      <group>L1_Word</group>
      <groupName>字词问题</groupName>
      <ability>L2_Alias</ability>
      <abilityName>也作/曾用词</abilityName>
      <candidateList>
        <item>其他</item>
      </candidateList>
      <explain>词汇[其它]为不规范表述或旧称，其规范书面表述为[其他]。</explain>
      <paraID>1C5C97BD</paraID>
      <start>50</start>
      <end>52</end>
      <status>unmodified</status>
      <modifiedWord/>
      <trackRevisions>false</trackRevisions>
    </reviewItem>
    <reviewItem>
      <errorID>080ab55f-37d5-4fa5-ad70-6861e4b6214c</errorID>
      <errorWord>其它</errorWord>
      <group>L1_Word</group>
      <groupName>字词问题</groupName>
      <ability>L2_Alias</ability>
      <abilityName>也作/曾用词</abilityName>
      <candidateList>
        <item>其他</item>
      </candidateList>
      <explain>词汇[其它]为不规范表述或旧称，其规范书面表述为[其他]。</explain>
      <paraID>1C5C97BD</paraID>
      <start>145</start>
      <end>147</end>
      <status>unmodified</status>
      <modifiedWord/>
      <trackRevisions>false</trackRevisions>
    </reviewItem>
    <reviewItem>
      <errorID>830ebc6e-8a56-4f62-bc8b-64739f8e9764</errorID>
      <errorWord>其它</errorWord>
      <group>L1_Word</group>
      <groupName>字词问题</groupName>
      <ability>L2_Alias</ability>
      <abilityName>也作/曾用词</abilityName>
      <candidateList>
        <item>其他</item>
      </candidateList>
      <explain>词汇[其它]为不规范表述或旧称，其规范书面表述为[其他]。</explain>
      <paraID>5D98E015</paraID>
      <start>133</start>
      <end>135</end>
      <status>unmodified</status>
      <modifiedWord/>
      <trackRevisions>false</trackRevisions>
    </reviewItem>
    <reviewItem>
      <errorID>4eb66193-6641-4c33-a83c-ada459e9756d</errorID>
      <errorWord>期限的</errorWord>
      <group>L1_Word</group>
      <groupName>字词问题</groupName>
      <ability>L2_Typo</ability>
      <abilityName>字词错误</abilityName>
      <candidateList>
        <item>期限</item>
      </candidateList>
      <explain/>
      <paraID>2F4DBD44</paraID>
      <start>13</start>
      <end>16</end>
      <status>unmodified</status>
      <modifiedWord/>
      <trackRevisions>false</trackRevisions>
    </reviewItem>
    <reviewItem>
      <errorID>d7bdacbf-4f39-482c-9a15-cd5fc23356a7</errorID>
      <errorWord>：/。</errorWord>
      <group>L1_Punc</group>
      <groupName>标点问题</groupName>
      <ability>L2_Punc_CN</ability>
      <abilityName/>
      <candidateList>
        <item>：</item>
      </candidateList>
      <explain/>
      <paraID>73D3C987</paraID>
      <start>39</start>
      <end>42</end>
      <status>unmodified</status>
      <modifiedWord/>
      <trackRevisions>false</trackRevisions>
    </reviewItem>
    <reviewItem>
      <errorID>e0969130-2def-43c7-ace1-6d3c07fdee7e</errorID>
      <errorWord>,</errorWord>
      <group>L1_Word</group>
      <groupName>字词问题</groupName>
      <ability>L2_Typo</ability>
      <abilityName>字词错误</abilityName>
      <candidateList>
        <item>,在</item>
      </candidateList>
      <explain/>
      <paraID>8B2F9A0</paraID>
      <start>121</start>
      <end>122</end>
      <status>unmodified</status>
      <modifiedWord/>
      <trackRevisions>false</trackRevisions>
    </reviewItem>
    <reviewItem>
      <errorID>6397994f-c13b-48cf-9f44-bf08f167ceba</errorID>
      <errorWord>商订</errorWord>
      <group>L1_Word</group>
      <groupName>字词问题</groupName>
      <ability>L2_Typo</ability>
      <abilityName>字词错误</abilityName>
      <candidateList>
        <item>商定</item>
      </candidateList>
      <explain/>
      <paraID>8B2F9A0</paraID>
      <start>124</start>
      <end>126</end>
      <status>unmodified</status>
      <modifiedWord/>
      <trackRevisions>false</trackRevisions>
    </reviewItem>
    <reviewItem>
      <errorID>0ffa1deb-cc58-455d-b99f-d18b19a78781</errorID>
      <errorWord>,</errorWord>
      <group>L1_Format</group>
      <groupName>格式问题</groupName>
      <ability>L2_HalfPunc_CN</ability>
      <abilityName/>
      <candidateList>
        <item>，</item>
      </candidateList>
      <explain>文本全半角错误。</explain>
      <paraID>8B2F9A0</paraID>
      <start>141</start>
      <end>142</end>
      <status>unmodified</status>
      <modifiedWord/>
      <trackRevisions>false</trackRevisions>
    </reviewItem>
    <reviewItem>
      <errorID>29430072-7ad4-4354-9b25-8f6563a2fa6e</errorID>
      <errorWord>法律、法规</errorWord>
      <group>L1_Word</group>
      <groupName>字词问题</groupName>
      <ability>L2_Typo</ability>
      <abilityName>字词错误</abilityName>
      <candidateList>
        <item>法律法规</item>
      </candidateList>
      <explain/>
      <paraID>614A3FAC</paraID>
      <start>38</start>
      <end>43</end>
      <status>unmodified</status>
      <modifiedWord/>
      <trackRevisions>false</trackRevisions>
    </reviewItem>
    <reviewItem>
      <errorID>b3b2d067-b7d9-46a2-bc12-622439709d46</errorID>
      <errorWord>经含</errorWord>
      <group>L1_Word</group>
      <groupName>字词问题</groupName>
      <ability>L2_Typo</ability>
      <abilityName>字词错误</abilityName>
      <candidateList>
        <item>包含</item>
      </candidateList>
      <explain>〈动〉里边含有：这句话～好几层意思。</explain>
      <paraID>614A3FAC</paraID>
      <start>147</start>
      <end>149</end>
      <status>unmodified</status>
      <modifiedWord/>
      <trackRevisions>false</trackRevisions>
    </reviewItem>
    <reviewItem>
      <errorID>aed7157e-f6e7-45b9-9b92-769412afbb03</errorID>
      <errorWord>》</errorWord>
      <group>L1_Word</group>
      <groupName>字词问题</groupName>
      <ability>L2_Typo</ability>
      <abilityName>字词错误</abilityName>
      <candidateList>
        <item>》第</item>
      </candidateList>
      <explain/>
      <paraID>614A3FAC</paraID>
      <start>491</start>
      <end>492</end>
      <status>unmodified</status>
      <modifiedWord/>
      <trackRevisions>false</trackRevisions>
    </reviewItem>
    <reviewItem>
      <errorID>2d808c8d-325b-4f88-b782-eb7fbe475a6b</errorID>
      <errorWord>工</errorWord>
      <group>L1_Word</group>
      <groupName>字词问题</groupName>
      <ability>L2_Typo</ability>
      <abilityName>字词错误</abilityName>
      <candidateList>
        <item>工现</item>
      </candidateList>
      <explain/>
      <paraID>1AAC3214</paraID>
      <start>92</start>
      <end>93</end>
      <status>unmodified</status>
      <modifiedWord/>
      <trackRevisions>false</trackRevisions>
    </reviewItem>
    <reviewItem>
      <errorID>0bca3174-4d32-4219-aa0b-112fe3eb78de</errorID>
      <errorWord>:</errorWord>
      <group>L1_Format</group>
      <groupName>格式问题</groupName>
      <ability>L2_HalfPunc_CN</ability>
      <abilityName/>
      <candidateList>
        <item>：</item>
      </candidateList>
      <explain>文本全半角错误。</explain>
      <paraID>1B3C3B5</paraID>
      <start>2</start>
      <end>3</end>
      <status>unmodified</status>
      <modifiedWord/>
      <trackRevisions>false</trackRevisions>
    </reviewItem>
    <reviewItem>
      <errorID>fd0f1fa1-d386-458a-84ca-7ee83ecc906f</errorID>
      <errorWord>》</errorWord>
      <group>L1_Word</group>
      <groupName>字词问题</groupName>
      <ability>L2_Typo</ability>
      <abilityName>字词错误</abilityName>
      <candidateList>
        <item>》第</item>
      </candidateList>
      <explain/>
      <paraID>3111AC7D</paraID>
      <start>37</start>
      <end>38</end>
      <status>unmodified</status>
      <modifiedWord/>
      <trackRevisions>false</trackRevisions>
    </reviewItem>
    <reviewItem>
      <errorID>15aeb0c3-3838-4f46-9c63-7ccf80425b19</errorID>
      <errorWord>,</errorWord>
      <group>L1_Format</group>
      <groupName>格式问题</groupName>
      <ability>L2_HalfPunc_CN</ability>
      <abilityName/>
      <candidateList>
        <item>，</item>
      </candidateList>
      <explain>文本全半角错误。</explain>
      <paraID>614971FE</paraID>
      <start>45</start>
      <end>46</end>
      <status>unmodified</status>
      <modifiedWord/>
      <trackRevisions>false</trackRevisions>
    </reviewItem>
    <reviewItem>
      <errorID>dcf415e7-db85-4620-9044-19a06e4c6580</errorID>
      <errorWord>,</errorWord>
      <group>L1_Format</group>
      <groupName>格式问题</groupName>
      <ability>L2_HalfPunc_CN</ability>
      <abilityName/>
      <candidateList>
        <item>，</item>
      </candidateList>
      <explain>文本全半角错误。</explain>
      <paraID>614971FE</paraID>
      <start>70</start>
      <end>71</end>
      <status>unmodified</status>
      <modifiedWord/>
      <trackRevisions>false</trackRevisions>
    </reviewItem>
    <reviewItem>
      <errorID>b063c0c9-0ec5-447b-bf49-6fe063c1d0d1</errorID>
      <errorWord>充抵</errorWord>
      <group>L1_Word</group>
      <groupName>字词问题</groupName>
      <ability>L2_Typo</ability>
      <abilityName>字词错误</abilityName>
      <candidateList>
        <item>冲抵</item>
      </candidateList>
      <explain/>
      <paraID>5E37A618</paraID>
      <start>46</start>
      <end>48</end>
      <status>unmodified</status>
      <modifiedWord/>
      <trackRevisions>false</trackRevisions>
    </reviewItem>
    <reviewItem>
      <errorID>c2991161-f06d-4a97-b998-b1506478045f</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5E37A618</paraID>
      <start>63</start>
      <end>65</end>
      <status>unmodified</status>
      <modifiedWord/>
      <trackRevisions>false</trackRevisions>
    </reviewItem>
    <reviewItem>
      <errorID>ed7a75bf-a08c-4f87-b005-6e103ebb192d</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35DDEF56</paraID>
      <start>16</start>
      <end>18</end>
      <status>unmodified</status>
      <modifiedWord/>
      <trackRevisions>false</trackRevisions>
    </reviewItem>
    <reviewItem>
      <errorID>f26e6137-3624-4ee2-9b2e-1ac60f6d97fd</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69D95E05</paraID>
      <start>29</start>
      <end>31</end>
      <status>unmodified</status>
      <modifiedWord/>
      <trackRevisions>false</trackRevisions>
    </reviewItem>
    <reviewItem>
      <errorID>19e41e45-f610-4836-94e8-85edd02daa5e</errorID>
      <errorWord>作整改</errorWord>
      <group>L1_Word</group>
      <groupName>字词问题</groupName>
      <ability>L2_Alias</ability>
      <abilityName>也作/曾用词</abilityName>
      <candidateList>
        <item>做整改</item>
      </candidateList>
      <explain>词汇[作整改]为不规范表述或旧称，其规范书面表述为[做整改]。</explain>
      <paraID>69D95E05</paraID>
      <start>36</start>
      <end>39</end>
      <status>unmodified</status>
      <modifiedWord/>
      <trackRevisions>false</trackRevisions>
    </reviewItem>
    <reviewItem>
      <errorID>2eec42f2-5e26-425a-8027-73deac4ea021</errorID>
      <errorWord>运入</errorWord>
      <group>L1_Word</group>
      <groupName>字词问题</groupName>
      <ability>L2_Typo</ability>
      <abilityName>字词错误</abilityName>
      <candidateList>
        <item>进入</item>
      </candidateList>
      <explain>〈动〉支进到某个范围或某个时期里：～学校｜～新阶段◇～角色。</explain>
      <paraID>3DBB3C9E</paraID>
      <start>37</start>
      <end>39</end>
      <status>unmodified</status>
      <modifiedWord/>
      <trackRevisions>false</trackRevisions>
    </reviewItem>
    <reviewItem>
      <errorID>33049e97-3e54-470e-a05e-0807d533f08a</errorID>
      <errorWord>》</errorWord>
      <group>L1_Word</group>
      <groupName>字词问题</groupName>
      <ability>L2_Typo</ability>
      <abilityName>字词错误</abilityName>
      <candidateList>
        <item>》第</item>
      </candidateList>
      <explain/>
      <paraID>23346643</paraID>
      <start>24</start>
      <end>25</end>
      <status>unmodified</status>
      <modifiedWord/>
      <trackRevisions>false</trackRevisions>
    </reviewItem>
    <reviewItem>
      <errorID>f4160157-18db-41d4-90df-01cddaebc2b3</errorID>
      <errorWord>:</errorWord>
      <group>L1_Format</group>
      <groupName>格式问题</groupName>
      <ability>L2_HalfPunc_CN</ability>
      <abilityName/>
      <candidateList>
        <item>：</item>
      </candidateList>
      <explain>文本全半角错误。</explain>
      <paraID>5F527B6E</paraID>
      <start>13</start>
      <end>14</end>
      <status>unmodified</status>
      <modifiedWord/>
      <trackRevisions>false</trackRevisions>
    </reviewItem>
    <reviewItem>
      <errorID>31c1a160-38ec-4eb6-9d34-5814590e39fa</errorID>
      <errorWord>:</errorWord>
      <group>L1_Format</group>
      <groupName>格式问题</groupName>
      <ability>L2_HalfPunc_CN</ability>
      <abilityName/>
      <candidateList>
        <item>：</item>
      </candidateList>
      <explain>文本全半角错误。</explain>
      <paraID>21BB4C75</paraID>
      <start>9</start>
      <end>10</end>
      <status>unmodified</status>
      <modifiedWord/>
      <trackRevisions>false</trackRevisions>
    </reviewItem>
    <reviewItem>
      <errorID>b1a529be-26dd-4932-8f54-4744d56eb3a8</errorID>
      <errorWord>：/。</errorWord>
      <group>L1_Punc</group>
      <groupName>标点问题</groupName>
      <ability>L2_Punc_CN</ability>
      <abilityName/>
      <candidateList>
        <item>：</item>
      </candidateList>
      <explain/>
      <paraID>4CC582CE</paraID>
      <start>9</start>
      <end>12</end>
      <status>unmodified</status>
      <modifiedWord/>
      <trackRevisions>false</trackRevisions>
    </reviewItem>
    <reviewItem>
      <errorID>fab50da8-63dc-4d69-aacf-4ae96b041c91</errorID>
      <errorWord>,</errorWord>
      <group>L1_Format</group>
      <groupName>格式问题</groupName>
      <ability>L2_HalfPunc_CN</ability>
      <abilityName/>
      <candidateList>
        <item>，</item>
      </candidateList>
      <explain>文本全半角错误。</explain>
      <paraID>1EE10847</paraID>
      <start>57</start>
      <end>58</end>
      <status>unmodified</status>
      <modifiedWord/>
      <trackRevisions>false</trackRevisions>
    </reviewItem>
    <reviewItem>
      <errorID>14c9bae0-bf23-4487-9720-4a3dc681f702</errorID>
      <errorWord>）</errorWord>
      <group>L1_Punc</group>
      <groupName>标点问题</groupName>
      <ability>L2_Punc_CN</ability>
      <abilityName/>
      <candidateList/>
      <explain>此处标点可能未正确匹配，请检查句子中是否存在标点冗余、缺失或使用错误的情况。</explain>
      <paraID>3BE4D216</paraID>
      <start>122</start>
      <end>123</end>
      <status>unmodified</status>
      <modifiedWord/>
      <trackRevisions>false</trackRevisions>
    </reviewItem>
    <reviewItem>
      <errorID>b223a8a0-3439-4f8d-b546-b2c7a03ee78a</errorID>
      <errorWord>住房城乡建设厅</errorWord>
      <group>L1_Political</group>
      <groupName>政治性问题</groupName>
      <ability>L2_Keyword</ability>
      <abilityName>固定表述</abilityName>
      <candidateList>
        <item>住房和城乡建设厅</item>
      </candidateList>
      <explain>词汇“住房和城乡建设厅”在特定场景下为固定表述形式，请确认此处的“住房城乡建设厅”是否存在不当。</explain>
      <paraID>48D40FB5</paraID>
      <start>15</start>
      <end>22</end>
      <status>unmodified</status>
      <modifiedWord/>
      <trackRevisions>false</trackRevisions>
    </reviewItem>
    <reviewItem>
      <errorID>1b321db6-d58b-4bfb-8e9c-975fba59e018</errorID>
      <errorWord>其它</errorWord>
      <group>L1_Word</group>
      <groupName>字词问题</groupName>
      <ability>L2_Alias</ability>
      <abilityName>也作/曾用词</abilityName>
      <candidateList>
        <item>其他</item>
      </candidateList>
      <explain>词汇[其它]为不规范表述或旧称，其规范书面表述为[其他]。</explain>
      <paraID>2B7F8866</paraID>
      <start>15</start>
      <end>18</end>
      <status>unmodified</status>
      <modifiedWord/>
      <trackRevisions>false</trackRevisions>
    </reviewItem>
    <reviewItem>
      <errorID>9ab47ae1-5f29-45b3-9441-36afab0b88f3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622C1904</paraID>
      <start>0</start>
      <end>3</end>
      <status>unmodified</status>
      <modifiedWord/>
      <trackRevisions>false</trackRevisions>
    </reviewItem>
    <reviewItem>
      <errorID>2ea3f3d8-4ae6-4728-9982-60edad8601a3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622FB310</paraID>
      <start>0</start>
      <end>3</end>
      <status>unmodified</status>
      <modifiedWord/>
      <trackRevisions>false</trackRevisions>
    </reviewItem>
    <reviewItem>
      <errorID>44680c22-4731-48fd-8389-ea4f151a1e0c</errorID>
      <errorWord>签</errorWord>
      <group>L1_Word</group>
      <groupName>字词问题</groupName>
      <ability>L2_Typo</ability>
      <abilityName>字词错误</abilityName>
      <candidateList>
        <item>签订</item>
      </candidateList>
      <explain>〈动〉订立条约或合同并签字：两国～了贸易议定书和支付协定。</explain>
      <paraID>258CF7EE</paraID>
      <start>35</start>
      <end>36</end>
      <status>unmodified</status>
      <modifiedWord/>
      <trackRevisions>false</trackRevisions>
    </reviewItem>
    <reviewItem>
      <errorID>b8ccf672-228e-423b-956d-bc2e87387405</errorID>
      <errorWord>完</errorWord>
      <group>L1_Word</group>
      <groupName>字词问题</groupName>
      <ability>L2_Typo</ability>
      <abilityName>字词错误</abilityName>
      <candidateList>
        <item>完成</item>
      </candidateList>
      <explain>〈动〉按照预期的目的结束；做成：～任务｜～作业｜计划完得成。</explain>
      <paraID>217FA80D</paraID>
      <start>43</start>
      <end>44</end>
      <status>unmodified</status>
      <modifiedWord/>
      <trackRevisions>false</trackRevisions>
    </reviewItem>
    <reviewItem>
      <errorID>88cba6c2-fbbb-4322-a68e-0400d3ef6170</errorID>
      <errorWord>，</errorWord>
      <group>L1_Word</group>
      <groupName>字词问题</groupName>
      <ability>L2_Typo</ability>
      <abilityName>字词错误</abilityName>
      <candidateList>
        <item>，由</item>
      </candidateList>
      <explain/>
      <paraID>459C2A6F</paraID>
      <start>59</start>
      <end>60</end>
      <status>unmodified</status>
      <modifiedWord/>
      <trackRevisions>false</trackRevisions>
    </reviewItem>
    <reviewItem>
      <errorID>856e1498-69d0-484d-9012-8304b0e72deb</errorID>
      <errorWord>施行</errorWord>
      <group>L1_Word</group>
      <groupName>字词问题</groupName>
      <ability>L2_Typo</ability>
      <abilityName>字词错误</abilityName>
      <candidateList>
        <item>实行</item>
      </candidateList>
      <explain>〈动〉用行动来实现（纲领、政策、计划等）：～改革｜～承包责任制。</explain>
      <paraID>4A5D682D</paraID>
      <start>64</start>
      <end>66</end>
      <status>unmodified</status>
      <modifiedWord/>
      <trackRevisions>false</trackRevisions>
    </reviewItem>
    <reviewItem>
      <errorID>381de3f0-b952-4183-9680-0e7457362aae</errorID>
      <errorWord>:</errorWord>
      <group>L1_Format</group>
      <groupName>格式问题</groupName>
      <ability>L2_HalfPunc_CN</ability>
      <abilityName/>
      <candidateList>
        <item>：</item>
      </candidateList>
      <explain>文本全半角错误。</explain>
      <paraID>6CA87CDF</paraID>
      <start>17</start>
      <end>18</end>
      <status>unmodified</status>
      <modifiedWord/>
      <trackRevisions>false</trackRevisions>
    </reviewItem>
    <reviewItem>
      <errorID>87e36ea3-c078-4e44-99e9-2e7182c428f0</errorID>
      <errorWord>分分</errorWord>
      <group>L1_Word</group>
      <groupName>字词问题</groupName>
      <ability>L2_Typo</ability>
      <abilityName>字词错误</abilityName>
      <candidateList>
        <item>分</item>
      </candidateList>
      <explain/>
      <paraID>309E949D</paraID>
      <start>27</start>
      <end>29</end>
      <status>unmodified</status>
      <modifiedWord/>
      <trackRevisions>false</trackRevisions>
    </reviewItem>
    <reviewItem>
      <errorID>1b7e9e39-9b1c-4322-825f-c2d4dc217a0b</errorID>
      <errorWord>(</errorWord>
      <group>L1_Format</group>
      <groupName>格式问题</groupName>
      <ability>L2_HalfPunc_CN</ability>
      <abilityName/>
      <candidateList>
        <item>（</item>
      </candidateList>
      <explain>文本全半角错误。</explain>
      <paraID>606E282A</paraID>
      <start>38</start>
      <end>39</end>
      <status>unmodified</status>
      <modifiedWord/>
      <trackRevisions>false</trackRevisions>
    </reviewItem>
    <reviewItem>
      <errorID>8e40ca0f-5035-443e-9625-f9f41db3ce16</errorID>
      <errorWord>)</errorWord>
      <group>L1_Format</group>
      <groupName>格式问题</groupName>
      <ability>L2_HalfPunc_CN</ability>
      <abilityName/>
      <candidateList>
        <item>）</item>
      </candidateList>
      <explain>文本全半角错误。</explain>
      <paraID>606E282A</paraID>
      <start>40</start>
      <end>41</end>
      <status>unmodified</status>
      <modifiedWord/>
      <trackRevisions>false</trackRevisions>
    </reviewItem>
    <reviewItem>
      <errorID>4e17686f-115e-4344-9b09-76266261c8ff</errorID>
      <errorWord>按</errorWord>
      <group>L1_Word</group>
      <groupName>字词问题</groupName>
      <ability>L2_Typo</ability>
      <abilityName>字词错误</abilityName>
      <candidateList>
        <item/>
      </candidateList>
      <explain/>
      <paraID>27F1CF96</paraID>
      <start>16</start>
      <end>17</end>
      <status>unmodified</status>
      <modifiedWord/>
      <trackRevisions>false</trackRevisions>
    </reviewItem>
    <reviewItem>
      <errorID>b45099aa-6b26-4b9c-9a2c-27c10c07f4b6</errorID>
      <errorWord>其它按</errorWord>
      <group>L1_Word</group>
      <groupName>字词问题</groupName>
      <ability>L2_Alias</ability>
      <abilityName>也作/曾用词</abilityName>
      <candidateList>
        <item>其他按</item>
      </candidateList>
      <explain>词汇[其它按]为不规范表述或旧称，其规范书面表述为[其他按]。</explain>
      <paraID>366C896D</paraID>
      <start>66</start>
      <end>69</end>
      <status>unmodified</status>
      <modifiedWord/>
      <trackRevisions>false</trackRevisions>
    </reviewItem>
    <reviewItem>
      <errorID>8c903389-5ed5-42a5-be65-660cdcb9f068</errorID>
      <errorWord>》</errorWord>
      <group>L1_Word</group>
      <groupName>字词问题</groupName>
      <ability>L2_Typo</ability>
      <abilityName>字词错误</abilityName>
      <candidateList>
        <item>》第</item>
      </candidateList>
      <explain/>
      <paraID>366C896D</paraID>
      <start>76</start>
      <end>77</end>
      <status>unmodified</status>
      <modifiedWord/>
      <trackRevisions>false</trackRevisions>
    </reviewItem>
    <reviewItem>
      <errorID>36f6e29f-f96a-401d-930b-0c8da77c6da0</errorID>
      <errorWord>(</errorWord>
      <group>L1_Format</group>
      <groupName>格式问题</groupName>
      <ability>L2_HalfPunc_CN</ability>
      <abilityName/>
      <candidateList>
        <item>（</item>
      </candidateList>
      <explain>文本全半角错误。</explain>
      <paraID>4C10B849</paraID>
      <start>14</start>
      <end>15</end>
      <status>unmodified</status>
      <modifiedWord/>
      <trackRevisions>false</trackRevisions>
    </reviewItem>
    <reviewItem>
      <errorID>871793b5-9a48-4d6f-89f8-752e4e87cf54</errorID>
      <errorWord>)</errorWord>
      <group>L1_Format</group>
      <groupName>格式问题</groupName>
      <ability>L2_HalfPunc_CN</ability>
      <abilityName/>
      <candidateList>
        <item>）</item>
      </candidateList>
      <explain>文本全半角错误。</explain>
      <paraID>4C10B849</paraID>
      <start>24</start>
      <end>25</end>
      <status>unmodified</status>
      <modifiedWord/>
      <trackRevisions>false</trackRevisions>
    </reviewItem>
    <reviewItem>
      <errorID>3cfa4f42-609b-45d8-a64d-2c96bff9c1a7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2F767E27</paraID>
      <start>0</start>
      <end>2</end>
      <status>unmodified</status>
      <modifiedWord/>
      <trackRevisions>false</trackRevisions>
    </reviewItem>
    <reviewItem>
      <errorID>bee96c00-5794-424c-b6cf-c0d7a8b1611b</errorID>
      <errorWord>，</errorWord>
      <group>L1_Word</group>
      <groupName>字词问题</groupName>
      <ability>L2_Typo</ability>
      <abilityName>字词错误</abilityName>
      <candidateList>
        <item>，在</item>
      </candidateList>
      <explain/>
      <paraID>6B6FCFA1</paraID>
      <start>47</start>
      <end>48</end>
      <status>unmodified</status>
      <modifiedWord/>
      <trackRevisions>false</trackRevisions>
    </reviewItem>
    <reviewItem>
      <errorID>c0c80166-9150-4c93-a34a-95b65fb966e0</errorID>
      <errorWord>:</errorWord>
      <group>L1_Format</group>
      <groupName>格式问题</groupName>
      <ability>L2_HalfPunc_CN</ability>
      <abilityName/>
      <candidateList>
        <item>：</item>
      </candidateList>
      <explain>文本全半角错误。</explain>
      <paraID>6C0BC912</paraID>
      <start>9</start>
      <end>10</end>
      <status>unmodified</status>
      <modifiedWord/>
      <trackRevisions>false</trackRevisions>
    </reviewItem>
    <reviewItem>
      <errorID>e8a70d8e-15b4-4eec-8f50-ece7f6dec779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77566F22</paraID>
      <start>0</start>
      <end>3</end>
      <status>unmodified</status>
      <modifiedWord/>
      <trackRevisions>false</trackRevisions>
    </reviewItem>
    <reviewItem>
      <errorID>a879e6fa-1bba-4373-b1b5-829702aad347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1E44DEE1</paraID>
      <start>0</start>
      <end>3</end>
      <status>unmodified</status>
      <modifiedWord/>
      <trackRevisions>false</trackRevisions>
    </reviewItem>
    <reviewItem>
      <errorID>3e86fb4f-274c-4f07-9cf0-970a749f88bf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474CE735</paraID>
      <start>0</start>
      <end>3</end>
      <status>unmodified</status>
      <modifiedWord/>
      <trackRevisions>false</trackRevisions>
    </reviewItem>
    <reviewItem>
      <errorID>61aa2a01-2cab-4a24-b6c6-229a12b56756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284AE83E</paraID>
      <start>0</start>
      <end>3</end>
      <status>unmodified</status>
      <modifiedWord/>
      <trackRevisions>false</trackRevisions>
    </reviewItem>
    <reviewItem>
      <errorID>e4fc1bdc-4d06-45fc-a064-2d89ee7de2f8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7C2B205E</paraID>
      <start>0</start>
      <end>3</end>
      <status>unmodified</status>
      <modifiedWord/>
      <trackRevisions>false</trackRevisions>
    </reviewItem>
    <reviewItem>
      <errorID>257abadc-bf12-4074-9020-7e7e142ef794</errorID>
      <errorWord>(</errorWord>
      <group>L1_Format</group>
      <groupName>格式问题</groupName>
      <ability>L2_HalfPunc_CN</ability>
      <abilityName/>
      <candidateList>
        <item>（</item>
      </candidateList>
      <explain>文本全半角错误。</explain>
      <paraID>51F80D79</paraID>
      <start>125</start>
      <end>126</end>
      <status>unmodified</status>
      <modifiedWord/>
      <trackRevisions>false</trackRevisions>
    </reviewItem>
    <reviewItem>
      <errorID>ba739b02-5087-4573-af2d-f44dad657054</errorID>
      <errorWord>(2023)6号</errorWord>
      <group>L1_Knowledge</group>
      <groupName>知识性问题</groupName>
      <ability>L2_Knowledge</ability>
      <abilityName>其他知识</abilityName>
      <candidateList>
        <item>〔2023〕6号</item>
      </candidateList>
      <explain>发文字号格式错误。</explain>
      <paraID>51F80D79</paraID>
      <start>129</start>
      <end>137</end>
      <status>unmodified</status>
      <modifiedWord/>
      <trackRevisions>false</trackRevisions>
    </reviewItem>
    <reviewItem>
      <errorID>56a83a4a-584b-4522-956b-b64dbe86327f</errorID>
      <errorWord>)</errorWord>
      <group>L1_Format</group>
      <groupName>格式问题</groupName>
      <ability>L2_HalfPunc_CN</ability>
      <abilityName/>
      <candidateList>
        <item>）</item>
      </candidateList>
      <explain>文本全半角错误。</explain>
      <paraID>51F80D79</paraID>
      <start>137</start>
      <end>138</end>
      <status>unmodified</status>
      <modifiedWord/>
      <trackRevisions>false</trackRevisions>
    </reviewItem>
    <reviewItem>
      <errorID>7134332b-4028-4cde-83b1-33424aa83948</errorID>
      <errorWord>。</errorWord>
      <group>L1_Punc</group>
      <groupName>标点问题</groupName>
      <ability>L2_Punc_CN</ability>
      <abilityName/>
      <candidateList/>
      <explain/>
      <paraID>183E259B</paraID>
      <start>156</start>
      <end>157</end>
      <status>unmodified</status>
      <modifiedWord/>
      <trackRevisions>false</trackRevisions>
    </reviewItem>
    <reviewItem>
      <errorID>ef8ddcb1-d258-4564-b127-2ab0371ee61a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57333D1C</paraID>
      <start>0</start>
      <end>2</end>
      <status>unmodified</status>
      <modifiedWord/>
      <trackRevisions>false</trackRevisions>
    </reviewItem>
    <reviewItem>
      <errorID>a815a7a4-1870-44e0-922a-80d1d07e522d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15273E56</paraID>
      <start>0</start>
      <end>2</end>
      <status>unmodified</status>
      <modifiedWord/>
      <trackRevisions>false</trackRevisions>
    </reviewItem>
    <reviewItem>
      <errorID>37c3d9fd-99f6-4174-b3fd-2f9dc6dc8fdf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530F362D</paraID>
      <start>0</start>
      <end>2</end>
      <status>unmodified</status>
      <modifiedWord/>
      <trackRevisions>false</trackRevisions>
    </reviewItem>
    <reviewItem>
      <errorID>76a8db74-7c41-4a69-ab65-61c93dc67c87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3506FD3C</paraID>
      <start>0</start>
      <end>2</end>
      <status>unmodified</status>
      <modifiedWord/>
      <trackRevisions>false</trackRevisions>
    </reviewItem>
    <reviewItem>
      <errorID>072f0a1a-eb63-4ab5-9348-338660c1ae6b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3EE68277</paraID>
      <start>0</start>
      <end>2</end>
      <status>unmodified</status>
      <modifiedWord/>
      <trackRevisions>false</trackRevisions>
    </reviewItem>
    <reviewItem>
      <errorID>6ffa5139-263f-4df1-8d96-a271ac9981b7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27D3A52F</paraID>
      <start>0</start>
      <end>2</end>
      <status>unmodified</status>
      <modifiedWord/>
      <trackRevisions>false</trackRevisions>
    </reviewItem>
    <reviewItem>
      <errorID>d4de12cb-ada6-4b0d-b636-b7fad4850e76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8F5FF24</paraID>
      <start>0</start>
      <end>2</end>
      <status>unmodified</status>
      <modifiedWord/>
      <trackRevisions>false</trackRevisions>
    </reviewItem>
    <reviewItem>
      <errorID>a0c42a14-e8be-49fd-9815-a84526d54ff1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4B5F0833</paraID>
      <start>0</start>
      <end>2</end>
      <status>unmodified</status>
      <modifiedWord/>
      <trackRevisions>false</trackRevisions>
    </reviewItem>
    <reviewItem>
      <errorID>e6d3b73f-12fb-42fe-ad97-2691132b4bf8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6B32023F</paraID>
      <start>0</start>
      <end>2</end>
      <status>unmodified</status>
      <modifiedWord/>
      <trackRevisions>false</trackRevisions>
    </reviewItem>
    <reviewItem>
      <errorID>dde13296-ab2f-4dc7-909a-ebe72e0ccd64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52EAA3D1</paraID>
      <start>0</start>
      <end>2</end>
      <status>unmodified</status>
      <modifiedWord/>
      <trackRevisions>false</trackRevisions>
    </reviewItem>
    <reviewItem>
      <errorID>d3f4d4d6-8890-4141-8f57-0a6cb51d331d</errorID>
      <errorWord>，</errorWord>
      <group>L1_Word</group>
      <groupName>字词问题</groupName>
      <ability>L2_Typo</ability>
      <abilityName>字词错误</abilityName>
      <candidateList>
        <item>，由</item>
      </candidateList>
      <explain/>
      <paraID>52EAA3D1</paraID>
      <start>92</start>
      <end>93</end>
      <status>unmodified</status>
      <modifiedWord/>
      <trackRevisions>false</trackRevisions>
    </reviewItem>
    <reviewItem>
      <errorID>e8c73c19-d024-4d05-9162-4817753e1552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28F52CCD</paraID>
      <start>0</start>
      <end>2</end>
      <status>unmodified</status>
      <modifiedWord/>
      <trackRevisions>false</trackRevisions>
    </reviewItem>
    <reviewItem>
      <errorID>db4e5441-0124-427f-8a2b-c490fda333d3</errorID>
      <errorWord>承担的</errorWord>
      <group>L1_Word</group>
      <groupName>字词问题</groupName>
      <ability>L2_Typo</ability>
      <abilityName>字词错误</abilityName>
      <candidateList>
        <item>承担</item>
      </candidateList>
      <explain>〈动〉担负；担当：～义务｜～责任。</explain>
      <paraID>368BF693</paraID>
      <start>33</start>
      <end>36</end>
      <status>unmodified</status>
      <modifiedWord/>
      <trackRevisions>false</trackRevisions>
    </reviewItem>
    <reviewItem>
      <errorID>9bf96291-6fa3-4ecc-af52-68bd66c9685c</errorID>
      <errorWord>其它情形的</errorWord>
      <group>L1_Word</group>
      <groupName>字词问题</groupName>
      <ability>L2_Alias</ability>
      <abilityName>也作/曾用词</abilityName>
      <candidateList>
        <item>其他情形的</item>
      </candidateList>
      <explain>词汇[其它情形的]为不规范表述或旧称，其规范书面表述为[其他情形的]。</explain>
      <paraID>42604044</paraID>
      <start>23</start>
      <end>28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0AD1FB-F45B-42AF-BF3D-27BE75F5FE6F}">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124</Pages>
  <Words>15617</Words>
  <Characters>16694</Characters>
  <TotalTime>57</TotalTime>
  <ScaleCrop>false</ScaleCrop>
  <LinksUpToDate>false</LinksUpToDate>
  <CharactersWithSpaces>16798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2024-03-04T09:03:00Z</dcterms:created>
  <dc:creator>唐冰</dc:creator>
  <cp:lastModifiedBy>甘建程</cp:lastModifiedBy>
  <dcterms:modified xsi:type="dcterms:W3CDTF">2026-06-16T07:06:38Z</dcterms:modified>
  <dc:title>竞争性谈判文件规范</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E112F0ADBB2D4E24902D8E18DC350EE3_13</vt:lpwstr>
  </property>
  <property fmtid="{D5CDD505-2E9C-101B-9397-08002B2CF9AE}" pid="4" name="KSOTemplateDocerSaveRecord">
    <vt:lpwstr>eyJoZGlkIjoiOGI4NTEzMTgwNmEyMDRmNDFlOTA4MTRkNTI5NTQ4OTgiLCJ1c2VySWQiOiI1Mzk1MzQ5MTMifQ==</vt:lpwstr>
  </property>
</Properties>
</file>