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420F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sz w:val="40"/>
          <w:szCs w:val="40"/>
        </w:rPr>
      </w:pPr>
      <w:r>
        <w:rPr>
          <w:rFonts w:hint="eastAsia"/>
          <w:sz w:val="40"/>
          <w:szCs w:val="40"/>
        </w:rPr>
        <w:t>云之龙咨询集团有限公司风光发电与氢能技术实训场建设项目</w:t>
      </w:r>
      <w:r>
        <w:rPr>
          <w:rFonts w:hint="eastAsia"/>
          <w:sz w:val="40"/>
          <w:szCs w:val="40"/>
          <w:lang w:eastAsia="zh-CN"/>
        </w:rPr>
        <w:t>（GXZC2026-G1-001377-YZLZ）</w:t>
      </w:r>
      <w:bookmarkStart w:id="34" w:name="_GoBack"/>
      <w:bookmarkEnd w:id="34"/>
      <w:r>
        <w:rPr>
          <w:rFonts w:hint="eastAsia"/>
          <w:sz w:val="40"/>
          <w:szCs w:val="40"/>
        </w:rPr>
        <w:t>招标公告</w:t>
      </w:r>
    </w:p>
    <w:p w14:paraId="1E85681E">
      <w:pPr>
        <w:spacing w:line="360" w:lineRule="auto"/>
        <w:rPr>
          <w:rFonts w:ascii="宋体" w:hAnsi="宋体"/>
          <w:szCs w:val="21"/>
        </w:rPr>
      </w:pPr>
    </w:p>
    <w:p w14:paraId="22D51C5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571DEE6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风光发电与氢能技术实训场建设项目</w:t>
      </w:r>
      <w:r>
        <w:rPr>
          <w:rFonts w:hint="eastAsia" w:ascii="宋体" w:hAnsi="宋体"/>
          <w:szCs w:val="21"/>
        </w:rPr>
        <w:t>的潜在投标人应在广西政府采购云平台（</w:t>
      </w:r>
      <w:r>
        <w:rPr>
          <w:rFonts w:hint="eastAsia" w:ascii="宋体" w:hAnsi="宋体"/>
          <w:bCs/>
          <w:szCs w:val="21"/>
        </w:rPr>
        <w:t>https://www.gcy.zfcg.gxzf.gov.cn/</w:t>
      </w:r>
      <w:r>
        <w:rPr>
          <w:rFonts w:hint="eastAsia" w:ascii="宋体" w:hAnsi="宋体"/>
          <w:szCs w:val="21"/>
        </w:rPr>
        <w:t>）获取（下载）招标文件，并于</w:t>
      </w:r>
      <w:r>
        <w:rPr>
          <w:rFonts w:ascii="宋体" w:hAnsi="宋体"/>
          <w:szCs w:val="21"/>
        </w:rPr>
        <w:t>2026</w:t>
      </w:r>
      <w:r>
        <w:rPr>
          <w:rFonts w:hint="eastAsia" w:ascii="宋体" w:hAnsi="宋体"/>
          <w:bCs/>
          <w:szCs w:val="21"/>
        </w:rPr>
        <w:t>年7月</w:t>
      </w:r>
      <w:r>
        <w:rPr>
          <w:rFonts w:hint="eastAsia" w:ascii="宋体" w:hAnsi="宋体"/>
          <w:bCs/>
          <w:szCs w:val="21"/>
          <w:u w:val="single"/>
        </w:rPr>
        <w:t>16日</w:t>
      </w:r>
      <w:r>
        <w:rPr>
          <w:rFonts w:ascii="宋体" w:hAnsi="宋体"/>
          <w:bCs/>
          <w:szCs w:val="21"/>
          <w:u w:val="single"/>
        </w:rPr>
        <w:t>9</w:t>
      </w:r>
      <w:r>
        <w:rPr>
          <w:rFonts w:hint="eastAsia" w:ascii="宋体" w:hAnsi="宋体"/>
          <w:bCs/>
          <w:szCs w:val="21"/>
          <w:u w:val="single"/>
        </w:rPr>
        <w:t>时</w:t>
      </w:r>
      <w:r>
        <w:rPr>
          <w:rFonts w:ascii="宋体" w:hAnsi="宋体"/>
          <w:bCs/>
          <w:szCs w:val="21"/>
          <w:u w:val="single"/>
        </w:rPr>
        <w:t>30</w:t>
      </w:r>
      <w:r>
        <w:rPr>
          <w:rFonts w:hint="eastAsia" w:ascii="宋体" w:hAnsi="宋体"/>
          <w:bCs/>
          <w:szCs w:val="21"/>
          <w:u w:val="single"/>
        </w:rPr>
        <w:t>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6417F9A3">
      <w:pPr>
        <w:spacing w:line="360" w:lineRule="auto"/>
        <w:rPr>
          <w:rFonts w:ascii="宋体" w:hAnsi="宋体"/>
          <w:szCs w:val="21"/>
        </w:rPr>
      </w:pPr>
    </w:p>
    <w:p w14:paraId="64AE1E3F">
      <w:pPr>
        <w:spacing w:line="360" w:lineRule="auto"/>
        <w:rPr>
          <w:rFonts w:ascii="黑体" w:hAnsi="黑体" w:eastAsia="黑体"/>
          <w:b/>
          <w:bCs/>
          <w:sz w:val="24"/>
        </w:rPr>
      </w:pPr>
      <w:bookmarkStart w:id="0" w:name="_Toc35393790"/>
      <w:bookmarkStart w:id="1" w:name="_Toc28359002"/>
      <w:bookmarkStart w:id="2" w:name="_Toc35393621"/>
      <w:bookmarkStart w:id="3" w:name="_Toc28359079"/>
      <w:bookmarkStart w:id="4" w:name="_Hlk24379207"/>
      <w:r>
        <w:rPr>
          <w:rFonts w:hint="eastAsia" w:ascii="黑体" w:hAnsi="黑体" w:eastAsia="黑体"/>
          <w:b/>
          <w:bCs/>
          <w:sz w:val="24"/>
        </w:rPr>
        <w:t>一、项目基本情况</w:t>
      </w:r>
      <w:bookmarkEnd w:id="0"/>
      <w:bookmarkEnd w:id="1"/>
      <w:bookmarkEnd w:id="2"/>
      <w:bookmarkEnd w:id="3"/>
    </w:p>
    <w:bookmarkEnd w:id="4"/>
    <w:p w14:paraId="4188DA4C">
      <w:pPr>
        <w:spacing w:line="360" w:lineRule="auto"/>
        <w:ind w:firstLine="420" w:firstLineChars="200"/>
        <w:rPr>
          <w:rFonts w:hint="eastAsia" w:ascii="宋体" w:hAnsi="宋体"/>
          <w:szCs w:val="21"/>
        </w:rPr>
      </w:pPr>
      <w:r>
        <w:rPr>
          <w:rFonts w:hint="eastAsia" w:ascii="宋体" w:hAnsi="宋体"/>
          <w:szCs w:val="21"/>
        </w:rPr>
        <w:t>项目编号：GXZC2026-G1-001377-YZLZ</w:t>
      </w:r>
      <w:r>
        <w:rPr>
          <w:rFonts w:ascii="宋体" w:hAnsi="宋体"/>
          <w:szCs w:val="21"/>
        </w:rPr>
        <w:t>；采购计划编号：</w:t>
      </w:r>
      <w:r>
        <w:rPr>
          <w:rFonts w:hint="eastAsia" w:ascii="宋体" w:hAnsi="宋体"/>
          <w:szCs w:val="21"/>
        </w:rPr>
        <w:t xml:space="preserve">广西政采[2026]9502号  </w:t>
      </w:r>
    </w:p>
    <w:p w14:paraId="6F63803F">
      <w:pPr>
        <w:spacing w:line="360" w:lineRule="auto"/>
        <w:ind w:firstLine="420" w:firstLineChars="200"/>
        <w:rPr>
          <w:rFonts w:ascii="宋体" w:hAnsi="宋体"/>
          <w:szCs w:val="21"/>
        </w:rPr>
      </w:pPr>
      <w:r>
        <w:rPr>
          <w:rFonts w:hint="eastAsia" w:ascii="宋体" w:hAnsi="宋体"/>
          <w:szCs w:val="21"/>
        </w:rPr>
        <w:t>项目名称：风光发电与氢能技术实训场建设项目</w:t>
      </w:r>
    </w:p>
    <w:p w14:paraId="32FF87C8">
      <w:pPr>
        <w:spacing w:line="360" w:lineRule="auto"/>
        <w:ind w:firstLine="420" w:firstLineChars="200"/>
        <w:rPr>
          <w:rFonts w:hint="eastAsia"/>
        </w:rPr>
      </w:pPr>
      <w:r>
        <w:rPr>
          <w:rFonts w:hint="eastAsia"/>
        </w:rPr>
        <w:t>预算总金额：</w:t>
      </w:r>
      <w:r>
        <w:t>301</w:t>
      </w:r>
      <w:r>
        <w:rPr>
          <w:rFonts w:hint="eastAsia"/>
        </w:rPr>
        <w:t>.</w:t>
      </w:r>
      <w:r>
        <w:t>801306</w:t>
      </w:r>
      <w:r>
        <w:rPr>
          <w:rFonts w:hint="eastAsia"/>
        </w:rPr>
        <w:t>万元。</w:t>
      </w:r>
    </w:p>
    <w:p w14:paraId="4787D050">
      <w:pPr>
        <w:spacing w:line="360" w:lineRule="auto"/>
        <w:ind w:firstLine="420" w:firstLineChars="200"/>
      </w:pPr>
      <w:r>
        <w:rPr>
          <w:rFonts w:hint="eastAsia"/>
        </w:rPr>
        <w:t>最高限价：</w:t>
      </w:r>
      <w:r>
        <w:t>301.801306</w:t>
      </w:r>
      <w:r>
        <w:rPr>
          <w:rFonts w:hint="eastAsia"/>
        </w:rPr>
        <w:t>万元。</w:t>
      </w:r>
    </w:p>
    <w:p w14:paraId="6BAAD230">
      <w:pPr>
        <w:spacing w:line="360" w:lineRule="auto"/>
        <w:ind w:firstLine="420" w:firstLineChars="200"/>
        <w:rPr>
          <w:rFonts w:ascii="宋体" w:hAnsi="宋体"/>
          <w:szCs w:val="21"/>
        </w:rPr>
      </w:pPr>
      <w:r>
        <w:rPr>
          <w:rFonts w:hint="eastAsia" w:ascii="宋体" w:hAnsi="宋体"/>
          <w:szCs w:val="21"/>
        </w:rPr>
        <w:t>采购需求：</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2"/>
        <w:gridCol w:w="1595"/>
        <w:gridCol w:w="1116"/>
        <w:gridCol w:w="5049"/>
      </w:tblGrid>
      <w:tr w14:paraId="27799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14:paraId="52357973">
            <w:pPr>
              <w:snapToGrid w:val="0"/>
              <w:spacing w:line="360" w:lineRule="auto"/>
              <w:jc w:val="center"/>
              <w:rPr>
                <w:rFonts w:ascii="宋体" w:hAnsi="宋体"/>
                <w:szCs w:val="21"/>
              </w:rPr>
            </w:pPr>
            <w:r>
              <w:rPr>
                <w:rFonts w:hint="eastAsia" w:ascii="宋体" w:hAnsi="宋体"/>
                <w:szCs w:val="21"/>
              </w:rPr>
              <w:t>序号</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38E38294">
            <w:pPr>
              <w:snapToGrid w:val="0"/>
              <w:spacing w:line="360" w:lineRule="auto"/>
              <w:jc w:val="center"/>
              <w:rPr>
                <w:rFonts w:ascii="宋体" w:hAnsi="宋体"/>
                <w:szCs w:val="21"/>
              </w:rPr>
            </w:pPr>
            <w:r>
              <w:rPr>
                <w:rFonts w:hint="eastAsia" w:ascii="宋体" w:hAnsi="宋体"/>
                <w:szCs w:val="21"/>
              </w:rPr>
              <w:t>标的的名称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5784F98C">
            <w:pPr>
              <w:snapToGrid w:val="0"/>
              <w:spacing w:line="360" w:lineRule="auto"/>
              <w:jc w:val="center"/>
              <w:rPr>
                <w:rFonts w:ascii="宋体" w:hAnsi="宋体"/>
                <w:szCs w:val="21"/>
              </w:rPr>
            </w:pPr>
            <w:r>
              <w:rPr>
                <w:rFonts w:hint="eastAsia" w:ascii="宋体" w:hAnsi="宋体"/>
                <w:szCs w:val="21"/>
              </w:rPr>
              <w:t>数量及</w:t>
            </w:r>
          </w:p>
          <w:p w14:paraId="4F089D4B">
            <w:pPr>
              <w:snapToGrid w:val="0"/>
              <w:spacing w:line="360" w:lineRule="auto"/>
              <w:jc w:val="center"/>
              <w:rPr>
                <w:rFonts w:ascii="宋体" w:hAnsi="宋体"/>
                <w:szCs w:val="21"/>
              </w:rPr>
            </w:pPr>
            <w:r>
              <w:rPr>
                <w:rFonts w:hint="eastAsia" w:ascii="宋体" w:hAnsi="宋体"/>
                <w:szCs w:val="21"/>
              </w:rPr>
              <w:t>单位</w:t>
            </w:r>
          </w:p>
        </w:tc>
        <w:tc>
          <w:tcPr>
            <w:tcW w:w="2963" w:type="pct"/>
            <w:tcBorders>
              <w:top w:val="single" w:color="auto" w:sz="4" w:space="0"/>
              <w:left w:val="single" w:color="auto" w:sz="4" w:space="0"/>
              <w:bottom w:val="single" w:color="auto" w:sz="4" w:space="0"/>
              <w:right w:val="single" w:color="auto" w:sz="4" w:space="0"/>
            </w:tcBorders>
            <w:noWrap w:val="0"/>
            <w:vAlign w:val="center"/>
          </w:tcPr>
          <w:p w14:paraId="0D0BC6F7">
            <w:pPr>
              <w:snapToGrid w:val="0"/>
              <w:spacing w:line="360" w:lineRule="auto"/>
              <w:jc w:val="center"/>
              <w:rPr>
                <w:rFonts w:ascii="宋体" w:hAnsi="宋体"/>
                <w:szCs w:val="21"/>
              </w:rPr>
            </w:pPr>
            <w:r>
              <w:rPr>
                <w:rFonts w:hint="eastAsia" w:ascii="宋体" w:hAnsi="宋体"/>
                <w:szCs w:val="21"/>
              </w:rPr>
              <w:t>简要技术需求或者服务要求</w:t>
            </w:r>
          </w:p>
        </w:tc>
      </w:tr>
      <w:tr w14:paraId="3FD86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14:paraId="63F3DA95">
            <w:pPr>
              <w:snapToGrid w:val="0"/>
              <w:spacing w:line="360" w:lineRule="auto"/>
              <w:jc w:val="center"/>
              <w:rPr>
                <w:rFonts w:ascii="宋体" w:hAnsi="宋体"/>
                <w:szCs w:val="21"/>
              </w:rPr>
            </w:pPr>
            <w:bookmarkStart w:id="5" w:name="_Hlk192499057"/>
            <w:r>
              <w:rPr>
                <w:rFonts w:hint="eastAsia" w:ascii="宋体" w:hAnsi="宋体"/>
                <w:szCs w:val="21"/>
              </w:rPr>
              <w:t>1</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4C11E57B">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新型电力系统技术与应用实训平台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1EDE12CD">
            <w:pPr>
              <w:tabs>
                <w:tab w:val="left" w:pos="180"/>
                <w:tab w:val="left" w:pos="1620"/>
              </w:tabs>
              <w:spacing w:line="360" w:lineRule="exact"/>
              <w:jc w:val="center"/>
              <w:rPr>
                <w:rFonts w:ascii="宋体" w:hAnsi="宋体" w:cs="微软雅黑"/>
                <w:szCs w:val="21"/>
              </w:rPr>
            </w:pPr>
            <w:r>
              <w:rPr>
                <w:rFonts w:ascii="宋体" w:hAnsi="宋体" w:cs="微软雅黑"/>
                <w:szCs w:val="21"/>
              </w:rPr>
              <w:t>2</w:t>
            </w:r>
            <w:r>
              <w:rPr>
                <w:rFonts w:hint="eastAsia" w:ascii="宋体" w:hAnsi="宋体" w:cs="微软雅黑"/>
                <w:szCs w:val="21"/>
              </w:rPr>
              <w:t>套</w:t>
            </w:r>
          </w:p>
        </w:tc>
        <w:tc>
          <w:tcPr>
            <w:tcW w:w="2963" w:type="pct"/>
            <w:tcBorders>
              <w:top w:val="single" w:color="auto" w:sz="4" w:space="0"/>
              <w:left w:val="single" w:color="auto" w:sz="4" w:space="0"/>
              <w:bottom w:val="single" w:color="auto" w:sz="4" w:space="0"/>
              <w:right w:val="single" w:color="auto" w:sz="4" w:space="0"/>
            </w:tcBorders>
            <w:noWrap w:val="0"/>
            <w:vAlign w:val="center"/>
          </w:tcPr>
          <w:p w14:paraId="593F1050">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一、光伏发电单元*2套</w:t>
            </w:r>
          </w:p>
          <w:p w14:paraId="78A215FB">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光伏发电单元主要由光线传感器、太阳总辐射传感器、减速电机、投射灯、光伏组件、运动机构、接近开关及汇流箱组成</w:t>
            </w:r>
            <w:r>
              <w:rPr>
                <w:rFonts w:ascii="宋体" w:hAnsi="宋体" w:cs="微软雅黑"/>
                <w:szCs w:val="21"/>
              </w:rPr>
              <w:t>……</w:t>
            </w:r>
          </w:p>
        </w:tc>
      </w:tr>
      <w:tr w14:paraId="32A81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14:paraId="103D890F">
            <w:pPr>
              <w:snapToGrid w:val="0"/>
              <w:spacing w:line="360" w:lineRule="auto"/>
              <w:jc w:val="center"/>
              <w:rPr>
                <w:rFonts w:hint="eastAsia" w:ascii="宋体" w:hAnsi="宋体"/>
                <w:szCs w:val="21"/>
              </w:rPr>
            </w:pPr>
            <w:r>
              <w:rPr>
                <w:rFonts w:hint="eastAsia" w:ascii="宋体" w:hAnsi="宋体"/>
                <w:szCs w:val="21"/>
              </w:rPr>
              <w:t>2</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2E333E5A">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新能源发电及储能控制平台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7BD6E547">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1套</w:t>
            </w:r>
          </w:p>
        </w:tc>
        <w:tc>
          <w:tcPr>
            <w:tcW w:w="2963" w:type="pct"/>
            <w:tcBorders>
              <w:top w:val="single" w:color="auto" w:sz="4" w:space="0"/>
              <w:left w:val="single" w:color="auto" w:sz="4" w:space="0"/>
              <w:bottom w:val="single" w:color="auto" w:sz="4" w:space="0"/>
              <w:right w:val="single" w:color="auto" w:sz="4" w:space="0"/>
            </w:tcBorders>
            <w:noWrap w:val="0"/>
            <w:vAlign w:val="center"/>
          </w:tcPr>
          <w:p w14:paraId="159782F0">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一、光伏发电单元*2套</w:t>
            </w:r>
          </w:p>
          <w:p w14:paraId="549156D8">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光伏发电单元主要由光线传感器、太阳总辐射传感器、减速电机、投射灯、光伏组件、运动机构、接近开关及汇流箱组成</w:t>
            </w:r>
            <w:r>
              <w:rPr>
                <w:rFonts w:ascii="宋体" w:hAnsi="宋体" w:cs="微软雅黑"/>
                <w:szCs w:val="21"/>
              </w:rPr>
              <w:t>……</w:t>
            </w:r>
          </w:p>
        </w:tc>
      </w:tr>
      <w:tr w14:paraId="013D3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7" w:type="pct"/>
            <w:tcBorders>
              <w:top w:val="single" w:color="auto" w:sz="4" w:space="0"/>
              <w:left w:val="single" w:color="auto" w:sz="4" w:space="0"/>
              <w:bottom w:val="single" w:color="auto" w:sz="4" w:space="0"/>
              <w:right w:val="single" w:color="auto" w:sz="4" w:space="0"/>
            </w:tcBorders>
            <w:noWrap w:val="0"/>
            <w:vAlign w:val="center"/>
          </w:tcPr>
          <w:p w14:paraId="2E8766F0">
            <w:pPr>
              <w:snapToGrid w:val="0"/>
              <w:spacing w:line="360" w:lineRule="auto"/>
              <w:jc w:val="center"/>
              <w:rPr>
                <w:rFonts w:hint="eastAsia" w:ascii="宋体" w:hAnsi="宋体"/>
                <w:szCs w:val="21"/>
              </w:rPr>
            </w:pPr>
            <w:r>
              <w:rPr>
                <w:rFonts w:hint="eastAsia" w:ascii="宋体" w:hAnsi="宋体"/>
                <w:szCs w:val="21"/>
              </w:rPr>
              <w:t>……</w:t>
            </w:r>
          </w:p>
        </w:tc>
        <w:tc>
          <w:tcPr>
            <w:tcW w:w="936" w:type="pct"/>
            <w:tcBorders>
              <w:top w:val="single" w:color="auto" w:sz="4" w:space="0"/>
              <w:left w:val="single" w:color="auto" w:sz="4" w:space="0"/>
              <w:bottom w:val="single" w:color="auto" w:sz="4" w:space="0"/>
              <w:right w:val="single" w:color="auto" w:sz="4" w:space="0"/>
            </w:tcBorders>
            <w:noWrap w:val="0"/>
            <w:vAlign w:val="bottom"/>
          </w:tcPr>
          <w:p w14:paraId="3D4E17D0">
            <w:pPr>
              <w:tabs>
                <w:tab w:val="left" w:pos="180"/>
                <w:tab w:val="left" w:pos="1620"/>
              </w:tabs>
              <w:spacing w:line="360" w:lineRule="exact"/>
              <w:jc w:val="center"/>
              <w:rPr>
                <w:rFonts w:hint="eastAsia" w:ascii="宋体" w:hAnsi="宋体" w:cs="微软雅黑"/>
                <w:szCs w:val="21"/>
              </w:rPr>
            </w:pPr>
            <w:r>
              <w:rPr>
                <w:rFonts w:hint="eastAsia" w:ascii="宋体" w:hAnsi="宋体" w:cs="微软雅黑"/>
                <w:szCs w:val="21"/>
              </w:rPr>
              <w:t>……</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6767CD92">
            <w:pPr>
              <w:tabs>
                <w:tab w:val="left" w:pos="180"/>
                <w:tab w:val="left" w:pos="1620"/>
              </w:tabs>
              <w:spacing w:line="360" w:lineRule="exact"/>
              <w:jc w:val="center"/>
              <w:rPr>
                <w:rFonts w:hint="eastAsia" w:ascii="宋体" w:hAnsi="宋体" w:cs="微软雅黑"/>
                <w:szCs w:val="21"/>
              </w:rPr>
            </w:pPr>
            <w:r>
              <w:rPr>
                <w:rFonts w:hint="eastAsia" w:ascii="宋体" w:hAnsi="宋体" w:cs="微软雅黑"/>
                <w:szCs w:val="21"/>
              </w:rPr>
              <w:t>……</w:t>
            </w:r>
          </w:p>
        </w:tc>
        <w:tc>
          <w:tcPr>
            <w:tcW w:w="2963" w:type="pct"/>
            <w:tcBorders>
              <w:top w:val="single" w:color="auto" w:sz="4" w:space="0"/>
              <w:left w:val="single" w:color="auto" w:sz="4" w:space="0"/>
              <w:bottom w:val="single" w:color="auto" w:sz="4" w:space="0"/>
              <w:right w:val="single" w:color="auto" w:sz="4" w:space="0"/>
            </w:tcBorders>
            <w:noWrap w:val="0"/>
            <w:vAlign w:val="center"/>
          </w:tcPr>
          <w:p w14:paraId="7F660B7C">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w:t>
            </w:r>
          </w:p>
        </w:tc>
      </w:tr>
      <w:bookmarkEnd w:id="5"/>
    </w:tbl>
    <w:p w14:paraId="46045938">
      <w:pPr>
        <w:spacing w:line="360" w:lineRule="auto"/>
        <w:ind w:firstLine="420" w:firstLineChars="200"/>
        <w:rPr>
          <w:rFonts w:ascii="宋体" w:hAnsi="宋体"/>
          <w:szCs w:val="21"/>
          <w:u w:val="single"/>
        </w:rPr>
      </w:pPr>
      <w:r>
        <w:rPr>
          <w:rFonts w:hint="eastAsia" w:ascii="宋体" w:hAnsi="宋体"/>
          <w:szCs w:val="21"/>
        </w:rPr>
        <w:t>合同履行期限：自签订合同之日起 45 个工作日，安装调试完毕并交付使用。</w:t>
      </w:r>
    </w:p>
    <w:p w14:paraId="013FD9BD">
      <w:pPr>
        <w:spacing w:line="360" w:lineRule="auto"/>
        <w:ind w:firstLine="420" w:firstLineChars="200"/>
        <w:rPr>
          <w:rFonts w:ascii="宋体" w:hAnsi="宋体"/>
          <w:szCs w:val="21"/>
        </w:rPr>
      </w:pPr>
      <w:r>
        <w:rPr>
          <w:rFonts w:hint="eastAsia" w:ascii="宋体" w:hAnsi="宋体"/>
          <w:szCs w:val="21"/>
        </w:rPr>
        <w:t>本项目不接受联合体投标。</w:t>
      </w:r>
    </w:p>
    <w:p w14:paraId="70C03053">
      <w:pPr>
        <w:spacing w:line="360" w:lineRule="auto"/>
        <w:rPr>
          <w:rFonts w:ascii="黑体" w:hAnsi="黑体" w:eastAsia="黑体"/>
          <w:b/>
          <w:bCs/>
          <w:sz w:val="24"/>
        </w:rPr>
      </w:pPr>
      <w:bookmarkStart w:id="6" w:name="_Toc28359080"/>
      <w:bookmarkStart w:id="7" w:name="_Toc35393791"/>
      <w:bookmarkStart w:id="8" w:name="_Toc35393622"/>
      <w:bookmarkStart w:id="9" w:name="_Toc28359003"/>
      <w:r>
        <w:rPr>
          <w:rFonts w:hint="eastAsia" w:ascii="黑体" w:hAnsi="黑体" w:eastAsia="黑体"/>
          <w:b/>
          <w:bCs/>
          <w:sz w:val="24"/>
        </w:rPr>
        <w:t>二、申请人的资格要求：</w:t>
      </w:r>
      <w:bookmarkEnd w:id="6"/>
      <w:bookmarkEnd w:id="7"/>
      <w:bookmarkEnd w:id="8"/>
      <w:bookmarkEnd w:id="9"/>
    </w:p>
    <w:p w14:paraId="1A3813CE">
      <w:pPr>
        <w:spacing w:line="360" w:lineRule="auto"/>
        <w:ind w:firstLine="420" w:firstLineChars="200"/>
        <w:rPr>
          <w:rFonts w:ascii="宋体" w:hAnsi="宋体"/>
          <w:szCs w:val="21"/>
        </w:rPr>
      </w:pPr>
      <w:bookmarkStart w:id="10" w:name="_Hlk51746371"/>
      <w:bookmarkStart w:id="11" w:name="_Toc28359004"/>
      <w:bookmarkStart w:id="12" w:name="_Toc28359081"/>
      <w:r>
        <w:rPr>
          <w:rFonts w:hint="eastAsia" w:ascii="宋体" w:hAnsi="宋体"/>
          <w:szCs w:val="21"/>
        </w:rPr>
        <w:t>1.满足《中华人民共和国政府采购法》第二十二条规定；</w:t>
      </w:r>
    </w:p>
    <w:p w14:paraId="7E03C49A">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.落实政府采购政策需满足的资格要求：本项目为专门面向中小企业</w:t>
      </w:r>
      <w:bookmarkStart w:id="13" w:name="OLE_LINK4"/>
      <w:r>
        <w:rPr>
          <w:rFonts w:hint="eastAsia" w:ascii="宋体" w:hAnsi="宋体"/>
          <w:szCs w:val="21"/>
        </w:rPr>
        <w:t>采购预留项目</w:t>
      </w:r>
      <w:bookmarkEnd w:id="13"/>
      <w:r>
        <w:rPr>
          <w:rFonts w:hint="eastAsia" w:ascii="宋体" w:hAnsi="宋体"/>
          <w:szCs w:val="21"/>
        </w:rPr>
        <w:t>（投标产品的生产厂家均应为中型或小型或微型企业、监狱企业、残疾人福利性单位)。</w:t>
      </w:r>
    </w:p>
    <w:p w14:paraId="7BEDB271">
      <w:pPr>
        <w:spacing w:line="360" w:lineRule="auto"/>
        <w:ind w:firstLine="420" w:firstLineChars="200"/>
        <w:rPr>
          <w:rFonts w:hint="eastAsia" w:ascii="宋体" w:hAnsi="宋体"/>
          <w:szCs w:val="21"/>
        </w:rPr>
      </w:pPr>
      <w:r>
        <w:rPr>
          <w:rFonts w:hint="eastAsia" w:ascii="宋体" w:hAnsi="宋体"/>
          <w:szCs w:val="21"/>
        </w:rPr>
        <w:t>3.本项目的特定资格要求：无。</w:t>
      </w:r>
    </w:p>
    <w:bookmarkEnd w:id="10"/>
    <w:p w14:paraId="55022A24">
      <w:pPr>
        <w:spacing w:line="360" w:lineRule="auto"/>
        <w:rPr>
          <w:rFonts w:ascii="黑体" w:hAnsi="黑体" w:eastAsia="黑体"/>
          <w:b/>
          <w:bCs/>
          <w:sz w:val="24"/>
        </w:rPr>
      </w:pPr>
      <w:bookmarkStart w:id="14" w:name="_Toc35393623"/>
      <w:bookmarkStart w:id="15" w:name="_Toc35393792"/>
      <w:r>
        <w:rPr>
          <w:rFonts w:hint="eastAsia" w:ascii="黑体" w:hAnsi="黑体" w:eastAsia="黑体"/>
          <w:b/>
          <w:bCs/>
          <w:sz w:val="24"/>
        </w:rPr>
        <w:t>三、获取招标文件</w:t>
      </w:r>
      <w:bookmarkEnd w:id="11"/>
      <w:bookmarkEnd w:id="12"/>
      <w:bookmarkEnd w:id="14"/>
      <w:bookmarkEnd w:id="15"/>
    </w:p>
    <w:p w14:paraId="40723134">
      <w:pPr>
        <w:spacing w:line="360" w:lineRule="auto"/>
        <w:ind w:firstLine="540"/>
        <w:rPr>
          <w:rFonts w:hint="eastAsia" w:ascii="宋体" w:hAnsi="宋体" w:cs="宋体"/>
          <w:bCs/>
          <w:kern w:val="0"/>
          <w:szCs w:val="21"/>
        </w:rPr>
      </w:pPr>
      <w:r>
        <w:rPr>
          <w:rFonts w:hint="eastAsia" w:ascii="宋体" w:hAnsi="宋体" w:cs="宋体"/>
          <w:bCs/>
          <w:kern w:val="0"/>
          <w:szCs w:val="21"/>
        </w:rPr>
        <w:t>时间：</w:t>
      </w:r>
      <w:r>
        <w:rPr>
          <w:rFonts w:ascii="宋体" w:hAnsi="宋体" w:cs="宋体"/>
          <w:bCs/>
          <w:kern w:val="0"/>
          <w:szCs w:val="21"/>
          <w:u w:val="single"/>
        </w:rPr>
        <w:t>2026</w:t>
      </w:r>
      <w:r>
        <w:rPr>
          <w:rFonts w:hint="eastAsia" w:ascii="宋体" w:hAnsi="宋体" w:cs="宋体"/>
          <w:bCs/>
          <w:kern w:val="0"/>
          <w:szCs w:val="21"/>
          <w:u w:val="single"/>
        </w:rPr>
        <w:t>年6月25日</w:t>
      </w:r>
      <w:r>
        <w:rPr>
          <w:rFonts w:hint="eastAsia" w:ascii="宋体" w:hAnsi="宋体" w:cs="宋体"/>
          <w:bCs/>
          <w:kern w:val="0"/>
          <w:szCs w:val="21"/>
        </w:rPr>
        <w:t>至</w:t>
      </w:r>
      <w:r>
        <w:rPr>
          <w:rFonts w:ascii="宋体" w:hAnsi="宋体" w:cs="宋体"/>
          <w:bCs/>
          <w:kern w:val="0"/>
          <w:szCs w:val="21"/>
          <w:u w:val="single"/>
        </w:rPr>
        <w:t>2026</w:t>
      </w:r>
      <w:r>
        <w:rPr>
          <w:rFonts w:hint="eastAsia" w:ascii="宋体" w:hAnsi="宋体" w:cs="宋体"/>
          <w:bCs/>
          <w:kern w:val="0"/>
          <w:szCs w:val="21"/>
          <w:u w:val="single"/>
        </w:rPr>
        <w:t>年7月2日</w:t>
      </w:r>
      <w:r>
        <w:rPr>
          <w:rFonts w:hint="eastAsia" w:ascii="宋体" w:hAnsi="宋体" w:cs="宋体"/>
          <w:bCs/>
          <w:kern w:val="0"/>
          <w:szCs w:val="21"/>
        </w:rPr>
        <w:t>，每天上午</w:t>
      </w:r>
      <w:r>
        <w:rPr>
          <w:rFonts w:hint="eastAsia" w:ascii="宋体" w:hAnsi="宋体" w:cs="宋体"/>
          <w:bCs/>
          <w:kern w:val="0"/>
          <w:szCs w:val="21"/>
          <w:u w:val="single"/>
        </w:rPr>
        <w:t>0:00至12:00，下午12:00至23:59</w:t>
      </w:r>
      <w:r>
        <w:rPr>
          <w:rFonts w:hint="eastAsia" w:ascii="宋体" w:hAnsi="宋体" w:cs="宋体"/>
          <w:bCs/>
          <w:kern w:val="0"/>
          <w:szCs w:val="21"/>
        </w:rPr>
        <w:t>（北京时间，法定节假日除外）</w:t>
      </w:r>
    </w:p>
    <w:p w14:paraId="0F374174">
      <w:pPr>
        <w:spacing w:line="360" w:lineRule="auto"/>
        <w:ind w:firstLine="540"/>
        <w:rPr>
          <w:rFonts w:hint="eastAsia" w:ascii="宋体" w:hAnsi="宋体" w:cs="宋体"/>
          <w:bCs/>
          <w:kern w:val="0"/>
          <w:szCs w:val="21"/>
        </w:rPr>
      </w:pPr>
      <w:r>
        <w:rPr>
          <w:rFonts w:hint="eastAsia" w:ascii="宋体" w:hAnsi="宋体" w:cs="宋体"/>
          <w:bCs/>
          <w:kern w:val="0"/>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53A01191">
      <w:pPr>
        <w:spacing w:line="360" w:lineRule="auto"/>
        <w:ind w:firstLine="540"/>
        <w:rPr>
          <w:rFonts w:ascii="宋体" w:hAnsi="宋体" w:cs="宋体"/>
          <w:bCs/>
          <w:kern w:val="0"/>
          <w:szCs w:val="21"/>
        </w:rPr>
      </w:pPr>
      <w:r>
        <w:rPr>
          <w:rFonts w:hint="eastAsia" w:ascii="宋体" w:hAnsi="宋体" w:cs="宋体"/>
          <w:bCs/>
          <w:kern w:val="0"/>
          <w:szCs w:val="21"/>
        </w:rPr>
        <w:t>方式：网上下载。本项目不提供纸质文件，潜在供应商需在</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r>
        <w:rPr>
          <w:rFonts w:hint="eastAsia" w:ascii="宋体" w:hAnsi="宋体" w:cs="宋体"/>
          <w:bCs/>
          <w:kern w:val="0"/>
          <w:szCs w:val="21"/>
        </w:rPr>
        <w:t>-进入“项目采购”应用，在获取采购文件菜单中选择项目，获取招标文件。</w:t>
      </w:r>
      <w:r>
        <w:rPr>
          <w:rFonts w:hint="eastAsia" w:ascii="宋体" w:hAnsi="宋体"/>
          <w:szCs w:val="21"/>
        </w:rPr>
        <w:t>电子投标文件制作需要基于广西政府采购云平台获取的招标文件编制，</w:t>
      </w:r>
      <w:r>
        <w:rPr>
          <w:rFonts w:hint="eastAsia" w:ascii="宋体" w:hAnsi="宋体" w:cs="宋体"/>
          <w:bCs/>
          <w:kern w:val="0"/>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kern w:val="0"/>
          <w:szCs w:val="21"/>
        </w:rPr>
        <w:t>编制及上传投标文件。</w:t>
      </w:r>
    </w:p>
    <w:p w14:paraId="03831BFC">
      <w:pPr>
        <w:spacing w:line="360" w:lineRule="auto"/>
        <w:ind w:firstLine="540"/>
        <w:rPr>
          <w:rFonts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1E4C9B97">
      <w:pPr>
        <w:spacing w:line="360" w:lineRule="auto"/>
        <w:rPr>
          <w:rFonts w:ascii="黑体" w:hAnsi="黑体" w:eastAsia="黑体"/>
          <w:b/>
          <w:bCs/>
          <w:sz w:val="24"/>
        </w:rPr>
      </w:pPr>
      <w:bookmarkStart w:id="16" w:name="_Toc28359005"/>
      <w:bookmarkStart w:id="17" w:name="_Toc28359082"/>
      <w:bookmarkStart w:id="18" w:name="_Toc35393624"/>
      <w:bookmarkStart w:id="19" w:name="_Toc35393793"/>
      <w:r>
        <w:rPr>
          <w:rFonts w:hint="eastAsia" w:ascii="黑体" w:hAnsi="黑体" w:eastAsia="黑体"/>
          <w:b/>
          <w:bCs/>
          <w:sz w:val="24"/>
        </w:rPr>
        <w:t>四、提交投标文件</w:t>
      </w:r>
      <w:bookmarkEnd w:id="16"/>
      <w:bookmarkEnd w:id="17"/>
      <w:r>
        <w:rPr>
          <w:rFonts w:hint="eastAsia" w:ascii="黑体" w:hAnsi="黑体" w:eastAsia="黑体"/>
          <w:b/>
          <w:bCs/>
          <w:sz w:val="24"/>
        </w:rPr>
        <w:t>截止时间、开标时间和地点</w:t>
      </w:r>
      <w:bookmarkEnd w:id="18"/>
      <w:bookmarkEnd w:id="19"/>
    </w:p>
    <w:p w14:paraId="621EB4E5">
      <w:pPr>
        <w:spacing w:line="360" w:lineRule="auto"/>
        <w:ind w:firstLine="420" w:firstLineChars="200"/>
        <w:rPr>
          <w:rFonts w:ascii="宋体" w:hAnsi="宋体" w:cs="宋体"/>
          <w:szCs w:val="21"/>
          <w:u w:val="single"/>
        </w:rPr>
      </w:pPr>
      <w:bookmarkStart w:id="20" w:name="_Toc35393794"/>
      <w:bookmarkStart w:id="21" w:name="_Toc28359007"/>
      <w:bookmarkStart w:id="22" w:name="_Toc35393625"/>
      <w:bookmarkStart w:id="23" w:name="_Toc28359084"/>
      <w:r>
        <w:rPr>
          <w:rFonts w:ascii="宋体" w:hAnsi="宋体"/>
          <w:bCs/>
          <w:szCs w:val="21"/>
          <w:u w:val="single"/>
        </w:rPr>
        <w:t>2026</w:t>
      </w:r>
      <w:r>
        <w:rPr>
          <w:rFonts w:hint="eastAsia" w:ascii="宋体" w:hAnsi="宋体"/>
          <w:bCs/>
          <w:szCs w:val="21"/>
          <w:u w:val="single"/>
        </w:rPr>
        <w:t>年7月16日</w:t>
      </w:r>
      <w:r>
        <w:rPr>
          <w:rFonts w:ascii="宋体" w:hAnsi="宋体"/>
          <w:bCs/>
          <w:szCs w:val="21"/>
          <w:u w:val="single"/>
        </w:rPr>
        <w:t>9</w:t>
      </w:r>
      <w:r>
        <w:rPr>
          <w:rFonts w:hint="eastAsia" w:ascii="宋体" w:hAnsi="宋体"/>
          <w:bCs/>
          <w:szCs w:val="21"/>
          <w:u w:val="single"/>
        </w:rPr>
        <w:t>时</w:t>
      </w:r>
      <w:r>
        <w:rPr>
          <w:rFonts w:ascii="宋体" w:hAnsi="宋体"/>
          <w:bCs/>
          <w:szCs w:val="21"/>
          <w:u w:val="single"/>
        </w:rPr>
        <w:t>30</w:t>
      </w:r>
      <w:r>
        <w:rPr>
          <w:rFonts w:hint="eastAsia" w:ascii="宋体" w:hAnsi="宋体"/>
          <w:bCs/>
          <w:szCs w:val="21"/>
          <w:u w:val="single"/>
        </w:rPr>
        <w:t>分</w:t>
      </w:r>
      <w:r>
        <w:rPr>
          <w:rFonts w:hint="eastAsia" w:ascii="宋体" w:hAnsi="宋体"/>
          <w:bCs/>
          <w:szCs w:val="21"/>
        </w:rPr>
        <w:t>（北京时间）</w:t>
      </w:r>
    </w:p>
    <w:p w14:paraId="067B1FCF">
      <w:pPr>
        <w:spacing w:line="360" w:lineRule="auto"/>
        <w:ind w:firstLine="420" w:firstLineChars="200"/>
        <w:rPr>
          <w:rFonts w:hint="eastAsia" w:ascii="宋体" w:hAnsi="宋体"/>
          <w:szCs w:val="21"/>
        </w:rPr>
      </w:pPr>
      <w:r>
        <w:rPr>
          <w:rFonts w:hint="eastAsia" w:ascii="宋体" w:hAnsi="宋体"/>
          <w:szCs w:val="21"/>
        </w:rPr>
        <w:t>地点：</w:t>
      </w:r>
    </w:p>
    <w:p w14:paraId="679DDF2B">
      <w:pPr>
        <w:spacing w:line="360" w:lineRule="auto"/>
        <w:ind w:firstLine="420" w:firstLineChars="200"/>
        <w:rPr>
          <w:rFonts w:ascii="宋体" w:hAnsi="宋体"/>
          <w:szCs w:val="21"/>
        </w:rPr>
      </w:pPr>
      <w:r>
        <w:rPr>
          <w:rFonts w:hint="eastAsia" w:ascii="宋体" w:hAnsi="宋体"/>
          <w:szCs w:val="21"/>
        </w:rPr>
        <w:t>投标地点：广西政府采购云平台（</w:t>
      </w:r>
      <w:r>
        <w:rPr>
          <w:rFonts w:hint="eastAsia" w:ascii="宋体" w:hAnsi="宋体"/>
          <w:bCs/>
          <w:szCs w:val="21"/>
        </w:rPr>
        <w:t>https://www.gcy.zfcg.gxzf.gov.cn/</w:t>
      </w:r>
      <w:r>
        <w:rPr>
          <w:rFonts w:hint="eastAsia" w:ascii="宋体" w:hAnsi="宋体"/>
          <w:szCs w:val="21"/>
        </w:rPr>
        <w:t>）</w:t>
      </w:r>
    </w:p>
    <w:p w14:paraId="0ACC5212">
      <w:pPr>
        <w:spacing w:line="360" w:lineRule="auto"/>
        <w:ind w:firstLine="420" w:firstLineChars="200"/>
        <w:rPr>
          <w:rFonts w:hint="eastAsia" w:ascii="宋体" w:hAnsi="宋体"/>
          <w:szCs w:val="21"/>
        </w:rPr>
      </w:pPr>
      <w:r>
        <w:rPr>
          <w:rFonts w:hint="eastAsia" w:ascii="宋体" w:hAnsi="宋体"/>
          <w:szCs w:val="21"/>
        </w:rPr>
        <w:t>开标地点：广西政府采购云平台电子开标大厅</w:t>
      </w:r>
    </w:p>
    <w:p w14:paraId="7468705A">
      <w:pPr>
        <w:spacing w:line="360" w:lineRule="auto"/>
        <w:rPr>
          <w:rFonts w:ascii="黑体" w:hAnsi="黑体" w:eastAsia="黑体"/>
          <w:b/>
          <w:bCs/>
          <w:sz w:val="24"/>
        </w:rPr>
      </w:pPr>
      <w:r>
        <w:rPr>
          <w:rFonts w:hint="eastAsia" w:ascii="黑体" w:hAnsi="黑体" w:eastAsia="黑体"/>
          <w:b/>
          <w:bCs/>
          <w:sz w:val="24"/>
        </w:rPr>
        <w:t>五、公告期限</w:t>
      </w:r>
      <w:bookmarkEnd w:id="20"/>
      <w:bookmarkEnd w:id="21"/>
      <w:bookmarkEnd w:id="22"/>
      <w:bookmarkEnd w:id="23"/>
    </w:p>
    <w:p w14:paraId="4F394A39">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67C6575">
      <w:pPr>
        <w:spacing w:line="360" w:lineRule="auto"/>
        <w:rPr>
          <w:rFonts w:ascii="黑体" w:hAnsi="黑体" w:eastAsia="黑体"/>
          <w:b/>
          <w:bCs/>
          <w:sz w:val="24"/>
        </w:rPr>
      </w:pPr>
      <w:bookmarkStart w:id="24" w:name="_Toc35393626"/>
      <w:bookmarkStart w:id="25" w:name="_Toc35393795"/>
      <w:r>
        <w:rPr>
          <w:rFonts w:hint="eastAsia" w:ascii="黑体" w:hAnsi="黑体" w:eastAsia="黑体"/>
          <w:b/>
          <w:bCs/>
          <w:sz w:val="24"/>
        </w:rPr>
        <w:t>六、其他补充事宜</w:t>
      </w:r>
      <w:bookmarkEnd w:id="24"/>
      <w:bookmarkEnd w:id="25"/>
    </w:p>
    <w:p w14:paraId="033189D6">
      <w:pPr>
        <w:spacing w:line="360" w:lineRule="auto"/>
        <w:ind w:firstLine="420" w:firstLineChars="200"/>
        <w:rPr>
          <w:rFonts w:hint="eastAsia" w:ascii="宋体" w:hAnsi="宋体" w:cs="宋体"/>
          <w:kern w:val="0"/>
          <w:szCs w:val="21"/>
        </w:rPr>
      </w:pPr>
      <w:bookmarkStart w:id="26" w:name="_Hlk37429585"/>
      <w:bookmarkStart w:id="27" w:name="_Hlk37429595"/>
      <w:r>
        <w:rPr>
          <w:rFonts w:hint="eastAsia" w:ascii="宋体" w:hAnsi="宋体" w:cs="宋体"/>
          <w:kern w:val="0"/>
          <w:szCs w:val="21"/>
        </w:rPr>
        <w:t>1.网上查询地址</w:t>
      </w:r>
    </w:p>
    <w:bookmarkEnd w:id="26"/>
    <w:p w14:paraId="64C970CE">
      <w:pPr>
        <w:spacing w:line="360" w:lineRule="auto"/>
        <w:ind w:firstLine="424" w:firstLineChars="202"/>
        <w:rPr>
          <w:rFonts w:ascii="宋体" w:hAnsi="宋体" w:cs="宋体"/>
          <w:i/>
          <w:kern w:val="0"/>
          <w:szCs w:val="21"/>
        </w:rPr>
      </w:pPr>
      <w:r>
        <w:rPr>
          <w:rFonts w:ascii="宋体" w:hAnsi="宋体" w:cs="宋体"/>
          <w:kern w:val="0"/>
          <w:szCs w:val="21"/>
        </w:rPr>
        <w:t>http：</w:t>
      </w:r>
      <w:r>
        <w:rPr>
          <w:rFonts w:hint="eastAsia" w:ascii="宋体" w:hAnsi="宋体" w:cs="宋体"/>
          <w:kern w:val="0"/>
          <w:szCs w:val="21"/>
        </w:rPr>
        <w:t>//www.ccgp.gov.cn（中国政府采购网）、</w:t>
      </w:r>
      <w:r>
        <w:rPr>
          <w:rFonts w:ascii="宋体" w:hAnsi="宋体" w:cs="宋体"/>
          <w:kern w:val="0"/>
          <w:szCs w:val="21"/>
        </w:rPr>
        <w:t>http：</w:t>
      </w:r>
      <w:r>
        <w:rPr>
          <w:rFonts w:hint="eastAsia" w:ascii="宋体" w:hAnsi="宋体" w:cs="宋体"/>
          <w:kern w:val="0"/>
          <w:szCs w:val="21"/>
        </w:rPr>
        <w:t>//zfcg.gxzf.gov.cn（广西壮族自治区政府采购网）、广西壮族自治区公共资源交易中心（http://gxggzy.gxzf.gov.cn/）</w:t>
      </w:r>
    </w:p>
    <w:bookmarkEnd w:id="27"/>
    <w:p w14:paraId="205B9009">
      <w:pPr>
        <w:spacing w:line="360" w:lineRule="auto"/>
        <w:ind w:firstLine="424" w:firstLineChars="202"/>
        <w:rPr>
          <w:rFonts w:hint="eastAsia" w:ascii="宋体" w:hAnsi="宋体" w:cs="宋体"/>
          <w:kern w:val="0"/>
          <w:szCs w:val="21"/>
        </w:rPr>
      </w:pPr>
      <w:bookmarkStart w:id="28"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15F7C2D0">
      <w:pPr>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73917305">
      <w:pPr>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5CC4ACBE">
      <w:pPr>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0C6763BB">
      <w:pPr>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6537D8D8">
      <w:pPr>
        <w:spacing w:line="360" w:lineRule="auto"/>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78E86E6A">
      <w:pPr>
        <w:widowControl/>
        <w:spacing w:line="360" w:lineRule="auto"/>
        <w:ind w:firstLine="420" w:firstLineChars="200"/>
        <w:jc w:val="left"/>
        <w:rPr>
          <w:rFonts w:hint="eastAsia" w:ascii="宋体" w:hAnsi="宋体"/>
          <w:szCs w:val="21"/>
        </w:rPr>
      </w:pPr>
      <w:r>
        <w:rPr>
          <w:rFonts w:hint="eastAsia" w:ascii="宋体" w:hAnsi="宋体" w:cs="宋体"/>
          <w:kern w:val="0"/>
          <w:szCs w:val="21"/>
        </w:rPr>
        <w:t>3.</w:t>
      </w:r>
      <w:bookmarkEnd w:id="28"/>
      <w:bookmarkStart w:id="29" w:name="_Toc28359085"/>
      <w:bookmarkStart w:id="30" w:name="_Toc35393796"/>
      <w:bookmarkStart w:id="31" w:name="_Toc28359008"/>
      <w:bookmarkStart w:id="32" w:name="_Toc35393627"/>
      <w:r>
        <w:rPr>
          <w:rFonts w:hint="eastAsia" w:ascii="宋体" w:hAnsi="宋体" w:cs="宋体"/>
          <w:kern w:val="0"/>
          <w:szCs w:val="21"/>
        </w:rPr>
        <w:t>投标人</w:t>
      </w:r>
      <w:r>
        <w:rPr>
          <w:rFonts w:hint="eastAsia" w:ascii="宋体" w:hAnsi="宋体"/>
          <w:szCs w:val="21"/>
        </w:rPr>
        <w:t>投标注意事项</w:t>
      </w:r>
    </w:p>
    <w:p w14:paraId="540B9D0A">
      <w:pPr>
        <w:widowControl/>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”查看电子投标具体操作流程。</w:t>
      </w:r>
    </w:p>
    <w:p w14:paraId="1D7B3F6A">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4AE059A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电子开标大厅现场按规定时间对加密的投标文件进行解密，否则后果自负。</w:t>
      </w:r>
    </w:p>
    <w:p w14:paraId="6CB68BFB">
      <w:pPr>
        <w:spacing w:line="360" w:lineRule="auto"/>
        <w:ind w:firstLine="424" w:firstLineChars="202"/>
        <w:rPr>
          <w:rFonts w:hint="eastAsia" w:ascii="宋体" w:hAnsi="宋体" w:cs="宋体"/>
          <w:kern w:val="0"/>
          <w:szCs w:val="21"/>
        </w:rPr>
      </w:pPr>
      <w:r>
        <w:rPr>
          <w:rFonts w:hint="eastAsia" w:ascii="宋体" w:hAnsi="宋体"/>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p w14:paraId="47C48D91">
      <w:pPr>
        <w:spacing w:line="360" w:lineRule="auto"/>
        <w:ind w:firstLine="482" w:firstLineChars="200"/>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29"/>
      <w:bookmarkEnd w:id="30"/>
      <w:bookmarkEnd w:id="31"/>
      <w:bookmarkEnd w:id="32"/>
    </w:p>
    <w:p w14:paraId="1B49E11E">
      <w:pPr>
        <w:spacing w:line="360" w:lineRule="auto"/>
        <w:ind w:firstLine="567" w:firstLineChars="270"/>
        <w:rPr>
          <w:rFonts w:hint="eastAsia" w:ascii="宋体" w:hAnsi="宋体" w:cs="宋体"/>
          <w:szCs w:val="21"/>
        </w:rPr>
      </w:pPr>
      <w:r>
        <w:rPr>
          <w:rFonts w:hint="eastAsia" w:ascii="宋体" w:hAnsi="宋体" w:cs="宋体"/>
          <w:szCs w:val="21"/>
        </w:rPr>
        <w:t>1.采购人信息</w:t>
      </w:r>
    </w:p>
    <w:p w14:paraId="5A08CA54">
      <w:pPr>
        <w:spacing w:line="360" w:lineRule="auto"/>
        <w:ind w:firstLine="567" w:firstLineChars="270"/>
        <w:rPr>
          <w:rFonts w:hint="eastAsia" w:ascii="宋体" w:hAnsi="宋体" w:cs="宋体"/>
          <w:szCs w:val="21"/>
        </w:rPr>
      </w:pPr>
      <w:r>
        <w:rPr>
          <w:rFonts w:hint="eastAsia" w:ascii="宋体" w:hAnsi="宋体" w:cs="宋体"/>
          <w:szCs w:val="21"/>
        </w:rPr>
        <w:t>名 称：广西安全工程职业技术学院</w:t>
      </w:r>
    </w:p>
    <w:p w14:paraId="6A84780E">
      <w:pPr>
        <w:spacing w:line="360" w:lineRule="auto"/>
        <w:ind w:firstLine="567" w:firstLineChars="270"/>
        <w:rPr>
          <w:rFonts w:hint="eastAsia" w:ascii="宋体" w:hAnsi="宋体" w:cs="宋体"/>
          <w:szCs w:val="21"/>
        </w:rPr>
      </w:pPr>
      <w:r>
        <w:rPr>
          <w:rFonts w:hint="eastAsia" w:ascii="宋体" w:hAnsi="宋体" w:cs="宋体"/>
          <w:szCs w:val="21"/>
        </w:rPr>
        <w:t>地址：广西壮族自治区南宁市武鸣区城厢镇上河路9号</w:t>
      </w:r>
    </w:p>
    <w:p w14:paraId="1053C3F2">
      <w:pPr>
        <w:spacing w:line="360" w:lineRule="auto"/>
        <w:ind w:firstLine="567" w:firstLineChars="270"/>
        <w:rPr>
          <w:rFonts w:hint="eastAsia" w:ascii="宋体" w:hAnsi="宋体" w:cs="宋体"/>
          <w:szCs w:val="21"/>
        </w:rPr>
      </w:pPr>
      <w:r>
        <w:rPr>
          <w:rFonts w:hint="eastAsia" w:ascii="宋体" w:hAnsi="宋体" w:cs="宋体"/>
          <w:szCs w:val="21"/>
        </w:rPr>
        <w:t>项目联系人：梁琳羚</w:t>
      </w:r>
    </w:p>
    <w:p w14:paraId="5C7B4DF9">
      <w:pPr>
        <w:spacing w:line="360" w:lineRule="auto"/>
        <w:ind w:firstLine="567" w:firstLineChars="270"/>
        <w:rPr>
          <w:rFonts w:hint="eastAsia" w:ascii="宋体" w:hAnsi="宋体" w:cs="宋体"/>
          <w:szCs w:val="21"/>
        </w:rPr>
      </w:pPr>
      <w:r>
        <w:rPr>
          <w:rFonts w:hint="eastAsia" w:ascii="宋体" w:hAnsi="宋体" w:cs="宋体"/>
          <w:szCs w:val="21"/>
        </w:rPr>
        <w:t>项目联系方式：</w:t>
      </w:r>
      <w:bookmarkStart w:id="33" w:name="OLE_LINK9"/>
      <w:r>
        <w:rPr>
          <w:rFonts w:hint="eastAsia" w:ascii="宋体" w:hAnsi="宋体" w:cs="宋体"/>
          <w:szCs w:val="21"/>
        </w:rPr>
        <w:t>0771-6409255</w:t>
      </w:r>
      <w:bookmarkEnd w:id="33"/>
    </w:p>
    <w:p w14:paraId="66EF6E42">
      <w:pPr>
        <w:spacing w:line="360" w:lineRule="auto"/>
        <w:ind w:firstLine="567" w:firstLineChars="270"/>
        <w:rPr>
          <w:rFonts w:hint="eastAsia" w:ascii="宋体" w:hAnsi="宋体" w:cs="宋体"/>
          <w:szCs w:val="21"/>
        </w:rPr>
      </w:pPr>
      <w:r>
        <w:rPr>
          <w:rFonts w:hint="eastAsia" w:ascii="宋体" w:hAnsi="宋体" w:cs="宋体"/>
          <w:szCs w:val="21"/>
        </w:rPr>
        <w:t>2.采购代理机构信息</w:t>
      </w:r>
    </w:p>
    <w:p w14:paraId="5B0ACB39">
      <w:pPr>
        <w:spacing w:line="360" w:lineRule="auto"/>
        <w:ind w:firstLine="567" w:firstLineChars="270"/>
        <w:rPr>
          <w:rFonts w:hint="eastAsia" w:ascii="宋体" w:hAnsi="宋体" w:cs="宋体"/>
          <w:szCs w:val="21"/>
        </w:rPr>
      </w:pPr>
      <w:r>
        <w:rPr>
          <w:rFonts w:hint="eastAsia" w:ascii="宋体" w:hAnsi="宋体" w:cs="宋体"/>
          <w:szCs w:val="21"/>
        </w:rPr>
        <w:t>名 称：　云之龙咨询集团有限公司　　</w:t>
      </w:r>
    </w:p>
    <w:p w14:paraId="4DAE6341">
      <w:pPr>
        <w:spacing w:line="360" w:lineRule="auto"/>
        <w:ind w:firstLine="567" w:firstLineChars="270"/>
        <w:rPr>
          <w:rFonts w:hint="eastAsia" w:ascii="宋体" w:hAnsi="宋体" w:cs="宋体"/>
          <w:szCs w:val="21"/>
        </w:rPr>
      </w:pPr>
      <w:r>
        <w:rPr>
          <w:rFonts w:hint="eastAsia" w:ascii="宋体" w:hAnsi="宋体" w:cs="宋体"/>
          <w:szCs w:val="21"/>
        </w:rPr>
        <w:t>地　址：南宁市良庆区云英路15号3号楼云之龙咨询集团大厦6楼/530201　　</w:t>
      </w:r>
    </w:p>
    <w:p w14:paraId="54E06661">
      <w:pPr>
        <w:spacing w:line="360" w:lineRule="auto"/>
        <w:ind w:firstLine="567" w:firstLineChars="270"/>
        <w:rPr>
          <w:rFonts w:hint="eastAsia" w:ascii="宋体" w:hAnsi="宋体" w:cs="宋体"/>
          <w:szCs w:val="21"/>
        </w:rPr>
      </w:pPr>
      <w:r>
        <w:rPr>
          <w:rFonts w:hint="eastAsia" w:ascii="宋体" w:hAnsi="宋体" w:cs="宋体"/>
          <w:szCs w:val="21"/>
        </w:rPr>
        <w:t>联系方式：0771-2611898、2618118、2618199</w:t>
      </w:r>
    </w:p>
    <w:p w14:paraId="675C2A5D">
      <w:pPr>
        <w:spacing w:line="360" w:lineRule="auto"/>
        <w:ind w:firstLine="567" w:firstLineChars="270"/>
        <w:rPr>
          <w:rFonts w:hint="eastAsia" w:ascii="宋体" w:hAnsi="宋体" w:cs="宋体"/>
          <w:szCs w:val="21"/>
        </w:rPr>
      </w:pPr>
      <w:r>
        <w:rPr>
          <w:rFonts w:hint="eastAsia" w:ascii="宋体" w:hAnsi="宋体" w:cs="宋体"/>
          <w:szCs w:val="21"/>
        </w:rPr>
        <w:t>3.项目联系方式</w:t>
      </w:r>
    </w:p>
    <w:p w14:paraId="153248C2">
      <w:pPr>
        <w:spacing w:line="360" w:lineRule="auto"/>
        <w:ind w:firstLine="567" w:firstLineChars="270"/>
        <w:rPr>
          <w:rFonts w:hint="eastAsia" w:ascii="宋体" w:hAnsi="宋体" w:cs="宋体"/>
          <w:szCs w:val="21"/>
        </w:rPr>
      </w:pPr>
      <w:r>
        <w:rPr>
          <w:rFonts w:hint="eastAsia" w:ascii="宋体" w:hAnsi="宋体" w:cs="宋体"/>
          <w:szCs w:val="21"/>
        </w:rPr>
        <w:t>项目联系人：李鸿海、梁俏英</w:t>
      </w:r>
    </w:p>
    <w:p w14:paraId="3AD0EFFF">
      <w:pPr>
        <w:spacing w:line="360" w:lineRule="auto"/>
        <w:ind w:firstLine="567" w:firstLineChars="270"/>
        <w:rPr>
          <w:rFonts w:ascii="宋体" w:hAnsi="宋体"/>
          <w:szCs w:val="21"/>
          <w:u w:val="single"/>
        </w:rPr>
      </w:pPr>
      <w:r>
        <w:rPr>
          <w:rFonts w:hint="eastAsia" w:ascii="宋体" w:hAnsi="宋体" w:cs="宋体"/>
          <w:szCs w:val="21"/>
        </w:rPr>
        <w:t>电　话：　0771-2611898、2618118、2618199</w:t>
      </w:r>
    </w:p>
    <w:p w14:paraId="714451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67FB5"/>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2026-06-25T04:42:51Z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