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45FF">
      <w:pPr>
        <w:pStyle w:val="2"/>
        <w:keepNext w:val="0"/>
        <w:keepLines w:val="0"/>
        <w:tabs>
          <w:tab w:val="left" w:pos="0"/>
          <w:tab w:val="left" w:pos="3165"/>
          <w:tab w:val="center" w:pos="4153"/>
        </w:tabs>
        <w:autoSpaceDE w:val="0"/>
        <w:autoSpaceDN w:val="0"/>
        <w:adjustRightInd w:val="0"/>
        <w:spacing w:before="0" w:after="0" w:line="360" w:lineRule="auto"/>
        <w:jc w:val="center"/>
        <w:rPr>
          <w:sz w:val="40"/>
          <w:szCs w:val="40"/>
        </w:rPr>
      </w:pPr>
      <w:r>
        <w:rPr>
          <w:rFonts w:hint="eastAsia"/>
          <w:sz w:val="40"/>
          <w:szCs w:val="40"/>
        </w:rPr>
        <w:t>云之龙咨询集团有限公司2026年传统投注站投注机采购项目</w:t>
      </w:r>
      <w:r>
        <w:rPr>
          <w:rFonts w:hint="eastAsia"/>
          <w:sz w:val="40"/>
          <w:szCs w:val="40"/>
          <w:lang w:eastAsia="zh-CN"/>
        </w:rPr>
        <w:t>（GXZC2</w:t>
      </w:r>
      <w:bookmarkStart w:id="33" w:name="_GoBack"/>
      <w:bookmarkEnd w:id="33"/>
      <w:r>
        <w:rPr>
          <w:rFonts w:hint="eastAsia"/>
          <w:sz w:val="40"/>
          <w:szCs w:val="40"/>
          <w:lang w:eastAsia="zh-CN"/>
        </w:rPr>
        <w:t>026-G1-001421-YZLZ）</w:t>
      </w:r>
      <w:r>
        <w:rPr>
          <w:rFonts w:hint="eastAsia"/>
          <w:sz w:val="40"/>
          <w:szCs w:val="40"/>
        </w:rPr>
        <w:t>招标公告</w:t>
      </w:r>
    </w:p>
    <w:p w14:paraId="2D2C1C75">
      <w:pPr>
        <w:spacing w:line="360" w:lineRule="auto"/>
        <w:rPr>
          <w:rFonts w:hint="eastAsia" w:ascii="宋体" w:hAnsi="宋体"/>
          <w:szCs w:val="21"/>
        </w:rPr>
      </w:pPr>
    </w:p>
    <w:p w14:paraId="104C8B2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63836D2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rPr>
        <w:t>2026年传统投注站投注机采购项目</w:t>
      </w:r>
      <w:r>
        <w:rPr>
          <w:rFonts w:hint="eastAsia" w:ascii="宋体" w:hAnsi="宋体"/>
          <w:szCs w:val="21"/>
        </w:rPr>
        <w:t>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ascii="宋体" w:hAnsi="宋体"/>
          <w:szCs w:val="21"/>
        </w:rPr>
        <w:t>2026</w:t>
      </w:r>
      <w:r>
        <w:rPr>
          <w:rFonts w:hint="eastAsia" w:ascii="宋体" w:hAnsi="宋体"/>
          <w:bCs/>
          <w:szCs w:val="21"/>
        </w:rPr>
        <w:t>年7月</w:t>
      </w:r>
      <w:r>
        <w:rPr>
          <w:rFonts w:hint="eastAsia" w:ascii="宋体" w:hAnsi="宋体"/>
          <w:bCs/>
          <w:szCs w:val="21"/>
          <w:u w:val="single"/>
        </w:rPr>
        <w:t>29日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43FEB39D">
      <w:pPr>
        <w:spacing w:line="360" w:lineRule="auto"/>
        <w:rPr>
          <w:rFonts w:hint="eastAsia" w:ascii="宋体" w:hAnsi="宋体"/>
          <w:szCs w:val="21"/>
        </w:rPr>
      </w:pPr>
    </w:p>
    <w:p w14:paraId="1D3D72BE">
      <w:pPr>
        <w:spacing w:line="360" w:lineRule="auto"/>
        <w:rPr>
          <w:rFonts w:hint="eastAsia" w:ascii="黑体" w:hAnsi="黑体" w:eastAsia="黑体"/>
          <w:b/>
          <w:bCs/>
          <w:sz w:val="24"/>
        </w:rPr>
      </w:pPr>
      <w:bookmarkStart w:id="0" w:name="_Toc28359079"/>
      <w:bookmarkStart w:id="1" w:name="_Toc35393621"/>
      <w:bookmarkStart w:id="2" w:name="_Toc35393790"/>
      <w:bookmarkStart w:id="3" w:name="_Toc28359002"/>
      <w:bookmarkStart w:id="4" w:name="_Hlk24379207"/>
      <w:r>
        <w:rPr>
          <w:rFonts w:hint="eastAsia" w:ascii="黑体" w:hAnsi="黑体" w:eastAsia="黑体"/>
          <w:b/>
          <w:bCs/>
          <w:sz w:val="24"/>
        </w:rPr>
        <w:t>一、项目基本情况</w:t>
      </w:r>
      <w:bookmarkEnd w:id="0"/>
      <w:bookmarkEnd w:id="1"/>
      <w:bookmarkEnd w:id="2"/>
      <w:bookmarkEnd w:id="3"/>
    </w:p>
    <w:bookmarkEnd w:id="4"/>
    <w:p w14:paraId="59679B4B">
      <w:pPr>
        <w:spacing w:line="360" w:lineRule="auto"/>
        <w:ind w:firstLine="420" w:firstLineChars="200"/>
        <w:rPr>
          <w:rFonts w:hint="eastAsia" w:ascii="宋体" w:hAnsi="宋体"/>
          <w:szCs w:val="21"/>
        </w:rPr>
      </w:pPr>
      <w:r>
        <w:rPr>
          <w:rFonts w:hint="eastAsia" w:ascii="宋体" w:hAnsi="宋体"/>
          <w:szCs w:val="21"/>
        </w:rPr>
        <w:t>项目编号：</w:t>
      </w:r>
      <w:r>
        <w:rPr>
          <w:rFonts w:ascii="宋体" w:hAnsi="宋体"/>
          <w:szCs w:val="21"/>
        </w:rPr>
        <w:t>GXZC2026-G1-001421-YZLZ；采购计划编号：</w:t>
      </w:r>
      <w:r>
        <w:rPr>
          <w:rFonts w:hint="eastAsia" w:ascii="宋体" w:hAnsi="宋体"/>
          <w:szCs w:val="21"/>
        </w:rPr>
        <w:t>广西政采[2026]9621号</w:t>
      </w:r>
    </w:p>
    <w:p w14:paraId="76BD75E4">
      <w:pPr>
        <w:spacing w:line="360" w:lineRule="auto"/>
        <w:ind w:firstLine="420" w:firstLineChars="200"/>
        <w:rPr>
          <w:rFonts w:hint="eastAsia" w:ascii="宋体" w:hAnsi="宋体"/>
          <w:szCs w:val="21"/>
        </w:rPr>
      </w:pPr>
      <w:r>
        <w:rPr>
          <w:rFonts w:hint="eastAsia" w:ascii="宋体" w:hAnsi="宋体"/>
          <w:szCs w:val="21"/>
        </w:rPr>
        <w:t>项目名称：2026年传统投注站投注机采购项目</w:t>
      </w:r>
    </w:p>
    <w:p w14:paraId="5D60B060">
      <w:pPr>
        <w:spacing w:line="360" w:lineRule="auto"/>
        <w:ind w:firstLine="420" w:firstLineChars="200"/>
      </w:pPr>
      <w:r>
        <w:rPr>
          <w:rFonts w:hint="eastAsia"/>
        </w:rPr>
        <w:t>预算总金额：900.00万元。</w:t>
      </w:r>
    </w:p>
    <w:p w14:paraId="615B3927">
      <w:pPr>
        <w:spacing w:line="360" w:lineRule="auto"/>
        <w:ind w:firstLine="420" w:firstLineChars="200"/>
      </w:pPr>
      <w:r>
        <w:rPr>
          <w:rFonts w:hint="eastAsia"/>
        </w:rPr>
        <w:t>最高限价：900.00万元。</w:t>
      </w:r>
    </w:p>
    <w:p w14:paraId="03AC64B0">
      <w:pPr>
        <w:spacing w:line="360" w:lineRule="auto"/>
        <w:ind w:firstLine="420" w:firstLineChars="200"/>
        <w:rPr>
          <w:rFonts w:hint="eastAsia"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1595"/>
        <w:gridCol w:w="1116"/>
        <w:gridCol w:w="5049"/>
      </w:tblGrid>
      <w:tr w14:paraId="4FE17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vAlign w:val="center"/>
          </w:tcPr>
          <w:p w14:paraId="079F6D69">
            <w:pPr>
              <w:snapToGrid w:val="0"/>
              <w:spacing w:line="360" w:lineRule="auto"/>
              <w:jc w:val="center"/>
              <w:rPr>
                <w:rFonts w:hint="eastAsia"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vAlign w:val="center"/>
          </w:tcPr>
          <w:p w14:paraId="0A3514D6">
            <w:pPr>
              <w:snapToGrid w:val="0"/>
              <w:spacing w:line="360" w:lineRule="auto"/>
              <w:jc w:val="center"/>
              <w:rPr>
                <w:rFonts w:hint="eastAsia"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vAlign w:val="center"/>
          </w:tcPr>
          <w:p w14:paraId="316D185B">
            <w:pPr>
              <w:snapToGrid w:val="0"/>
              <w:spacing w:line="360" w:lineRule="auto"/>
              <w:jc w:val="center"/>
              <w:rPr>
                <w:rFonts w:hint="eastAsia" w:ascii="宋体" w:hAnsi="宋体"/>
                <w:szCs w:val="21"/>
              </w:rPr>
            </w:pPr>
            <w:r>
              <w:rPr>
                <w:rFonts w:hint="eastAsia" w:ascii="宋体" w:hAnsi="宋体"/>
                <w:szCs w:val="21"/>
              </w:rPr>
              <w:t>数量及</w:t>
            </w:r>
          </w:p>
          <w:p w14:paraId="414C20E4">
            <w:pPr>
              <w:snapToGrid w:val="0"/>
              <w:spacing w:line="360" w:lineRule="auto"/>
              <w:jc w:val="center"/>
              <w:rPr>
                <w:rFonts w:hint="eastAsia" w:ascii="宋体" w:hAnsi="宋体"/>
                <w:szCs w:val="21"/>
              </w:rPr>
            </w:pPr>
            <w:r>
              <w:rPr>
                <w:rFonts w:hint="eastAsia" w:ascii="宋体" w:hAnsi="宋体"/>
                <w:szCs w:val="21"/>
              </w:rPr>
              <w:t>单位</w:t>
            </w:r>
          </w:p>
        </w:tc>
        <w:tc>
          <w:tcPr>
            <w:tcW w:w="2962" w:type="pct"/>
            <w:tcBorders>
              <w:top w:val="single" w:color="auto" w:sz="4" w:space="0"/>
              <w:left w:val="single" w:color="auto" w:sz="4" w:space="0"/>
              <w:bottom w:val="single" w:color="auto" w:sz="4" w:space="0"/>
              <w:right w:val="single" w:color="auto" w:sz="4" w:space="0"/>
            </w:tcBorders>
            <w:vAlign w:val="center"/>
          </w:tcPr>
          <w:p w14:paraId="2096AFC2">
            <w:pPr>
              <w:snapToGrid w:val="0"/>
              <w:spacing w:line="360" w:lineRule="auto"/>
              <w:jc w:val="center"/>
              <w:rPr>
                <w:rFonts w:hint="eastAsia" w:ascii="宋体" w:hAnsi="宋体"/>
                <w:szCs w:val="21"/>
              </w:rPr>
            </w:pPr>
            <w:r>
              <w:rPr>
                <w:rFonts w:hint="eastAsia" w:ascii="宋体" w:hAnsi="宋体"/>
                <w:szCs w:val="21"/>
              </w:rPr>
              <w:t>简要技术需求或者服务要求</w:t>
            </w:r>
          </w:p>
        </w:tc>
      </w:tr>
      <w:tr w14:paraId="392A2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vAlign w:val="center"/>
          </w:tcPr>
          <w:p w14:paraId="16F84DF5">
            <w:pPr>
              <w:snapToGrid w:val="0"/>
              <w:spacing w:line="360" w:lineRule="auto"/>
              <w:jc w:val="center"/>
              <w:rPr>
                <w:rFonts w:hint="eastAsia" w:ascii="宋体" w:hAnsi="宋体"/>
                <w:szCs w:val="21"/>
              </w:rPr>
            </w:pPr>
            <w:bookmarkStart w:id="5" w:name="_Hlk192499057"/>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vAlign w:val="center"/>
          </w:tcPr>
          <w:p w14:paraId="4ED368F3">
            <w:pPr>
              <w:tabs>
                <w:tab w:val="left" w:pos="180"/>
                <w:tab w:val="left" w:pos="1620"/>
              </w:tabs>
              <w:spacing w:line="360" w:lineRule="exact"/>
              <w:jc w:val="center"/>
              <w:rPr>
                <w:rFonts w:hint="eastAsia" w:ascii="宋体" w:hAnsi="宋体" w:cs="微软雅黑"/>
                <w:szCs w:val="21"/>
              </w:rPr>
            </w:pPr>
            <w:r>
              <w:rPr>
                <w:rFonts w:hint="eastAsia" w:ascii="宋体" w:hAnsi="宋体" w:cs="宋体"/>
                <w:color w:val="000000"/>
                <w:szCs w:val="21"/>
              </w:rPr>
              <w:t>传统投注站投注机</w:t>
            </w:r>
          </w:p>
        </w:tc>
        <w:tc>
          <w:tcPr>
            <w:tcW w:w="655" w:type="pct"/>
            <w:tcBorders>
              <w:top w:val="single" w:color="auto" w:sz="4" w:space="0"/>
              <w:left w:val="single" w:color="auto" w:sz="4" w:space="0"/>
              <w:bottom w:val="single" w:color="auto" w:sz="4" w:space="0"/>
              <w:right w:val="single" w:color="auto" w:sz="4" w:space="0"/>
            </w:tcBorders>
            <w:vAlign w:val="center"/>
          </w:tcPr>
          <w:p w14:paraId="1F6E0DEB">
            <w:pPr>
              <w:tabs>
                <w:tab w:val="left" w:pos="180"/>
                <w:tab w:val="left" w:pos="1620"/>
              </w:tabs>
              <w:spacing w:line="360" w:lineRule="exact"/>
              <w:jc w:val="center"/>
              <w:rPr>
                <w:rFonts w:hint="eastAsia" w:ascii="宋体" w:hAnsi="宋体" w:cs="微软雅黑"/>
                <w:szCs w:val="21"/>
              </w:rPr>
            </w:pPr>
            <w:r>
              <w:rPr>
                <w:rFonts w:ascii="宋体" w:hAnsi="宋体" w:cs="宋体"/>
                <w:color w:val="000000"/>
                <w:szCs w:val="21"/>
              </w:rPr>
              <w:t>600</w:t>
            </w:r>
            <w:r>
              <w:rPr>
                <w:rFonts w:hint="eastAsia" w:ascii="宋体" w:hAnsi="宋体" w:cs="宋体"/>
                <w:color w:val="000000"/>
                <w:szCs w:val="21"/>
              </w:rPr>
              <w:t>台</w:t>
            </w:r>
          </w:p>
        </w:tc>
        <w:tc>
          <w:tcPr>
            <w:tcW w:w="2962" w:type="pct"/>
            <w:tcBorders>
              <w:top w:val="single" w:color="auto" w:sz="4" w:space="0"/>
              <w:left w:val="single" w:color="auto" w:sz="4" w:space="0"/>
              <w:bottom w:val="single" w:color="auto" w:sz="4" w:space="0"/>
              <w:right w:val="single" w:color="auto" w:sz="4" w:space="0"/>
            </w:tcBorders>
            <w:vAlign w:val="center"/>
          </w:tcPr>
          <w:p w14:paraId="5C18A977">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本次采购的传统投注站投注机（简称：投注机）用于替换采购人已达到报废期限的旧投注机</w:t>
            </w:r>
            <w:r>
              <w:rPr>
                <w:rFonts w:ascii="宋体" w:hAnsi="宋体" w:cs="微软雅黑"/>
                <w:szCs w:val="21"/>
              </w:rPr>
              <w:t>……</w:t>
            </w:r>
          </w:p>
        </w:tc>
      </w:tr>
      <w:bookmarkEnd w:id="5"/>
    </w:tbl>
    <w:p w14:paraId="20AC6D0E">
      <w:pPr>
        <w:spacing w:line="360" w:lineRule="auto"/>
        <w:ind w:firstLine="420" w:firstLineChars="200"/>
        <w:rPr>
          <w:rFonts w:hint="eastAsia" w:ascii="宋体" w:hAnsi="宋体"/>
          <w:szCs w:val="21"/>
          <w:u w:val="single"/>
        </w:rPr>
      </w:pPr>
      <w:r>
        <w:rPr>
          <w:rFonts w:hint="eastAsia" w:ascii="宋体" w:hAnsi="宋体"/>
          <w:szCs w:val="21"/>
        </w:rPr>
        <w:t>合同履行期限：自合同签订之日起至执行完合同采购数量为止。</w:t>
      </w:r>
    </w:p>
    <w:p w14:paraId="11E0760D">
      <w:pPr>
        <w:spacing w:line="360" w:lineRule="auto"/>
        <w:ind w:firstLine="420" w:firstLineChars="200"/>
        <w:rPr>
          <w:rFonts w:hint="eastAsia" w:ascii="宋体" w:hAnsi="宋体"/>
          <w:szCs w:val="21"/>
        </w:rPr>
      </w:pPr>
      <w:r>
        <w:rPr>
          <w:rFonts w:hint="eastAsia" w:ascii="宋体" w:hAnsi="宋体"/>
          <w:szCs w:val="21"/>
        </w:rPr>
        <w:t>本项目不接受联合体投标。</w:t>
      </w:r>
    </w:p>
    <w:p w14:paraId="6B1D7A88">
      <w:pPr>
        <w:spacing w:line="360" w:lineRule="auto"/>
        <w:rPr>
          <w:rFonts w:hint="eastAsia" w:ascii="黑体" w:hAnsi="黑体" w:eastAsia="黑体"/>
          <w:b/>
          <w:bCs/>
          <w:sz w:val="24"/>
        </w:rPr>
      </w:pPr>
      <w:bookmarkStart w:id="6" w:name="_Toc28359003"/>
      <w:bookmarkStart w:id="7" w:name="_Toc35393791"/>
      <w:bookmarkStart w:id="8" w:name="_Toc35393622"/>
      <w:bookmarkStart w:id="9" w:name="_Toc28359080"/>
      <w:r>
        <w:rPr>
          <w:rFonts w:hint="eastAsia" w:ascii="黑体" w:hAnsi="黑体" w:eastAsia="黑体"/>
          <w:b/>
          <w:bCs/>
          <w:sz w:val="24"/>
        </w:rPr>
        <w:t>二、申请人的资格要求：</w:t>
      </w:r>
      <w:bookmarkEnd w:id="6"/>
      <w:bookmarkEnd w:id="7"/>
      <w:bookmarkEnd w:id="8"/>
      <w:bookmarkEnd w:id="9"/>
    </w:p>
    <w:p w14:paraId="64F29AE1">
      <w:pPr>
        <w:spacing w:line="360" w:lineRule="auto"/>
        <w:ind w:firstLine="420" w:firstLineChars="200"/>
        <w:rPr>
          <w:rFonts w:hint="eastAsia" w:ascii="宋体" w:hAnsi="宋体"/>
          <w:szCs w:val="21"/>
        </w:rPr>
      </w:pPr>
      <w:bookmarkStart w:id="10" w:name="_Hlk51746371"/>
      <w:bookmarkStart w:id="11" w:name="_Toc28359004"/>
      <w:bookmarkStart w:id="12" w:name="_Toc28359081"/>
      <w:r>
        <w:rPr>
          <w:rFonts w:hint="eastAsia" w:ascii="宋体" w:hAnsi="宋体"/>
          <w:szCs w:val="21"/>
        </w:rPr>
        <w:t>1.满足《中华人民共和国政府采购法》第二十二条规定；</w:t>
      </w:r>
    </w:p>
    <w:p w14:paraId="4A2CA419">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.落实政府采购政策需满足的资格要求：本项目为专门面向中小企业采购预留项目（投标产品的生产厂家均应为中型或小型或微型企业、监狱企业、残疾人福利性单位)。</w:t>
      </w:r>
    </w:p>
    <w:p w14:paraId="2DA01E50">
      <w:pPr>
        <w:spacing w:line="360" w:lineRule="auto"/>
        <w:ind w:firstLine="420" w:firstLineChars="200"/>
        <w:rPr>
          <w:rFonts w:hint="eastAsia" w:ascii="宋体" w:hAnsi="宋体"/>
          <w:szCs w:val="21"/>
        </w:rPr>
      </w:pPr>
      <w:r>
        <w:rPr>
          <w:rFonts w:hint="eastAsia" w:ascii="宋体" w:hAnsi="宋体"/>
          <w:szCs w:val="21"/>
        </w:rPr>
        <w:t>3.本项目的特定资格要求：无。</w:t>
      </w:r>
    </w:p>
    <w:bookmarkEnd w:id="10"/>
    <w:p w14:paraId="72B7A49F">
      <w:pPr>
        <w:spacing w:line="360" w:lineRule="auto"/>
        <w:rPr>
          <w:rFonts w:hint="eastAsia" w:ascii="黑体" w:hAnsi="黑体" w:eastAsia="黑体"/>
          <w:b/>
          <w:bCs/>
          <w:sz w:val="24"/>
        </w:rPr>
      </w:pPr>
      <w:bookmarkStart w:id="13" w:name="_Toc35393623"/>
      <w:bookmarkStart w:id="14" w:name="_Toc35393792"/>
      <w:r>
        <w:rPr>
          <w:rFonts w:hint="eastAsia" w:ascii="黑体" w:hAnsi="黑体" w:eastAsia="黑体"/>
          <w:b/>
          <w:bCs/>
          <w:sz w:val="24"/>
        </w:rPr>
        <w:t>三、获取招标文件</w:t>
      </w:r>
      <w:bookmarkEnd w:id="11"/>
      <w:bookmarkEnd w:id="12"/>
      <w:bookmarkEnd w:id="13"/>
      <w:bookmarkEnd w:id="14"/>
    </w:p>
    <w:p w14:paraId="0A33657F">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年7月7日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年7月14日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（北京时间，法定节假日除外）</w:t>
      </w:r>
    </w:p>
    <w:p w14:paraId="70C964D1">
      <w:pPr>
        <w:spacing w:line="36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792DA227">
      <w:pPr>
        <w:spacing w:line="360" w:lineRule="auto"/>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66B2B8AA">
      <w:pPr>
        <w:spacing w:line="360" w:lineRule="auto"/>
        <w:ind w:firstLine="54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71632D64">
      <w:pPr>
        <w:spacing w:line="360" w:lineRule="auto"/>
        <w:rPr>
          <w:rFonts w:hint="eastAsia" w:ascii="黑体" w:hAnsi="黑体" w:eastAsia="黑体"/>
          <w:b/>
          <w:bCs/>
          <w:sz w:val="24"/>
        </w:rPr>
      </w:pPr>
      <w:bookmarkStart w:id="15" w:name="_Toc28359082"/>
      <w:bookmarkStart w:id="16" w:name="_Toc28359005"/>
      <w:bookmarkStart w:id="17" w:name="_Toc35393793"/>
      <w:bookmarkStart w:id="18" w:name="_Toc35393624"/>
      <w:r>
        <w:rPr>
          <w:rFonts w:hint="eastAsia" w:ascii="黑体" w:hAnsi="黑体" w:eastAsia="黑体"/>
          <w:b/>
          <w:bCs/>
          <w:sz w:val="24"/>
        </w:rPr>
        <w:t>四、提交投标文件</w:t>
      </w:r>
      <w:bookmarkEnd w:id="15"/>
      <w:bookmarkEnd w:id="16"/>
      <w:r>
        <w:rPr>
          <w:rFonts w:hint="eastAsia" w:ascii="黑体" w:hAnsi="黑体" w:eastAsia="黑体"/>
          <w:b/>
          <w:bCs/>
          <w:sz w:val="24"/>
        </w:rPr>
        <w:t>截止时间、开标时间和地点</w:t>
      </w:r>
      <w:bookmarkEnd w:id="17"/>
      <w:bookmarkEnd w:id="18"/>
    </w:p>
    <w:p w14:paraId="04D15B27">
      <w:pPr>
        <w:spacing w:line="360" w:lineRule="auto"/>
        <w:ind w:firstLine="420" w:firstLineChars="200"/>
        <w:rPr>
          <w:rFonts w:hint="eastAsia" w:ascii="宋体" w:hAnsi="宋体" w:cs="宋体"/>
          <w:szCs w:val="21"/>
          <w:u w:val="single"/>
        </w:rPr>
      </w:pPr>
      <w:bookmarkStart w:id="19" w:name="_Toc35393794"/>
      <w:bookmarkStart w:id="20" w:name="_Toc28359084"/>
      <w:bookmarkStart w:id="21" w:name="_Toc28359007"/>
      <w:bookmarkStart w:id="22" w:name="_Toc35393625"/>
      <w:r>
        <w:rPr>
          <w:rFonts w:ascii="宋体" w:hAnsi="宋体"/>
          <w:bCs/>
          <w:szCs w:val="21"/>
          <w:u w:val="single"/>
        </w:rPr>
        <w:t>2026</w:t>
      </w:r>
      <w:r>
        <w:rPr>
          <w:rFonts w:hint="eastAsia" w:ascii="宋体" w:hAnsi="宋体"/>
          <w:bCs/>
          <w:szCs w:val="21"/>
          <w:u w:val="single"/>
        </w:rPr>
        <w:t>年7月29日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w:t>
      </w:r>
    </w:p>
    <w:p w14:paraId="6EA2AA87">
      <w:pPr>
        <w:spacing w:line="360" w:lineRule="auto"/>
        <w:ind w:firstLine="420" w:firstLineChars="200"/>
        <w:rPr>
          <w:rFonts w:hint="eastAsia" w:ascii="宋体" w:hAnsi="宋体"/>
          <w:szCs w:val="21"/>
        </w:rPr>
      </w:pPr>
      <w:r>
        <w:rPr>
          <w:rFonts w:hint="eastAsia" w:ascii="宋体" w:hAnsi="宋体"/>
          <w:szCs w:val="21"/>
        </w:rPr>
        <w:t>地点：</w:t>
      </w:r>
    </w:p>
    <w:p w14:paraId="7174E232">
      <w:pPr>
        <w:spacing w:line="360" w:lineRule="auto"/>
        <w:ind w:firstLine="420" w:firstLineChars="200"/>
        <w:rPr>
          <w:rFonts w:hint="eastAsia"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2C167A66">
      <w:pPr>
        <w:spacing w:line="360" w:lineRule="auto"/>
        <w:ind w:firstLine="420" w:firstLineChars="200"/>
        <w:rPr>
          <w:rFonts w:hint="eastAsia" w:ascii="宋体" w:hAnsi="宋体"/>
          <w:szCs w:val="21"/>
        </w:rPr>
      </w:pPr>
      <w:r>
        <w:rPr>
          <w:rFonts w:hint="eastAsia" w:ascii="宋体" w:hAnsi="宋体"/>
          <w:szCs w:val="21"/>
        </w:rPr>
        <w:t>开标地点：广西政府采购云平台电子开标大厅</w:t>
      </w:r>
    </w:p>
    <w:p w14:paraId="7562539F">
      <w:pPr>
        <w:spacing w:line="360" w:lineRule="auto"/>
        <w:rPr>
          <w:rFonts w:hint="eastAsia" w:ascii="黑体" w:hAnsi="黑体" w:eastAsia="黑体"/>
          <w:b/>
          <w:bCs/>
          <w:sz w:val="24"/>
        </w:rPr>
      </w:pPr>
      <w:r>
        <w:rPr>
          <w:rFonts w:hint="eastAsia" w:ascii="黑体" w:hAnsi="黑体" w:eastAsia="黑体"/>
          <w:b/>
          <w:bCs/>
          <w:sz w:val="24"/>
        </w:rPr>
        <w:t>五、公告期限</w:t>
      </w:r>
      <w:bookmarkEnd w:id="19"/>
      <w:bookmarkEnd w:id="20"/>
      <w:bookmarkEnd w:id="21"/>
      <w:bookmarkEnd w:id="22"/>
    </w:p>
    <w:p w14:paraId="582F0048">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1E2ABE5F">
      <w:pPr>
        <w:spacing w:line="360" w:lineRule="auto"/>
        <w:rPr>
          <w:rFonts w:hint="eastAsia" w:ascii="黑体" w:hAnsi="黑体" w:eastAsia="黑体"/>
          <w:b/>
          <w:bCs/>
          <w:sz w:val="24"/>
        </w:rPr>
      </w:pPr>
      <w:bookmarkStart w:id="23" w:name="_Toc35393795"/>
      <w:bookmarkStart w:id="24" w:name="_Toc35393626"/>
      <w:r>
        <w:rPr>
          <w:rFonts w:hint="eastAsia" w:ascii="黑体" w:hAnsi="黑体" w:eastAsia="黑体"/>
          <w:b/>
          <w:bCs/>
          <w:sz w:val="24"/>
        </w:rPr>
        <w:t>六、其他补充事宜</w:t>
      </w:r>
      <w:bookmarkEnd w:id="23"/>
      <w:bookmarkEnd w:id="24"/>
    </w:p>
    <w:p w14:paraId="68D611C9">
      <w:pPr>
        <w:spacing w:line="360" w:lineRule="auto"/>
        <w:ind w:firstLine="420" w:firstLineChars="200"/>
        <w:rPr>
          <w:rFonts w:hint="eastAsia" w:ascii="宋体" w:hAnsi="宋体" w:cs="宋体"/>
          <w:kern w:val="0"/>
          <w:szCs w:val="21"/>
        </w:rPr>
      </w:pPr>
      <w:bookmarkStart w:id="25" w:name="_Hlk37429585"/>
      <w:bookmarkStart w:id="26" w:name="_Hlk37429595"/>
      <w:r>
        <w:rPr>
          <w:rFonts w:hint="eastAsia" w:ascii="宋体" w:hAnsi="宋体" w:cs="宋体"/>
          <w:kern w:val="0"/>
          <w:szCs w:val="21"/>
        </w:rPr>
        <w:t>1.网上查询地址</w:t>
      </w:r>
    </w:p>
    <w:bookmarkEnd w:id="25"/>
    <w:p w14:paraId="77752C99">
      <w:pPr>
        <w:spacing w:line="360" w:lineRule="auto"/>
        <w:ind w:firstLine="424" w:firstLineChars="202"/>
        <w:rPr>
          <w:rFonts w:hint="eastAsia" w:ascii="宋体" w:hAnsi="宋体" w:cs="宋体"/>
          <w:i/>
          <w:kern w:val="0"/>
          <w:szCs w:val="21"/>
        </w:rPr>
      </w:pPr>
      <w:r>
        <w:rPr>
          <w:rFonts w:ascii="宋体" w:hAnsi="宋体" w:cs="宋体"/>
          <w:kern w:val="0"/>
          <w:szCs w:val="21"/>
        </w:rPr>
        <w:t>http：</w:t>
      </w:r>
      <w:r>
        <w:rPr>
          <w:rFonts w:hint="eastAsia" w:ascii="宋体" w:hAnsi="宋体" w:cs="宋体"/>
          <w:kern w:val="0"/>
          <w:szCs w:val="21"/>
        </w:rPr>
        <w:t>//www.ccgp.gov.cn（中国政府采购网）、</w:t>
      </w:r>
      <w:r>
        <w:rPr>
          <w:rFonts w:ascii="宋体" w:hAnsi="宋体" w:cs="宋体"/>
          <w:kern w:val="0"/>
          <w:szCs w:val="21"/>
        </w:rPr>
        <w:t>http：</w:t>
      </w:r>
      <w:r>
        <w:rPr>
          <w:rFonts w:hint="eastAsia" w:ascii="宋体" w:hAnsi="宋体" w:cs="宋体"/>
          <w:kern w:val="0"/>
          <w:szCs w:val="21"/>
        </w:rPr>
        <w:t>//zfcg.gxzf.gov.cn（广西壮族自治区政府采购网）、广西壮族自治区公共资源交易中心（http://gxggzy.gxzf.gov.cn/）</w:t>
      </w:r>
    </w:p>
    <w:bookmarkEnd w:id="26"/>
    <w:p w14:paraId="653CEEF4">
      <w:pPr>
        <w:spacing w:line="360" w:lineRule="auto"/>
        <w:ind w:firstLine="424" w:firstLineChars="202"/>
        <w:rPr>
          <w:rFonts w:hint="eastAsia" w:ascii="宋体" w:hAnsi="宋体" w:cs="宋体"/>
          <w:kern w:val="0"/>
          <w:szCs w:val="21"/>
        </w:rPr>
      </w:pPr>
      <w:bookmarkStart w:id="27"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6DA7ECC4">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5E330B25">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673F72AA">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081ED700">
      <w:pPr>
        <w:spacing w:line="360"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222ADC6A">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615697F0">
      <w:pPr>
        <w:widowControl/>
        <w:spacing w:line="360" w:lineRule="auto"/>
        <w:ind w:firstLine="420" w:firstLineChars="200"/>
        <w:jc w:val="left"/>
        <w:rPr>
          <w:rFonts w:hint="eastAsia" w:ascii="宋体" w:hAnsi="宋体"/>
          <w:szCs w:val="21"/>
        </w:rPr>
      </w:pPr>
      <w:r>
        <w:rPr>
          <w:rFonts w:hint="eastAsia" w:ascii="宋体" w:hAnsi="宋体" w:cs="宋体"/>
          <w:kern w:val="0"/>
          <w:szCs w:val="21"/>
        </w:rPr>
        <w:t>3.</w:t>
      </w:r>
      <w:bookmarkEnd w:id="27"/>
      <w:bookmarkStart w:id="28" w:name="_Toc35393796"/>
      <w:bookmarkStart w:id="29" w:name="_Toc28359008"/>
      <w:bookmarkStart w:id="30" w:name="_Toc28359085"/>
      <w:bookmarkStart w:id="31" w:name="_Toc35393627"/>
      <w:r>
        <w:rPr>
          <w:rFonts w:hint="eastAsia" w:ascii="宋体" w:hAnsi="宋体" w:cs="宋体"/>
          <w:kern w:val="0"/>
          <w:szCs w:val="21"/>
        </w:rPr>
        <w:t>投标人</w:t>
      </w:r>
      <w:r>
        <w:rPr>
          <w:rFonts w:hint="eastAsia" w:ascii="宋体" w:hAnsi="宋体"/>
          <w:szCs w:val="21"/>
        </w:rPr>
        <w:t>投标注意事项</w:t>
      </w:r>
    </w:p>
    <w:p w14:paraId="520FAC53">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3E52D9B3">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0B7670F0">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59D7508C">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3439EEE4">
      <w:pPr>
        <w:spacing w:line="360" w:lineRule="auto"/>
        <w:ind w:firstLine="482" w:firstLineChars="200"/>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8"/>
      <w:bookmarkEnd w:id="29"/>
      <w:bookmarkEnd w:id="30"/>
      <w:bookmarkEnd w:id="31"/>
    </w:p>
    <w:p w14:paraId="2D8E671D">
      <w:pPr>
        <w:spacing w:line="360" w:lineRule="auto"/>
        <w:ind w:firstLine="567" w:firstLineChars="270"/>
        <w:rPr>
          <w:rFonts w:hint="eastAsia" w:ascii="宋体" w:hAnsi="宋体" w:cs="宋体"/>
          <w:szCs w:val="21"/>
        </w:rPr>
      </w:pPr>
      <w:r>
        <w:rPr>
          <w:rFonts w:hint="eastAsia" w:ascii="宋体" w:hAnsi="宋体" w:cs="宋体"/>
          <w:szCs w:val="21"/>
        </w:rPr>
        <w:t>1.采购人信息</w:t>
      </w:r>
    </w:p>
    <w:p w14:paraId="4B16858C">
      <w:pPr>
        <w:spacing w:line="360" w:lineRule="auto"/>
        <w:ind w:firstLine="567" w:firstLineChars="270"/>
        <w:rPr>
          <w:rFonts w:hint="eastAsia" w:ascii="宋体" w:hAnsi="宋体" w:cs="宋体"/>
          <w:szCs w:val="21"/>
        </w:rPr>
      </w:pPr>
      <w:r>
        <w:rPr>
          <w:rFonts w:hint="eastAsia" w:ascii="宋体" w:hAnsi="宋体" w:cs="宋体"/>
          <w:szCs w:val="21"/>
        </w:rPr>
        <w:t>名 称：广西福利彩票发行中心</w:t>
      </w:r>
    </w:p>
    <w:p w14:paraId="3A0E26AC">
      <w:pPr>
        <w:spacing w:line="360" w:lineRule="auto"/>
        <w:ind w:firstLine="567" w:firstLineChars="270"/>
        <w:rPr>
          <w:rFonts w:hint="eastAsia" w:ascii="宋体" w:hAnsi="宋体" w:cs="宋体"/>
          <w:szCs w:val="21"/>
        </w:rPr>
      </w:pPr>
      <w:r>
        <w:rPr>
          <w:rFonts w:hint="eastAsia" w:ascii="宋体" w:hAnsi="宋体" w:cs="宋体"/>
          <w:szCs w:val="21"/>
        </w:rPr>
        <w:t>地址：南宁市葛村路23号</w:t>
      </w:r>
    </w:p>
    <w:p w14:paraId="4BEE7404">
      <w:pPr>
        <w:spacing w:line="360" w:lineRule="auto"/>
        <w:ind w:firstLine="567" w:firstLineChars="270"/>
        <w:rPr>
          <w:rFonts w:hint="eastAsia" w:ascii="宋体" w:hAnsi="宋体" w:cs="宋体"/>
          <w:szCs w:val="21"/>
        </w:rPr>
      </w:pPr>
      <w:r>
        <w:rPr>
          <w:rFonts w:hint="eastAsia" w:ascii="宋体" w:hAnsi="宋体" w:cs="宋体"/>
          <w:szCs w:val="21"/>
        </w:rPr>
        <w:t>项目联系人：何晓峰</w:t>
      </w:r>
    </w:p>
    <w:p w14:paraId="15E5AE00">
      <w:pPr>
        <w:spacing w:line="360" w:lineRule="auto"/>
        <w:ind w:firstLine="567" w:firstLineChars="270"/>
        <w:rPr>
          <w:rFonts w:hint="eastAsia" w:ascii="宋体" w:hAnsi="宋体" w:cs="宋体"/>
          <w:szCs w:val="21"/>
        </w:rPr>
      </w:pPr>
      <w:r>
        <w:rPr>
          <w:rFonts w:hint="eastAsia" w:ascii="宋体" w:hAnsi="宋体" w:cs="宋体"/>
          <w:szCs w:val="21"/>
        </w:rPr>
        <w:t>项目联系方式：</w:t>
      </w:r>
      <w:bookmarkStart w:id="32" w:name="OLE_LINK9"/>
      <w:r>
        <w:rPr>
          <w:rFonts w:hint="eastAsia" w:ascii="宋体" w:hAnsi="宋体" w:cs="宋体"/>
          <w:szCs w:val="21"/>
        </w:rPr>
        <w:t>0771-</w:t>
      </w:r>
      <w:bookmarkEnd w:id="32"/>
      <w:r>
        <w:rPr>
          <w:rFonts w:ascii="宋体" w:hAnsi="宋体" w:cs="宋体"/>
          <w:szCs w:val="21"/>
        </w:rPr>
        <w:t>2448821</w:t>
      </w:r>
    </w:p>
    <w:p w14:paraId="2750E2BC">
      <w:pPr>
        <w:spacing w:line="360" w:lineRule="auto"/>
        <w:ind w:firstLine="567" w:firstLineChars="270"/>
        <w:rPr>
          <w:rFonts w:hint="eastAsia" w:ascii="宋体" w:hAnsi="宋体" w:cs="宋体"/>
          <w:szCs w:val="21"/>
        </w:rPr>
      </w:pPr>
      <w:r>
        <w:rPr>
          <w:rFonts w:hint="eastAsia" w:ascii="宋体" w:hAnsi="宋体" w:cs="宋体"/>
          <w:szCs w:val="21"/>
        </w:rPr>
        <w:t>2.采购代理机构信息</w:t>
      </w:r>
    </w:p>
    <w:p w14:paraId="65170AA1">
      <w:pPr>
        <w:spacing w:line="360" w:lineRule="auto"/>
        <w:ind w:firstLine="567" w:firstLineChars="270"/>
        <w:rPr>
          <w:rFonts w:hint="eastAsia" w:ascii="宋体" w:hAnsi="宋体" w:cs="宋体"/>
          <w:szCs w:val="21"/>
        </w:rPr>
      </w:pPr>
      <w:r>
        <w:rPr>
          <w:rFonts w:hint="eastAsia" w:ascii="宋体" w:hAnsi="宋体" w:cs="宋体"/>
          <w:szCs w:val="21"/>
        </w:rPr>
        <w:t>名 称：　云之龙咨询集团有限公司　　</w:t>
      </w:r>
    </w:p>
    <w:p w14:paraId="3FFFB581">
      <w:pPr>
        <w:spacing w:line="360" w:lineRule="auto"/>
        <w:ind w:firstLine="567" w:firstLineChars="270"/>
        <w:rPr>
          <w:rFonts w:hint="eastAsia" w:ascii="宋体" w:hAnsi="宋体" w:cs="宋体"/>
          <w:szCs w:val="21"/>
        </w:rPr>
      </w:pPr>
      <w:r>
        <w:rPr>
          <w:rFonts w:hint="eastAsia" w:ascii="宋体" w:hAnsi="宋体" w:cs="宋体"/>
          <w:szCs w:val="21"/>
        </w:rPr>
        <w:t>地　址：南宁市良庆区云英路15号3号楼云之龙咨询集团大厦6楼/530201　　</w:t>
      </w:r>
    </w:p>
    <w:p w14:paraId="4FE2E8BC">
      <w:pPr>
        <w:spacing w:line="360" w:lineRule="auto"/>
        <w:ind w:firstLine="567" w:firstLineChars="270"/>
        <w:rPr>
          <w:rFonts w:hint="eastAsia" w:ascii="宋体" w:hAnsi="宋体" w:cs="宋体"/>
          <w:szCs w:val="21"/>
        </w:rPr>
      </w:pPr>
      <w:r>
        <w:rPr>
          <w:rFonts w:hint="eastAsia" w:ascii="宋体" w:hAnsi="宋体" w:cs="宋体"/>
          <w:szCs w:val="21"/>
        </w:rPr>
        <w:t>联系方式：0771-2611898、2618118、2618199</w:t>
      </w:r>
    </w:p>
    <w:p w14:paraId="4F074A17">
      <w:pPr>
        <w:spacing w:line="360" w:lineRule="auto"/>
        <w:ind w:firstLine="567" w:firstLineChars="270"/>
        <w:rPr>
          <w:rFonts w:hint="eastAsia" w:ascii="宋体" w:hAnsi="宋体" w:cs="宋体"/>
          <w:szCs w:val="21"/>
        </w:rPr>
      </w:pPr>
      <w:r>
        <w:rPr>
          <w:rFonts w:hint="eastAsia" w:ascii="宋体" w:hAnsi="宋体" w:cs="宋体"/>
          <w:szCs w:val="21"/>
        </w:rPr>
        <w:t>3.项目联系方式</w:t>
      </w:r>
    </w:p>
    <w:p w14:paraId="65B22D5E">
      <w:pPr>
        <w:spacing w:line="360" w:lineRule="auto"/>
        <w:ind w:firstLine="567" w:firstLineChars="270"/>
        <w:rPr>
          <w:rFonts w:hint="eastAsia" w:ascii="宋体" w:hAnsi="宋体" w:cs="宋体"/>
          <w:szCs w:val="21"/>
        </w:rPr>
      </w:pPr>
      <w:r>
        <w:rPr>
          <w:rFonts w:hint="eastAsia" w:ascii="宋体" w:hAnsi="宋体" w:cs="宋体"/>
          <w:szCs w:val="21"/>
        </w:rPr>
        <w:t>项目联系人：李鸿海、梁俏英</w:t>
      </w:r>
    </w:p>
    <w:p w14:paraId="7F836741">
      <w:pPr>
        <w:spacing w:line="360" w:lineRule="auto"/>
        <w:ind w:firstLine="567" w:firstLineChars="270"/>
        <w:rPr>
          <w:rFonts w:hint="eastAsia" w:ascii="宋体" w:hAnsi="宋体"/>
          <w:szCs w:val="21"/>
          <w:u w:val="single"/>
        </w:rPr>
      </w:pPr>
      <w:r>
        <w:rPr>
          <w:rFonts w:hint="eastAsia" w:ascii="宋体" w:hAnsi="宋体" w:cs="宋体"/>
          <w:szCs w:val="21"/>
        </w:rPr>
        <w:t>电　话：　0771-2611898、2618118、2618199</w:t>
      </w:r>
    </w:p>
    <w:p w14:paraId="5CD9E6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302D5"/>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2026-07-07T07:46:22Z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